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80F5DE" w14:textId="1F99294F" w:rsidR="007105B3" w:rsidRPr="00244D65" w:rsidRDefault="00DD1985" w:rsidP="006F652E">
      <w:pPr>
        <w:pStyle w:val="Pagedecouverture"/>
        <w:rPr>
          <w:noProof/>
        </w:rPr>
      </w:pPr>
      <w:bookmarkStart w:id="0" w:name="LW_BM_COVERPAGE"/>
      <w:bookmarkStart w:id="1" w:name="_Toc232752482"/>
      <w:r>
        <w:rPr>
          <w:noProof/>
        </w:rPr>
        <w:pict w14:anchorId="06728EE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FF3BD96C-81FC-4889-9F48-F0108425800C" style="width:455.4pt;height:607.8pt">
            <v:imagedata r:id="rId8" o:title=""/>
          </v:shape>
        </w:pict>
      </w:r>
    </w:p>
    <w:bookmarkEnd w:id="0"/>
    <w:p w14:paraId="27598526" w14:textId="77777777" w:rsidR="007105B3" w:rsidRPr="00244D65" w:rsidRDefault="007105B3" w:rsidP="005E4778">
      <w:pPr>
        <w:rPr>
          <w:noProof/>
        </w:rPr>
        <w:sectPr w:rsidR="007105B3" w:rsidRPr="00244D65" w:rsidSect="006F652E">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26"/>
        </w:sectPr>
      </w:pPr>
    </w:p>
    <w:p w14:paraId="28BD2C73" w14:textId="11E0AE07" w:rsidR="008F2A5F" w:rsidRPr="00244D65" w:rsidRDefault="00781BE8" w:rsidP="0085595C">
      <w:pPr>
        <w:pStyle w:val="Heading1"/>
        <w:numPr>
          <w:ilvl w:val="0"/>
          <w:numId w:val="0"/>
        </w:numPr>
        <w:spacing w:before="120" w:after="120"/>
        <w:ind w:left="480"/>
        <w:jc w:val="center"/>
        <w:rPr>
          <w:noProof/>
        </w:rPr>
      </w:pPr>
      <w:bookmarkStart w:id="2" w:name="_Toc234949726"/>
      <w:r w:rsidRPr="00244D65">
        <w:rPr>
          <w:noProof/>
        </w:rPr>
        <w:lastRenderedPageBreak/>
        <w:t>Table of Contents</w:t>
      </w:r>
      <w:bookmarkEnd w:id="1"/>
      <w:bookmarkEnd w:id="2"/>
    </w:p>
    <w:p w14:paraId="41565804" w14:textId="77777777" w:rsidR="00BA4E81" w:rsidRDefault="00781BE8" w:rsidP="0085595C">
      <w:pPr>
        <w:pStyle w:val="TOC1"/>
        <w:tabs>
          <w:tab w:val="right" w:leader="dot" w:pos="9016"/>
        </w:tabs>
        <w:rPr>
          <w:rFonts w:ascii="Times New Roman" w:eastAsiaTheme="minorEastAsia" w:hAnsi="Times New Roman" w:cs="Times New Roman"/>
          <w:b w:val="0"/>
          <w:bCs w:val="0"/>
          <w:caps w:val="0"/>
          <w:noProof/>
          <w:kern w:val="2"/>
          <w:sz w:val="24"/>
          <w:szCs w:val="24"/>
          <w:lang w:val="en-IE" w:eastAsia="en-IE"/>
          <w14:ligatures w14:val="standardContextual"/>
        </w:rPr>
      </w:pPr>
      <w:r>
        <w:rPr>
          <w:rFonts w:ascii="Times New Roman" w:eastAsia="Times New Roman" w:hAnsi="Times New Roman" w:cs="Times New Roman"/>
          <w:b w:val="0"/>
          <w:bCs w:val="0"/>
          <w:caps w:val="0"/>
          <w:noProof/>
          <w:sz w:val="24"/>
          <w:szCs w:val="24"/>
        </w:rPr>
        <w:fldChar w:fldCharType="begin"/>
      </w:r>
      <w:r>
        <w:rPr>
          <w:rFonts w:ascii="Times New Roman" w:eastAsia="Times New Roman" w:hAnsi="Times New Roman" w:cs="Times New Roman"/>
          <w:b w:val="0"/>
          <w:bCs w:val="0"/>
          <w:caps w:val="0"/>
          <w:noProof/>
          <w:sz w:val="24"/>
          <w:szCs w:val="24"/>
        </w:rPr>
        <w:instrText xml:space="preserve"> TOC \o "1-3" \h \z \u </w:instrText>
      </w:r>
      <w:r>
        <w:rPr>
          <w:rFonts w:ascii="Times New Roman" w:eastAsia="Times New Roman" w:hAnsi="Times New Roman" w:cs="Times New Roman"/>
          <w:b w:val="0"/>
          <w:bCs w:val="0"/>
          <w:caps w:val="0"/>
          <w:noProof/>
          <w:sz w:val="24"/>
          <w:szCs w:val="24"/>
        </w:rPr>
        <w:fldChar w:fldCharType="separate"/>
      </w:r>
      <w:hyperlink w:anchor="_Toc234949727" w:history="1">
        <w:r>
          <w:rPr>
            <w:rStyle w:val="Hyperlink"/>
            <w:rFonts w:ascii="Times New Roman" w:hAnsi="Times New Roman" w:cs="Times New Roman"/>
            <w:b w:val="0"/>
            <w:bCs w:val="0"/>
            <w:noProof/>
            <w:sz w:val="24"/>
            <w:szCs w:val="24"/>
          </w:rPr>
          <w:t>Glossary</w:t>
        </w:r>
        <w:r>
          <w:rPr>
            <w:rFonts w:ascii="Times New Roman" w:hAnsi="Times New Roman" w:cs="Times New Roman"/>
            <w:b w:val="0"/>
            <w:bCs w:val="0"/>
            <w:noProof/>
            <w:webHidden/>
            <w:sz w:val="24"/>
            <w:szCs w:val="24"/>
          </w:rPr>
          <w:tab/>
        </w:r>
        <w:r>
          <w:rPr>
            <w:rFonts w:ascii="Times New Roman" w:hAnsi="Times New Roman" w:cs="Times New Roman"/>
            <w:b w:val="0"/>
            <w:bCs w:val="0"/>
            <w:noProof/>
            <w:webHidden/>
            <w:sz w:val="24"/>
            <w:szCs w:val="24"/>
          </w:rPr>
          <w:fldChar w:fldCharType="begin"/>
        </w:r>
        <w:r>
          <w:rPr>
            <w:rFonts w:ascii="Times New Roman" w:hAnsi="Times New Roman" w:cs="Times New Roman"/>
            <w:b w:val="0"/>
            <w:bCs w:val="0"/>
            <w:noProof/>
            <w:webHidden/>
            <w:sz w:val="24"/>
            <w:szCs w:val="24"/>
          </w:rPr>
          <w:instrText xml:space="preserve"> PAGEREF _Toc234949727 \h </w:instrText>
        </w:r>
        <w:r>
          <w:rPr>
            <w:rFonts w:ascii="Times New Roman" w:hAnsi="Times New Roman" w:cs="Times New Roman"/>
            <w:b w:val="0"/>
            <w:bCs w:val="0"/>
            <w:noProof/>
            <w:webHidden/>
            <w:sz w:val="24"/>
            <w:szCs w:val="24"/>
          </w:rPr>
        </w:r>
        <w:r>
          <w:rPr>
            <w:rFonts w:ascii="Times New Roman" w:hAnsi="Times New Roman" w:cs="Times New Roman"/>
            <w:b w:val="0"/>
            <w:bCs w:val="0"/>
            <w:noProof/>
            <w:webHidden/>
            <w:sz w:val="24"/>
            <w:szCs w:val="24"/>
          </w:rPr>
          <w:fldChar w:fldCharType="separate"/>
        </w:r>
        <w:r>
          <w:rPr>
            <w:rFonts w:ascii="Times New Roman" w:hAnsi="Times New Roman" w:cs="Times New Roman"/>
            <w:b w:val="0"/>
            <w:bCs w:val="0"/>
            <w:noProof/>
            <w:webHidden/>
            <w:sz w:val="24"/>
            <w:szCs w:val="24"/>
          </w:rPr>
          <w:t>2</w:t>
        </w:r>
        <w:r>
          <w:rPr>
            <w:rFonts w:ascii="Times New Roman" w:hAnsi="Times New Roman" w:cs="Times New Roman"/>
            <w:b w:val="0"/>
            <w:bCs w:val="0"/>
            <w:noProof/>
            <w:webHidden/>
            <w:sz w:val="24"/>
            <w:szCs w:val="24"/>
          </w:rPr>
          <w:fldChar w:fldCharType="end"/>
        </w:r>
      </w:hyperlink>
    </w:p>
    <w:p w14:paraId="1667F88F" w14:textId="501ED9D9" w:rsidR="00E06A66" w:rsidRPr="00E06A66" w:rsidRDefault="00E06A66">
      <w:pPr>
        <w:pStyle w:val="TOC1"/>
        <w:tabs>
          <w:tab w:val="left" w:pos="480"/>
          <w:tab w:val="right" w:leader="dot" w:pos="9016"/>
        </w:tabs>
        <w:rPr>
          <w:rFonts w:ascii="Times New Roman" w:eastAsiaTheme="minorEastAsia" w:hAnsi="Times New Roman" w:cs="Times New Roman"/>
          <w:caps w:val="0"/>
          <w:noProof/>
          <w:kern w:val="2"/>
          <w:sz w:val="24"/>
          <w:szCs w:val="24"/>
          <w:lang w:val="en-IE" w:eastAsia="en-IE"/>
          <w14:ligatures w14:val="standardContextual"/>
        </w:rPr>
      </w:pPr>
      <w:hyperlink w:anchor="_Toc234949728" w:history="1">
        <w:r>
          <w:rPr>
            <w:rStyle w:val="Hyperlink"/>
            <w:rFonts w:ascii="Times New Roman" w:hAnsi="Times New Roman" w:cs="Times New Roman"/>
            <w:noProof/>
            <w:sz w:val="24"/>
            <w:szCs w:val="24"/>
          </w:rPr>
          <w:t>1.</w:t>
        </w:r>
        <w:r>
          <w:rPr>
            <w:rFonts w:ascii="Times New Roman" w:eastAsiaTheme="minorEastAsia" w:hAnsi="Times New Roman" w:cs="Times New Roman"/>
            <w:caps w:val="0"/>
            <w:noProof/>
            <w:kern w:val="2"/>
            <w:sz w:val="24"/>
            <w:szCs w:val="24"/>
            <w:lang w:val="en-IE" w:eastAsia="en-IE"/>
            <w14:ligatures w14:val="standardContextual"/>
          </w:rPr>
          <w:tab/>
        </w:r>
        <w:r>
          <w:rPr>
            <w:rStyle w:val="Hyperlink"/>
            <w:rFonts w:ascii="Times New Roman" w:hAnsi="Times New Roman" w:cs="Times New Roman"/>
            <w:noProof/>
            <w:sz w:val="24"/>
            <w:szCs w:val="24"/>
          </w:rPr>
          <w:t>Introduction: Political and legal context</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_Toc234949728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w:t>
        </w:r>
        <w:r>
          <w:rPr>
            <w:rFonts w:ascii="Times New Roman" w:hAnsi="Times New Roman" w:cs="Times New Roman"/>
            <w:noProof/>
            <w:webHidden/>
            <w:sz w:val="24"/>
            <w:szCs w:val="24"/>
          </w:rPr>
          <w:fldChar w:fldCharType="end"/>
        </w:r>
      </w:hyperlink>
    </w:p>
    <w:p w14:paraId="2DB73AED" w14:textId="4B1769C3" w:rsidR="00E06A66" w:rsidRPr="00E06A66" w:rsidRDefault="00E06A66">
      <w:pPr>
        <w:pStyle w:val="TOC1"/>
        <w:tabs>
          <w:tab w:val="left" w:pos="480"/>
          <w:tab w:val="right" w:leader="dot" w:pos="9016"/>
        </w:tabs>
        <w:rPr>
          <w:rFonts w:ascii="Times New Roman" w:eastAsiaTheme="minorEastAsia" w:hAnsi="Times New Roman" w:cs="Times New Roman"/>
          <w:caps w:val="0"/>
          <w:noProof/>
          <w:kern w:val="2"/>
          <w:sz w:val="24"/>
          <w:szCs w:val="24"/>
          <w:lang w:val="en-IE" w:eastAsia="en-IE"/>
          <w14:ligatures w14:val="standardContextual"/>
        </w:rPr>
      </w:pPr>
      <w:hyperlink w:anchor="_Toc234949729" w:history="1">
        <w:r>
          <w:rPr>
            <w:rStyle w:val="Hyperlink"/>
            <w:rFonts w:ascii="Times New Roman" w:hAnsi="Times New Roman" w:cs="Times New Roman"/>
            <w:noProof/>
            <w:sz w:val="24"/>
            <w:szCs w:val="24"/>
          </w:rPr>
          <w:t>2.</w:t>
        </w:r>
        <w:r>
          <w:rPr>
            <w:rFonts w:ascii="Times New Roman" w:eastAsiaTheme="minorEastAsia" w:hAnsi="Times New Roman" w:cs="Times New Roman"/>
            <w:caps w:val="0"/>
            <w:noProof/>
            <w:kern w:val="2"/>
            <w:sz w:val="24"/>
            <w:szCs w:val="24"/>
            <w:lang w:val="en-IE" w:eastAsia="en-IE"/>
            <w14:ligatures w14:val="standardContextual"/>
          </w:rPr>
          <w:tab/>
        </w:r>
        <w:r>
          <w:rPr>
            <w:rStyle w:val="Hyperlink"/>
            <w:rFonts w:ascii="Times New Roman" w:hAnsi="Times New Roman" w:cs="Times New Roman"/>
            <w:noProof/>
            <w:sz w:val="24"/>
            <w:szCs w:val="24"/>
          </w:rPr>
          <w:t>Problem definition</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_Toc234949729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w:t>
        </w:r>
        <w:r>
          <w:rPr>
            <w:rFonts w:ascii="Times New Roman" w:hAnsi="Times New Roman" w:cs="Times New Roman"/>
            <w:noProof/>
            <w:webHidden/>
            <w:sz w:val="24"/>
            <w:szCs w:val="24"/>
          </w:rPr>
          <w:fldChar w:fldCharType="end"/>
        </w:r>
      </w:hyperlink>
    </w:p>
    <w:p w14:paraId="695C59AE" w14:textId="4BD6ED55" w:rsidR="00E06A66" w:rsidRPr="00C25458" w:rsidRDefault="00E06A66">
      <w:pPr>
        <w:pStyle w:val="TOC2"/>
        <w:tabs>
          <w:tab w:val="left" w:pos="960"/>
          <w:tab w:val="right" w:leader="dot" w:pos="9016"/>
        </w:tabs>
        <w:rPr>
          <w:rFonts w:ascii="Times New Roman" w:eastAsiaTheme="minorEastAsia" w:hAnsi="Times New Roman" w:cs="Times New Roman"/>
          <w:smallCaps w:val="0"/>
          <w:noProof/>
          <w:kern w:val="2"/>
          <w:sz w:val="24"/>
          <w:szCs w:val="24"/>
          <w:lang w:val="en-IE" w:eastAsia="en-IE"/>
          <w14:ligatures w14:val="standardContextual"/>
        </w:rPr>
      </w:pPr>
      <w:hyperlink w:anchor="_Toc234949730" w:history="1">
        <w:r>
          <w:rPr>
            <w:rStyle w:val="Hyperlink"/>
            <w:rFonts w:ascii="Times New Roman" w:hAnsi="Times New Roman" w:cs="Times New Roman"/>
            <w:smallCaps w:val="0"/>
            <w:noProof/>
            <w:sz w:val="24"/>
            <w:szCs w:val="24"/>
          </w:rPr>
          <w:t>2.1.</w:t>
        </w:r>
        <w:r>
          <w:rPr>
            <w:rFonts w:ascii="Times New Roman" w:eastAsiaTheme="minorEastAsia" w:hAnsi="Times New Roman" w:cs="Times New Roman"/>
            <w:smallCaps w:val="0"/>
            <w:noProof/>
            <w:kern w:val="2"/>
            <w:sz w:val="24"/>
            <w:szCs w:val="24"/>
            <w:lang w:val="en-IE" w:eastAsia="en-IE"/>
            <w14:ligatures w14:val="standardContextual"/>
          </w:rPr>
          <w:tab/>
        </w:r>
        <w:r>
          <w:rPr>
            <w:rStyle w:val="Hyperlink"/>
            <w:rFonts w:ascii="Times New Roman" w:hAnsi="Times New Roman" w:cs="Times New Roman"/>
            <w:smallCaps w:val="0"/>
            <w:noProof/>
            <w:sz w:val="24"/>
            <w:szCs w:val="24"/>
          </w:rPr>
          <w:t>What are the problems?</w:t>
        </w:r>
        <w:r>
          <w:rPr>
            <w:rFonts w:ascii="Times New Roman" w:hAnsi="Times New Roman" w:cs="Times New Roman"/>
            <w:smallCaps w:val="0"/>
            <w:noProof/>
            <w:webHidden/>
            <w:sz w:val="24"/>
            <w:szCs w:val="24"/>
          </w:rPr>
          <w:tab/>
        </w:r>
        <w:r>
          <w:rPr>
            <w:rFonts w:ascii="Times New Roman" w:hAnsi="Times New Roman" w:cs="Times New Roman"/>
            <w:smallCaps w:val="0"/>
            <w:noProof/>
            <w:webHidden/>
            <w:sz w:val="24"/>
            <w:szCs w:val="24"/>
          </w:rPr>
          <w:fldChar w:fldCharType="begin"/>
        </w:r>
        <w:r>
          <w:rPr>
            <w:rFonts w:ascii="Times New Roman" w:hAnsi="Times New Roman" w:cs="Times New Roman"/>
            <w:smallCaps w:val="0"/>
            <w:noProof/>
            <w:webHidden/>
            <w:sz w:val="24"/>
            <w:szCs w:val="24"/>
          </w:rPr>
          <w:instrText xml:space="preserve"> PAGEREF _Toc234949730 \h </w:instrText>
        </w:r>
        <w:r>
          <w:rPr>
            <w:rFonts w:ascii="Times New Roman" w:hAnsi="Times New Roman" w:cs="Times New Roman"/>
            <w:smallCaps w:val="0"/>
            <w:noProof/>
            <w:webHidden/>
            <w:sz w:val="24"/>
            <w:szCs w:val="24"/>
          </w:rPr>
        </w:r>
        <w:r>
          <w:rPr>
            <w:rFonts w:ascii="Times New Roman" w:hAnsi="Times New Roman" w:cs="Times New Roman"/>
            <w:smallCaps w:val="0"/>
            <w:noProof/>
            <w:webHidden/>
            <w:sz w:val="24"/>
            <w:szCs w:val="24"/>
          </w:rPr>
          <w:fldChar w:fldCharType="separate"/>
        </w:r>
        <w:r>
          <w:rPr>
            <w:rFonts w:ascii="Times New Roman" w:hAnsi="Times New Roman" w:cs="Times New Roman"/>
            <w:smallCaps w:val="0"/>
            <w:noProof/>
            <w:webHidden/>
            <w:sz w:val="24"/>
            <w:szCs w:val="24"/>
          </w:rPr>
          <w:t>9</w:t>
        </w:r>
        <w:r>
          <w:rPr>
            <w:rFonts w:ascii="Times New Roman" w:hAnsi="Times New Roman" w:cs="Times New Roman"/>
            <w:smallCaps w:val="0"/>
            <w:noProof/>
            <w:webHidden/>
            <w:sz w:val="24"/>
            <w:szCs w:val="24"/>
          </w:rPr>
          <w:fldChar w:fldCharType="end"/>
        </w:r>
      </w:hyperlink>
    </w:p>
    <w:p w14:paraId="16E96246" w14:textId="4C5CACE9" w:rsidR="00E06A66" w:rsidRPr="00C25458" w:rsidRDefault="00E06A66">
      <w:pPr>
        <w:pStyle w:val="TOC2"/>
        <w:tabs>
          <w:tab w:val="left" w:pos="960"/>
          <w:tab w:val="right" w:leader="dot" w:pos="9016"/>
        </w:tabs>
        <w:rPr>
          <w:rFonts w:ascii="Times New Roman" w:eastAsiaTheme="minorEastAsia" w:hAnsi="Times New Roman" w:cs="Times New Roman"/>
          <w:smallCaps w:val="0"/>
          <w:noProof/>
          <w:kern w:val="2"/>
          <w:sz w:val="24"/>
          <w:szCs w:val="24"/>
          <w:lang w:val="en-IE" w:eastAsia="en-IE"/>
          <w14:ligatures w14:val="standardContextual"/>
        </w:rPr>
      </w:pPr>
      <w:hyperlink w:anchor="_Toc234949731" w:history="1">
        <w:r>
          <w:rPr>
            <w:rStyle w:val="Hyperlink"/>
            <w:rFonts w:ascii="Times New Roman" w:hAnsi="Times New Roman" w:cs="Times New Roman"/>
            <w:smallCaps w:val="0"/>
            <w:noProof/>
            <w:sz w:val="24"/>
            <w:szCs w:val="24"/>
          </w:rPr>
          <w:t>2.2.</w:t>
        </w:r>
        <w:r>
          <w:rPr>
            <w:rFonts w:ascii="Times New Roman" w:eastAsiaTheme="minorEastAsia" w:hAnsi="Times New Roman" w:cs="Times New Roman"/>
            <w:smallCaps w:val="0"/>
            <w:noProof/>
            <w:kern w:val="2"/>
            <w:sz w:val="24"/>
            <w:szCs w:val="24"/>
            <w:lang w:val="en-IE" w:eastAsia="en-IE"/>
            <w14:ligatures w14:val="standardContextual"/>
          </w:rPr>
          <w:tab/>
        </w:r>
        <w:r>
          <w:rPr>
            <w:rStyle w:val="Hyperlink"/>
            <w:rFonts w:ascii="Times New Roman" w:hAnsi="Times New Roman" w:cs="Times New Roman"/>
            <w:smallCaps w:val="0"/>
            <w:noProof/>
            <w:sz w:val="24"/>
            <w:szCs w:val="24"/>
          </w:rPr>
          <w:t>What are the problem drivers?</w:t>
        </w:r>
        <w:r>
          <w:rPr>
            <w:rFonts w:ascii="Times New Roman" w:hAnsi="Times New Roman" w:cs="Times New Roman"/>
            <w:smallCaps w:val="0"/>
            <w:noProof/>
            <w:webHidden/>
            <w:sz w:val="24"/>
            <w:szCs w:val="24"/>
          </w:rPr>
          <w:tab/>
        </w:r>
        <w:r>
          <w:rPr>
            <w:rFonts w:ascii="Times New Roman" w:hAnsi="Times New Roman" w:cs="Times New Roman"/>
            <w:smallCaps w:val="0"/>
            <w:noProof/>
            <w:webHidden/>
            <w:sz w:val="24"/>
            <w:szCs w:val="24"/>
          </w:rPr>
          <w:fldChar w:fldCharType="begin"/>
        </w:r>
        <w:r>
          <w:rPr>
            <w:rFonts w:ascii="Times New Roman" w:hAnsi="Times New Roman" w:cs="Times New Roman"/>
            <w:smallCaps w:val="0"/>
            <w:noProof/>
            <w:webHidden/>
            <w:sz w:val="24"/>
            <w:szCs w:val="24"/>
          </w:rPr>
          <w:instrText xml:space="preserve"> PAGEREF _Toc234949731 \h </w:instrText>
        </w:r>
        <w:r>
          <w:rPr>
            <w:rFonts w:ascii="Times New Roman" w:hAnsi="Times New Roman" w:cs="Times New Roman"/>
            <w:smallCaps w:val="0"/>
            <w:noProof/>
            <w:webHidden/>
            <w:sz w:val="24"/>
            <w:szCs w:val="24"/>
          </w:rPr>
        </w:r>
        <w:r>
          <w:rPr>
            <w:rFonts w:ascii="Times New Roman" w:hAnsi="Times New Roman" w:cs="Times New Roman"/>
            <w:smallCaps w:val="0"/>
            <w:noProof/>
            <w:webHidden/>
            <w:sz w:val="24"/>
            <w:szCs w:val="24"/>
          </w:rPr>
          <w:fldChar w:fldCharType="separate"/>
        </w:r>
        <w:r>
          <w:rPr>
            <w:rFonts w:ascii="Times New Roman" w:hAnsi="Times New Roman" w:cs="Times New Roman"/>
            <w:smallCaps w:val="0"/>
            <w:noProof/>
            <w:webHidden/>
            <w:sz w:val="24"/>
            <w:szCs w:val="24"/>
          </w:rPr>
          <w:t>10</w:t>
        </w:r>
        <w:r>
          <w:rPr>
            <w:rFonts w:ascii="Times New Roman" w:hAnsi="Times New Roman" w:cs="Times New Roman"/>
            <w:smallCaps w:val="0"/>
            <w:noProof/>
            <w:webHidden/>
            <w:sz w:val="24"/>
            <w:szCs w:val="24"/>
          </w:rPr>
          <w:fldChar w:fldCharType="end"/>
        </w:r>
      </w:hyperlink>
    </w:p>
    <w:p w14:paraId="126BC6CA" w14:textId="47591AD2" w:rsidR="00E06A66" w:rsidRPr="00C25458" w:rsidRDefault="00E06A66">
      <w:pPr>
        <w:pStyle w:val="TOC2"/>
        <w:tabs>
          <w:tab w:val="left" w:pos="960"/>
          <w:tab w:val="right" w:leader="dot" w:pos="9016"/>
        </w:tabs>
        <w:rPr>
          <w:rFonts w:ascii="Times New Roman" w:eastAsiaTheme="minorEastAsia" w:hAnsi="Times New Roman" w:cs="Times New Roman"/>
          <w:smallCaps w:val="0"/>
          <w:noProof/>
          <w:kern w:val="2"/>
          <w:sz w:val="24"/>
          <w:szCs w:val="24"/>
          <w:lang w:val="en-IE" w:eastAsia="en-IE"/>
          <w14:ligatures w14:val="standardContextual"/>
        </w:rPr>
      </w:pPr>
      <w:hyperlink w:anchor="_Toc234949732" w:history="1">
        <w:r>
          <w:rPr>
            <w:rStyle w:val="Hyperlink"/>
            <w:rFonts w:ascii="Times New Roman" w:hAnsi="Times New Roman" w:cs="Times New Roman"/>
            <w:smallCaps w:val="0"/>
            <w:noProof/>
            <w:sz w:val="24"/>
            <w:szCs w:val="24"/>
          </w:rPr>
          <w:t>2.3.</w:t>
        </w:r>
        <w:r>
          <w:rPr>
            <w:rFonts w:ascii="Times New Roman" w:eastAsiaTheme="minorEastAsia" w:hAnsi="Times New Roman" w:cs="Times New Roman"/>
            <w:smallCaps w:val="0"/>
            <w:noProof/>
            <w:kern w:val="2"/>
            <w:sz w:val="24"/>
            <w:szCs w:val="24"/>
            <w:lang w:val="en-IE" w:eastAsia="en-IE"/>
            <w14:ligatures w14:val="standardContextual"/>
          </w:rPr>
          <w:tab/>
        </w:r>
        <w:r>
          <w:rPr>
            <w:rStyle w:val="Hyperlink"/>
            <w:rFonts w:ascii="Times New Roman" w:hAnsi="Times New Roman" w:cs="Times New Roman"/>
            <w:smallCaps w:val="0"/>
            <w:noProof/>
            <w:sz w:val="24"/>
            <w:szCs w:val="24"/>
          </w:rPr>
          <w:t>How likely is the problem to persist?</w:t>
        </w:r>
        <w:r>
          <w:rPr>
            <w:rFonts w:ascii="Times New Roman" w:hAnsi="Times New Roman" w:cs="Times New Roman"/>
            <w:smallCaps w:val="0"/>
            <w:noProof/>
            <w:webHidden/>
            <w:sz w:val="24"/>
            <w:szCs w:val="24"/>
          </w:rPr>
          <w:tab/>
        </w:r>
        <w:r>
          <w:rPr>
            <w:rFonts w:ascii="Times New Roman" w:hAnsi="Times New Roman" w:cs="Times New Roman"/>
            <w:smallCaps w:val="0"/>
            <w:noProof/>
            <w:webHidden/>
            <w:sz w:val="24"/>
            <w:szCs w:val="24"/>
          </w:rPr>
          <w:fldChar w:fldCharType="begin"/>
        </w:r>
        <w:r>
          <w:rPr>
            <w:rFonts w:ascii="Times New Roman" w:hAnsi="Times New Roman" w:cs="Times New Roman"/>
            <w:smallCaps w:val="0"/>
            <w:noProof/>
            <w:webHidden/>
            <w:sz w:val="24"/>
            <w:szCs w:val="24"/>
          </w:rPr>
          <w:instrText xml:space="preserve"> PAGEREF _Toc234949732 \h </w:instrText>
        </w:r>
        <w:r>
          <w:rPr>
            <w:rFonts w:ascii="Times New Roman" w:hAnsi="Times New Roman" w:cs="Times New Roman"/>
            <w:smallCaps w:val="0"/>
            <w:noProof/>
            <w:webHidden/>
            <w:sz w:val="24"/>
            <w:szCs w:val="24"/>
          </w:rPr>
        </w:r>
        <w:r>
          <w:rPr>
            <w:rFonts w:ascii="Times New Roman" w:hAnsi="Times New Roman" w:cs="Times New Roman"/>
            <w:smallCaps w:val="0"/>
            <w:noProof/>
            <w:webHidden/>
            <w:sz w:val="24"/>
            <w:szCs w:val="24"/>
          </w:rPr>
          <w:fldChar w:fldCharType="separate"/>
        </w:r>
        <w:r>
          <w:rPr>
            <w:rFonts w:ascii="Times New Roman" w:hAnsi="Times New Roman" w:cs="Times New Roman"/>
            <w:smallCaps w:val="0"/>
            <w:noProof/>
            <w:webHidden/>
            <w:sz w:val="24"/>
            <w:szCs w:val="24"/>
          </w:rPr>
          <w:t>12</w:t>
        </w:r>
        <w:r>
          <w:rPr>
            <w:rFonts w:ascii="Times New Roman" w:hAnsi="Times New Roman" w:cs="Times New Roman"/>
            <w:smallCaps w:val="0"/>
            <w:noProof/>
            <w:webHidden/>
            <w:sz w:val="24"/>
            <w:szCs w:val="24"/>
          </w:rPr>
          <w:fldChar w:fldCharType="end"/>
        </w:r>
      </w:hyperlink>
    </w:p>
    <w:p w14:paraId="4BB5DF11" w14:textId="421A30AD" w:rsidR="00E06A66" w:rsidRPr="00E06A66" w:rsidRDefault="00E06A66">
      <w:pPr>
        <w:pStyle w:val="TOC1"/>
        <w:tabs>
          <w:tab w:val="left" w:pos="480"/>
          <w:tab w:val="right" w:leader="dot" w:pos="9016"/>
        </w:tabs>
        <w:rPr>
          <w:rFonts w:ascii="Times New Roman" w:eastAsiaTheme="minorEastAsia" w:hAnsi="Times New Roman" w:cs="Times New Roman"/>
          <w:caps w:val="0"/>
          <w:noProof/>
          <w:kern w:val="2"/>
          <w:sz w:val="24"/>
          <w:szCs w:val="24"/>
          <w:lang w:val="en-IE" w:eastAsia="en-IE"/>
          <w14:ligatures w14:val="standardContextual"/>
        </w:rPr>
      </w:pPr>
      <w:hyperlink w:anchor="_Toc234949733" w:history="1">
        <w:r>
          <w:rPr>
            <w:rStyle w:val="Hyperlink"/>
            <w:rFonts w:ascii="Times New Roman" w:hAnsi="Times New Roman" w:cs="Times New Roman"/>
            <w:noProof/>
            <w:sz w:val="24"/>
            <w:szCs w:val="24"/>
          </w:rPr>
          <w:t>3.</w:t>
        </w:r>
        <w:r>
          <w:rPr>
            <w:rFonts w:ascii="Times New Roman" w:eastAsiaTheme="minorEastAsia" w:hAnsi="Times New Roman" w:cs="Times New Roman"/>
            <w:caps w:val="0"/>
            <w:noProof/>
            <w:kern w:val="2"/>
            <w:sz w:val="24"/>
            <w:szCs w:val="24"/>
            <w:lang w:val="en-IE" w:eastAsia="en-IE"/>
            <w14:ligatures w14:val="standardContextual"/>
          </w:rPr>
          <w:tab/>
        </w:r>
        <w:r>
          <w:rPr>
            <w:rStyle w:val="Hyperlink"/>
            <w:rFonts w:ascii="Times New Roman" w:hAnsi="Times New Roman" w:cs="Times New Roman"/>
            <w:noProof/>
            <w:sz w:val="24"/>
            <w:szCs w:val="24"/>
          </w:rPr>
          <w:t>Why should the EU act?</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_Toc234949733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12</w:t>
        </w:r>
        <w:r>
          <w:rPr>
            <w:rFonts w:ascii="Times New Roman" w:hAnsi="Times New Roman" w:cs="Times New Roman"/>
            <w:noProof/>
            <w:webHidden/>
            <w:sz w:val="24"/>
            <w:szCs w:val="24"/>
          </w:rPr>
          <w:fldChar w:fldCharType="end"/>
        </w:r>
      </w:hyperlink>
    </w:p>
    <w:p w14:paraId="1B3B650C" w14:textId="46B4C332" w:rsidR="00E06A66" w:rsidRPr="00C25458" w:rsidRDefault="00E06A66">
      <w:pPr>
        <w:pStyle w:val="TOC2"/>
        <w:tabs>
          <w:tab w:val="left" w:pos="960"/>
          <w:tab w:val="right" w:leader="dot" w:pos="9016"/>
        </w:tabs>
        <w:rPr>
          <w:rFonts w:ascii="Times New Roman" w:eastAsiaTheme="minorEastAsia" w:hAnsi="Times New Roman" w:cs="Times New Roman"/>
          <w:smallCaps w:val="0"/>
          <w:noProof/>
          <w:kern w:val="2"/>
          <w:sz w:val="24"/>
          <w:szCs w:val="24"/>
          <w:lang w:val="en-IE" w:eastAsia="en-IE"/>
          <w14:ligatures w14:val="standardContextual"/>
        </w:rPr>
      </w:pPr>
      <w:hyperlink w:anchor="_Toc234949734" w:history="1">
        <w:r>
          <w:rPr>
            <w:rStyle w:val="Hyperlink"/>
            <w:rFonts w:ascii="Times New Roman" w:hAnsi="Times New Roman" w:cs="Times New Roman"/>
            <w:smallCaps w:val="0"/>
            <w:noProof/>
            <w:sz w:val="24"/>
            <w:szCs w:val="24"/>
          </w:rPr>
          <w:t>3.1.</w:t>
        </w:r>
        <w:r>
          <w:rPr>
            <w:rFonts w:ascii="Times New Roman" w:eastAsiaTheme="minorEastAsia" w:hAnsi="Times New Roman" w:cs="Times New Roman"/>
            <w:smallCaps w:val="0"/>
            <w:noProof/>
            <w:kern w:val="2"/>
            <w:sz w:val="24"/>
            <w:szCs w:val="24"/>
            <w:lang w:val="en-IE" w:eastAsia="en-IE"/>
            <w14:ligatures w14:val="standardContextual"/>
          </w:rPr>
          <w:tab/>
        </w:r>
        <w:r>
          <w:rPr>
            <w:rStyle w:val="Hyperlink"/>
            <w:rFonts w:ascii="Times New Roman" w:hAnsi="Times New Roman" w:cs="Times New Roman"/>
            <w:smallCaps w:val="0"/>
            <w:noProof/>
            <w:sz w:val="24"/>
            <w:szCs w:val="24"/>
          </w:rPr>
          <w:t>Legal basis</w:t>
        </w:r>
        <w:r>
          <w:rPr>
            <w:rFonts w:ascii="Times New Roman" w:hAnsi="Times New Roman" w:cs="Times New Roman"/>
            <w:smallCaps w:val="0"/>
            <w:noProof/>
            <w:webHidden/>
            <w:sz w:val="24"/>
            <w:szCs w:val="24"/>
          </w:rPr>
          <w:tab/>
        </w:r>
        <w:r>
          <w:rPr>
            <w:rFonts w:ascii="Times New Roman" w:hAnsi="Times New Roman" w:cs="Times New Roman"/>
            <w:smallCaps w:val="0"/>
            <w:noProof/>
            <w:webHidden/>
            <w:sz w:val="24"/>
            <w:szCs w:val="24"/>
          </w:rPr>
          <w:fldChar w:fldCharType="begin"/>
        </w:r>
        <w:r>
          <w:rPr>
            <w:rFonts w:ascii="Times New Roman" w:hAnsi="Times New Roman" w:cs="Times New Roman"/>
            <w:smallCaps w:val="0"/>
            <w:noProof/>
            <w:webHidden/>
            <w:sz w:val="24"/>
            <w:szCs w:val="24"/>
          </w:rPr>
          <w:instrText xml:space="preserve"> PAGEREF _Toc234949734 \h </w:instrText>
        </w:r>
        <w:r>
          <w:rPr>
            <w:rFonts w:ascii="Times New Roman" w:hAnsi="Times New Roman" w:cs="Times New Roman"/>
            <w:smallCaps w:val="0"/>
            <w:noProof/>
            <w:webHidden/>
            <w:sz w:val="24"/>
            <w:szCs w:val="24"/>
          </w:rPr>
        </w:r>
        <w:r>
          <w:rPr>
            <w:rFonts w:ascii="Times New Roman" w:hAnsi="Times New Roman" w:cs="Times New Roman"/>
            <w:smallCaps w:val="0"/>
            <w:noProof/>
            <w:webHidden/>
            <w:sz w:val="24"/>
            <w:szCs w:val="24"/>
          </w:rPr>
          <w:fldChar w:fldCharType="separate"/>
        </w:r>
        <w:r>
          <w:rPr>
            <w:rFonts w:ascii="Times New Roman" w:hAnsi="Times New Roman" w:cs="Times New Roman"/>
            <w:smallCaps w:val="0"/>
            <w:noProof/>
            <w:webHidden/>
            <w:sz w:val="24"/>
            <w:szCs w:val="24"/>
          </w:rPr>
          <w:t>12</w:t>
        </w:r>
        <w:r>
          <w:rPr>
            <w:rFonts w:ascii="Times New Roman" w:hAnsi="Times New Roman" w:cs="Times New Roman"/>
            <w:smallCaps w:val="0"/>
            <w:noProof/>
            <w:webHidden/>
            <w:sz w:val="24"/>
            <w:szCs w:val="24"/>
          </w:rPr>
          <w:fldChar w:fldCharType="end"/>
        </w:r>
      </w:hyperlink>
    </w:p>
    <w:p w14:paraId="50A036FB" w14:textId="6987F781" w:rsidR="00E06A66" w:rsidRPr="00C25458" w:rsidRDefault="00E06A66">
      <w:pPr>
        <w:pStyle w:val="TOC2"/>
        <w:tabs>
          <w:tab w:val="left" w:pos="960"/>
          <w:tab w:val="right" w:leader="dot" w:pos="9016"/>
        </w:tabs>
        <w:rPr>
          <w:rFonts w:ascii="Times New Roman" w:eastAsiaTheme="minorEastAsia" w:hAnsi="Times New Roman" w:cs="Times New Roman"/>
          <w:smallCaps w:val="0"/>
          <w:noProof/>
          <w:kern w:val="2"/>
          <w:sz w:val="24"/>
          <w:szCs w:val="24"/>
          <w:lang w:val="en-IE" w:eastAsia="en-IE"/>
          <w14:ligatures w14:val="standardContextual"/>
        </w:rPr>
      </w:pPr>
      <w:hyperlink w:anchor="_Toc234949735" w:history="1">
        <w:r>
          <w:rPr>
            <w:rStyle w:val="Hyperlink"/>
            <w:rFonts w:ascii="Times New Roman" w:hAnsi="Times New Roman" w:cs="Times New Roman"/>
            <w:smallCaps w:val="0"/>
            <w:noProof/>
            <w:sz w:val="24"/>
            <w:szCs w:val="24"/>
          </w:rPr>
          <w:t>3.2.</w:t>
        </w:r>
        <w:r>
          <w:rPr>
            <w:rFonts w:ascii="Times New Roman" w:eastAsiaTheme="minorEastAsia" w:hAnsi="Times New Roman" w:cs="Times New Roman"/>
            <w:smallCaps w:val="0"/>
            <w:noProof/>
            <w:kern w:val="2"/>
            <w:sz w:val="24"/>
            <w:szCs w:val="24"/>
            <w:lang w:val="en-IE" w:eastAsia="en-IE"/>
            <w14:ligatures w14:val="standardContextual"/>
          </w:rPr>
          <w:tab/>
        </w:r>
        <w:r>
          <w:rPr>
            <w:rStyle w:val="Hyperlink"/>
            <w:rFonts w:ascii="Times New Roman" w:hAnsi="Times New Roman" w:cs="Times New Roman"/>
            <w:smallCaps w:val="0"/>
            <w:noProof/>
            <w:sz w:val="24"/>
            <w:szCs w:val="24"/>
          </w:rPr>
          <w:t>Subsidiarity: Necessity of EU action</w:t>
        </w:r>
        <w:r>
          <w:rPr>
            <w:rFonts w:ascii="Times New Roman" w:hAnsi="Times New Roman" w:cs="Times New Roman"/>
            <w:smallCaps w:val="0"/>
            <w:noProof/>
            <w:webHidden/>
            <w:sz w:val="24"/>
            <w:szCs w:val="24"/>
          </w:rPr>
          <w:tab/>
        </w:r>
        <w:r>
          <w:rPr>
            <w:rFonts w:ascii="Times New Roman" w:hAnsi="Times New Roman" w:cs="Times New Roman"/>
            <w:smallCaps w:val="0"/>
            <w:noProof/>
            <w:webHidden/>
            <w:sz w:val="24"/>
            <w:szCs w:val="24"/>
          </w:rPr>
          <w:fldChar w:fldCharType="begin"/>
        </w:r>
        <w:r>
          <w:rPr>
            <w:rFonts w:ascii="Times New Roman" w:hAnsi="Times New Roman" w:cs="Times New Roman"/>
            <w:smallCaps w:val="0"/>
            <w:noProof/>
            <w:webHidden/>
            <w:sz w:val="24"/>
            <w:szCs w:val="24"/>
          </w:rPr>
          <w:instrText xml:space="preserve"> PAGEREF _Toc234949735 \h </w:instrText>
        </w:r>
        <w:r>
          <w:rPr>
            <w:rFonts w:ascii="Times New Roman" w:hAnsi="Times New Roman" w:cs="Times New Roman"/>
            <w:smallCaps w:val="0"/>
            <w:noProof/>
            <w:webHidden/>
            <w:sz w:val="24"/>
            <w:szCs w:val="24"/>
          </w:rPr>
        </w:r>
        <w:r>
          <w:rPr>
            <w:rFonts w:ascii="Times New Roman" w:hAnsi="Times New Roman" w:cs="Times New Roman"/>
            <w:smallCaps w:val="0"/>
            <w:noProof/>
            <w:webHidden/>
            <w:sz w:val="24"/>
            <w:szCs w:val="24"/>
          </w:rPr>
          <w:fldChar w:fldCharType="separate"/>
        </w:r>
        <w:r>
          <w:rPr>
            <w:rFonts w:ascii="Times New Roman" w:hAnsi="Times New Roman" w:cs="Times New Roman"/>
            <w:smallCaps w:val="0"/>
            <w:noProof/>
            <w:webHidden/>
            <w:sz w:val="24"/>
            <w:szCs w:val="24"/>
          </w:rPr>
          <w:t>13</w:t>
        </w:r>
        <w:r>
          <w:rPr>
            <w:rFonts w:ascii="Times New Roman" w:hAnsi="Times New Roman" w:cs="Times New Roman"/>
            <w:smallCaps w:val="0"/>
            <w:noProof/>
            <w:webHidden/>
            <w:sz w:val="24"/>
            <w:szCs w:val="24"/>
          </w:rPr>
          <w:fldChar w:fldCharType="end"/>
        </w:r>
      </w:hyperlink>
    </w:p>
    <w:p w14:paraId="2D6A08D0" w14:textId="4623E965" w:rsidR="00E06A66" w:rsidRPr="00C25458" w:rsidRDefault="00E06A66">
      <w:pPr>
        <w:pStyle w:val="TOC2"/>
        <w:tabs>
          <w:tab w:val="left" w:pos="960"/>
          <w:tab w:val="right" w:leader="dot" w:pos="9016"/>
        </w:tabs>
        <w:rPr>
          <w:rFonts w:ascii="Times New Roman" w:eastAsiaTheme="minorEastAsia" w:hAnsi="Times New Roman" w:cs="Times New Roman"/>
          <w:smallCaps w:val="0"/>
          <w:noProof/>
          <w:kern w:val="2"/>
          <w:sz w:val="24"/>
          <w:szCs w:val="24"/>
          <w:lang w:val="en-IE" w:eastAsia="en-IE"/>
          <w14:ligatures w14:val="standardContextual"/>
        </w:rPr>
      </w:pPr>
      <w:hyperlink w:anchor="_Toc234949736" w:history="1">
        <w:r>
          <w:rPr>
            <w:rStyle w:val="Hyperlink"/>
            <w:rFonts w:ascii="Times New Roman" w:hAnsi="Times New Roman" w:cs="Times New Roman"/>
            <w:smallCaps w:val="0"/>
            <w:noProof/>
            <w:sz w:val="24"/>
            <w:szCs w:val="24"/>
          </w:rPr>
          <w:t>3.3.</w:t>
        </w:r>
        <w:r>
          <w:rPr>
            <w:rFonts w:ascii="Times New Roman" w:eastAsiaTheme="minorEastAsia" w:hAnsi="Times New Roman" w:cs="Times New Roman"/>
            <w:smallCaps w:val="0"/>
            <w:noProof/>
            <w:kern w:val="2"/>
            <w:sz w:val="24"/>
            <w:szCs w:val="24"/>
            <w:lang w:val="en-IE" w:eastAsia="en-IE"/>
            <w14:ligatures w14:val="standardContextual"/>
          </w:rPr>
          <w:tab/>
        </w:r>
        <w:r>
          <w:rPr>
            <w:rStyle w:val="Hyperlink"/>
            <w:rFonts w:ascii="Times New Roman" w:hAnsi="Times New Roman" w:cs="Times New Roman"/>
            <w:smallCaps w:val="0"/>
            <w:noProof/>
            <w:sz w:val="24"/>
            <w:szCs w:val="24"/>
          </w:rPr>
          <w:t>Subsidiarity: Added value of EU action</w:t>
        </w:r>
        <w:r>
          <w:rPr>
            <w:rFonts w:ascii="Times New Roman" w:hAnsi="Times New Roman" w:cs="Times New Roman"/>
            <w:smallCaps w:val="0"/>
            <w:noProof/>
            <w:webHidden/>
            <w:sz w:val="24"/>
            <w:szCs w:val="24"/>
          </w:rPr>
          <w:tab/>
        </w:r>
        <w:r>
          <w:rPr>
            <w:rFonts w:ascii="Times New Roman" w:hAnsi="Times New Roman" w:cs="Times New Roman"/>
            <w:smallCaps w:val="0"/>
            <w:noProof/>
            <w:webHidden/>
            <w:sz w:val="24"/>
            <w:szCs w:val="24"/>
          </w:rPr>
          <w:fldChar w:fldCharType="begin"/>
        </w:r>
        <w:r>
          <w:rPr>
            <w:rFonts w:ascii="Times New Roman" w:hAnsi="Times New Roman" w:cs="Times New Roman"/>
            <w:smallCaps w:val="0"/>
            <w:noProof/>
            <w:webHidden/>
            <w:sz w:val="24"/>
            <w:szCs w:val="24"/>
          </w:rPr>
          <w:instrText xml:space="preserve"> PAGEREF _Toc234949736 \h </w:instrText>
        </w:r>
        <w:r>
          <w:rPr>
            <w:rFonts w:ascii="Times New Roman" w:hAnsi="Times New Roman" w:cs="Times New Roman"/>
            <w:smallCaps w:val="0"/>
            <w:noProof/>
            <w:webHidden/>
            <w:sz w:val="24"/>
            <w:szCs w:val="24"/>
          </w:rPr>
        </w:r>
        <w:r>
          <w:rPr>
            <w:rFonts w:ascii="Times New Roman" w:hAnsi="Times New Roman" w:cs="Times New Roman"/>
            <w:smallCaps w:val="0"/>
            <w:noProof/>
            <w:webHidden/>
            <w:sz w:val="24"/>
            <w:szCs w:val="24"/>
          </w:rPr>
          <w:fldChar w:fldCharType="separate"/>
        </w:r>
        <w:r>
          <w:rPr>
            <w:rFonts w:ascii="Times New Roman" w:hAnsi="Times New Roman" w:cs="Times New Roman"/>
            <w:smallCaps w:val="0"/>
            <w:noProof/>
            <w:webHidden/>
            <w:sz w:val="24"/>
            <w:szCs w:val="24"/>
          </w:rPr>
          <w:t>13</w:t>
        </w:r>
        <w:r>
          <w:rPr>
            <w:rFonts w:ascii="Times New Roman" w:hAnsi="Times New Roman" w:cs="Times New Roman"/>
            <w:smallCaps w:val="0"/>
            <w:noProof/>
            <w:webHidden/>
            <w:sz w:val="24"/>
            <w:szCs w:val="24"/>
          </w:rPr>
          <w:fldChar w:fldCharType="end"/>
        </w:r>
      </w:hyperlink>
    </w:p>
    <w:p w14:paraId="57E0CDEE" w14:textId="072A18BF" w:rsidR="00E06A66" w:rsidRPr="00E06A66" w:rsidRDefault="00E06A66">
      <w:pPr>
        <w:pStyle w:val="TOC1"/>
        <w:tabs>
          <w:tab w:val="left" w:pos="480"/>
          <w:tab w:val="right" w:leader="dot" w:pos="9016"/>
        </w:tabs>
        <w:rPr>
          <w:rFonts w:ascii="Times New Roman" w:eastAsiaTheme="minorEastAsia" w:hAnsi="Times New Roman" w:cs="Times New Roman"/>
          <w:caps w:val="0"/>
          <w:noProof/>
          <w:kern w:val="2"/>
          <w:sz w:val="24"/>
          <w:szCs w:val="24"/>
          <w:lang w:val="en-IE" w:eastAsia="en-IE"/>
          <w14:ligatures w14:val="standardContextual"/>
        </w:rPr>
      </w:pPr>
      <w:hyperlink w:anchor="_Toc234949737" w:history="1">
        <w:r>
          <w:rPr>
            <w:rStyle w:val="Hyperlink"/>
            <w:rFonts w:ascii="Times New Roman" w:hAnsi="Times New Roman" w:cs="Times New Roman"/>
            <w:noProof/>
            <w:sz w:val="24"/>
            <w:szCs w:val="24"/>
          </w:rPr>
          <w:t>4.</w:t>
        </w:r>
        <w:r>
          <w:rPr>
            <w:rFonts w:ascii="Times New Roman" w:eastAsiaTheme="minorEastAsia" w:hAnsi="Times New Roman" w:cs="Times New Roman"/>
            <w:caps w:val="0"/>
            <w:noProof/>
            <w:kern w:val="2"/>
            <w:sz w:val="24"/>
            <w:szCs w:val="24"/>
            <w:lang w:val="en-IE" w:eastAsia="en-IE"/>
            <w14:ligatures w14:val="standardContextual"/>
          </w:rPr>
          <w:tab/>
        </w:r>
        <w:r>
          <w:rPr>
            <w:rStyle w:val="Hyperlink"/>
            <w:rFonts w:ascii="Times New Roman" w:hAnsi="Times New Roman" w:cs="Times New Roman"/>
            <w:noProof/>
            <w:sz w:val="24"/>
            <w:szCs w:val="24"/>
          </w:rPr>
          <w:t>Objectives: What is to be achieved?</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_Toc234949737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13</w:t>
        </w:r>
        <w:r>
          <w:rPr>
            <w:rFonts w:ascii="Times New Roman" w:hAnsi="Times New Roman" w:cs="Times New Roman"/>
            <w:noProof/>
            <w:webHidden/>
            <w:sz w:val="24"/>
            <w:szCs w:val="24"/>
          </w:rPr>
          <w:fldChar w:fldCharType="end"/>
        </w:r>
      </w:hyperlink>
    </w:p>
    <w:p w14:paraId="66491068" w14:textId="3832A5AC" w:rsidR="00E06A66" w:rsidRPr="00E06A66" w:rsidRDefault="00E06A66">
      <w:pPr>
        <w:pStyle w:val="TOC1"/>
        <w:tabs>
          <w:tab w:val="left" w:pos="480"/>
          <w:tab w:val="right" w:leader="dot" w:pos="9016"/>
        </w:tabs>
        <w:rPr>
          <w:rFonts w:ascii="Times New Roman" w:eastAsiaTheme="minorEastAsia" w:hAnsi="Times New Roman" w:cs="Times New Roman"/>
          <w:caps w:val="0"/>
          <w:noProof/>
          <w:kern w:val="2"/>
          <w:sz w:val="24"/>
          <w:szCs w:val="24"/>
          <w:lang w:val="en-IE" w:eastAsia="en-IE"/>
          <w14:ligatures w14:val="standardContextual"/>
        </w:rPr>
      </w:pPr>
      <w:hyperlink w:anchor="_Toc234949738" w:history="1">
        <w:r>
          <w:rPr>
            <w:rStyle w:val="Hyperlink"/>
            <w:rFonts w:ascii="Times New Roman" w:hAnsi="Times New Roman" w:cs="Times New Roman"/>
            <w:noProof/>
            <w:sz w:val="24"/>
            <w:szCs w:val="24"/>
          </w:rPr>
          <w:t>5.</w:t>
        </w:r>
        <w:r>
          <w:rPr>
            <w:rFonts w:ascii="Times New Roman" w:eastAsiaTheme="minorEastAsia" w:hAnsi="Times New Roman" w:cs="Times New Roman"/>
            <w:caps w:val="0"/>
            <w:noProof/>
            <w:kern w:val="2"/>
            <w:sz w:val="24"/>
            <w:szCs w:val="24"/>
            <w:lang w:val="en-IE" w:eastAsia="en-IE"/>
            <w14:ligatures w14:val="standardContextual"/>
          </w:rPr>
          <w:tab/>
        </w:r>
        <w:r>
          <w:rPr>
            <w:rStyle w:val="Hyperlink"/>
            <w:rFonts w:ascii="Times New Roman" w:hAnsi="Times New Roman" w:cs="Times New Roman"/>
            <w:noProof/>
            <w:sz w:val="24"/>
            <w:szCs w:val="24"/>
          </w:rPr>
          <w:t>What are the available policy options?</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_Toc234949738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14</w:t>
        </w:r>
        <w:r>
          <w:rPr>
            <w:rFonts w:ascii="Times New Roman" w:hAnsi="Times New Roman" w:cs="Times New Roman"/>
            <w:noProof/>
            <w:webHidden/>
            <w:sz w:val="24"/>
            <w:szCs w:val="24"/>
          </w:rPr>
          <w:fldChar w:fldCharType="end"/>
        </w:r>
      </w:hyperlink>
    </w:p>
    <w:p w14:paraId="1C0743AB" w14:textId="5139BD0D" w:rsidR="00E06A66" w:rsidRPr="00C25458" w:rsidRDefault="00E06A66">
      <w:pPr>
        <w:pStyle w:val="TOC2"/>
        <w:tabs>
          <w:tab w:val="left" w:pos="960"/>
          <w:tab w:val="right" w:leader="dot" w:pos="9016"/>
        </w:tabs>
        <w:rPr>
          <w:rFonts w:ascii="Times New Roman" w:eastAsiaTheme="minorEastAsia" w:hAnsi="Times New Roman" w:cs="Times New Roman"/>
          <w:smallCaps w:val="0"/>
          <w:noProof/>
          <w:kern w:val="2"/>
          <w:sz w:val="24"/>
          <w:szCs w:val="24"/>
          <w:lang w:val="en-IE" w:eastAsia="en-IE"/>
          <w14:ligatures w14:val="standardContextual"/>
        </w:rPr>
      </w:pPr>
      <w:hyperlink w:anchor="_Toc234949739" w:history="1">
        <w:r>
          <w:rPr>
            <w:rStyle w:val="Hyperlink"/>
            <w:rFonts w:ascii="Times New Roman" w:hAnsi="Times New Roman" w:cs="Times New Roman"/>
            <w:smallCaps w:val="0"/>
            <w:noProof/>
            <w:sz w:val="24"/>
            <w:szCs w:val="24"/>
          </w:rPr>
          <w:t>5.1.</w:t>
        </w:r>
        <w:r>
          <w:rPr>
            <w:rFonts w:ascii="Times New Roman" w:eastAsiaTheme="minorEastAsia" w:hAnsi="Times New Roman" w:cs="Times New Roman"/>
            <w:smallCaps w:val="0"/>
            <w:noProof/>
            <w:kern w:val="2"/>
            <w:sz w:val="24"/>
            <w:szCs w:val="24"/>
            <w:lang w:val="en-IE" w:eastAsia="en-IE"/>
            <w14:ligatures w14:val="standardContextual"/>
          </w:rPr>
          <w:tab/>
        </w:r>
        <w:r>
          <w:rPr>
            <w:rStyle w:val="Hyperlink"/>
            <w:rFonts w:ascii="Times New Roman" w:hAnsi="Times New Roman" w:cs="Times New Roman"/>
            <w:smallCaps w:val="0"/>
            <w:noProof/>
            <w:sz w:val="24"/>
            <w:szCs w:val="24"/>
          </w:rPr>
          <w:t>What is the baseline from which options are assessed?</w:t>
        </w:r>
        <w:r>
          <w:rPr>
            <w:rFonts w:ascii="Times New Roman" w:hAnsi="Times New Roman" w:cs="Times New Roman"/>
            <w:smallCaps w:val="0"/>
            <w:noProof/>
            <w:webHidden/>
            <w:sz w:val="24"/>
            <w:szCs w:val="24"/>
          </w:rPr>
          <w:tab/>
        </w:r>
        <w:r>
          <w:rPr>
            <w:rFonts w:ascii="Times New Roman" w:hAnsi="Times New Roman" w:cs="Times New Roman"/>
            <w:smallCaps w:val="0"/>
            <w:noProof/>
            <w:webHidden/>
            <w:sz w:val="24"/>
            <w:szCs w:val="24"/>
          </w:rPr>
          <w:fldChar w:fldCharType="begin"/>
        </w:r>
        <w:r>
          <w:rPr>
            <w:rFonts w:ascii="Times New Roman" w:hAnsi="Times New Roman" w:cs="Times New Roman"/>
            <w:smallCaps w:val="0"/>
            <w:noProof/>
            <w:webHidden/>
            <w:sz w:val="24"/>
            <w:szCs w:val="24"/>
          </w:rPr>
          <w:instrText xml:space="preserve"> PAGEREF _Toc234949739 \h </w:instrText>
        </w:r>
        <w:r>
          <w:rPr>
            <w:rFonts w:ascii="Times New Roman" w:hAnsi="Times New Roman" w:cs="Times New Roman"/>
            <w:smallCaps w:val="0"/>
            <w:noProof/>
            <w:webHidden/>
            <w:sz w:val="24"/>
            <w:szCs w:val="24"/>
          </w:rPr>
        </w:r>
        <w:r>
          <w:rPr>
            <w:rFonts w:ascii="Times New Roman" w:hAnsi="Times New Roman" w:cs="Times New Roman"/>
            <w:smallCaps w:val="0"/>
            <w:noProof/>
            <w:webHidden/>
            <w:sz w:val="24"/>
            <w:szCs w:val="24"/>
          </w:rPr>
          <w:fldChar w:fldCharType="separate"/>
        </w:r>
        <w:r>
          <w:rPr>
            <w:rFonts w:ascii="Times New Roman" w:hAnsi="Times New Roman" w:cs="Times New Roman"/>
            <w:smallCaps w:val="0"/>
            <w:noProof/>
            <w:webHidden/>
            <w:sz w:val="24"/>
            <w:szCs w:val="24"/>
          </w:rPr>
          <w:t>14</w:t>
        </w:r>
        <w:r>
          <w:rPr>
            <w:rFonts w:ascii="Times New Roman" w:hAnsi="Times New Roman" w:cs="Times New Roman"/>
            <w:smallCaps w:val="0"/>
            <w:noProof/>
            <w:webHidden/>
            <w:sz w:val="24"/>
            <w:szCs w:val="24"/>
          </w:rPr>
          <w:fldChar w:fldCharType="end"/>
        </w:r>
      </w:hyperlink>
    </w:p>
    <w:p w14:paraId="5DBBC173" w14:textId="0A8973EC" w:rsidR="00E06A66" w:rsidRPr="00C25458" w:rsidRDefault="00E06A66">
      <w:pPr>
        <w:pStyle w:val="TOC2"/>
        <w:tabs>
          <w:tab w:val="left" w:pos="960"/>
          <w:tab w:val="right" w:leader="dot" w:pos="9016"/>
        </w:tabs>
        <w:rPr>
          <w:rFonts w:ascii="Times New Roman" w:eastAsiaTheme="minorEastAsia" w:hAnsi="Times New Roman" w:cs="Times New Roman"/>
          <w:smallCaps w:val="0"/>
          <w:noProof/>
          <w:kern w:val="2"/>
          <w:sz w:val="24"/>
          <w:szCs w:val="24"/>
          <w:lang w:val="en-IE" w:eastAsia="en-IE"/>
          <w14:ligatures w14:val="standardContextual"/>
        </w:rPr>
      </w:pPr>
      <w:hyperlink w:anchor="_Toc234949740" w:history="1">
        <w:r>
          <w:rPr>
            <w:rStyle w:val="Hyperlink"/>
            <w:rFonts w:ascii="Times New Roman" w:hAnsi="Times New Roman" w:cs="Times New Roman"/>
            <w:smallCaps w:val="0"/>
            <w:noProof/>
            <w:sz w:val="24"/>
            <w:szCs w:val="24"/>
          </w:rPr>
          <w:t>5.2.</w:t>
        </w:r>
        <w:r>
          <w:rPr>
            <w:rFonts w:ascii="Times New Roman" w:eastAsiaTheme="minorEastAsia" w:hAnsi="Times New Roman" w:cs="Times New Roman"/>
            <w:smallCaps w:val="0"/>
            <w:noProof/>
            <w:kern w:val="2"/>
            <w:sz w:val="24"/>
            <w:szCs w:val="24"/>
            <w:lang w:val="en-IE" w:eastAsia="en-IE"/>
            <w14:ligatures w14:val="standardContextual"/>
          </w:rPr>
          <w:tab/>
        </w:r>
        <w:r>
          <w:rPr>
            <w:rStyle w:val="Hyperlink"/>
            <w:rFonts w:ascii="Times New Roman" w:hAnsi="Times New Roman" w:cs="Times New Roman"/>
            <w:smallCaps w:val="0"/>
            <w:noProof/>
            <w:sz w:val="24"/>
            <w:szCs w:val="24"/>
          </w:rPr>
          <w:t>Policy options</w:t>
        </w:r>
        <w:r>
          <w:rPr>
            <w:rFonts w:ascii="Times New Roman" w:hAnsi="Times New Roman" w:cs="Times New Roman"/>
            <w:smallCaps w:val="0"/>
            <w:noProof/>
            <w:webHidden/>
            <w:sz w:val="24"/>
            <w:szCs w:val="24"/>
          </w:rPr>
          <w:tab/>
        </w:r>
        <w:r>
          <w:rPr>
            <w:rFonts w:ascii="Times New Roman" w:hAnsi="Times New Roman" w:cs="Times New Roman"/>
            <w:smallCaps w:val="0"/>
            <w:noProof/>
            <w:webHidden/>
            <w:sz w:val="24"/>
            <w:szCs w:val="24"/>
          </w:rPr>
          <w:fldChar w:fldCharType="begin"/>
        </w:r>
        <w:r>
          <w:rPr>
            <w:rFonts w:ascii="Times New Roman" w:hAnsi="Times New Roman" w:cs="Times New Roman"/>
            <w:smallCaps w:val="0"/>
            <w:noProof/>
            <w:webHidden/>
            <w:sz w:val="24"/>
            <w:szCs w:val="24"/>
          </w:rPr>
          <w:instrText xml:space="preserve"> PAGEREF _Toc234949740 \h </w:instrText>
        </w:r>
        <w:r>
          <w:rPr>
            <w:rFonts w:ascii="Times New Roman" w:hAnsi="Times New Roman" w:cs="Times New Roman"/>
            <w:smallCaps w:val="0"/>
            <w:noProof/>
            <w:webHidden/>
            <w:sz w:val="24"/>
            <w:szCs w:val="24"/>
          </w:rPr>
        </w:r>
        <w:r>
          <w:rPr>
            <w:rFonts w:ascii="Times New Roman" w:hAnsi="Times New Roman" w:cs="Times New Roman"/>
            <w:smallCaps w:val="0"/>
            <w:noProof/>
            <w:webHidden/>
            <w:sz w:val="24"/>
            <w:szCs w:val="24"/>
          </w:rPr>
          <w:fldChar w:fldCharType="separate"/>
        </w:r>
        <w:r>
          <w:rPr>
            <w:rFonts w:ascii="Times New Roman" w:hAnsi="Times New Roman" w:cs="Times New Roman"/>
            <w:smallCaps w:val="0"/>
            <w:noProof/>
            <w:webHidden/>
            <w:sz w:val="24"/>
            <w:szCs w:val="24"/>
          </w:rPr>
          <w:t>16</w:t>
        </w:r>
        <w:r>
          <w:rPr>
            <w:rFonts w:ascii="Times New Roman" w:hAnsi="Times New Roman" w:cs="Times New Roman"/>
            <w:smallCaps w:val="0"/>
            <w:noProof/>
            <w:webHidden/>
            <w:sz w:val="24"/>
            <w:szCs w:val="24"/>
          </w:rPr>
          <w:fldChar w:fldCharType="end"/>
        </w:r>
      </w:hyperlink>
    </w:p>
    <w:p w14:paraId="06F939D0" w14:textId="2956B323" w:rsidR="00E06A66" w:rsidRPr="00C25458" w:rsidRDefault="00E06A66">
      <w:pPr>
        <w:pStyle w:val="TOC2"/>
        <w:tabs>
          <w:tab w:val="left" w:pos="960"/>
          <w:tab w:val="right" w:leader="dot" w:pos="9016"/>
        </w:tabs>
        <w:rPr>
          <w:rFonts w:ascii="Times New Roman" w:eastAsiaTheme="minorEastAsia" w:hAnsi="Times New Roman" w:cs="Times New Roman"/>
          <w:smallCaps w:val="0"/>
          <w:noProof/>
          <w:kern w:val="2"/>
          <w:sz w:val="24"/>
          <w:szCs w:val="24"/>
          <w:lang w:val="en-IE" w:eastAsia="en-IE"/>
          <w14:ligatures w14:val="standardContextual"/>
        </w:rPr>
      </w:pPr>
      <w:hyperlink w:anchor="_Toc234949741" w:history="1">
        <w:r>
          <w:rPr>
            <w:rStyle w:val="Hyperlink"/>
            <w:rFonts w:ascii="Times New Roman" w:hAnsi="Times New Roman" w:cs="Times New Roman"/>
            <w:smallCaps w:val="0"/>
            <w:noProof/>
            <w:sz w:val="24"/>
            <w:szCs w:val="24"/>
          </w:rPr>
          <w:t>5.3.</w:t>
        </w:r>
        <w:r>
          <w:rPr>
            <w:rFonts w:ascii="Times New Roman" w:eastAsiaTheme="minorEastAsia" w:hAnsi="Times New Roman" w:cs="Times New Roman"/>
            <w:smallCaps w:val="0"/>
            <w:noProof/>
            <w:kern w:val="2"/>
            <w:sz w:val="24"/>
            <w:szCs w:val="24"/>
            <w:lang w:val="en-IE" w:eastAsia="en-IE"/>
            <w14:ligatures w14:val="standardContextual"/>
          </w:rPr>
          <w:tab/>
        </w:r>
        <w:r>
          <w:rPr>
            <w:rStyle w:val="Hyperlink"/>
            <w:rFonts w:ascii="Times New Roman" w:hAnsi="Times New Roman" w:cs="Times New Roman"/>
            <w:smallCaps w:val="0"/>
            <w:noProof/>
            <w:sz w:val="24"/>
            <w:szCs w:val="24"/>
          </w:rPr>
          <w:t>Options discarded at an early stage</w:t>
        </w:r>
        <w:r>
          <w:rPr>
            <w:rFonts w:ascii="Times New Roman" w:hAnsi="Times New Roman" w:cs="Times New Roman"/>
            <w:smallCaps w:val="0"/>
            <w:noProof/>
            <w:webHidden/>
            <w:sz w:val="24"/>
            <w:szCs w:val="24"/>
          </w:rPr>
          <w:tab/>
        </w:r>
        <w:r>
          <w:rPr>
            <w:rFonts w:ascii="Times New Roman" w:hAnsi="Times New Roman" w:cs="Times New Roman"/>
            <w:smallCaps w:val="0"/>
            <w:noProof/>
            <w:webHidden/>
            <w:sz w:val="24"/>
            <w:szCs w:val="24"/>
          </w:rPr>
          <w:fldChar w:fldCharType="begin"/>
        </w:r>
        <w:r>
          <w:rPr>
            <w:rFonts w:ascii="Times New Roman" w:hAnsi="Times New Roman" w:cs="Times New Roman"/>
            <w:smallCaps w:val="0"/>
            <w:noProof/>
            <w:webHidden/>
            <w:sz w:val="24"/>
            <w:szCs w:val="24"/>
          </w:rPr>
          <w:instrText xml:space="preserve"> PAGEREF _Toc234949741 \h </w:instrText>
        </w:r>
        <w:r>
          <w:rPr>
            <w:rFonts w:ascii="Times New Roman" w:hAnsi="Times New Roman" w:cs="Times New Roman"/>
            <w:smallCaps w:val="0"/>
            <w:noProof/>
            <w:webHidden/>
            <w:sz w:val="24"/>
            <w:szCs w:val="24"/>
          </w:rPr>
        </w:r>
        <w:r>
          <w:rPr>
            <w:rFonts w:ascii="Times New Roman" w:hAnsi="Times New Roman" w:cs="Times New Roman"/>
            <w:smallCaps w:val="0"/>
            <w:noProof/>
            <w:webHidden/>
            <w:sz w:val="24"/>
            <w:szCs w:val="24"/>
          </w:rPr>
          <w:fldChar w:fldCharType="separate"/>
        </w:r>
        <w:r>
          <w:rPr>
            <w:rFonts w:ascii="Times New Roman" w:hAnsi="Times New Roman" w:cs="Times New Roman"/>
            <w:smallCaps w:val="0"/>
            <w:noProof/>
            <w:webHidden/>
            <w:sz w:val="24"/>
            <w:szCs w:val="24"/>
          </w:rPr>
          <w:t>21</w:t>
        </w:r>
        <w:r>
          <w:rPr>
            <w:rFonts w:ascii="Times New Roman" w:hAnsi="Times New Roman" w:cs="Times New Roman"/>
            <w:smallCaps w:val="0"/>
            <w:noProof/>
            <w:webHidden/>
            <w:sz w:val="24"/>
            <w:szCs w:val="24"/>
          </w:rPr>
          <w:fldChar w:fldCharType="end"/>
        </w:r>
      </w:hyperlink>
    </w:p>
    <w:p w14:paraId="222B9CA8" w14:textId="236A68AD" w:rsidR="00E06A66" w:rsidRPr="00E06A66" w:rsidRDefault="00E06A66">
      <w:pPr>
        <w:pStyle w:val="TOC1"/>
        <w:tabs>
          <w:tab w:val="left" w:pos="480"/>
          <w:tab w:val="right" w:leader="dot" w:pos="9016"/>
        </w:tabs>
        <w:rPr>
          <w:rFonts w:ascii="Times New Roman" w:eastAsiaTheme="minorEastAsia" w:hAnsi="Times New Roman" w:cs="Times New Roman"/>
          <w:caps w:val="0"/>
          <w:noProof/>
          <w:kern w:val="2"/>
          <w:sz w:val="24"/>
          <w:szCs w:val="24"/>
          <w:lang w:val="en-IE" w:eastAsia="en-IE"/>
          <w14:ligatures w14:val="standardContextual"/>
        </w:rPr>
      </w:pPr>
      <w:hyperlink w:anchor="_Toc234949742" w:history="1">
        <w:r>
          <w:rPr>
            <w:rStyle w:val="Hyperlink"/>
            <w:rFonts w:ascii="Times New Roman" w:hAnsi="Times New Roman" w:cs="Times New Roman"/>
            <w:noProof/>
            <w:sz w:val="24"/>
            <w:szCs w:val="24"/>
          </w:rPr>
          <w:t>6.</w:t>
        </w:r>
        <w:r>
          <w:rPr>
            <w:rFonts w:ascii="Times New Roman" w:eastAsiaTheme="minorEastAsia" w:hAnsi="Times New Roman" w:cs="Times New Roman"/>
            <w:caps w:val="0"/>
            <w:noProof/>
            <w:kern w:val="2"/>
            <w:sz w:val="24"/>
            <w:szCs w:val="24"/>
            <w:lang w:val="en-IE" w:eastAsia="en-IE"/>
            <w14:ligatures w14:val="standardContextual"/>
          </w:rPr>
          <w:tab/>
        </w:r>
        <w:r>
          <w:rPr>
            <w:rStyle w:val="Hyperlink"/>
            <w:rFonts w:ascii="Times New Roman" w:hAnsi="Times New Roman" w:cs="Times New Roman"/>
            <w:noProof/>
            <w:sz w:val="24"/>
            <w:szCs w:val="24"/>
          </w:rPr>
          <w:t>What are the impacts of the policy options?</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_Toc234949742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22</w:t>
        </w:r>
        <w:r>
          <w:rPr>
            <w:rFonts w:ascii="Times New Roman" w:hAnsi="Times New Roman" w:cs="Times New Roman"/>
            <w:noProof/>
            <w:webHidden/>
            <w:sz w:val="24"/>
            <w:szCs w:val="24"/>
          </w:rPr>
          <w:fldChar w:fldCharType="end"/>
        </w:r>
      </w:hyperlink>
    </w:p>
    <w:p w14:paraId="7E25A66E" w14:textId="2AF575A7" w:rsidR="00E06A66" w:rsidRPr="00C25458" w:rsidRDefault="00E06A66">
      <w:pPr>
        <w:pStyle w:val="TOC2"/>
        <w:tabs>
          <w:tab w:val="left" w:pos="960"/>
          <w:tab w:val="right" w:leader="dot" w:pos="9016"/>
        </w:tabs>
        <w:rPr>
          <w:rFonts w:ascii="Times New Roman" w:eastAsiaTheme="minorEastAsia" w:hAnsi="Times New Roman" w:cs="Times New Roman"/>
          <w:smallCaps w:val="0"/>
          <w:noProof/>
          <w:kern w:val="2"/>
          <w:sz w:val="24"/>
          <w:szCs w:val="24"/>
          <w:lang w:val="en-IE" w:eastAsia="en-IE"/>
          <w14:ligatures w14:val="standardContextual"/>
        </w:rPr>
      </w:pPr>
      <w:hyperlink w:anchor="_Toc234949743" w:history="1">
        <w:r>
          <w:rPr>
            <w:rStyle w:val="Hyperlink"/>
            <w:rFonts w:ascii="Times New Roman" w:hAnsi="Times New Roman" w:cs="Times New Roman"/>
            <w:smallCaps w:val="0"/>
            <w:noProof/>
            <w:sz w:val="24"/>
            <w:szCs w:val="24"/>
          </w:rPr>
          <w:t>6.1.</w:t>
        </w:r>
        <w:r>
          <w:rPr>
            <w:rFonts w:ascii="Times New Roman" w:eastAsiaTheme="minorEastAsia" w:hAnsi="Times New Roman" w:cs="Times New Roman"/>
            <w:smallCaps w:val="0"/>
            <w:noProof/>
            <w:kern w:val="2"/>
            <w:sz w:val="24"/>
            <w:szCs w:val="24"/>
            <w:lang w:val="en-IE" w:eastAsia="en-IE"/>
            <w14:ligatures w14:val="standardContextual"/>
          </w:rPr>
          <w:tab/>
        </w:r>
        <w:r>
          <w:rPr>
            <w:rStyle w:val="Hyperlink"/>
            <w:rFonts w:ascii="Times New Roman" w:hAnsi="Times New Roman" w:cs="Times New Roman"/>
            <w:smallCaps w:val="0"/>
            <w:noProof/>
            <w:sz w:val="24"/>
            <w:szCs w:val="24"/>
          </w:rPr>
          <w:t>Environmental impacts</w:t>
        </w:r>
        <w:r>
          <w:rPr>
            <w:rFonts w:ascii="Times New Roman" w:hAnsi="Times New Roman" w:cs="Times New Roman"/>
            <w:smallCaps w:val="0"/>
            <w:noProof/>
            <w:webHidden/>
            <w:sz w:val="24"/>
            <w:szCs w:val="24"/>
          </w:rPr>
          <w:tab/>
        </w:r>
        <w:r>
          <w:rPr>
            <w:rFonts w:ascii="Times New Roman" w:hAnsi="Times New Roman" w:cs="Times New Roman"/>
            <w:smallCaps w:val="0"/>
            <w:noProof/>
            <w:webHidden/>
            <w:sz w:val="24"/>
            <w:szCs w:val="24"/>
          </w:rPr>
          <w:fldChar w:fldCharType="begin"/>
        </w:r>
        <w:r>
          <w:rPr>
            <w:rFonts w:ascii="Times New Roman" w:hAnsi="Times New Roman" w:cs="Times New Roman"/>
            <w:smallCaps w:val="0"/>
            <w:noProof/>
            <w:webHidden/>
            <w:sz w:val="24"/>
            <w:szCs w:val="24"/>
          </w:rPr>
          <w:instrText xml:space="preserve"> PAGEREF _Toc234949743 \h </w:instrText>
        </w:r>
        <w:r>
          <w:rPr>
            <w:rFonts w:ascii="Times New Roman" w:hAnsi="Times New Roman" w:cs="Times New Roman"/>
            <w:smallCaps w:val="0"/>
            <w:noProof/>
            <w:webHidden/>
            <w:sz w:val="24"/>
            <w:szCs w:val="24"/>
          </w:rPr>
        </w:r>
        <w:r>
          <w:rPr>
            <w:rFonts w:ascii="Times New Roman" w:hAnsi="Times New Roman" w:cs="Times New Roman"/>
            <w:smallCaps w:val="0"/>
            <w:noProof/>
            <w:webHidden/>
            <w:sz w:val="24"/>
            <w:szCs w:val="24"/>
          </w:rPr>
          <w:fldChar w:fldCharType="separate"/>
        </w:r>
        <w:r>
          <w:rPr>
            <w:rFonts w:ascii="Times New Roman" w:hAnsi="Times New Roman" w:cs="Times New Roman"/>
            <w:smallCaps w:val="0"/>
            <w:noProof/>
            <w:webHidden/>
            <w:sz w:val="24"/>
            <w:szCs w:val="24"/>
          </w:rPr>
          <w:t>22</w:t>
        </w:r>
        <w:r>
          <w:rPr>
            <w:rFonts w:ascii="Times New Roman" w:hAnsi="Times New Roman" w:cs="Times New Roman"/>
            <w:smallCaps w:val="0"/>
            <w:noProof/>
            <w:webHidden/>
            <w:sz w:val="24"/>
            <w:szCs w:val="24"/>
          </w:rPr>
          <w:fldChar w:fldCharType="end"/>
        </w:r>
      </w:hyperlink>
    </w:p>
    <w:p w14:paraId="056EBC28" w14:textId="4FCFFCDA" w:rsidR="00E06A66" w:rsidRPr="00C25458" w:rsidRDefault="00E06A66">
      <w:pPr>
        <w:pStyle w:val="TOC3"/>
        <w:tabs>
          <w:tab w:val="left" w:pos="1440"/>
          <w:tab w:val="right" w:leader="dot" w:pos="9016"/>
        </w:tabs>
        <w:rPr>
          <w:rFonts w:ascii="Times New Roman" w:eastAsiaTheme="minorEastAsia" w:hAnsi="Times New Roman" w:cs="Times New Roman"/>
          <w:i w:val="0"/>
          <w:iCs w:val="0"/>
          <w:noProof/>
          <w:kern w:val="2"/>
          <w:sz w:val="24"/>
          <w:szCs w:val="24"/>
          <w:lang w:val="en-IE" w:eastAsia="en-IE"/>
          <w14:ligatures w14:val="standardContextual"/>
        </w:rPr>
      </w:pPr>
      <w:hyperlink w:anchor="_Toc234949744" w:history="1">
        <w:r>
          <w:rPr>
            <w:rStyle w:val="Hyperlink"/>
            <w:rFonts w:ascii="Times New Roman" w:hAnsi="Times New Roman" w:cs="Times New Roman"/>
            <w:i w:val="0"/>
            <w:iCs w:val="0"/>
            <w:noProof/>
            <w:sz w:val="24"/>
            <w:szCs w:val="24"/>
            <w:lang w:eastAsia="en-GB"/>
          </w:rPr>
          <w:t>6.1.1.</w:t>
        </w:r>
        <w:r>
          <w:rPr>
            <w:rFonts w:ascii="Times New Roman" w:eastAsiaTheme="minorEastAsia" w:hAnsi="Times New Roman" w:cs="Times New Roman"/>
            <w:i w:val="0"/>
            <w:iCs w:val="0"/>
            <w:noProof/>
            <w:kern w:val="2"/>
            <w:sz w:val="24"/>
            <w:szCs w:val="24"/>
            <w:lang w:val="en-IE" w:eastAsia="en-IE"/>
            <w14:ligatures w14:val="standardContextual"/>
          </w:rPr>
          <w:tab/>
        </w:r>
        <w:r>
          <w:rPr>
            <w:rStyle w:val="Hyperlink"/>
            <w:rFonts w:ascii="Times New Roman" w:hAnsi="Times New Roman" w:cs="Times New Roman"/>
            <w:i w:val="0"/>
            <w:iCs w:val="0"/>
            <w:noProof/>
            <w:sz w:val="24"/>
            <w:szCs w:val="24"/>
            <w:lang w:eastAsia="en-GB"/>
          </w:rPr>
          <w:t>Climate</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_Toc234949744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22</w:t>
        </w:r>
        <w:r>
          <w:rPr>
            <w:rFonts w:ascii="Times New Roman" w:hAnsi="Times New Roman" w:cs="Times New Roman"/>
            <w:i w:val="0"/>
            <w:iCs w:val="0"/>
            <w:noProof/>
            <w:webHidden/>
            <w:sz w:val="24"/>
            <w:szCs w:val="24"/>
          </w:rPr>
          <w:fldChar w:fldCharType="end"/>
        </w:r>
      </w:hyperlink>
    </w:p>
    <w:p w14:paraId="0434F71E" w14:textId="797A433F" w:rsidR="00E06A66" w:rsidRPr="00C25458" w:rsidRDefault="00E06A66">
      <w:pPr>
        <w:pStyle w:val="TOC3"/>
        <w:tabs>
          <w:tab w:val="left" w:pos="1440"/>
          <w:tab w:val="right" w:leader="dot" w:pos="9016"/>
        </w:tabs>
        <w:rPr>
          <w:rFonts w:ascii="Times New Roman" w:eastAsiaTheme="minorEastAsia" w:hAnsi="Times New Roman" w:cs="Times New Roman"/>
          <w:i w:val="0"/>
          <w:iCs w:val="0"/>
          <w:noProof/>
          <w:kern w:val="2"/>
          <w:sz w:val="24"/>
          <w:szCs w:val="24"/>
          <w:lang w:val="en-IE" w:eastAsia="en-IE"/>
          <w14:ligatures w14:val="standardContextual"/>
        </w:rPr>
      </w:pPr>
      <w:hyperlink w:anchor="_Toc234949745" w:history="1">
        <w:r>
          <w:rPr>
            <w:rStyle w:val="Hyperlink"/>
            <w:rFonts w:ascii="Times New Roman" w:hAnsi="Times New Roman" w:cs="Times New Roman"/>
            <w:i w:val="0"/>
            <w:iCs w:val="0"/>
            <w:noProof/>
            <w:sz w:val="24"/>
            <w:szCs w:val="24"/>
            <w:lang w:eastAsia="en-GB"/>
          </w:rPr>
          <w:t>6.1.2.</w:t>
        </w:r>
        <w:r>
          <w:rPr>
            <w:rFonts w:ascii="Times New Roman" w:eastAsiaTheme="minorEastAsia" w:hAnsi="Times New Roman" w:cs="Times New Roman"/>
            <w:i w:val="0"/>
            <w:iCs w:val="0"/>
            <w:noProof/>
            <w:kern w:val="2"/>
            <w:sz w:val="24"/>
            <w:szCs w:val="24"/>
            <w:lang w:val="en-IE" w:eastAsia="en-IE"/>
            <w14:ligatures w14:val="standardContextual"/>
          </w:rPr>
          <w:tab/>
        </w:r>
        <w:r>
          <w:rPr>
            <w:rStyle w:val="Hyperlink"/>
            <w:rFonts w:ascii="Times New Roman" w:hAnsi="Times New Roman" w:cs="Times New Roman"/>
            <w:i w:val="0"/>
            <w:iCs w:val="0"/>
            <w:noProof/>
            <w:sz w:val="24"/>
            <w:szCs w:val="24"/>
            <w:lang w:eastAsia="en-GB"/>
          </w:rPr>
          <w:t>Other environmental impacts (e.g. biodiversity and pollution)</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_Toc234949745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43</w:t>
        </w:r>
        <w:r>
          <w:rPr>
            <w:rFonts w:ascii="Times New Roman" w:hAnsi="Times New Roman" w:cs="Times New Roman"/>
            <w:i w:val="0"/>
            <w:iCs w:val="0"/>
            <w:noProof/>
            <w:webHidden/>
            <w:sz w:val="24"/>
            <w:szCs w:val="24"/>
          </w:rPr>
          <w:fldChar w:fldCharType="end"/>
        </w:r>
      </w:hyperlink>
    </w:p>
    <w:p w14:paraId="7EF8F04B" w14:textId="67537908" w:rsidR="00E06A66" w:rsidRPr="00C25458" w:rsidRDefault="00E06A66">
      <w:pPr>
        <w:pStyle w:val="TOC2"/>
        <w:tabs>
          <w:tab w:val="left" w:pos="960"/>
          <w:tab w:val="right" w:leader="dot" w:pos="9016"/>
        </w:tabs>
        <w:rPr>
          <w:rFonts w:ascii="Times New Roman" w:eastAsiaTheme="minorEastAsia" w:hAnsi="Times New Roman" w:cs="Times New Roman"/>
          <w:smallCaps w:val="0"/>
          <w:noProof/>
          <w:kern w:val="2"/>
          <w:sz w:val="24"/>
          <w:szCs w:val="24"/>
          <w:lang w:val="en-IE" w:eastAsia="en-IE"/>
          <w14:ligatures w14:val="standardContextual"/>
        </w:rPr>
      </w:pPr>
      <w:hyperlink w:anchor="_Toc234949746" w:history="1">
        <w:r>
          <w:rPr>
            <w:rStyle w:val="Hyperlink"/>
            <w:rFonts w:ascii="Times New Roman" w:hAnsi="Times New Roman" w:cs="Times New Roman"/>
            <w:smallCaps w:val="0"/>
            <w:noProof/>
            <w:sz w:val="24"/>
            <w:szCs w:val="24"/>
          </w:rPr>
          <w:t>6.2.</w:t>
        </w:r>
        <w:r>
          <w:rPr>
            <w:rFonts w:ascii="Times New Roman" w:eastAsiaTheme="minorEastAsia" w:hAnsi="Times New Roman" w:cs="Times New Roman"/>
            <w:smallCaps w:val="0"/>
            <w:noProof/>
            <w:kern w:val="2"/>
            <w:sz w:val="24"/>
            <w:szCs w:val="24"/>
            <w:lang w:val="en-IE" w:eastAsia="en-IE"/>
            <w14:ligatures w14:val="standardContextual"/>
          </w:rPr>
          <w:tab/>
        </w:r>
        <w:r>
          <w:rPr>
            <w:rStyle w:val="Hyperlink"/>
            <w:rFonts w:ascii="Times New Roman" w:hAnsi="Times New Roman" w:cs="Times New Roman"/>
            <w:smallCaps w:val="0"/>
            <w:noProof/>
            <w:sz w:val="24"/>
            <w:szCs w:val="24"/>
          </w:rPr>
          <w:t>Economic impacts</w:t>
        </w:r>
        <w:r>
          <w:rPr>
            <w:rFonts w:ascii="Times New Roman" w:hAnsi="Times New Roman" w:cs="Times New Roman"/>
            <w:smallCaps w:val="0"/>
            <w:noProof/>
            <w:webHidden/>
            <w:sz w:val="24"/>
            <w:szCs w:val="24"/>
          </w:rPr>
          <w:tab/>
        </w:r>
        <w:r>
          <w:rPr>
            <w:rFonts w:ascii="Times New Roman" w:hAnsi="Times New Roman" w:cs="Times New Roman"/>
            <w:smallCaps w:val="0"/>
            <w:noProof/>
            <w:webHidden/>
            <w:sz w:val="24"/>
            <w:szCs w:val="24"/>
          </w:rPr>
          <w:fldChar w:fldCharType="begin"/>
        </w:r>
        <w:r>
          <w:rPr>
            <w:rFonts w:ascii="Times New Roman" w:hAnsi="Times New Roman" w:cs="Times New Roman"/>
            <w:smallCaps w:val="0"/>
            <w:noProof/>
            <w:webHidden/>
            <w:sz w:val="24"/>
            <w:szCs w:val="24"/>
          </w:rPr>
          <w:instrText xml:space="preserve"> PAGEREF _Toc234949746 \h </w:instrText>
        </w:r>
        <w:r>
          <w:rPr>
            <w:rFonts w:ascii="Times New Roman" w:hAnsi="Times New Roman" w:cs="Times New Roman"/>
            <w:smallCaps w:val="0"/>
            <w:noProof/>
            <w:webHidden/>
            <w:sz w:val="24"/>
            <w:szCs w:val="24"/>
          </w:rPr>
        </w:r>
        <w:r>
          <w:rPr>
            <w:rFonts w:ascii="Times New Roman" w:hAnsi="Times New Roman" w:cs="Times New Roman"/>
            <w:smallCaps w:val="0"/>
            <w:noProof/>
            <w:webHidden/>
            <w:sz w:val="24"/>
            <w:szCs w:val="24"/>
          </w:rPr>
          <w:fldChar w:fldCharType="separate"/>
        </w:r>
        <w:r>
          <w:rPr>
            <w:rFonts w:ascii="Times New Roman" w:hAnsi="Times New Roman" w:cs="Times New Roman"/>
            <w:smallCaps w:val="0"/>
            <w:noProof/>
            <w:webHidden/>
            <w:sz w:val="24"/>
            <w:szCs w:val="24"/>
          </w:rPr>
          <w:t>45</w:t>
        </w:r>
        <w:r>
          <w:rPr>
            <w:rFonts w:ascii="Times New Roman" w:hAnsi="Times New Roman" w:cs="Times New Roman"/>
            <w:smallCaps w:val="0"/>
            <w:noProof/>
            <w:webHidden/>
            <w:sz w:val="24"/>
            <w:szCs w:val="24"/>
          </w:rPr>
          <w:fldChar w:fldCharType="end"/>
        </w:r>
      </w:hyperlink>
    </w:p>
    <w:p w14:paraId="2F276881" w14:textId="122931AB" w:rsidR="00E06A66" w:rsidRPr="00C25458" w:rsidRDefault="00E06A66">
      <w:pPr>
        <w:pStyle w:val="TOC3"/>
        <w:tabs>
          <w:tab w:val="left" w:pos="1440"/>
          <w:tab w:val="right" w:leader="dot" w:pos="9016"/>
        </w:tabs>
        <w:rPr>
          <w:rFonts w:ascii="Times New Roman" w:eastAsiaTheme="minorEastAsia" w:hAnsi="Times New Roman" w:cs="Times New Roman"/>
          <w:i w:val="0"/>
          <w:iCs w:val="0"/>
          <w:noProof/>
          <w:kern w:val="2"/>
          <w:sz w:val="24"/>
          <w:szCs w:val="24"/>
          <w:lang w:val="en-IE" w:eastAsia="en-IE"/>
          <w14:ligatures w14:val="standardContextual"/>
        </w:rPr>
      </w:pPr>
      <w:hyperlink w:anchor="_Toc234949747" w:history="1">
        <w:r>
          <w:rPr>
            <w:rStyle w:val="Hyperlink"/>
            <w:rFonts w:ascii="Times New Roman" w:hAnsi="Times New Roman" w:cs="Times New Roman"/>
            <w:i w:val="0"/>
            <w:iCs w:val="0"/>
            <w:noProof/>
            <w:sz w:val="24"/>
            <w:szCs w:val="24"/>
          </w:rPr>
          <w:t>6.2.1.</w:t>
        </w:r>
        <w:r>
          <w:rPr>
            <w:rFonts w:ascii="Times New Roman" w:eastAsiaTheme="minorEastAsia" w:hAnsi="Times New Roman" w:cs="Times New Roman"/>
            <w:i w:val="0"/>
            <w:iCs w:val="0"/>
            <w:noProof/>
            <w:kern w:val="2"/>
            <w:sz w:val="24"/>
            <w:szCs w:val="24"/>
            <w:lang w:val="en-IE" w:eastAsia="en-IE"/>
            <w14:ligatures w14:val="standardContextual"/>
          </w:rPr>
          <w:tab/>
        </w:r>
        <w:r>
          <w:rPr>
            <w:rStyle w:val="Hyperlink"/>
            <w:rFonts w:ascii="Times New Roman" w:hAnsi="Times New Roman" w:cs="Times New Roman"/>
            <w:i w:val="0"/>
            <w:iCs w:val="0"/>
            <w:noProof/>
            <w:sz w:val="24"/>
            <w:szCs w:val="24"/>
          </w:rPr>
          <w:t>Cost of compliance</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_Toc234949747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45</w:t>
        </w:r>
        <w:r>
          <w:rPr>
            <w:rFonts w:ascii="Times New Roman" w:hAnsi="Times New Roman" w:cs="Times New Roman"/>
            <w:i w:val="0"/>
            <w:iCs w:val="0"/>
            <w:noProof/>
            <w:webHidden/>
            <w:sz w:val="24"/>
            <w:szCs w:val="24"/>
          </w:rPr>
          <w:fldChar w:fldCharType="end"/>
        </w:r>
      </w:hyperlink>
    </w:p>
    <w:p w14:paraId="15E0EF10" w14:textId="61E0CB05" w:rsidR="00E06A66" w:rsidRPr="00C25458" w:rsidRDefault="00E06A66">
      <w:pPr>
        <w:pStyle w:val="TOC3"/>
        <w:tabs>
          <w:tab w:val="left" w:pos="1440"/>
          <w:tab w:val="right" w:leader="dot" w:pos="9016"/>
        </w:tabs>
        <w:rPr>
          <w:rFonts w:ascii="Times New Roman" w:eastAsiaTheme="minorEastAsia" w:hAnsi="Times New Roman" w:cs="Times New Roman"/>
          <w:i w:val="0"/>
          <w:iCs w:val="0"/>
          <w:noProof/>
          <w:kern w:val="2"/>
          <w:sz w:val="24"/>
          <w:szCs w:val="24"/>
          <w:lang w:val="en-IE" w:eastAsia="en-IE"/>
          <w14:ligatures w14:val="standardContextual"/>
        </w:rPr>
      </w:pPr>
      <w:hyperlink w:anchor="_Toc234949748" w:history="1">
        <w:r>
          <w:rPr>
            <w:rStyle w:val="Hyperlink"/>
            <w:rFonts w:ascii="Times New Roman" w:hAnsi="Times New Roman" w:cs="Times New Roman"/>
            <w:i w:val="0"/>
            <w:iCs w:val="0"/>
            <w:noProof/>
            <w:sz w:val="24"/>
            <w:szCs w:val="24"/>
          </w:rPr>
          <w:t>6.2.2.</w:t>
        </w:r>
        <w:r>
          <w:rPr>
            <w:rFonts w:ascii="Times New Roman" w:eastAsiaTheme="minorEastAsia" w:hAnsi="Times New Roman" w:cs="Times New Roman"/>
            <w:i w:val="0"/>
            <w:iCs w:val="0"/>
            <w:noProof/>
            <w:kern w:val="2"/>
            <w:sz w:val="24"/>
            <w:szCs w:val="24"/>
            <w:lang w:val="en-IE" w:eastAsia="en-IE"/>
            <w14:ligatures w14:val="standardContextual"/>
          </w:rPr>
          <w:tab/>
        </w:r>
        <w:r>
          <w:rPr>
            <w:rStyle w:val="Hyperlink"/>
            <w:rFonts w:ascii="Times New Roman" w:hAnsi="Times New Roman" w:cs="Times New Roman"/>
            <w:i w:val="0"/>
            <w:iCs w:val="0"/>
            <w:noProof/>
            <w:sz w:val="24"/>
            <w:szCs w:val="24"/>
          </w:rPr>
          <w:t>Administrative effort for the private sector</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_Toc234949748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54</w:t>
        </w:r>
        <w:r>
          <w:rPr>
            <w:rFonts w:ascii="Times New Roman" w:hAnsi="Times New Roman" w:cs="Times New Roman"/>
            <w:i w:val="0"/>
            <w:iCs w:val="0"/>
            <w:noProof/>
            <w:webHidden/>
            <w:sz w:val="24"/>
            <w:szCs w:val="24"/>
          </w:rPr>
          <w:fldChar w:fldCharType="end"/>
        </w:r>
      </w:hyperlink>
    </w:p>
    <w:p w14:paraId="713FF640" w14:textId="3C8EE423" w:rsidR="00E06A66" w:rsidRPr="00C25458" w:rsidRDefault="00E06A66">
      <w:pPr>
        <w:pStyle w:val="TOC3"/>
        <w:tabs>
          <w:tab w:val="left" w:pos="1440"/>
          <w:tab w:val="right" w:leader="dot" w:pos="9016"/>
        </w:tabs>
        <w:rPr>
          <w:rFonts w:ascii="Times New Roman" w:eastAsiaTheme="minorEastAsia" w:hAnsi="Times New Roman" w:cs="Times New Roman"/>
          <w:i w:val="0"/>
          <w:iCs w:val="0"/>
          <w:noProof/>
          <w:kern w:val="2"/>
          <w:sz w:val="24"/>
          <w:szCs w:val="24"/>
          <w:lang w:val="en-IE" w:eastAsia="en-IE"/>
          <w14:ligatures w14:val="standardContextual"/>
        </w:rPr>
      </w:pPr>
      <w:hyperlink w:anchor="_Toc234949749" w:history="1">
        <w:r>
          <w:rPr>
            <w:rStyle w:val="Hyperlink"/>
            <w:rFonts w:ascii="Times New Roman" w:hAnsi="Times New Roman" w:cs="Times New Roman"/>
            <w:i w:val="0"/>
            <w:iCs w:val="0"/>
            <w:noProof/>
            <w:sz w:val="24"/>
            <w:szCs w:val="24"/>
          </w:rPr>
          <w:t>6.2.3.</w:t>
        </w:r>
        <w:r>
          <w:rPr>
            <w:rFonts w:ascii="Times New Roman" w:eastAsiaTheme="minorEastAsia" w:hAnsi="Times New Roman" w:cs="Times New Roman"/>
            <w:i w:val="0"/>
            <w:iCs w:val="0"/>
            <w:noProof/>
            <w:kern w:val="2"/>
            <w:sz w:val="24"/>
            <w:szCs w:val="24"/>
            <w:lang w:val="en-IE" w:eastAsia="en-IE"/>
            <w14:ligatures w14:val="standardContextual"/>
          </w:rPr>
          <w:tab/>
        </w:r>
        <w:r>
          <w:rPr>
            <w:rStyle w:val="Hyperlink"/>
            <w:rFonts w:ascii="Times New Roman" w:hAnsi="Times New Roman" w:cs="Times New Roman"/>
            <w:i w:val="0"/>
            <w:iCs w:val="0"/>
            <w:noProof/>
            <w:sz w:val="24"/>
            <w:szCs w:val="24"/>
          </w:rPr>
          <w:t>Sectoral competitiveness, trade and investment flows</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_Toc234949749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58</w:t>
        </w:r>
        <w:r>
          <w:rPr>
            <w:rFonts w:ascii="Times New Roman" w:hAnsi="Times New Roman" w:cs="Times New Roman"/>
            <w:i w:val="0"/>
            <w:iCs w:val="0"/>
            <w:noProof/>
            <w:webHidden/>
            <w:sz w:val="24"/>
            <w:szCs w:val="24"/>
          </w:rPr>
          <w:fldChar w:fldCharType="end"/>
        </w:r>
      </w:hyperlink>
    </w:p>
    <w:p w14:paraId="3DD6F35B" w14:textId="46B5B62A" w:rsidR="00E06A66" w:rsidRPr="00C25458" w:rsidRDefault="00E06A66">
      <w:pPr>
        <w:pStyle w:val="TOC3"/>
        <w:tabs>
          <w:tab w:val="left" w:pos="1440"/>
          <w:tab w:val="right" w:leader="dot" w:pos="9016"/>
        </w:tabs>
        <w:rPr>
          <w:rFonts w:ascii="Times New Roman" w:eastAsiaTheme="minorEastAsia" w:hAnsi="Times New Roman" w:cs="Times New Roman"/>
          <w:i w:val="0"/>
          <w:iCs w:val="0"/>
          <w:noProof/>
          <w:kern w:val="2"/>
          <w:sz w:val="24"/>
          <w:szCs w:val="24"/>
          <w:lang w:val="en-IE" w:eastAsia="en-IE"/>
          <w14:ligatures w14:val="standardContextual"/>
        </w:rPr>
      </w:pPr>
      <w:hyperlink w:anchor="_Toc234949750" w:history="1">
        <w:r>
          <w:rPr>
            <w:rStyle w:val="Hyperlink"/>
            <w:rFonts w:ascii="Times New Roman" w:hAnsi="Times New Roman" w:cs="Times New Roman"/>
            <w:i w:val="0"/>
            <w:iCs w:val="0"/>
            <w:noProof/>
            <w:sz w:val="24"/>
            <w:szCs w:val="24"/>
          </w:rPr>
          <w:t>6.2.4.</w:t>
        </w:r>
        <w:r>
          <w:rPr>
            <w:rFonts w:ascii="Times New Roman" w:eastAsiaTheme="minorEastAsia" w:hAnsi="Times New Roman" w:cs="Times New Roman"/>
            <w:i w:val="0"/>
            <w:iCs w:val="0"/>
            <w:noProof/>
            <w:kern w:val="2"/>
            <w:sz w:val="24"/>
            <w:szCs w:val="24"/>
            <w:lang w:val="en-IE" w:eastAsia="en-IE"/>
            <w14:ligatures w14:val="standardContextual"/>
          </w:rPr>
          <w:tab/>
        </w:r>
        <w:r>
          <w:rPr>
            <w:rStyle w:val="Hyperlink"/>
            <w:rFonts w:ascii="Times New Roman" w:hAnsi="Times New Roman" w:cs="Times New Roman"/>
            <w:i w:val="0"/>
            <w:iCs w:val="0"/>
            <w:noProof/>
            <w:sz w:val="24"/>
            <w:szCs w:val="24"/>
          </w:rPr>
          <w:t>SMEs</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_Toc234949750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72</w:t>
        </w:r>
        <w:r>
          <w:rPr>
            <w:rFonts w:ascii="Times New Roman" w:hAnsi="Times New Roman" w:cs="Times New Roman"/>
            <w:i w:val="0"/>
            <w:iCs w:val="0"/>
            <w:noProof/>
            <w:webHidden/>
            <w:sz w:val="24"/>
            <w:szCs w:val="24"/>
          </w:rPr>
          <w:fldChar w:fldCharType="end"/>
        </w:r>
      </w:hyperlink>
    </w:p>
    <w:p w14:paraId="7A42B881" w14:textId="3D0E98F4" w:rsidR="00E06A66" w:rsidRPr="00C25458" w:rsidRDefault="00E06A66">
      <w:pPr>
        <w:pStyle w:val="TOC3"/>
        <w:tabs>
          <w:tab w:val="left" w:pos="1440"/>
          <w:tab w:val="right" w:leader="dot" w:pos="9016"/>
        </w:tabs>
        <w:rPr>
          <w:rFonts w:ascii="Times New Roman" w:eastAsiaTheme="minorEastAsia" w:hAnsi="Times New Roman" w:cs="Times New Roman"/>
          <w:i w:val="0"/>
          <w:iCs w:val="0"/>
          <w:noProof/>
          <w:kern w:val="2"/>
          <w:sz w:val="24"/>
          <w:szCs w:val="24"/>
          <w:lang w:val="en-IE" w:eastAsia="en-IE"/>
          <w14:ligatures w14:val="standardContextual"/>
        </w:rPr>
      </w:pPr>
      <w:hyperlink w:anchor="_Toc234949751" w:history="1">
        <w:r>
          <w:rPr>
            <w:rStyle w:val="Hyperlink"/>
            <w:rFonts w:ascii="Times New Roman" w:hAnsi="Times New Roman" w:cs="Times New Roman"/>
            <w:i w:val="0"/>
            <w:iCs w:val="0"/>
            <w:noProof/>
            <w:sz w:val="24"/>
            <w:szCs w:val="24"/>
          </w:rPr>
          <w:t>6.2.5.</w:t>
        </w:r>
        <w:r>
          <w:rPr>
            <w:rFonts w:ascii="Times New Roman" w:eastAsiaTheme="minorEastAsia" w:hAnsi="Times New Roman" w:cs="Times New Roman"/>
            <w:i w:val="0"/>
            <w:iCs w:val="0"/>
            <w:noProof/>
            <w:kern w:val="2"/>
            <w:sz w:val="24"/>
            <w:szCs w:val="24"/>
            <w:lang w:val="en-IE" w:eastAsia="en-IE"/>
            <w14:ligatures w14:val="standardContextual"/>
          </w:rPr>
          <w:tab/>
        </w:r>
        <w:r>
          <w:rPr>
            <w:rStyle w:val="Hyperlink"/>
            <w:rFonts w:ascii="Times New Roman" w:hAnsi="Times New Roman" w:cs="Times New Roman"/>
            <w:i w:val="0"/>
            <w:iCs w:val="0"/>
            <w:noProof/>
            <w:sz w:val="24"/>
            <w:szCs w:val="24"/>
          </w:rPr>
          <w:t>Public authorities</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_Toc234949751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74</w:t>
        </w:r>
        <w:r>
          <w:rPr>
            <w:rFonts w:ascii="Times New Roman" w:hAnsi="Times New Roman" w:cs="Times New Roman"/>
            <w:i w:val="0"/>
            <w:iCs w:val="0"/>
            <w:noProof/>
            <w:webHidden/>
            <w:sz w:val="24"/>
            <w:szCs w:val="24"/>
          </w:rPr>
          <w:fldChar w:fldCharType="end"/>
        </w:r>
      </w:hyperlink>
    </w:p>
    <w:p w14:paraId="6CAD33E2" w14:textId="7211681E" w:rsidR="00E06A66" w:rsidRPr="00C25458" w:rsidRDefault="00E06A66">
      <w:pPr>
        <w:pStyle w:val="TOC3"/>
        <w:tabs>
          <w:tab w:val="left" w:pos="1440"/>
          <w:tab w:val="right" w:leader="dot" w:pos="9016"/>
        </w:tabs>
        <w:rPr>
          <w:rFonts w:ascii="Times New Roman" w:eastAsiaTheme="minorEastAsia" w:hAnsi="Times New Roman" w:cs="Times New Roman"/>
          <w:i w:val="0"/>
          <w:iCs w:val="0"/>
          <w:noProof/>
          <w:kern w:val="2"/>
          <w:sz w:val="24"/>
          <w:szCs w:val="24"/>
          <w:lang w:val="en-IE" w:eastAsia="en-IE"/>
          <w14:ligatures w14:val="standardContextual"/>
        </w:rPr>
      </w:pPr>
      <w:hyperlink w:anchor="_Toc234949752" w:history="1">
        <w:r>
          <w:rPr>
            <w:rStyle w:val="Hyperlink"/>
            <w:rFonts w:ascii="Times New Roman" w:hAnsi="Times New Roman" w:cs="Times New Roman"/>
            <w:i w:val="0"/>
            <w:iCs w:val="0"/>
            <w:noProof/>
            <w:sz w:val="24"/>
            <w:szCs w:val="24"/>
          </w:rPr>
          <w:t>6.2.6.</w:t>
        </w:r>
        <w:r>
          <w:rPr>
            <w:rFonts w:ascii="Times New Roman" w:eastAsiaTheme="minorEastAsia" w:hAnsi="Times New Roman" w:cs="Times New Roman"/>
            <w:i w:val="0"/>
            <w:iCs w:val="0"/>
            <w:noProof/>
            <w:kern w:val="2"/>
            <w:sz w:val="24"/>
            <w:szCs w:val="24"/>
            <w:lang w:val="en-IE" w:eastAsia="en-IE"/>
            <w14:ligatures w14:val="standardContextual"/>
          </w:rPr>
          <w:tab/>
        </w:r>
        <w:r>
          <w:rPr>
            <w:rStyle w:val="Hyperlink"/>
            <w:rFonts w:ascii="Times New Roman" w:hAnsi="Times New Roman" w:cs="Times New Roman"/>
            <w:i w:val="0"/>
            <w:iCs w:val="0"/>
            <w:noProof/>
            <w:sz w:val="24"/>
            <w:szCs w:val="24"/>
          </w:rPr>
          <w:t>Impacts on the functioning of the internal market</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_Toc234949752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79</w:t>
        </w:r>
        <w:r>
          <w:rPr>
            <w:rFonts w:ascii="Times New Roman" w:hAnsi="Times New Roman" w:cs="Times New Roman"/>
            <w:i w:val="0"/>
            <w:iCs w:val="0"/>
            <w:noProof/>
            <w:webHidden/>
            <w:sz w:val="24"/>
            <w:szCs w:val="24"/>
          </w:rPr>
          <w:fldChar w:fldCharType="end"/>
        </w:r>
      </w:hyperlink>
    </w:p>
    <w:p w14:paraId="4BAC4B3A" w14:textId="09D28C8B" w:rsidR="00E06A66" w:rsidRPr="00C25458" w:rsidRDefault="00E06A66">
      <w:pPr>
        <w:pStyle w:val="TOC2"/>
        <w:tabs>
          <w:tab w:val="left" w:pos="960"/>
          <w:tab w:val="right" w:leader="dot" w:pos="9016"/>
        </w:tabs>
        <w:rPr>
          <w:rFonts w:ascii="Times New Roman" w:eastAsiaTheme="minorEastAsia" w:hAnsi="Times New Roman" w:cs="Times New Roman"/>
          <w:smallCaps w:val="0"/>
          <w:noProof/>
          <w:kern w:val="2"/>
          <w:sz w:val="24"/>
          <w:szCs w:val="24"/>
          <w:lang w:val="en-IE" w:eastAsia="en-IE"/>
          <w14:ligatures w14:val="standardContextual"/>
        </w:rPr>
      </w:pPr>
      <w:hyperlink w:anchor="_Toc234949753" w:history="1">
        <w:r>
          <w:rPr>
            <w:rStyle w:val="Hyperlink"/>
            <w:rFonts w:ascii="Times New Roman" w:hAnsi="Times New Roman" w:cs="Times New Roman"/>
            <w:smallCaps w:val="0"/>
            <w:noProof/>
            <w:sz w:val="24"/>
            <w:szCs w:val="24"/>
          </w:rPr>
          <w:t>6.3.</w:t>
        </w:r>
        <w:r>
          <w:rPr>
            <w:rFonts w:ascii="Times New Roman" w:eastAsiaTheme="minorEastAsia" w:hAnsi="Times New Roman" w:cs="Times New Roman"/>
            <w:smallCaps w:val="0"/>
            <w:noProof/>
            <w:kern w:val="2"/>
            <w:sz w:val="24"/>
            <w:szCs w:val="24"/>
            <w:lang w:val="en-IE" w:eastAsia="en-IE"/>
            <w14:ligatures w14:val="standardContextual"/>
          </w:rPr>
          <w:tab/>
        </w:r>
        <w:r>
          <w:rPr>
            <w:rStyle w:val="Hyperlink"/>
            <w:rFonts w:ascii="Times New Roman" w:hAnsi="Times New Roman" w:cs="Times New Roman"/>
            <w:smallCaps w:val="0"/>
            <w:noProof/>
            <w:sz w:val="24"/>
            <w:szCs w:val="24"/>
          </w:rPr>
          <w:t>Social impacts</w:t>
        </w:r>
        <w:r>
          <w:rPr>
            <w:rFonts w:ascii="Times New Roman" w:hAnsi="Times New Roman" w:cs="Times New Roman"/>
            <w:smallCaps w:val="0"/>
            <w:noProof/>
            <w:webHidden/>
            <w:sz w:val="24"/>
            <w:szCs w:val="24"/>
          </w:rPr>
          <w:tab/>
        </w:r>
        <w:r>
          <w:rPr>
            <w:rFonts w:ascii="Times New Roman" w:hAnsi="Times New Roman" w:cs="Times New Roman"/>
            <w:smallCaps w:val="0"/>
            <w:noProof/>
            <w:webHidden/>
            <w:sz w:val="24"/>
            <w:szCs w:val="24"/>
          </w:rPr>
          <w:fldChar w:fldCharType="begin"/>
        </w:r>
        <w:r>
          <w:rPr>
            <w:rFonts w:ascii="Times New Roman" w:hAnsi="Times New Roman" w:cs="Times New Roman"/>
            <w:smallCaps w:val="0"/>
            <w:noProof/>
            <w:webHidden/>
            <w:sz w:val="24"/>
            <w:szCs w:val="24"/>
          </w:rPr>
          <w:instrText xml:space="preserve"> PAGEREF _Toc234949753 \h </w:instrText>
        </w:r>
        <w:r>
          <w:rPr>
            <w:rFonts w:ascii="Times New Roman" w:hAnsi="Times New Roman" w:cs="Times New Roman"/>
            <w:smallCaps w:val="0"/>
            <w:noProof/>
            <w:webHidden/>
            <w:sz w:val="24"/>
            <w:szCs w:val="24"/>
          </w:rPr>
        </w:r>
        <w:r>
          <w:rPr>
            <w:rFonts w:ascii="Times New Roman" w:hAnsi="Times New Roman" w:cs="Times New Roman"/>
            <w:smallCaps w:val="0"/>
            <w:noProof/>
            <w:webHidden/>
            <w:sz w:val="24"/>
            <w:szCs w:val="24"/>
          </w:rPr>
          <w:fldChar w:fldCharType="separate"/>
        </w:r>
        <w:r>
          <w:rPr>
            <w:rFonts w:ascii="Times New Roman" w:hAnsi="Times New Roman" w:cs="Times New Roman"/>
            <w:smallCaps w:val="0"/>
            <w:noProof/>
            <w:webHidden/>
            <w:sz w:val="24"/>
            <w:szCs w:val="24"/>
          </w:rPr>
          <w:t>81</w:t>
        </w:r>
        <w:r>
          <w:rPr>
            <w:rFonts w:ascii="Times New Roman" w:hAnsi="Times New Roman" w:cs="Times New Roman"/>
            <w:smallCaps w:val="0"/>
            <w:noProof/>
            <w:webHidden/>
            <w:sz w:val="24"/>
            <w:szCs w:val="24"/>
          </w:rPr>
          <w:fldChar w:fldCharType="end"/>
        </w:r>
      </w:hyperlink>
    </w:p>
    <w:p w14:paraId="2BCEE017" w14:textId="0ABA48C8" w:rsidR="00E06A66" w:rsidRPr="00C25458" w:rsidRDefault="00E06A66">
      <w:pPr>
        <w:pStyle w:val="TOC3"/>
        <w:tabs>
          <w:tab w:val="left" w:pos="1440"/>
          <w:tab w:val="right" w:leader="dot" w:pos="9016"/>
        </w:tabs>
        <w:rPr>
          <w:rFonts w:ascii="Times New Roman" w:eastAsiaTheme="minorEastAsia" w:hAnsi="Times New Roman" w:cs="Times New Roman"/>
          <w:i w:val="0"/>
          <w:iCs w:val="0"/>
          <w:noProof/>
          <w:kern w:val="2"/>
          <w:sz w:val="24"/>
          <w:szCs w:val="24"/>
          <w:lang w:val="en-IE" w:eastAsia="en-IE"/>
          <w14:ligatures w14:val="standardContextual"/>
        </w:rPr>
      </w:pPr>
      <w:hyperlink w:anchor="_Toc234949754" w:history="1">
        <w:r>
          <w:rPr>
            <w:rStyle w:val="Hyperlink"/>
            <w:rFonts w:ascii="Times New Roman" w:hAnsi="Times New Roman" w:cs="Times New Roman"/>
            <w:i w:val="0"/>
            <w:iCs w:val="0"/>
            <w:noProof/>
            <w:sz w:val="24"/>
            <w:szCs w:val="24"/>
          </w:rPr>
          <w:t>6.3.1.</w:t>
        </w:r>
        <w:r>
          <w:rPr>
            <w:rFonts w:ascii="Times New Roman" w:eastAsiaTheme="minorEastAsia" w:hAnsi="Times New Roman" w:cs="Times New Roman"/>
            <w:i w:val="0"/>
            <w:iCs w:val="0"/>
            <w:noProof/>
            <w:kern w:val="2"/>
            <w:sz w:val="24"/>
            <w:szCs w:val="24"/>
            <w:lang w:val="en-IE" w:eastAsia="en-IE"/>
            <w14:ligatures w14:val="standardContextual"/>
          </w:rPr>
          <w:tab/>
        </w:r>
        <w:r>
          <w:rPr>
            <w:rStyle w:val="Hyperlink"/>
            <w:rFonts w:ascii="Times New Roman" w:hAnsi="Times New Roman" w:cs="Times New Roman"/>
            <w:i w:val="0"/>
            <w:iCs w:val="0"/>
            <w:noProof/>
            <w:sz w:val="24"/>
            <w:szCs w:val="24"/>
          </w:rPr>
          <w:t>Impacts on employment and skills</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_Toc234949754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81</w:t>
        </w:r>
        <w:r>
          <w:rPr>
            <w:rFonts w:ascii="Times New Roman" w:hAnsi="Times New Roman" w:cs="Times New Roman"/>
            <w:i w:val="0"/>
            <w:iCs w:val="0"/>
            <w:noProof/>
            <w:webHidden/>
            <w:sz w:val="24"/>
            <w:szCs w:val="24"/>
          </w:rPr>
          <w:fldChar w:fldCharType="end"/>
        </w:r>
      </w:hyperlink>
    </w:p>
    <w:p w14:paraId="3A779B09" w14:textId="7A73AECC" w:rsidR="00E06A66" w:rsidRPr="00C25458" w:rsidRDefault="00E06A66">
      <w:pPr>
        <w:pStyle w:val="TOC3"/>
        <w:tabs>
          <w:tab w:val="left" w:pos="1440"/>
          <w:tab w:val="right" w:leader="dot" w:pos="9016"/>
        </w:tabs>
        <w:rPr>
          <w:rFonts w:ascii="Times New Roman" w:eastAsiaTheme="minorEastAsia" w:hAnsi="Times New Roman" w:cs="Times New Roman"/>
          <w:i w:val="0"/>
          <w:iCs w:val="0"/>
          <w:noProof/>
          <w:kern w:val="2"/>
          <w:sz w:val="24"/>
          <w:szCs w:val="24"/>
          <w:lang w:val="en-IE" w:eastAsia="en-IE"/>
          <w14:ligatures w14:val="standardContextual"/>
        </w:rPr>
      </w:pPr>
      <w:hyperlink w:anchor="_Toc234949755" w:history="1">
        <w:r>
          <w:rPr>
            <w:rStyle w:val="Hyperlink"/>
            <w:rFonts w:ascii="Times New Roman" w:hAnsi="Times New Roman" w:cs="Times New Roman"/>
            <w:i w:val="0"/>
            <w:iCs w:val="0"/>
            <w:noProof/>
            <w:sz w:val="24"/>
            <w:szCs w:val="24"/>
          </w:rPr>
          <w:t>6.3.2.</w:t>
        </w:r>
        <w:r>
          <w:rPr>
            <w:rFonts w:ascii="Times New Roman" w:eastAsiaTheme="minorEastAsia" w:hAnsi="Times New Roman" w:cs="Times New Roman"/>
            <w:i w:val="0"/>
            <w:iCs w:val="0"/>
            <w:noProof/>
            <w:kern w:val="2"/>
            <w:sz w:val="24"/>
            <w:szCs w:val="24"/>
            <w:lang w:val="en-IE" w:eastAsia="en-IE"/>
            <w14:ligatures w14:val="standardContextual"/>
          </w:rPr>
          <w:tab/>
        </w:r>
        <w:r>
          <w:rPr>
            <w:rStyle w:val="Hyperlink"/>
            <w:rFonts w:ascii="Times New Roman" w:hAnsi="Times New Roman" w:cs="Times New Roman"/>
            <w:i w:val="0"/>
            <w:iCs w:val="0"/>
            <w:noProof/>
            <w:sz w:val="24"/>
            <w:szCs w:val="24"/>
          </w:rPr>
          <w:t>Impacts on fundamental rights</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_Toc234949755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85</w:t>
        </w:r>
        <w:r>
          <w:rPr>
            <w:rFonts w:ascii="Times New Roman" w:hAnsi="Times New Roman" w:cs="Times New Roman"/>
            <w:i w:val="0"/>
            <w:iCs w:val="0"/>
            <w:noProof/>
            <w:webHidden/>
            <w:sz w:val="24"/>
            <w:szCs w:val="24"/>
          </w:rPr>
          <w:fldChar w:fldCharType="end"/>
        </w:r>
      </w:hyperlink>
    </w:p>
    <w:p w14:paraId="19838974" w14:textId="4DC60F1F" w:rsidR="00E06A66" w:rsidRPr="00E06A66" w:rsidRDefault="00E06A66">
      <w:pPr>
        <w:pStyle w:val="TOC1"/>
        <w:tabs>
          <w:tab w:val="left" w:pos="480"/>
          <w:tab w:val="right" w:leader="dot" w:pos="9016"/>
        </w:tabs>
        <w:rPr>
          <w:rFonts w:ascii="Times New Roman" w:eastAsiaTheme="minorEastAsia" w:hAnsi="Times New Roman" w:cs="Times New Roman"/>
          <w:caps w:val="0"/>
          <w:noProof/>
          <w:kern w:val="2"/>
          <w:sz w:val="24"/>
          <w:szCs w:val="24"/>
          <w:lang w:val="en-IE" w:eastAsia="en-IE"/>
          <w14:ligatures w14:val="standardContextual"/>
        </w:rPr>
      </w:pPr>
      <w:hyperlink w:anchor="_Toc234949756" w:history="1">
        <w:r>
          <w:rPr>
            <w:rStyle w:val="Hyperlink"/>
            <w:rFonts w:ascii="Times New Roman" w:hAnsi="Times New Roman" w:cs="Times New Roman"/>
            <w:noProof/>
            <w:sz w:val="24"/>
            <w:szCs w:val="24"/>
          </w:rPr>
          <w:t>7.</w:t>
        </w:r>
        <w:r>
          <w:rPr>
            <w:rFonts w:ascii="Times New Roman" w:eastAsiaTheme="minorEastAsia" w:hAnsi="Times New Roman" w:cs="Times New Roman"/>
            <w:caps w:val="0"/>
            <w:noProof/>
            <w:kern w:val="2"/>
            <w:sz w:val="24"/>
            <w:szCs w:val="24"/>
            <w:lang w:val="en-IE" w:eastAsia="en-IE"/>
            <w14:ligatures w14:val="standardContextual"/>
          </w:rPr>
          <w:tab/>
        </w:r>
        <w:r>
          <w:rPr>
            <w:rStyle w:val="Hyperlink"/>
            <w:rFonts w:ascii="Times New Roman" w:hAnsi="Times New Roman" w:cs="Times New Roman"/>
            <w:noProof/>
            <w:sz w:val="24"/>
            <w:szCs w:val="24"/>
          </w:rPr>
          <w:t>How do the options compare?</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_Toc234949756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85</w:t>
        </w:r>
        <w:r>
          <w:rPr>
            <w:rFonts w:ascii="Times New Roman" w:hAnsi="Times New Roman" w:cs="Times New Roman"/>
            <w:noProof/>
            <w:webHidden/>
            <w:sz w:val="24"/>
            <w:szCs w:val="24"/>
          </w:rPr>
          <w:fldChar w:fldCharType="end"/>
        </w:r>
      </w:hyperlink>
    </w:p>
    <w:p w14:paraId="663CF12B" w14:textId="05F428F0" w:rsidR="00E06A66" w:rsidRPr="00C25458" w:rsidRDefault="00E06A66">
      <w:pPr>
        <w:pStyle w:val="TOC2"/>
        <w:tabs>
          <w:tab w:val="left" w:pos="960"/>
          <w:tab w:val="right" w:leader="dot" w:pos="9016"/>
        </w:tabs>
        <w:rPr>
          <w:rFonts w:ascii="Times New Roman" w:eastAsiaTheme="minorEastAsia" w:hAnsi="Times New Roman" w:cs="Times New Roman"/>
          <w:smallCaps w:val="0"/>
          <w:noProof/>
          <w:kern w:val="2"/>
          <w:sz w:val="24"/>
          <w:szCs w:val="24"/>
          <w:lang w:val="en-IE" w:eastAsia="en-IE"/>
          <w14:ligatures w14:val="standardContextual"/>
        </w:rPr>
      </w:pPr>
      <w:hyperlink w:anchor="_Toc234949757" w:history="1">
        <w:r>
          <w:rPr>
            <w:rStyle w:val="Hyperlink"/>
            <w:rFonts w:ascii="Times New Roman" w:hAnsi="Times New Roman" w:cs="Times New Roman"/>
            <w:smallCaps w:val="0"/>
            <w:noProof/>
            <w:sz w:val="24"/>
            <w:szCs w:val="24"/>
          </w:rPr>
          <w:t>7.1.</w:t>
        </w:r>
        <w:r>
          <w:rPr>
            <w:rFonts w:ascii="Times New Roman" w:eastAsiaTheme="minorEastAsia" w:hAnsi="Times New Roman" w:cs="Times New Roman"/>
            <w:smallCaps w:val="0"/>
            <w:noProof/>
            <w:kern w:val="2"/>
            <w:sz w:val="24"/>
            <w:szCs w:val="24"/>
            <w:lang w:val="en-IE" w:eastAsia="en-IE"/>
            <w14:ligatures w14:val="standardContextual"/>
          </w:rPr>
          <w:tab/>
        </w:r>
        <w:r>
          <w:rPr>
            <w:rStyle w:val="Hyperlink"/>
            <w:rFonts w:ascii="Times New Roman" w:hAnsi="Times New Roman" w:cs="Times New Roman"/>
            <w:smallCaps w:val="0"/>
            <w:noProof/>
            <w:sz w:val="24"/>
            <w:szCs w:val="24"/>
          </w:rPr>
          <w:t>Effectiveness</w:t>
        </w:r>
        <w:r>
          <w:rPr>
            <w:rFonts w:ascii="Times New Roman" w:hAnsi="Times New Roman" w:cs="Times New Roman"/>
            <w:smallCaps w:val="0"/>
            <w:noProof/>
            <w:webHidden/>
            <w:sz w:val="24"/>
            <w:szCs w:val="24"/>
          </w:rPr>
          <w:tab/>
        </w:r>
        <w:r>
          <w:rPr>
            <w:rFonts w:ascii="Times New Roman" w:hAnsi="Times New Roman" w:cs="Times New Roman"/>
            <w:smallCaps w:val="0"/>
            <w:noProof/>
            <w:webHidden/>
            <w:sz w:val="24"/>
            <w:szCs w:val="24"/>
          </w:rPr>
          <w:fldChar w:fldCharType="begin"/>
        </w:r>
        <w:r>
          <w:rPr>
            <w:rFonts w:ascii="Times New Roman" w:hAnsi="Times New Roman" w:cs="Times New Roman"/>
            <w:smallCaps w:val="0"/>
            <w:noProof/>
            <w:webHidden/>
            <w:sz w:val="24"/>
            <w:szCs w:val="24"/>
          </w:rPr>
          <w:instrText xml:space="preserve"> PAGEREF _Toc234949757 \h </w:instrText>
        </w:r>
        <w:r>
          <w:rPr>
            <w:rFonts w:ascii="Times New Roman" w:hAnsi="Times New Roman" w:cs="Times New Roman"/>
            <w:smallCaps w:val="0"/>
            <w:noProof/>
            <w:webHidden/>
            <w:sz w:val="24"/>
            <w:szCs w:val="24"/>
          </w:rPr>
        </w:r>
        <w:r>
          <w:rPr>
            <w:rFonts w:ascii="Times New Roman" w:hAnsi="Times New Roman" w:cs="Times New Roman"/>
            <w:smallCaps w:val="0"/>
            <w:noProof/>
            <w:webHidden/>
            <w:sz w:val="24"/>
            <w:szCs w:val="24"/>
          </w:rPr>
          <w:fldChar w:fldCharType="separate"/>
        </w:r>
        <w:r>
          <w:rPr>
            <w:rFonts w:ascii="Times New Roman" w:hAnsi="Times New Roman" w:cs="Times New Roman"/>
            <w:smallCaps w:val="0"/>
            <w:noProof/>
            <w:webHidden/>
            <w:sz w:val="24"/>
            <w:szCs w:val="24"/>
          </w:rPr>
          <w:t>85</w:t>
        </w:r>
        <w:r>
          <w:rPr>
            <w:rFonts w:ascii="Times New Roman" w:hAnsi="Times New Roman" w:cs="Times New Roman"/>
            <w:smallCaps w:val="0"/>
            <w:noProof/>
            <w:webHidden/>
            <w:sz w:val="24"/>
            <w:szCs w:val="24"/>
          </w:rPr>
          <w:fldChar w:fldCharType="end"/>
        </w:r>
      </w:hyperlink>
    </w:p>
    <w:p w14:paraId="4AFCEA25" w14:textId="7AB8DC06" w:rsidR="00E06A66" w:rsidRPr="00C25458" w:rsidRDefault="00E06A66">
      <w:pPr>
        <w:pStyle w:val="TOC2"/>
        <w:tabs>
          <w:tab w:val="left" w:pos="960"/>
          <w:tab w:val="right" w:leader="dot" w:pos="9016"/>
        </w:tabs>
        <w:rPr>
          <w:rFonts w:ascii="Times New Roman" w:eastAsiaTheme="minorEastAsia" w:hAnsi="Times New Roman" w:cs="Times New Roman"/>
          <w:smallCaps w:val="0"/>
          <w:noProof/>
          <w:kern w:val="2"/>
          <w:sz w:val="24"/>
          <w:szCs w:val="24"/>
          <w:lang w:val="en-IE" w:eastAsia="en-IE"/>
          <w14:ligatures w14:val="standardContextual"/>
        </w:rPr>
      </w:pPr>
      <w:hyperlink w:anchor="_Toc234949758" w:history="1">
        <w:r>
          <w:rPr>
            <w:rStyle w:val="Hyperlink"/>
            <w:rFonts w:ascii="Times New Roman" w:hAnsi="Times New Roman" w:cs="Times New Roman"/>
            <w:smallCaps w:val="0"/>
            <w:noProof/>
            <w:sz w:val="24"/>
            <w:szCs w:val="24"/>
          </w:rPr>
          <w:t>7.2.</w:t>
        </w:r>
        <w:r>
          <w:rPr>
            <w:rFonts w:ascii="Times New Roman" w:eastAsiaTheme="minorEastAsia" w:hAnsi="Times New Roman" w:cs="Times New Roman"/>
            <w:smallCaps w:val="0"/>
            <w:noProof/>
            <w:kern w:val="2"/>
            <w:sz w:val="24"/>
            <w:szCs w:val="24"/>
            <w:lang w:val="en-IE" w:eastAsia="en-IE"/>
            <w14:ligatures w14:val="standardContextual"/>
          </w:rPr>
          <w:tab/>
        </w:r>
        <w:r>
          <w:rPr>
            <w:rStyle w:val="Hyperlink"/>
            <w:rFonts w:ascii="Times New Roman" w:hAnsi="Times New Roman" w:cs="Times New Roman"/>
            <w:smallCaps w:val="0"/>
            <w:noProof/>
            <w:sz w:val="24"/>
            <w:szCs w:val="24"/>
          </w:rPr>
          <w:t>Efficiency</w:t>
        </w:r>
        <w:r>
          <w:rPr>
            <w:rFonts w:ascii="Times New Roman" w:hAnsi="Times New Roman" w:cs="Times New Roman"/>
            <w:smallCaps w:val="0"/>
            <w:noProof/>
            <w:webHidden/>
            <w:sz w:val="24"/>
            <w:szCs w:val="24"/>
          </w:rPr>
          <w:tab/>
        </w:r>
        <w:r>
          <w:rPr>
            <w:rFonts w:ascii="Times New Roman" w:hAnsi="Times New Roman" w:cs="Times New Roman"/>
            <w:smallCaps w:val="0"/>
            <w:noProof/>
            <w:webHidden/>
            <w:sz w:val="24"/>
            <w:szCs w:val="24"/>
          </w:rPr>
          <w:fldChar w:fldCharType="begin"/>
        </w:r>
        <w:r>
          <w:rPr>
            <w:rFonts w:ascii="Times New Roman" w:hAnsi="Times New Roman" w:cs="Times New Roman"/>
            <w:smallCaps w:val="0"/>
            <w:noProof/>
            <w:webHidden/>
            <w:sz w:val="24"/>
            <w:szCs w:val="24"/>
          </w:rPr>
          <w:instrText xml:space="preserve"> PAGEREF _Toc234949758 \h </w:instrText>
        </w:r>
        <w:r>
          <w:rPr>
            <w:rFonts w:ascii="Times New Roman" w:hAnsi="Times New Roman" w:cs="Times New Roman"/>
            <w:smallCaps w:val="0"/>
            <w:noProof/>
            <w:webHidden/>
            <w:sz w:val="24"/>
            <w:szCs w:val="24"/>
          </w:rPr>
        </w:r>
        <w:r>
          <w:rPr>
            <w:rFonts w:ascii="Times New Roman" w:hAnsi="Times New Roman" w:cs="Times New Roman"/>
            <w:smallCaps w:val="0"/>
            <w:noProof/>
            <w:webHidden/>
            <w:sz w:val="24"/>
            <w:szCs w:val="24"/>
          </w:rPr>
          <w:fldChar w:fldCharType="separate"/>
        </w:r>
        <w:r>
          <w:rPr>
            <w:rFonts w:ascii="Times New Roman" w:hAnsi="Times New Roman" w:cs="Times New Roman"/>
            <w:smallCaps w:val="0"/>
            <w:noProof/>
            <w:webHidden/>
            <w:sz w:val="24"/>
            <w:szCs w:val="24"/>
          </w:rPr>
          <w:t>92</w:t>
        </w:r>
        <w:r>
          <w:rPr>
            <w:rFonts w:ascii="Times New Roman" w:hAnsi="Times New Roman" w:cs="Times New Roman"/>
            <w:smallCaps w:val="0"/>
            <w:noProof/>
            <w:webHidden/>
            <w:sz w:val="24"/>
            <w:szCs w:val="24"/>
          </w:rPr>
          <w:fldChar w:fldCharType="end"/>
        </w:r>
      </w:hyperlink>
    </w:p>
    <w:p w14:paraId="63AF5A04" w14:textId="75CC25A8" w:rsidR="00E06A66" w:rsidRPr="00C25458" w:rsidRDefault="00E06A66">
      <w:pPr>
        <w:pStyle w:val="TOC2"/>
        <w:tabs>
          <w:tab w:val="left" w:pos="960"/>
          <w:tab w:val="right" w:leader="dot" w:pos="9016"/>
        </w:tabs>
        <w:rPr>
          <w:rFonts w:ascii="Times New Roman" w:eastAsiaTheme="minorEastAsia" w:hAnsi="Times New Roman" w:cs="Times New Roman"/>
          <w:smallCaps w:val="0"/>
          <w:noProof/>
          <w:kern w:val="2"/>
          <w:sz w:val="24"/>
          <w:szCs w:val="24"/>
          <w:lang w:val="en-IE" w:eastAsia="en-IE"/>
          <w14:ligatures w14:val="standardContextual"/>
        </w:rPr>
      </w:pPr>
      <w:hyperlink w:anchor="_Toc234949759" w:history="1">
        <w:r>
          <w:rPr>
            <w:rStyle w:val="Hyperlink"/>
            <w:rFonts w:ascii="Times New Roman" w:hAnsi="Times New Roman" w:cs="Times New Roman"/>
            <w:smallCaps w:val="0"/>
            <w:noProof/>
            <w:sz w:val="24"/>
            <w:szCs w:val="24"/>
          </w:rPr>
          <w:t>7.3.</w:t>
        </w:r>
        <w:r>
          <w:rPr>
            <w:rFonts w:ascii="Times New Roman" w:eastAsiaTheme="minorEastAsia" w:hAnsi="Times New Roman" w:cs="Times New Roman"/>
            <w:smallCaps w:val="0"/>
            <w:noProof/>
            <w:kern w:val="2"/>
            <w:sz w:val="24"/>
            <w:szCs w:val="24"/>
            <w:lang w:val="en-IE" w:eastAsia="en-IE"/>
            <w14:ligatures w14:val="standardContextual"/>
          </w:rPr>
          <w:tab/>
        </w:r>
        <w:r>
          <w:rPr>
            <w:rStyle w:val="Hyperlink"/>
            <w:rFonts w:ascii="Times New Roman" w:hAnsi="Times New Roman" w:cs="Times New Roman"/>
            <w:smallCaps w:val="0"/>
            <w:noProof/>
            <w:sz w:val="24"/>
            <w:szCs w:val="24"/>
          </w:rPr>
          <w:t>Coherence</w:t>
        </w:r>
        <w:r>
          <w:rPr>
            <w:rFonts w:ascii="Times New Roman" w:hAnsi="Times New Roman" w:cs="Times New Roman"/>
            <w:smallCaps w:val="0"/>
            <w:noProof/>
            <w:webHidden/>
            <w:sz w:val="24"/>
            <w:szCs w:val="24"/>
          </w:rPr>
          <w:tab/>
        </w:r>
        <w:r>
          <w:rPr>
            <w:rFonts w:ascii="Times New Roman" w:hAnsi="Times New Roman" w:cs="Times New Roman"/>
            <w:smallCaps w:val="0"/>
            <w:noProof/>
            <w:webHidden/>
            <w:sz w:val="24"/>
            <w:szCs w:val="24"/>
          </w:rPr>
          <w:fldChar w:fldCharType="begin"/>
        </w:r>
        <w:r>
          <w:rPr>
            <w:rFonts w:ascii="Times New Roman" w:hAnsi="Times New Roman" w:cs="Times New Roman"/>
            <w:smallCaps w:val="0"/>
            <w:noProof/>
            <w:webHidden/>
            <w:sz w:val="24"/>
            <w:szCs w:val="24"/>
          </w:rPr>
          <w:instrText xml:space="preserve"> PAGEREF _Toc234949759 \h </w:instrText>
        </w:r>
        <w:r>
          <w:rPr>
            <w:rFonts w:ascii="Times New Roman" w:hAnsi="Times New Roman" w:cs="Times New Roman"/>
            <w:smallCaps w:val="0"/>
            <w:noProof/>
            <w:webHidden/>
            <w:sz w:val="24"/>
            <w:szCs w:val="24"/>
          </w:rPr>
        </w:r>
        <w:r>
          <w:rPr>
            <w:rFonts w:ascii="Times New Roman" w:hAnsi="Times New Roman" w:cs="Times New Roman"/>
            <w:smallCaps w:val="0"/>
            <w:noProof/>
            <w:webHidden/>
            <w:sz w:val="24"/>
            <w:szCs w:val="24"/>
          </w:rPr>
          <w:fldChar w:fldCharType="separate"/>
        </w:r>
        <w:r>
          <w:rPr>
            <w:rFonts w:ascii="Times New Roman" w:hAnsi="Times New Roman" w:cs="Times New Roman"/>
            <w:smallCaps w:val="0"/>
            <w:noProof/>
            <w:webHidden/>
            <w:sz w:val="24"/>
            <w:szCs w:val="24"/>
          </w:rPr>
          <w:t>95</w:t>
        </w:r>
        <w:r>
          <w:rPr>
            <w:rFonts w:ascii="Times New Roman" w:hAnsi="Times New Roman" w:cs="Times New Roman"/>
            <w:smallCaps w:val="0"/>
            <w:noProof/>
            <w:webHidden/>
            <w:sz w:val="24"/>
            <w:szCs w:val="24"/>
          </w:rPr>
          <w:fldChar w:fldCharType="end"/>
        </w:r>
      </w:hyperlink>
    </w:p>
    <w:p w14:paraId="591D3DB8" w14:textId="6DFAC67B" w:rsidR="00E06A66" w:rsidRPr="00C25458" w:rsidRDefault="00E06A66">
      <w:pPr>
        <w:pStyle w:val="TOC2"/>
        <w:tabs>
          <w:tab w:val="left" w:pos="960"/>
          <w:tab w:val="right" w:leader="dot" w:pos="9016"/>
        </w:tabs>
        <w:rPr>
          <w:rFonts w:ascii="Times New Roman" w:eastAsiaTheme="minorEastAsia" w:hAnsi="Times New Roman" w:cs="Times New Roman"/>
          <w:smallCaps w:val="0"/>
          <w:noProof/>
          <w:kern w:val="2"/>
          <w:sz w:val="24"/>
          <w:szCs w:val="24"/>
          <w:lang w:val="en-IE" w:eastAsia="en-IE"/>
          <w14:ligatures w14:val="standardContextual"/>
        </w:rPr>
      </w:pPr>
      <w:hyperlink w:anchor="_Toc234949760" w:history="1">
        <w:r>
          <w:rPr>
            <w:rStyle w:val="Hyperlink"/>
            <w:rFonts w:ascii="Times New Roman" w:hAnsi="Times New Roman" w:cs="Times New Roman"/>
            <w:smallCaps w:val="0"/>
            <w:noProof/>
            <w:sz w:val="24"/>
            <w:szCs w:val="24"/>
          </w:rPr>
          <w:t>7.4.</w:t>
        </w:r>
        <w:r>
          <w:rPr>
            <w:rFonts w:ascii="Times New Roman" w:eastAsiaTheme="minorEastAsia" w:hAnsi="Times New Roman" w:cs="Times New Roman"/>
            <w:smallCaps w:val="0"/>
            <w:noProof/>
            <w:kern w:val="2"/>
            <w:sz w:val="24"/>
            <w:szCs w:val="24"/>
            <w:lang w:val="en-IE" w:eastAsia="en-IE"/>
            <w14:ligatures w14:val="standardContextual"/>
          </w:rPr>
          <w:tab/>
        </w:r>
        <w:r>
          <w:rPr>
            <w:rStyle w:val="Hyperlink"/>
            <w:rFonts w:ascii="Times New Roman" w:hAnsi="Times New Roman" w:cs="Times New Roman"/>
            <w:smallCaps w:val="0"/>
            <w:noProof/>
            <w:sz w:val="24"/>
            <w:szCs w:val="24"/>
          </w:rPr>
          <w:t>Summary</w:t>
        </w:r>
        <w:r>
          <w:rPr>
            <w:rFonts w:ascii="Times New Roman" w:hAnsi="Times New Roman" w:cs="Times New Roman"/>
            <w:smallCaps w:val="0"/>
            <w:noProof/>
            <w:webHidden/>
            <w:sz w:val="24"/>
            <w:szCs w:val="24"/>
          </w:rPr>
          <w:tab/>
        </w:r>
        <w:r>
          <w:rPr>
            <w:rFonts w:ascii="Times New Roman" w:hAnsi="Times New Roman" w:cs="Times New Roman"/>
            <w:smallCaps w:val="0"/>
            <w:noProof/>
            <w:webHidden/>
            <w:sz w:val="24"/>
            <w:szCs w:val="24"/>
          </w:rPr>
          <w:fldChar w:fldCharType="begin"/>
        </w:r>
        <w:r>
          <w:rPr>
            <w:rFonts w:ascii="Times New Roman" w:hAnsi="Times New Roman" w:cs="Times New Roman"/>
            <w:smallCaps w:val="0"/>
            <w:noProof/>
            <w:webHidden/>
            <w:sz w:val="24"/>
            <w:szCs w:val="24"/>
          </w:rPr>
          <w:instrText xml:space="preserve"> PAGEREF _Toc234949760 \h </w:instrText>
        </w:r>
        <w:r>
          <w:rPr>
            <w:rFonts w:ascii="Times New Roman" w:hAnsi="Times New Roman" w:cs="Times New Roman"/>
            <w:smallCaps w:val="0"/>
            <w:noProof/>
            <w:webHidden/>
            <w:sz w:val="24"/>
            <w:szCs w:val="24"/>
          </w:rPr>
        </w:r>
        <w:r>
          <w:rPr>
            <w:rFonts w:ascii="Times New Roman" w:hAnsi="Times New Roman" w:cs="Times New Roman"/>
            <w:smallCaps w:val="0"/>
            <w:noProof/>
            <w:webHidden/>
            <w:sz w:val="24"/>
            <w:szCs w:val="24"/>
          </w:rPr>
          <w:fldChar w:fldCharType="separate"/>
        </w:r>
        <w:r>
          <w:rPr>
            <w:rFonts w:ascii="Times New Roman" w:hAnsi="Times New Roman" w:cs="Times New Roman"/>
            <w:smallCaps w:val="0"/>
            <w:noProof/>
            <w:webHidden/>
            <w:sz w:val="24"/>
            <w:szCs w:val="24"/>
          </w:rPr>
          <w:t>96</w:t>
        </w:r>
        <w:r>
          <w:rPr>
            <w:rFonts w:ascii="Times New Roman" w:hAnsi="Times New Roman" w:cs="Times New Roman"/>
            <w:smallCaps w:val="0"/>
            <w:noProof/>
            <w:webHidden/>
            <w:sz w:val="24"/>
            <w:szCs w:val="24"/>
          </w:rPr>
          <w:fldChar w:fldCharType="end"/>
        </w:r>
      </w:hyperlink>
    </w:p>
    <w:p w14:paraId="51D595C2" w14:textId="56497613" w:rsidR="00E06A66" w:rsidRPr="00E06A66" w:rsidRDefault="00E06A66">
      <w:pPr>
        <w:pStyle w:val="TOC1"/>
        <w:tabs>
          <w:tab w:val="left" w:pos="480"/>
          <w:tab w:val="right" w:leader="dot" w:pos="9016"/>
        </w:tabs>
        <w:rPr>
          <w:rFonts w:ascii="Times New Roman" w:eastAsiaTheme="minorEastAsia" w:hAnsi="Times New Roman" w:cs="Times New Roman"/>
          <w:caps w:val="0"/>
          <w:noProof/>
          <w:kern w:val="2"/>
          <w:sz w:val="24"/>
          <w:szCs w:val="24"/>
          <w:lang w:val="en-IE" w:eastAsia="en-IE"/>
          <w14:ligatures w14:val="standardContextual"/>
        </w:rPr>
      </w:pPr>
      <w:hyperlink w:anchor="_Toc234949761" w:history="1">
        <w:r>
          <w:rPr>
            <w:rStyle w:val="Hyperlink"/>
            <w:rFonts w:ascii="Times New Roman" w:hAnsi="Times New Roman" w:cs="Times New Roman"/>
            <w:noProof/>
            <w:sz w:val="24"/>
            <w:szCs w:val="24"/>
          </w:rPr>
          <w:t>8.</w:t>
        </w:r>
        <w:r>
          <w:rPr>
            <w:rFonts w:ascii="Times New Roman" w:eastAsiaTheme="minorEastAsia" w:hAnsi="Times New Roman" w:cs="Times New Roman"/>
            <w:caps w:val="0"/>
            <w:noProof/>
            <w:kern w:val="2"/>
            <w:sz w:val="24"/>
            <w:szCs w:val="24"/>
            <w:lang w:val="en-IE" w:eastAsia="en-IE"/>
            <w14:ligatures w14:val="standardContextual"/>
          </w:rPr>
          <w:tab/>
        </w:r>
        <w:r>
          <w:rPr>
            <w:rStyle w:val="Hyperlink"/>
            <w:rFonts w:ascii="Times New Roman" w:hAnsi="Times New Roman" w:cs="Times New Roman"/>
            <w:noProof/>
            <w:sz w:val="24"/>
            <w:szCs w:val="24"/>
          </w:rPr>
          <w:t>Preferred Option</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_Toc234949761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97</w:t>
        </w:r>
        <w:r>
          <w:rPr>
            <w:rFonts w:ascii="Times New Roman" w:hAnsi="Times New Roman" w:cs="Times New Roman"/>
            <w:noProof/>
            <w:webHidden/>
            <w:sz w:val="24"/>
            <w:szCs w:val="24"/>
          </w:rPr>
          <w:fldChar w:fldCharType="end"/>
        </w:r>
      </w:hyperlink>
    </w:p>
    <w:p w14:paraId="09DF0C1F" w14:textId="48DB48CB" w:rsidR="00E06A66" w:rsidRPr="00C25458" w:rsidRDefault="00E06A66">
      <w:pPr>
        <w:pStyle w:val="TOC2"/>
        <w:tabs>
          <w:tab w:val="left" w:pos="960"/>
          <w:tab w:val="right" w:leader="dot" w:pos="9016"/>
        </w:tabs>
        <w:rPr>
          <w:rFonts w:ascii="Times New Roman" w:eastAsiaTheme="minorEastAsia" w:hAnsi="Times New Roman" w:cs="Times New Roman"/>
          <w:smallCaps w:val="0"/>
          <w:noProof/>
          <w:kern w:val="2"/>
          <w:sz w:val="24"/>
          <w:szCs w:val="24"/>
          <w:lang w:val="en-IE" w:eastAsia="en-IE"/>
          <w14:ligatures w14:val="standardContextual"/>
        </w:rPr>
      </w:pPr>
      <w:hyperlink w:anchor="_Toc234949762" w:history="1">
        <w:r>
          <w:rPr>
            <w:rStyle w:val="Hyperlink"/>
            <w:rFonts w:ascii="Times New Roman" w:eastAsia="Times New Roman" w:hAnsi="Times New Roman" w:cs="Times New Roman"/>
            <w:smallCaps w:val="0"/>
            <w:noProof/>
            <w:sz w:val="24"/>
            <w:szCs w:val="24"/>
          </w:rPr>
          <w:t>8.1.</w:t>
        </w:r>
        <w:r>
          <w:rPr>
            <w:rFonts w:ascii="Times New Roman" w:eastAsiaTheme="minorEastAsia" w:hAnsi="Times New Roman" w:cs="Times New Roman"/>
            <w:smallCaps w:val="0"/>
            <w:noProof/>
            <w:kern w:val="2"/>
            <w:sz w:val="24"/>
            <w:szCs w:val="24"/>
            <w:lang w:val="en-IE" w:eastAsia="en-IE"/>
            <w14:ligatures w14:val="standardContextual"/>
          </w:rPr>
          <w:tab/>
        </w:r>
        <w:r>
          <w:rPr>
            <w:rStyle w:val="Hyperlink"/>
            <w:rFonts w:ascii="Times New Roman" w:eastAsia="Times New Roman" w:hAnsi="Times New Roman" w:cs="Times New Roman"/>
            <w:smallCaps w:val="0"/>
            <w:noProof/>
            <w:sz w:val="24"/>
            <w:szCs w:val="24"/>
          </w:rPr>
          <w:t>Identification of the preferred policy option</w:t>
        </w:r>
        <w:r>
          <w:rPr>
            <w:rFonts w:ascii="Times New Roman" w:hAnsi="Times New Roman" w:cs="Times New Roman"/>
            <w:smallCaps w:val="0"/>
            <w:noProof/>
            <w:webHidden/>
            <w:sz w:val="24"/>
            <w:szCs w:val="24"/>
          </w:rPr>
          <w:tab/>
        </w:r>
        <w:r>
          <w:rPr>
            <w:rFonts w:ascii="Times New Roman" w:hAnsi="Times New Roman" w:cs="Times New Roman"/>
            <w:smallCaps w:val="0"/>
            <w:noProof/>
            <w:webHidden/>
            <w:sz w:val="24"/>
            <w:szCs w:val="24"/>
          </w:rPr>
          <w:fldChar w:fldCharType="begin"/>
        </w:r>
        <w:r>
          <w:rPr>
            <w:rFonts w:ascii="Times New Roman" w:hAnsi="Times New Roman" w:cs="Times New Roman"/>
            <w:smallCaps w:val="0"/>
            <w:noProof/>
            <w:webHidden/>
            <w:sz w:val="24"/>
            <w:szCs w:val="24"/>
          </w:rPr>
          <w:instrText xml:space="preserve"> PAGEREF _Toc234949762 \h </w:instrText>
        </w:r>
        <w:r>
          <w:rPr>
            <w:rFonts w:ascii="Times New Roman" w:hAnsi="Times New Roman" w:cs="Times New Roman"/>
            <w:smallCaps w:val="0"/>
            <w:noProof/>
            <w:webHidden/>
            <w:sz w:val="24"/>
            <w:szCs w:val="24"/>
          </w:rPr>
        </w:r>
        <w:r>
          <w:rPr>
            <w:rFonts w:ascii="Times New Roman" w:hAnsi="Times New Roman" w:cs="Times New Roman"/>
            <w:smallCaps w:val="0"/>
            <w:noProof/>
            <w:webHidden/>
            <w:sz w:val="24"/>
            <w:szCs w:val="24"/>
          </w:rPr>
          <w:fldChar w:fldCharType="separate"/>
        </w:r>
        <w:r>
          <w:rPr>
            <w:rFonts w:ascii="Times New Roman" w:hAnsi="Times New Roman" w:cs="Times New Roman"/>
            <w:smallCaps w:val="0"/>
            <w:noProof/>
            <w:webHidden/>
            <w:sz w:val="24"/>
            <w:szCs w:val="24"/>
          </w:rPr>
          <w:t>97</w:t>
        </w:r>
        <w:r>
          <w:rPr>
            <w:rFonts w:ascii="Times New Roman" w:hAnsi="Times New Roman" w:cs="Times New Roman"/>
            <w:smallCaps w:val="0"/>
            <w:noProof/>
            <w:webHidden/>
            <w:sz w:val="24"/>
            <w:szCs w:val="24"/>
          </w:rPr>
          <w:fldChar w:fldCharType="end"/>
        </w:r>
      </w:hyperlink>
    </w:p>
    <w:p w14:paraId="4CE0B02B" w14:textId="34AF5936" w:rsidR="00E06A66" w:rsidRPr="00C25458" w:rsidRDefault="00E06A66">
      <w:pPr>
        <w:pStyle w:val="TOC2"/>
        <w:tabs>
          <w:tab w:val="left" w:pos="960"/>
          <w:tab w:val="right" w:leader="dot" w:pos="9016"/>
        </w:tabs>
        <w:rPr>
          <w:rFonts w:ascii="Times New Roman" w:eastAsiaTheme="minorEastAsia" w:hAnsi="Times New Roman" w:cs="Times New Roman"/>
          <w:smallCaps w:val="0"/>
          <w:noProof/>
          <w:kern w:val="2"/>
          <w:sz w:val="24"/>
          <w:szCs w:val="24"/>
          <w:lang w:val="en-IE" w:eastAsia="en-IE"/>
          <w14:ligatures w14:val="standardContextual"/>
        </w:rPr>
      </w:pPr>
      <w:hyperlink w:anchor="_Toc234949763" w:history="1">
        <w:r>
          <w:rPr>
            <w:rStyle w:val="Hyperlink"/>
            <w:rFonts w:ascii="Times New Roman" w:eastAsia="Times New Roman" w:hAnsi="Times New Roman" w:cs="Times New Roman"/>
            <w:smallCaps w:val="0"/>
            <w:noProof/>
            <w:sz w:val="24"/>
            <w:szCs w:val="24"/>
          </w:rPr>
          <w:t>8.2.</w:t>
        </w:r>
        <w:r>
          <w:rPr>
            <w:rFonts w:ascii="Times New Roman" w:eastAsiaTheme="minorEastAsia" w:hAnsi="Times New Roman" w:cs="Times New Roman"/>
            <w:smallCaps w:val="0"/>
            <w:noProof/>
            <w:kern w:val="2"/>
            <w:sz w:val="24"/>
            <w:szCs w:val="24"/>
            <w:lang w:val="en-IE" w:eastAsia="en-IE"/>
            <w14:ligatures w14:val="standardContextual"/>
          </w:rPr>
          <w:tab/>
        </w:r>
        <w:r>
          <w:rPr>
            <w:rStyle w:val="Hyperlink"/>
            <w:rFonts w:ascii="Times New Roman" w:eastAsia="Times New Roman" w:hAnsi="Times New Roman" w:cs="Times New Roman"/>
            <w:smallCaps w:val="0"/>
            <w:noProof/>
            <w:sz w:val="24"/>
            <w:szCs w:val="24"/>
          </w:rPr>
          <w:t>REFIT (simplification and improved efficiency)</w:t>
        </w:r>
        <w:r>
          <w:rPr>
            <w:rFonts w:ascii="Times New Roman" w:hAnsi="Times New Roman" w:cs="Times New Roman"/>
            <w:smallCaps w:val="0"/>
            <w:noProof/>
            <w:webHidden/>
            <w:sz w:val="24"/>
            <w:szCs w:val="24"/>
          </w:rPr>
          <w:tab/>
        </w:r>
        <w:r>
          <w:rPr>
            <w:rFonts w:ascii="Times New Roman" w:hAnsi="Times New Roman" w:cs="Times New Roman"/>
            <w:smallCaps w:val="0"/>
            <w:noProof/>
            <w:webHidden/>
            <w:sz w:val="24"/>
            <w:szCs w:val="24"/>
          </w:rPr>
          <w:fldChar w:fldCharType="begin"/>
        </w:r>
        <w:r>
          <w:rPr>
            <w:rFonts w:ascii="Times New Roman" w:hAnsi="Times New Roman" w:cs="Times New Roman"/>
            <w:smallCaps w:val="0"/>
            <w:noProof/>
            <w:webHidden/>
            <w:sz w:val="24"/>
            <w:szCs w:val="24"/>
          </w:rPr>
          <w:instrText xml:space="preserve"> PAGEREF _Toc234949763 \h </w:instrText>
        </w:r>
        <w:r>
          <w:rPr>
            <w:rFonts w:ascii="Times New Roman" w:hAnsi="Times New Roman" w:cs="Times New Roman"/>
            <w:smallCaps w:val="0"/>
            <w:noProof/>
            <w:webHidden/>
            <w:sz w:val="24"/>
            <w:szCs w:val="24"/>
          </w:rPr>
        </w:r>
        <w:r>
          <w:rPr>
            <w:rFonts w:ascii="Times New Roman" w:hAnsi="Times New Roman" w:cs="Times New Roman"/>
            <w:smallCaps w:val="0"/>
            <w:noProof/>
            <w:webHidden/>
            <w:sz w:val="24"/>
            <w:szCs w:val="24"/>
          </w:rPr>
          <w:fldChar w:fldCharType="separate"/>
        </w:r>
        <w:r>
          <w:rPr>
            <w:rFonts w:ascii="Times New Roman" w:hAnsi="Times New Roman" w:cs="Times New Roman"/>
            <w:smallCaps w:val="0"/>
            <w:noProof/>
            <w:webHidden/>
            <w:sz w:val="24"/>
            <w:szCs w:val="24"/>
          </w:rPr>
          <w:t>99</w:t>
        </w:r>
        <w:r>
          <w:rPr>
            <w:rFonts w:ascii="Times New Roman" w:hAnsi="Times New Roman" w:cs="Times New Roman"/>
            <w:smallCaps w:val="0"/>
            <w:noProof/>
            <w:webHidden/>
            <w:sz w:val="24"/>
            <w:szCs w:val="24"/>
          </w:rPr>
          <w:fldChar w:fldCharType="end"/>
        </w:r>
      </w:hyperlink>
    </w:p>
    <w:p w14:paraId="62D33038" w14:textId="44CE001A" w:rsidR="00E06A66" w:rsidRPr="00E06A66" w:rsidRDefault="00E06A66">
      <w:pPr>
        <w:pStyle w:val="TOC1"/>
        <w:tabs>
          <w:tab w:val="left" w:pos="480"/>
          <w:tab w:val="right" w:leader="dot" w:pos="9016"/>
        </w:tabs>
        <w:rPr>
          <w:rFonts w:ascii="Times New Roman" w:eastAsiaTheme="minorEastAsia" w:hAnsi="Times New Roman" w:cs="Times New Roman"/>
          <w:caps w:val="0"/>
          <w:noProof/>
          <w:kern w:val="2"/>
          <w:sz w:val="24"/>
          <w:szCs w:val="24"/>
          <w:lang w:val="en-IE" w:eastAsia="en-IE"/>
          <w14:ligatures w14:val="standardContextual"/>
        </w:rPr>
      </w:pPr>
      <w:hyperlink w:anchor="_Toc234949764" w:history="1">
        <w:r>
          <w:rPr>
            <w:rStyle w:val="Hyperlink"/>
            <w:rFonts w:ascii="Times New Roman" w:hAnsi="Times New Roman" w:cs="Times New Roman"/>
            <w:noProof/>
            <w:sz w:val="24"/>
            <w:szCs w:val="24"/>
          </w:rPr>
          <w:t>9.</w:t>
        </w:r>
        <w:r>
          <w:rPr>
            <w:rFonts w:ascii="Times New Roman" w:eastAsiaTheme="minorEastAsia" w:hAnsi="Times New Roman" w:cs="Times New Roman"/>
            <w:caps w:val="0"/>
            <w:noProof/>
            <w:kern w:val="2"/>
            <w:sz w:val="24"/>
            <w:szCs w:val="24"/>
            <w:lang w:val="en-IE" w:eastAsia="en-IE"/>
            <w14:ligatures w14:val="standardContextual"/>
          </w:rPr>
          <w:tab/>
        </w:r>
        <w:r>
          <w:rPr>
            <w:rStyle w:val="Hyperlink"/>
            <w:rFonts w:ascii="Times New Roman" w:hAnsi="Times New Roman" w:cs="Times New Roman"/>
            <w:noProof/>
            <w:sz w:val="24"/>
            <w:szCs w:val="24"/>
          </w:rPr>
          <w:t>How will actual impacts be monitored and evaluated?</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_Toc234949764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100</w:t>
        </w:r>
        <w:r>
          <w:rPr>
            <w:rFonts w:ascii="Times New Roman" w:hAnsi="Times New Roman" w:cs="Times New Roman"/>
            <w:noProof/>
            <w:webHidden/>
            <w:sz w:val="24"/>
            <w:szCs w:val="24"/>
          </w:rPr>
          <w:fldChar w:fldCharType="end"/>
        </w:r>
      </w:hyperlink>
    </w:p>
    <w:p w14:paraId="5AEDC2F0" w14:textId="07790E61" w:rsidR="00E06A66" w:rsidRPr="00E06A66" w:rsidRDefault="00E06A66">
      <w:pPr>
        <w:pStyle w:val="TOC1"/>
        <w:tabs>
          <w:tab w:val="right" w:leader="dot" w:pos="9016"/>
        </w:tabs>
        <w:rPr>
          <w:rFonts w:ascii="Times New Roman" w:eastAsiaTheme="minorEastAsia" w:hAnsi="Times New Roman" w:cs="Times New Roman"/>
          <w:b w:val="0"/>
          <w:bCs w:val="0"/>
          <w:caps w:val="0"/>
          <w:noProof/>
          <w:kern w:val="2"/>
          <w:sz w:val="24"/>
          <w:szCs w:val="24"/>
          <w:lang w:val="en-IE" w:eastAsia="en-IE"/>
          <w14:ligatures w14:val="standardContextual"/>
        </w:rPr>
      </w:pPr>
      <w:hyperlink w:anchor="_Toc234949765" w:history="1">
        <w:r>
          <w:rPr>
            <w:rStyle w:val="Hyperlink"/>
            <w:rFonts w:ascii="Times New Roman" w:hAnsi="Times New Roman" w:cs="Times New Roman"/>
            <w:b w:val="0"/>
            <w:bCs w:val="0"/>
            <w:noProof/>
            <w:sz w:val="24"/>
            <w:szCs w:val="24"/>
            <w:lang w:eastAsia="en-IE"/>
          </w:rPr>
          <w:t>List of Tables</w:t>
        </w:r>
        <w:r>
          <w:rPr>
            <w:rFonts w:ascii="Times New Roman" w:hAnsi="Times New Roman" w:cs="Times New Roman"/>
            <w:b w:val="0"/>
            <w:bCs w:val="0"/>
            <w:noProof/>
            <w:webHidden/>
            <w:sz w:val="24"/>
            <w:szCs w:val="24"/>
          </w:rPr>
          <w:tab/>
        </w:r>
        <w:r>
          <w:rPr>
            <w:rFonts w:ascii="Times New Roman" w:hAnsi="Times New Roman" w:cs="Times New Roman"/>
            <w:b w:val="0"/>
            <w:bCs w:val="0"/>
            <w:noProof/>
            <w:webHidden/>
            <w:sz w:val="24"/>
            <w:szCs w:val="24"/>
          </w:rPr>
          <w:fldChar w:fldCharType="begin"/>
        </w:r>
        <w:r>
          <w:rPr>
            <w:rFonts w:ascii="Times New Roman" w:hAnsi="Times New Roman" w:cs="Times New Roman"/>
            <w:b w:val="0"/>
            <w:bCs w:val="0"/>
            <w:noProof/>
            <w:webHidden/>
            <w:sz w:val="24"/>
            <w:szCs w:val="24"/>
          </w:rPr>
          <w:instrText xml:space="preserve"> PAGEREF _Toc234949765 \h </w:instrText>
        </w:r>
        <w:r>
          <w:rPr>
            <w:rFonts w:ascii="Times New Roman" w:hAnsi="Times New Roman" w:cs="Times New Roman"/>
            <w:b w:val="0"/>
            <w:bCs w:val="0"/>
            <w:noProof/>
            <w:webHidden/>
            <w:sz w:val="24"/>
            <w:szCs w:val="24"/>
          </w:rPr>
        </w:r>
        <w:r>
          <w:rPr>
            <w:rFonts w:ascii="Times New Roman" w:hAnsi="Times New Roman" w:cs="Times New Roman"/>
            <w:b w:val="0"/>
            <w:bCs w:val="0"/>
            <w:noProof/>
            <w:webHidden/>
            <w:sz w:val="24"/>
            <w:szCs w:val="24"/>
          </w:rPr>
          <w:fldChar w:fldCharType="separate"/>
        </w:r>
        <w:r>
          <w:rPr>
            <w:rFonts w:ascii="Times New Roman" w:hAnsi="Times New Roman" w:cs="Times New Roman"/>
            <w:b w:val="0"/>
            <w:bCs w:val="0"/>
            <w:noProof/>
            <w:webHidden/>
            <w:sz w:val="24"/>
            <w:szCs w:val="24"/>
          </w:rPr>
          <w:t>102</w:t>
        </w:r>
        <w:r>
          <w:rPr>
            <w:rFonts w:ascii="Times New Roman" w:hAnsi="Times New Roman" w:cs="Times New Roman"/>
            <w:b w:val="0"/>
            <w:bCs w:val="0"/>
            <w:noProof/>
            <w:webHidden/>
            <w:sz w:val="24"/>
            <w:szCs w:val="24"/>
          </w:rPr>
          <w:fldChar w:fldCharType="end"/>
        </w:r>
      </w:hyperlink>
    </w:p>
    <w:p w14:paraId="6E5C4EEC" w14:textId="2C20C1A2" w:rsidR="00E06A66" w:rsidRPr="00E06A66" w:rsidRDefault="00E06A66">
      <w:pPr>
        <w:pStyle w:val="TOC1"/>
        <w:tabs>
          <w:tab w:val="right" w:leader="dot" w:pos="9016"/>
        </w:tabs>
        <w:rPr>
          <w:rFonts w:ascii="Times New Roman" w:eastAsiaTheme="minorEastAsia" w:hAnsi="Times New Roman" w:cs="Times New Roman"/>
          <w:b w:val="0"/>
          <w:bCs w:val="0"/>
          <w:caps w:val="0"/>
          <w:noProof/>
          <w:kern w:val="2"/>
          <w:sz w:val="24"/>
          <w:szCs w:val="24"/>
          <w:lang w:val="en-IE" w:eastAsia="en-IE"/>
          <w14:ligatures w14:val="standardContextual"/>
        </w:rPr>
      </w:pPr>
      <w:hyperlink w:anchor="_Toc234949766" w:history="1">
        <w:r>
          <w:rPr>
            <w:rStyle w:val="Hyperlink"/>
            <w:rFonts w:ascii="Times New Roman" w:hAnsi="Times New Roman" w:cs="Times New Roman"/>
            <w:b w:val="0"/>
            <w:bCs w:val="0"/>
            <w:noProof/>
            <w:sz w:val="24"/>
            <w:szCs w:val="24"/>
            <w:lang w:eastAsia="en-IE"/>
          </w:rPr>
          <w:t>List of Figures</w:t>
        </w:r>
        <w:r>
          <w:rPr>
            <w:rFonts w:ascii="Times New Roman" w:hAnsi="Times New Roman" w:cs="Times New Roman"/>
            <w:b w:val="0"/>
            <w:bCs w:val="0"/>
            <w:noProof/>
            <w:webHidden/>
            <w:sz w:val="24"/>
            <w:szCs w:val="24"/>
          </w:rPr>
          <w:tab/>
        </w:r>
        <w:r>
          <w:rPr>
            <w:rFonts w:ascii="Times New Roman" w:hAnsi="Times New Roman" w:cs="Times New Roman"/>
            <w:b w:val="0"/>
            <w:bCs w:val="0"/>
            <w:noProof/>
            <w:webHidden/>
            <w:sz w:val="24"/>
            <w:szCs w:val="24"/>
          </w:rPr>
          <w:fldChar w:fldCharType="begin"/>
        </w:r>
        <w:r>
          <w:rPr>
            <w:rFonts w:ascii="Times New Roman" w:hAnsi="Times New Roman" w:cs="Times New Roman"/>
            <w:b w:val="0"/>
            <w:bCs w:val="0"/>
            <w:noProof/>
            <w:webHidden/>
            <w:sz w:val="24"/>
            <w:szCs w:val="24"/>
          </w:rPr>
          <w:instrText xml:space="preserve"> PAGEREF _Toc234949766 \h </w:instrText>
        </w:r>
        <w:r>
          <w:rPr>
            <w:rFonts w:ascii="Times New Roman" w:hAnsi="Times New Roman" w:cs="Times New Roman"/>
            <w:b w:val="0"/>
            <w:bCs w:val="0"/>
            <w:noProof/>
            <w:webHidden/>
            <w:sz w:val="24"/>
            <w:szCs w:val="24"/>
          </w:rPr>
        </w:r>
        <w:r>
          <w:rPr>
            <w:rFonts w:ascii="Times New Roman" w:hAnsi="Times New Roman" w:cs="Times New Roman"/>
            <w:b w:val="0"/>
            <w:bCs w:val="0"/>
            <w:noProof/>
            <w:webHidden/>
            <w:sz w:val="24"/>
            <w:szCs w:val="24"/>
          </w:rPr>
          <w:fldChar w:fldCharType="separate"/>
        </w:r>
        <w:r>
          <w:rPr>
            <w:rFonts w:ascii="Times New Roman" w:hAnsi="Times New Roman" w:cs="Times New Roman"/>
            <w:b w:val="0"/>
            <w:bCs w:val="0"/>
            <w:noProof/>
            <w:webHidden/>
            <w:sz w:val="24"/>
            <w:szCs w:val="24"/>
          </w:rPr>
          <w:t>103</w:t>
        </w:r>
        <w:r>
          <w:rPr>
            <w:rFonts w:ascii="Times New Roman" w:hAnsi="Times New Roman" w:cs="Times New Roman"/>
            <w:b w:val="0"/>
            <w:bCs w:val="0"/>
            <w:noProof/>
            <w:webHidden/>
            <w:sz w:val="24"/>
            <w:szCs w:val="24"/>
          </w:rPr>
          <w:fldChar w:fldCharType="end"/>
        </w:r>
      </w:hyperlink>
    </w:p>
    <w:p w14:paraId="6F8771C2" w14:textId="657BFB80" w:rsidR="006B087E" w:rsidRPr="00244D65" w:rsidRDefault="00781BE8" w:rsidP="005E4778">
      <w:pPr>
        <w:pStyle w:val="Heading1"/>
        <w:numPr>
          <w:ilvl w:val="0"/>
          <w:numId w:val="0"/>
        </w:numPr>
        <w:ind w:left="480" w:hanging="480"/>
        <w:rPr>
          <w:noProof/>
        </w:rPr>
      </w:pPr>
      <w:r>
        <w:rPr>
          <w:rFonts w:ascii="Times New Roman" w:hAnsi="Times New Roman"/>
          <w:bCs/>
          <w:caps/>
          <w:noProof/>
          <w:sz w:val="24"/>
          <w:szCs w:val="24"/>
        </w:rPr>
        <w:lastRenderedPageBreak/>
        <w:fldChar w:fldCharType="end"/>
      </w:r>
      <w:bookmarkStart w:id="3" w:name="_Toc211962767"/>
      <w:bookmarkStart w:id="4" w:name="_Toc232752483"/>
      <w:bookmarkStart w:id="5" w:name="_Toc234949727"/>
      <w:r w:rsidR="006B087E" w:rsidRPr="00244D65">
        <w:rPr>
          <w:noProof/>
        </w:rPr>
        <w:t>Glossary</w:t>
      </w:r>
      <w:bookmarkEnd w:id="3"/>
      <w:bookmarkEnd w:id="4"/>
      <w:bookmarkEnd w:id="5"/>
    </w:p>
    <w:tbl>
      <w:tblPr>
        <w:tblW w:w="0" w:type="auto"/>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ook w:val="04A0" w:firstRow="1" w:lastRow="0" w:firstColumn="1" w:lastColumn="0" w:noHBand="0" w:noVBand="1"/>
      </w:tblPr>
      <w:tblGrid>
        <w:gridCol w:w="2221"/>
        <w:gridCol w:w="6520"/>
      </w:tblGrid>
      <w:tr w:rsidR="008F7B81" w:rsidRPr="00244D65" w14:paraId="1C042FBE" w14:textId="77777777" w:rsidTr="46010CBF">
        <w:tc>
          <w:tcPr>
            <w:tcW w:w="2221" w:type="dxa"/>
            <w:shd w:val="clear" w:color="auto" w:fill="D9D9D9" w:themeFill="background1" w:themeFillShade="D9"/>
            <w:vAlign w:val="center"/>
          </w:tcPr>
          <w:p w14:paraId="2034E75D" w14:textId="77777777" w:rsidR="008F7B81" w:rsidRPr="00244D65" w:rsidRDefault="008F7B81" w:rsidP="0085595C">
            <w:pPr>
              <w:rPr>
                <w:b/>
                <w:noProof/>
              </w:rPr>
            </w:pPr>
            <w:bookmarkStart w:id="6" w:name="_Toc211962768"/>
            <w:r w:rsidRPr="00244D65">
              <w:rPr>
                <w:b/>
                <w:noProof/>
              </w:rPr>
              <w:t>Term or acronym</w:t>
            </w:r>
            <w:bookmarkEnd w:id="6"/>
          </w:p>
        </w:tc>
        <w:tc>
          <w:tcPr>
            <w:tcW w:w="6520" w:type="dxa"/>
            <w:shd w:val="clear" w:color="auto" w:fill="D9D9D9" w:themeFill="background1" w:themeFillShade="D9"/>
            <w:vAlign w:val="center"/>
          </w:tcPr>
          <w:p w14:paraId="289CA21E" w14:textId="77777777" w:rsidR="008F7B81" w:rsidRPr="00244D65" w:rsidRDefault="008F7B81" w:rsidP="0085595C">
            <w:pPr>
              <w:rPr>
                <w:b/>
                <w:noProof/>
              </w:rPr>
            </w:pPr>
            <w:bookmarkStart w:id="7" w:name="_Toc211962769"/>
            <w:r w:rsidRPr="00244D65">
              <w:rPr>
                <w:b/>
                <w:noProof/>
              </w:rPr>
              <w:t>Meaning or definition</w:t>
            </w:r>
            <w:bookmarkEnd w:id="7"/>
          </w:p>
        </w:tc>
      </w:tr>
      <w:tr w:rsidR="00816B49" w:rsidRPr="00244D65" w14:paraId="39BD454D" w14:textId="77777777" w:rsidTr="46010CBF">
        <w:trPr>
          <w:trHeight w:val="300"/>
        </w:trPr>
        <w:tc>
          <w:tcPr>
            <w:tcW w:w="2221" w:type="dxa"/>
            <w:tcMar>
              <w:top w:w="85" w:type="dxa"/>
              <w:left w:w="57" w:type="dxa"/>
              <w:bottom w:w="85" w:type="dxa"/>
              <w:right w:w="57" w:type="dxa"/>
            </w:tcMar>
          </w:tcPr>
          <w:p w14:paraId="01EB1A83" w14:textId="4FB63B7F" w:rsidR="00816B49" w:rsidRPr="00244D65" w:rsidRDefault="00816B49" w:rsidP="0085595C">
            <w:pPr>
              <w:rPr>
                <w:noProof/>
              </w:rPr>
            </w:pPr>
            <w:r w:rsidRPr="00244D65">
              <w:rPr>
                <w:noProof/>
              </w:rPr>
              <w:t>BECCS</w:t>
            </w:r>
          </w:p>
        </w:tc>
        <w:tc>
          <w:tcPr>
            <w:tcW w:w="6520" w:type="dxa"/>
            <w:tcMar>
              <w:top w:w="85" w:type="dxa"/>
              <w:left w:w="57" w:type="dxa"/>
              <w:bottom w:w="85" w:type="dxa"/>
              <w:right w:w="57" w:type="dxa"/>
            </w:tcMar>
          </w:tcPr>
          <w:p w14:paraId="3364B695" w14:textId="0E2F18E3" w:rsidR="00816B49" w:rsidRPr="00244D65" w:rsidRDefault="005652C1" w:rsidP="0085595C">
            <w:pPr>
              <w:rPr>
                <w:noProof/>
              </w:rPr>
            </w:pPr>
            <w:r w:rsidRPr="00244D65">
              <w:rPr>
                <w:noProof/>
              </w:rPr>
              <w:t>Bioenergy with carbon capture and storage</w:t>
            </w:r>
          </w:p>
        </w:tc>
      </w:tr>
      <w:tr w:rsidR="2A3983F5" w:rsidRPr="00244D65" w14:paraId="15C71A47" w14:textId="77777777" w:rsidTr="46010CBF">
        <w:trPr>
          <w:trHeight w:val="300"/>
        </w:trPr>
        <w:tc>
          <w:tcPr>
            <w:tcW w:w="2221" w:type="dxa"/>
            <w:tcMar>
              <w:top w:w="85" w:type="dxa"/>
              <w:left w:w="57" w:type="dxa"/>
              <w:bottom w:w="85" w:type="dxa"/>
              <w:right w:w="57" w:type="dxa"/>
            </w:tcMar>
          </w:tcPr>
          <w:p w14:paraId="4312A7BC" w14:textId="35605D42" w:rsidR="2A3983F5" w:rsidRPr="00244D65" w:rsidRDefault="00A604E3" w:rsidP="0085595C">
            <w:pPr>
              <w:rPr>
                <w:noProof/>
              </w:rPr>
            </w:pPr>
            <w:r w:rsidRPr="00244D65">
              <w:rPr>
                <w:noProof/>
              </w:rPr>
              <w:t>CC</w:t>
            </w:r>
            <w:r w:rsidR="009A3569" w:rsidRPr="00244D65">
              <w:rPr>
                <w:noProof/>
              </w:rPr>
              <w:t>f</w:t>
            </w:r>
            <w:r w:rsidRPr="00244D65">
              <w:rPr>
                <w:noProof/>
              </w:rPr>
              <w:t>D</w:t>
            </w:r>
          </w:p>
        </w:tc>
        <w:tc>
          <w:tcPr>
            <w:tcW w:w="6520" w:type="dxa"/>
            <w:tcMar>
              <w:top w:w="85" w:type="dxa"/>
              <w:left w:w="57" w:type="dxa"/>
              <w:bottom w:w="85" w:type="dxa"/>
              <w:right w:w="57" w:type="dxa"/>
            </w:tcMar>
          </w:tcPr>
          <w:p w14:paraId="5B7DBBBD" w14:textId="1E7DCD57" w:rsidR="2A3983F5" w:rsidRPr="00244D65" w:rsidRDefault="00A604E3" w:rsidP="0085595C">
            <w:pPr>
              <w:rPr>
                <w:noProof/>
              </w:rPr>
            </w:pPr>
            <w:r w:rsidRPr="00244D65">
              <w:rPr>
                <w:noProof/>
              </w:rPr>
              <w:t>Carbon contract for difference</w:t>
            </w:r>
          </w:p>
        </w:tc>
      </w:tr>
      <w:tr w:rsidR="008F7B81" w:rsidRPr="00244D65" w14:paraId="75A1108F" w14:textId="77777777" w:rsidTr="46010CBF">
        <w:tc>
          <w:tcPr>
            <w:tcW w:w="2221" w:type="dxa"/>
            <w:tcMar>
              <w:top w:w="85" w:type="dxa"/>
              <w:left w:w="57" w:type="dxa"/>
              <w:bottom w:w="85" w:type="dxa"/>
              <w:right w:w="57" w:type="dxa"/>
            </w:tcMar>
          </w:tcPr>
          <w:p w14:paraId="71B7991C" w14:textId="79842A6D" w:rsidR="008F7B81" w:rsidRPr="00244D65" w:rsidRDefault="00A604E3" w:rsidP="0085595C">
            <w:pPr>
              <w:rPr>
                <w:noProof/>
              </w:rPr>
            </w:pPr>
            <w:r w:rsidRPr="00244D65">
              <w:rPr>
                <w:noProof/>
              </w:rPr>
              <w:t>CCS</w:t>
            </w:r>
          </w:p>
        </w:tc>
        <w:tc>
          <w:tcPr>
            <w:tcW w:w="6520" w:type="dxa"/>
            <w:tcMar>
              <w:top w:w="85" w:type="dxa"/>
              <w:left w:w="57" w:type="dxa"/>
              <w:bottom w:w="85" w:type="dxa"/>
              <w:right w:w="57" w:type="dxa"/>
            </w:tcMar>
          </w:tcPr>
          <w:p w14:paraId="2B79AAFA" w14:textId="4F527969" w:rsidR="008F7B81" w:rsidRPr="00244D65" w:rsidRDefault="00A604E3" w:rsidP="0085595C">
            <w:pPr>
              <w:rPr>
                <w:noProof/>
              </w:rPr>
            </w:pPr>
            <w:r w:rsidRPr="00244D65">
              <w:rPr>
                <w:noProof/>
              </w:rPr>
              <w:t xml:space="preserve">Carbon Capture and Storage: a set of technologies aimed at capturing, transporting, and </w:t>
            </w:r>
            <w:r w:rsidR="006801ED" w:rsidRPr="00244D65">
              <w:rPr>
                <w:noProof/>
              </w:rPr>
              <w:t xml:space="preserve">permanently </w:t>
            </w:r>
            <w:r w:rsidRPr="00244D65">
              <w:rPr>
                <w:noProof/>
              </w:rPr>
              <w:t xml:space="preserve">storing CO₂ </w:t>
            </w:r>
          </w:p>
        </w:tc>
      </w:tr>
      <w:tr w:rsidR="00816B49" w:rsidRPr="00244D65" w14:paraId="69B07D14" w14:textId="77777777" w:rsidTr="46010CBF">
        <w:tc>
          <w:tcPr>
            <w:tcW w:w="2221" w:type="dxa"/>
            <w:tcMar>
              <w:top w:w="85" w:type="dxa"/>
              <w:left w:w="57" w:type="dxa"/>
              <w:bottom w:w="85" w:type="dxa"/>
              <w:right w:w="57" w:type="dxa"/>
            </w:tcMar>
          </w:tcPr>
          <w:p w14:paraId="412B96C0" w14:textId="3EEE8F20" w:rsidR="00816B49" w:rsidRPr="00244D65" w:rsidRDefault="00816B49" w:rsidP="0085595C">
            <w:pPr>
              <w:rPr>
                <w:noProof/>
              </w:rPr>
            </w:pPr>
            <w:r w:rsidRPr="00244D65">
              <w:rPr>
                <w:noProof/>
              </w:rPr>
              <w:t>CCUS</w:t>
            </w:r>
          </w:p>
        </w:tc>
        <w:tc>
          <w:tcPr>
            <w:tcW w:w="6520" w:type="dxa"/>
            <w:tcMar>
              <w:top w:w="85" w:type="dxa"/>
              <w:left w:w="57" w:type="dxa"/>
              <w:bottom w:w="85" w:type="dxa"/>
              <w:right w:w="57" w:type="dxa"/>
            </w:tcMar>
          </w:tcPr>
          <w:p w14:paraId="40431CB1" w14:textId="4FFFD642" w:rsidR="00816B49" w:rsidRPr="00244D65" w:rsidRDefault="005652C1" w:rsidP="0085595C">
            <w:pPr>
              <w:rPr>
                <w:noProof/>
              </w:rPr>
            </w:pPr>
            <w:r w:rsidRPr="00244D65">
              <w:rPr>
                <w:noProof/>
              </w:rPr>
              <w:t xml:space="preserve">Carbon </w:t>
            </w:r>
            <w:r w:rsidR="0015205E" w:rsidRPr="00244D65">
              <w:rPr>
                <w:noProof/>
              </w:rPr>
              <w:t>c</w:t>
            </w:r>
            <w:r w:rsidRPr="00244D65">
              <w:rPr>
                <w:noProof/>
              </w:rPr>
              <w:t xml:space="preserve">apture, </w:t>
            </w:r>
            <w:r w:rsidR="0015205E" w:rsidRPr="00244D65">
              <w:rPr>
                <w:noProof/>
              </w:rPr>
              <w:t>utilisation,</w:t>
            </w:r>
            <w:r w:rsidRPr="00244D65">
              <w:rPr>
                <w:noProof/>
              </w:rPr>
              <w:t xml:space="preserve"> and storage</w:t>
            </w:r>
          </w:p>
        </w:tc>
      </w:tr>
      <w:tr w:rsidR="008F7B81" w:rsidRPr="00244D65" w14:paraId="69DE9AF6" w14:textId="77777777" w:rsidTr="46010CBF">
        <w:tc>
          <w:tcPr>
            <w:tcW w:w="2221" w:type="dxa"/>
            <w:tcMar>
              <w:top w:w="85" w:type="dxa"/>
              <w:left w:w="57" w:type="dxa"/>
              <w:bottom w:w="85" w:type="dxa"/>
              <w:right w:w="57" w:type="dxa"/>
            </w:tcMar>
          </w:tcPr>
          <w:p w14:paraId="3F0532B0" w14:textId="3BA6C457" w:rsidR="008F7B81" w:rsidRPr="00244D65" w:rsidRDefault="00A604E3" w:rsidP="0085595C">
            <w:pPr>
              <w:rPr>
                <w:noProof/>
              </w:rPr>
            </w:pPr>
            <w:bookmarkStart w:id="8" w:name="_Toc211962777"/>
            <w:r w:rsidRPr="00244D65">
              <w:rPr>
                <w:noProof/>
              </w:rPr>
              <w:t>CBAM</w:t>
            </w:r>
            <w:bookmarkEnd w:id="8"/>
          </w:p>
        </w:tc>
        <w:tc>
          <w:tcPr>
            <w:tcW w:w="6520" w:type="dxa"/>
            <w:tcMar>
              <w:top w:w="85" w:type="dxa"/>
              <w:left w:w="57" w:type="dxa"/>
              <w:bottom w:w="85" w:type="dxa"/>
              <w:right w:w="57" w:type="dxa"/>
            </w:tcMar>
          </w:tcPr>
          <w:p w14:paraId="457663C7" w14:textId="50734311" w:rsidR="008F7B81" w:rsidRPr="00244D65" w:rsidRDefault="00A604E3" w:rsidP="0085595C">
            <w:pPr>
              <w:rPr>
                <w:noProof/>
              </w:rPr>
            </w:pPr>
            <w:r w:rsidRPr="00244D65">
              <w:rPr>
                <w:noProof/>
              </w:rPr>
              <w:t>Carbon Border Adjustment Mechanism</w:t>
            </w:r>
          </w:p>
        </w:tc>
      </w:tr>
      <w:tr w:rsidR="555DBE1F" w:rsidRPr="00244D65" w14:paraId="62797B30" w14:textId="77777777" w:rsidTr="46010CBF">
        <w:trPr>
          <w:trHeight w:val="300"/>
        </w:trPr>
        <w:tc>
          <w:tcPr>
            <w:tcW w:w="2221" w:type="dxa"/>
            <w:tcMar>
              <w:top w:w="85" w:type="dxa"/>
              <w:left w:w="57" w:type="dxa"/>
              <w:bottom w:w="85" w:type="dxa"/>
              <w:right w:w="57" w:type="dxa"/>
            </w:tcMar>
          </w:tcPr>
          <w:p w14:paraId="60B7E9E4" w14:textId="31940D1F" w:rsidR="6E545A3B" w:rsidRPr="00244D65" w:rsidRDefault="00A604E3" w:rsidP="0085595C">
            <w:pPr>
              <w:rPr>
                <w:rFonts w:eastAsia="Times New Roman"/>
                <w:noProof/>
                <w:lang w:eastAsia="en-GB"/>
              </w:rPr>
            </w:pPr>
            <w:r w:rsidRPr="00244D65">
              <w:rPr>
                <w:noProof/>
              </w:rPr>
              <w:t>CDR</w:t>
            </w:r>
          </w:p>
        </w:tc>
        <w:tc>
          <w:tcPr>
            <w:tcW w:w="6520" w:type="dxa"/>
            <w:tcMar>
              <w:top w:w="85" w:type="dxa"/>
              <w:left w:w="57" w:type="dxa"/>
              <w:bottom w:w="85" w:type="dxa"/>
              <w:right w:w="57" w:type="dxa"/>
            </w:tcMar>
          </w:tcPr>
          <w:p w14:paraId="79F63154" w14:textId="1B888BF3" w:rsidR="6E545A3B" w:rsidRPr="00244D65" w:rsidRDefault="00A604E3" w:rsidP="0085595C">
            <w:pPr>
              <w:rPr>
                <w:rFonts w:eastAsia="Times New Roman"/>
                <w:noProof/>
                <w:lang w:eastAsia="en-GB"/>
              </w:rPr>
            </w:pPr>
            <w:r w:rsidRPr="00244D65">
              <w:rPr>
                <w:noProof/>
              </w:rPr>
              <w:t>Carbon Dioxide Removal</w:t>
            </w:r>
          </w:p>
        </w:tc>
      </w:tr>
      <w:tr w:rsidR="008F7B81" w:rsidRPr="00244D65" w14:paraId="46D73F24" w14:textId="77777777" w:rsidTr="46010CBF">
        <w:tc>
          <w:tcPr>
            <w:tcW w:w="2221" w:type="dxa"/>
            <w:tcMar>
              <w:top w:w="85" w:type="dxa"/>
              <w:left w:w="57" w:type="dxa"/>
              <w:bottom w:w="85" w:type="dxa"/>
              <w:right w:w="57" w:type="dxa"/>
            </w:tcMar>
          </w:tcPr>
          <w:p w14:paraId="0FD776D5" w14:textId="4C205E8B" w:rsidR="008F7B81" w:rsidRPr="00244D65" w:rsidRDefault="00A604E3" w:rsidP="0085595C">
            <w:pPr>
              <w:rPr>
                <w:noProof/>
              </w:rPr>
            </w:pPr>
            <w:bookmarkStart w:id="9" w:name="_Toc211962780"/>
            <w:r w:rsidRPr="00244D65">
              <w:rPr>
                <w:noProof/>
              </w:rPr>
              <w:t>CHP</w:t>
            </w:r>
            <w:bookmarkEnd w:id="9"/>
          </w:p>
        </w:tc>
        <w:tc>
          <w:tcPr>
            <w:tcW w:w="6520" w:type="dxa"/>
            <w:tcMar>
              <w:top w:w="85" w:type="dxa"/>
              <w:left w:w="57" w:type="dxa"/>
              <w:bottom w:w="85" w:type="dxa"/>
              <w:right w:w="57" w:type="dxa"/>
            </w:tcMar>
          </w:tcPr>
          <w:p w14:paraId="276E203B" w14:textId="42349EB2" w:rsidR="008F7B81" w:rsidRPr="00244D65" w:rsidRDefault="00A604E3" w:rsidP="0085595C">
            <w:pPr>
              <w:rPr>
                <w:noProof/>
              </w:rPr>
            </w:pPr>
            <w:bookmarkStart w:id="10" w:name="_Toc211962782"/>
            <w:r w:rsidRPr="00244D65">
              <w:rPr>
                <w:noProof/>
              </w:rPr>
              <w:t>Combined Heat and Power: a combined heat and power unit is an installation producing both electrical energy and heat</w:t>
            </w:r>
            <w:bookmarkEnd w:id="10"/>
          </w:p>
        </w:tc>
      </w:tr>
      <w:tr w:rsidR="008F7B81" w:rsidRPr="00244D65" w14:paraId="403D48E2" w14:textId="77777777" w:rsidTr="46010CBF">
        <w:tc>
          <w:tcPr>
            <w:tcW w:w="2221" w:type="dxa"/>
            <w:tcMar>
              <w:top w:w="85" w:type="dxa"/>
              <w:left w:w="57" w:type="dxa"/>
              <w:bottom w:w="85" w:type="dxa"/>
              <w:right w:w="57" w:type="dxa"/>
            </w:tcMar>
          </w:tcPr>
          <w:p w14:paraId="7FDCFAC1" w14:textId="10435EB2" w:rsidR="008F7B81" w:rsidRPr="00244D65" w:rsidRDefault="00A604E3" w:rsidP="0085595C">
            <w:pPr>
              <w:rPr>
                <w:noProof/>
              </w:rPr>
            </w:pPr>
            <w:bookmarkStart w:id="11" w:name="_Toc211962788"/>
            <w:r w:rsidRPr="00244D65">
              <w:rPr>
                <w:noProof/>
              </w:rPr>
              <w:t>CO₂</w:t>
            </w:r>
            <w:r w:rsidRPr="00244D65">
              <w:rPr>
                <w:rFonts w:ascii="Cambria Math" w:hAnsi="Cambria Math" w:cs="Cambria Math"/>
                <w:noProof/>
              </w:rPr>
              <w:t>‑</w:t>
            </w:r>
            <w:bookmarkEnd w:id="11"/>
            <w:r w:rsidRPr="00244D65">
              <w:rPr>
                <w:noProof/>
              </w:rPr>
              <w:t>eq</w:t>
            </w:r>
          </w:p>
        </w:tc>
        <w:tc>
          <w:tcPr>
            <w:tcW w:w="6520" w:type="dxa"/>
            <w:tcMar>
              <w:top w:w="85" w:type="dxa"/>
              <w:left w:w="57" w:type="dxa"/>
              <w:bottom w:w="85" w:type="dxa"/>
              <w:right w:w="57" w:type="dxa"/>
            </w:tcMar>
          </w:tcPr>
          <w:p w14:paraId="5B8CB65F" w14:textId="727FE764" w:rsidR="008F7B81" w:rsidRPr="00244D65" w:rsidRDefault="00A604E3" w:rsidP="0085595C">
            <w:pPr>
              <w:rPr>
                <w:noProof/>
              </w:rPr>
            </w:pPr>
            <w:bookmarkStart w:id="12" w:name="_Toc211962789"/>
            <w:r w:rsidRPr="00244D65">
              <w:rPr>
                <w:noProof/>
              </w:rPr>
              <w:t>Carbon dioxide</w:t>
            </w:r>
            <w:r w:rsidRPr="00244D65">
              <w:rPr>
                <w:rFonts w:ascii="Cambria Math" w:hAnsi="Cambria Math" w:cs="Cambria Math"/>
                <w:noProof/>
              </w:rPr>
              <w:t>‑</w:t>
            </w:r>
            <w:r w:rsidRPr="00244D65">
              <w:rPr>
                <w:noProof/>
              </w:rPr>
              <w:t xml:space="preserve">equivalent: a measure used to compare quantities of different greenhouse gases in a common unit </w:t>
            </w:r>
            <w:r w:rsidR="48AF3FDB" w:rsidRPr="00244D65">
              <w:rPr>
                <w:noProof/>
              </w:rPr>
              <w:t>based on</w:t>
            </w:r>
            <w:r w:rsidRPr="00244D65">
              <w:rPr>
                <w:noProof/>
              </w:rPr>
              <w:t xml:space="preserve"> their global warming potential over a given </w:t>
            </w:r>
            <w:bookmarkEnd w:id="12"/>
            <w:r w:rsidR="205F0233" w:rsidRPr="00244D65">
              <w:rPr>
                <w:noProof/>
              </w:rPr>
              <w:t>period</w:t>
            </w:r>
          </w:p>
        </w:tc>
      </w:tr>
      <w:tr w:rsidR="00FE35DC" w:rsidRPr="00244D65" w14:paraId="3695413C" w14:textId="77777777" w:rsidTr="46010CBF">
        <w:tc>
          <w:tcPr>
            <w:tcW w:w="2221" w:type="dxa"/>
            <w:tcMar>
              <w:top w:w="85" w:type="dxa"/>
              <w:left w:w="57" w:type="dxa"/>
              <w:bottom w:w="85" w:type="dxa"/>
              <w:right w:w="57" w:type="dxa"/>
            </w:tcMar>
          </w:tcPr>
          <w:p w14:paraId="44F863F4" w14:textId="7726049B" w:rsidR="00FE35DC" w:rsidRPr="00244D65" w:rsidRDefault="00E25452" w:rsidP="0085595C">
            <w:pPr>
              <w:rPr>
                <w:noProof/>
              </w:rPr>
            </w:pPr>
            <w:r w:rsidRPr="00244D65">
              <w:rPr>
                <w:noProof/>
              </w:rPr>
              <w:t>CORSIA</w:t>
            </w:r>
          </w:p>
        </w:tc>
        <w:tc>
          <w:tcPr>
            <w:tcW w:w="6520" w:type="dxa"/>
            <w:tcMar>
              <w:top w:w="85" w:type="dxa"/>
              <w:left w:w="57" w:type="dxa"/>
              <w:bottom w:w="85" w:type="dxa"/>
              <w:right w:w="57" w:type="dxa"/>
            </w:tcMar>
          </w:tcPr>
          <w:p w14:paraId="081F5F3C" w14:textId="702FA926" w:rsidR="00FE35DC" w:rsidRPr="00244D65" w:rsidRDefault="00E25452" w:rsidP="0085595C">
            <w:pPr>
              <w:rPr>
                <w:noProof/>
              </w:rPr>
            </w:pPr>
            <w:r w:rsidRPr="00244D65">
              <w:rPr>
                <w:noProof/>
              </w:rPr>
              <w:t>Carbon Offsetting and Reduction Scheme for International Aviation</w:t>
            </w:r>
          </w:p>
        </w:tc>
      </w:tr>
      <w:tr w:rsidR="008F7B81" w:rsidRPr="00244D65" w14:paraId="51B52EF5" w14:textId="77777777" w:rsidTr="46010CBF">
        <w:tc>
          <w:tcPr>
            <w:tcW w:w="2221" w:type="dxa"/>
            <w:tcMar>
              <w:top w:w="85" w:type="dxa"/>
              <w:left w:w="57" w:type="dxa"/>
              <w:bottom w:w="85" w:type="dxa"/>
              <w:right w:w="57" w:type="dxa"/>
            </w:tcMar>
          </w:tcPr>
          <w:p w14:paraId="6FE453B7" w14:textId="3FB57493" w:rsidR="008F7B81" w:rsidRPr="00244D65" w:rsidRDefault="00A604E3" w:rsidP="0085595C">
            <w:pPr>
              <w:rPr>
                <w:noProof/>
              </w:rPr>
            </w:pPr>
            <w:bookmarkStart w:id="13" w:name="_Toc211962794"/>
            <w:r w:rsidRPr="00244D65">
              <w:rPr>
                <w:noProof/>
              </w:rPr>
              <w:t>CRCF</w:t>
            </w:r>
            <w:bookmarkEnd w:id="13"/>
          </w:p>
        </w:tc>
        <w:tc>
          <w:tcPr>
            <w:tcW w:w="6520" w:type="dxa"/>
            <w:tcMar>
              <w:top w:w="85" w:type="dxa"/>
              <w:left w:w="57" w:type="dxa"/>
              <w:bottom w:w="85" w:type="dxa"/>
              <w:right w:w="57" w:type="dxa"/>
            </w:tcMar>
          </w:tcPr>
          <w:p w14:paraId="256C95A2" w14:textId="2F46023F" w:rsidR="008F7B81" w:rsidRPr="00244D65" w:rsidRDefault="00A604E3" w:rsidP="0085595C">
            <w:pPr>
              <w:rPr>
                <w:noProof/>
              </w:rPr>
            </w:pPr>
            <w:bookmarkStart w:id="14" w:name="_Toc211962795"/>
            <w:r w:rsidRPr="00244D65">
              <w:rPr>
                <w:noProof/>
              </w:rPr>
              <w:t>Carbon Removals and Carbon Farming framework, established under Regulation (EU/2024/3012)</w:t>
            </w:r>
            <w:bookmarkEnd w:id="14"/>
          </w:p>
        </w:tc>
      </w:tr>
      <w:tr w:rsidR="008F7B81" w:rsidRPr="00244D65" w14:paraId="4266795E" w14:textId="77777777" w:rsidTr="46010CBF">
        <w:tc>
          <w:tcPr>
            <w:tcW w:w="2221" w:type="dxa"/>
            <w:tcMar>
              <w:top w:w="85" w:type="dxa"/>
              <w:left w:w="57" w:type="dxa"/>
              <w:bottom w:w="85" w:type="dxa"/>
              <w:right w:w="57" w:type="dxa"/>
            </w:tcMar>
          </w:tcPr>
          <w:p w14:paraId="2ED7554E" w14:textId="0886200C" w:rsidR="008F7B81" w:rsidRPr="00244D65" w:rsidRDefault="1BF1C157" w:rsidP="0085595C">
            <w:pPr>
              <w:rPr>
                <w:noProof/>
              </w:rPr>
            </w:pPr>
            <w:bookmarkStart w:id="15" w:name="_Toc211962796"/>
            <w:r w:rsidRPr="00244D65">
              <w:rPr>
                <w:noProof/>
              </w:rPr>
              <w:t>CSC</w:t>
            </w:r>
            <w:r w:rsidR="663A35C4" w:rsidRPr="00244D65">
              <w:rPr>
                <w:noProof/>
              </w:rPr>
              <w:t>F</w:t>
            </w:r>
            <w:bookmarkEnd w:id="15"/>
          </w:p>
        </w:tc>
        <w:tc>
          <w:tcPr>
            <w:tcW w:w="6520" w:type="dxa"/>
            <w:tcMar>
              <w:top w:w="85" w:type="dxa"/>
              <w:left w:w="57" w:type="dxa"/>
              <w:bottom w:w="85" w:type="dxa"/>
              <w:right w:w="57" w:type="dxa"/>
            </w:tcMar>
          </w:tcPr>
          <w:p w14:paraId="15F0652F" w14:textId="278098E0" w:rsidR="008F7B81" w:rsidRPr="00244D65" w:rsidRDefault="00A604E3" w:rsidP="0085595C">
            <w:pPr>
              <w:rPr>
                <w:noProof/>
              </w:rPr>
            </w:pPr>
            <w:bookmarkStart w:id="16" w:name="_Toc211962797"/>
            <w:r w:rsidRPr="00244D65">
              <w:rPr>
                <w:noProof/>
              </w:rPr>
              <w:t>Cross</w:t>
            </w:r>
            <w:r w:rsidRPr="00244D65">
              <w:rPr>
                <w:rFonts w:ascii="Cambria Math" w:hAnsi="Cambria Math" w:cs="Cambria Math"/>
                <w:noProof/>
              </w:rPr>
              <w:t>‑</w:t>
            </w:r>
            <w:r w:rsidRPr="00244D65">
              <w:rPr>
                <w:noProof/>
              </w:rPr>
              <w:t>sectoral correction factor: a factor by which free allocation of emission allowances is reduced uniformly across all industry sectors, if the demand for free allocation exceeds the total amount of available free allowances</w:t>
            </w:r>
            <w:bookmarkEnd w:id="16"/>
          </w:p>
        </w:tc>
      </w:tr>
      <w:tr w:rsidR="00816B49" w:rsidRPr="00244D65" w14:paraId="42E9F950" w14:textId="77777777" w:rsidTr="46010CBF">
        <w:tc>
          <w:tcPr>
            <w:tcW w:w="2221" w:type="dxa"/>
            <w:tcMar>
              <w:top w:w="85" w:type="dxa"/>
              <w:left w:w="57" w:type="dxa"/>
              <w:bottom w:w="85" w:type="dxa"/>
              <w:right w:w="57" w:type="dxa"/>
            </w:tcMar>
          </w:tcPr>
          <w:p w14:paraId="12E96677" w14:textId="56BF64CF" w:rsidR="00816B49" w:rsidRPr="00244D65" w:rsidRDefault="00816B49" w:rsidP="0085595C">
            <w:pPr>
              <w:rPr>
                <w:noProof/>
              </w:rPr>
            </w:pPr>
            <w:r w:rsidRPr="00244D65">
              <w:rPr>
                <w:noProof/>
              </w:rPr>
              <w:t>DACCS</w:t>
            </w:r>
          </w:p>
        </w:tc>
        <w:tc>
          <w:tcPr>
            <w:tcW w:w="6520" w:type="dxa"/>
            <w:tcMar>
              <w:top w:w="85" w:type="dxa"/>
              <w:left w:w="57" w:type="dxa"/>
              <w:bottom w:w="85" w:type="dxa"/>
              <w:right w:w="57" w:type="dxa"/>
            </w:tcMar>
          </w:tcPr>
          <w:p w14:paraId="1F0CA385" w14:textId="6A7A23E4" w:rsidR="00816B49" w:rsidRPr="00244D65" w:rsidRDefault="0015205E" w:rsidP="0085595C">
            <w:pPr>
              <w:rPr>
                <w:noProof/>
              </w:rPr>
            </w:pPr>
            <w:r w:rsidRPr="00244D65">
              <w:rPr>
                <w:noProof/>
              </w:rPr>
              <w:t>Direct Air Capture with Carbon Storage</w:t>
            </w:r>
          </w:p>
        </w:tc>
      </w:tr>
      <w:tr w:rsidR="008F7B81" w:rsidRPr="00244D65" w14:paraId="0361D3E0" w14:textId="77777777" w:rsidTr="46010CBF">
        <w:tc>
          <w:tcPr>
            <w:tcW w:w="2221" w:type="dxa"/>
            <w:tcMar>
              <w:top w:w="85" w:type="dxa"/>
              <w:left w:w="57" w:type="dxa"/>
              <w:bottom w:w="85" w:type="dxa"/>
              <w:right w:w="57" w:type="dxa"/>
            </w:tcMar>
          </w:tcPr>
          <w:p w14:paraId="4C58954A" w14:textId="659C8FD8" w:rsidR="008F7B81" w:rsidRPr="00244D65" w:rsidRDefault="0036312A" w:rsidP="0085595C">
            <w:pPr>
              <w:rPr>
                <w:noProof/>
              </w:rPr>
            </w:pPr>
            <w:r w:rsidRPr="00244D65">
              <w:rPr>
                <w:noProof/>
              </w:rPr>
              <w:t>E</w:t>
            </w:r>
            <w:r w:rsidRPr="00244D65">
              <w:rPr>
                <w:rFonts w:ascii="Cambria Math" w:hAnsi="Cambria Math" w:cs="Cambria Math"/>
                <w:noProof/>
              </w:rPr>
              <w:t>‑</w:t>
            </w:r>
            <w:r w:rsidRPr="00244D65">
              <w:rPr>
                <w:noProof/>
              </w:rPr>
              <w:t>fuels</w:t>
            </w:r>
          </w:p>
        </w:tc>
        <w:tc>
          <w:tcPr>
            <w:tcW w:w="6520" w:type="dxa"/>
            <w:tcMar>
              <w:top w:w="85" w:type="dxa"/>
              <w:left w:w="57" w:type="dxa"/>
              <w:bottom w:w="85" w:type="dxa"/>
              <w:right w:w="57" w:type="dxa"/>
            </w:tcMar>
          </w:tcPr>
          <w:p w14:paraId="7D64140B" w14:textId="708319C4" w:rsidR="008F7B81" w:rsidRPr="00244D65" w:rsidRDefault="0036312A" w:rsidP="0085595C">
            <w:pPr>
              <w:rPr>
                <w:noProof/>
              </w:rPr>
            </w:pPr>
            <w:r w:rsidRPr="00244D65">
              <w:rPr>
                <w:noProof/>
              </w:rPr>
              <w:t xml:space="preserve">Liquid fuels produced </w:t>
            </w:r>
            <w:r w:rsidR="1458E8D2" w:rsidRPr="00244D65">
              <w:rPr>
                <w:noProof/>
              </w:rPr>
              <w:t>based on</w:t>
            </w:r>
            <w:r w:rsidRPr="00244D65">
              <w:rPr>
                <w:noProof/>
              </w:rPr>
              <w:t xml:space="preserve"> hydrogen obtained from electricity via electrolysis.</w:t>
            </w:r>
          </w:p>
        </w:tc>
      </w:tr>
      <w:tr w:rsidR="0036312A" w:rsidRPr="00244D65" w14:paraId="02B6ABC5" w14:textId="77777777" w:rsidTr="46010CBF">
        <w:tc>
          <w:tcPr>
            <w:tcW w:w="2221" w:type="dxa"/>
            <w:tcMar>
              <w:top w:w="85" w:type="dxa"/>
              <w:left w:w="57" w:type="dxa"/>
              <w:bottom w:w="85" w:type="dxa"/>
              <w:right w:w="57" w:type="dxa"/>
            </w:tcMar>
          </w:tcPr>
          <w:p w14:paraId="749E4CC9" w14:textId="401E7E52" w:rsidR="0036312A" w:rsidRPr="00244D65" w:rsidRDefault="0036312A" w:rsidP="0085595C">
            <w:pPr>
              <w:rPr>
                <w:noProof/>
              </w:rPr>
            </w:pPr>
            <w:r w:rsidRPr="00244D65">
              <w:rPr>
                <w:noProof/>
              </w:rPr>
              <w:lastRenderedPageBreak/>
              <w:t>EEA</w:t>
            </w:r>
          </w:p>
        </w:tc>
        <w:tc>
          <w:tcPr>
            <w:tcW w:w="6520" w:type="dxa"/>
            <w:tcMar>
              <w:top w:w="85" w:type="dxa"/>
              <w:left w:w="57" w:type="dxa"/>
              <w:bottom w:w="85" w:type="dxa"/>
              <w:right w:w="57" w:type="dxa"/>
            </w:tcMar>
          </w:tcPr>
          <w:p w14:paraId="77F4BAFE" w14:textId="0B758F36" w:rsidR="0036312A" w:rsidRPr="00244D65" w:rsidRDefault="0036312A" w:rsidP="0085595C">
            <w:pPr>
              <w:rPr>
                <w:noProof/>
              </w:rPr>
            </w:pPr>
            <w:r w:rsidRPr="00244D65">
              <w:rPr>
                <w:noProof/>
              </w:rPr>
              <w:t>European Economic Area</w:t>
            </w:r>
          </w:p>
        </w:tc>
      </w:tr>
      <w:tr w:rsidR="0036312A" w:rsidRPr="00244D65" w14:paraId="3A1A2FCA" w14:textId="77777777" w:rsidTr="46010CBF">
        <w:tc>
          <w:tcPr>
            <w:tcW w:w="2221" w:type="dxa"/>
            <w:tcMar>
              <w:top w:w="85" w:type="dxa"/>
              <w:left w:w="57" w:type="dxa"/>
              <w:bottom w:w="85" w:type="dxa"/>
              <w:right w:w="57" w:type="dxa"/>
            </w:tcMar>
          </w:tcPr>
          <w:p w14:paraId="027A4684" w14:textId="47BB1C55" w:rsidR="0036312A" w:rsidRPr="00244D65" w:rsidRDefault="0036312A" w:rsidP="0085595C">
            <w:pPr>
              <w:rPr>
                <w:noProof/>
              </w:rPr>
            </w:pPr>
            <w:r w:rsidRPr="00244D65">
              <w:rPr>
                <w:noProof/>
              </w:rPr>
              <w:t>EIB</w:t>
            </w:r>
          </w:p>
        </w:tc>
        <w:tc>
          <w:tcPr>
            <w:tcW w:w="6520" w:type="dxa"/>
            <w:tcMar>
              <w:top w:w="85" w:type="dxa"/>
              <w:left w:w="57" w:type="dxa"/>
              <w:bottom w:w="85" w:type="dxa"/>
              <w:right w:w="57" w:type="dxa"/>
            </w:tcMar>
          </w:tcPr>
          <w:p w14:paraId="27EFEB14" w14:textId="3803C92F" w:rsidR="0036312A" w:rsidRPr="00244D65" w:rsidRDefault="0036312A" w:rsidP="0085595C">
            <w:pPr>
              <w:rPr>
                <w:noProof/>
              </w:rPr>
            </w:pPr>
            <w:r w:rsidRPr="00244D65">
              <w:rPr>
                <w:noProof/>
              </w:rPr>
              <w:t>European Investment Bank</w:t>
            </w:r>
          </w:p>
        </w:tc>
      </w:tr>
      <w:tr w:rsidR="0036312A" w:rsidRPr="00244D65" w14:paraId="312C3222" w14:textId="77777777" w:rsidTr="46010CBF">
        <w:tc>
          <w:tcPr>
            <w:tcW w:w="2221" w:type="dxa"/>
            <w:tcMar>
              <w:top w:w="85" w:type="dxa"/>
              <w:left w:w="57" w:type="dxa"/>
              <w:bottom w:w="85" w:type="dxa"/>
              <w:right w:w="57" w:type="dxa"/>
            </w:tcMar>
          </w:tcPr>
          <w:p w14:paraId="6B506310" w14:textId="7AEED890" w:rsidR="0036312A" w:rsidRPr="00244D65" w:rsidRDefault="0036312A" w:rsidP="0085595C">
            <w:pPr>
              <w:rPr>
                <w:noProof/>
              </w:rPr>
            </w:pPr>
            <w:r w:rsidRPr="00244D65">
              <w:rPr>
                <w:noProof/>
              </w:rPr>
              <w:t>ESR</w:t>
            </w:r>
          </w:p>
        </w:tc>
        <w:tc>
          <w:tcPr>
            <w:tcW w:w="6520" w:type="dxa"/>
            <w:tcMar>
              <w:top w:w="85" w:type="dxa"/>
              <w:left w:w="57" w:type="dxa"/>
              <w:bottom w:w="85" w:type="dxa"/>
              <w:right w:w="57" w:type="dxa"/>
            </w:tcMar>
          </w:tcPr>
          <w:p w14:paraId="05F55E38" w14:textId="0449DD41" w:rsidR="0036312A" w:rsidRPr="00244D65" w:rsidRDefault="0036312A" w:rsidP="0085595C">
            <w:pPr>
              <w:rPr>
                <w:noProof/>
              </w:rPr>
            </w:pPr>
            <w:r w:rsidRPr="00244D65">
              <w:rPr>
                <w:noProof/>
              </w:rPr>
              <w:t>Effort Sharing Regulation</w:t>
            </w:r>
          </w:p>
        </w:tc>
      </w:tr>
      <w:tr w:rsidR="006977DD" w:rsidRPr="00244D65" w14:paraId="01DB69C2" w14:textId="77777777" w:rsidTr="46010CBF">
        <w:tc>
          <w:tcPr>
            <w:tcW w:w="2221" w:type="dxa"/>
            <w:tcMar>
              <w:top w:w="85" w:type="dxa"/>
              <w:left w:w="57" w:type="dxa"/>
              <w:bottom w:w="85" w:type="dxa"/>
              <w:right w:w="57" w:type="dxa"/>
            </w:tcMar>
          </w:tcPr>
          <w:p w14:paraId="0D0C6383" w14:textId="77777777" w:rsidR="006977DD" w:rsidRPr="00244D65" w:rsidRDefault="006977DD" w:rsidP="0085595C">
            <w:pPr>
              <w:rPr>
                <w:noProof/>
              </w:rPr>
            </w:pPr>
            <w:r w:rsidRPr="00244D65">
              <w:rPr>
                <w:noProof/>
              </w:rPr>
              <w:t>EU ETS</w:t>
            </w:r>
          </w:p>
        </w:tc>
        <w:tc>
          <w:tcPr>
            <w:tcW w:w="6520" w:type="dxa"/>
            <w:tcMar>
              <w:top w:w="85" w:type="dxa"/>
              <w:left w:w="57" w:type="dxa"/>
              <w:bottom w:w="85" w:type="dxa"/>
              <w:right w:w="57" w:type="dxa"/>
            </w:tcMar>
          </w:tcPr>
          <w:p w14:paraId="2F5242DA" w14:textId="70806531" w:rsidR="006977DD" w:rsidRPr="00244D65" w:rsidRDefault="006977DD" w:rsidP="0085595C">
            <w:pPr>
              <w:rPr>
                <w:noProof/>
              </w:rPr>
            </w:pPr>
            <w:r w:rsidRPr="00244D65">
              <w:rPr>
                <w:noProof/>
              </w:rPr>
              <w:t>European Union Emissions Trading System</w:t>
            </w:r>
            <w:r w:rsidRPr="00244D65">
              <w:rPr>
                <w:noProof/>
                <w:lang w:eastAsia="en-GB"/>
              </w:rPr>
              <w:t xml:space="preserve"> covering stationary installations, </w:t>
            </w:r>
            <w:r w:rsidR="5A3D637C" w:rsidRPr="00244D65">
              <w:rPr>
                <w:noProof/>
                <w:lang w:eastAsia="en-GB"/>
              </w:rPr>
              <w:t>aviation,</w:t>
            </w:r>
            <w:r w:rsidRPr="00244D65">
              <w:rPr>
                <w:noProof/>
                <w:lang w:eastAsia="en-GB"/>
              </w:rPr>
              <w:t xml:space="preserve"> and maritime transport</w:t>
            </w:r>
          </w:p>
        </w:tc>
      </w:tr>
      <w:tr w:rsidR="006977DD" w:rsidRPr="00244D65" w14:paraId="5277DC31" w14:textId="77777777" w:rsidTr="46010CBF">
        <w:tc>
          <w:tcPr>
            <w:tcW w:w="2221" w:type="dxa"/>
            <w:tcMar>
              <w:top w:w="85" w:type="dxa"/>
              <w:left w:w="57" w:type="dxa"/>
              <w:bottom w:w="85" w:type="dxa"/>
              <w:right w:w="57" w:type="dxa"/>
            </w:tcMar>
          </w:tcPr>
          <w:p w14:paraId="5974F2AB" w14:textId="77777777" w:rsidR="006977DD" w:rsidRPr="00244D65" w:rsidRDefault="006977DD" w:rsidP="0085595C">
            <w:pPr>
              <w:rPr>
                <w:noProof/>
              </w:rPr>
            </w:pPr>
            <w:r w:rsidRPr="00244D65">
              <w:rPr>
                <w:noProof/>
              </w:rPr>
              <w:t>ETS2</w:t>
            </w:r>
          </w:p>
        </w:tc>
        <w:tc>
          <w:tcPr>
            <w:tcW w:w="6520" w:type="dxa"/>
            <w:tcMar>
              <w:top w:w="85" w:type="dxa"/>
              <w:left w:w="57" w:type="dxa"/>
              <w:bottom w:w="85" w:type="dxa"/>
              <w:right w:w="57" w:type="dxa"/>
            </w:tcMar>
          </w:tcPr>
          <w:p w14:paraId="768E76FE" w14:textId="77777777" w:rsidR="006977DD" w:rsidRPr="00244D65" w:rsidRDefault="006977DD" w:rsidP="0085595C">
            <w:pPr>
              <w:rPr>
                <w:noProof/>
              </w:rPr>
            </w:pPr>
            <w:r w:rsidRPr="00244D65">
              <w:rPr>
                <w:noProof/>
                <w:lang w:eastAsia="en-GB"/>
              </w:rPr>
              <w:t xml:space="preserve">Emissions Trading System covering Buildings, Road Transport and Additional Sectors in accordance with </w:t>
            </w:r>
            <w:r w:rsidRPr="00244D65">
              <w:rPr>
                <w:rFonts w:eastAsia="Times New Roman"/>
                <w:noProof/>
                <w:lang w:eastAsia="en-GB"/>
              </w:rPr>
              <w:t>Chapter IVa of the ETS Directive</w:t>
            </w:r>
          </w:p>
        </w:tc>
      </w:tr>
      <w:tr w:rsidR="0036312A" w:rsidRPr="00244D65" w14:paraId="75DCBF02" w14:textId="77777777" w:rsidTr="46010CBF">
        <w:tc>
          <w:tcPr>
            <w:tcW w:w="2221" w:type="dxa"/>
            <w:tcMar>
              <w:top w:w="85" w:type="dxa"/>
              <w:left w:w="57" w:type="dxa"/>
              <w:bottom w:w="85" w:type="dxa"/>
              <w:right w:w="57" w:type="dxa"/>
            </w:tcMar>
          </w:tcPr>
          <w:p w14:paraId="426CCD09" w14:textId="00005EC4" w:rsidR="0036312A" w:rsidRPr="00244D65" w:rsidRDefault="0036312A" w:rsidP="0085595C">
            <w:pPr>
              <w:rPr>
                <w:noProof/>
              </w:rPr>
            </w:pPr>
            <w:r w:rsidRPr="00244D65">
              <w:rPr>
                <w:noProof/>
              </w:rPr>
              <w:t>EUA</w:t>
            </w:r>
          </w:p>
        </w:tc>
        <w:tc>
          <w:tcPr>
            <w:tcW w:w="6520" w:type="dxa"/>
            <w:tcMar>
              <w:top w:w="85" w:type="dxa"/>
              <w:left w:w="57" w:type="dxa"/>
              <w:bottom w:w="85" w:type="dxa"/>
              <w:right w:w="57" w:type="dxa"/>
            </w:tcMar>
          </w:tcPr>
          <w:p w14:paraId="63029A0D" w14:textId="20B9BD8A" w:rsidR="0036312A" w:rsidRPr="00244D65" w:rsidRDefault="0036312A" w:rsidP="0085595C">
            <w:pPr>
              <w:rPr>
                <w:noProof/>
              </w:rPr>
            </w:pPr>
            <w:r w:rsidRPr="00244D65">
              <w:rPr>
                <w:noProof/>
              </w:rPr>
              <w:t>European Union Allowance: the tradable unit under the EU ETS, giving the holder the right to emit one tonne of CO₂</w:t>
            </w:r>
            <w:r w:rsidRPr="00244D65">
              <w:rPr>
                <w:rFonts w:ascii="Cambria Math" w:hAnsi="Cambria Math" w:cs="Cambria Math"/>
                <w:noProof/>
              </w:rPr>
              <w:t>‑</w:t>
            </w:r>
            <w:r w:rsidRPr="00244D65">
              <w:rPr>
                <w:noProof/>
              </w:rPr>
              <w:t>eq</w:t>
            </w:r>
          </w:p>
        </w:tc>
      </w:tr>
      <w:tr w:rsidR="0036312A" w:rsidRPr="00244D65" w14:paraId="553599B0" w14:textId="77777777" w:rsidTr="46010CBF">
        <w:tc>
          <w:tcPr>
            <w:tcW w:w="2221" w:type="dxa"/>
            <w:tcMar>
              <w:top w:w="85" w:type="dxa"/>
              <w:left w:w="57" w:type="dxa"/>
              <w:bottom w:w="85" w:type="dxa"/>
              <w:right w:w="57" w:type="dxa"/>
            </w:tcMar>
          </w:tcPr>
          <w:p w14:paraId="13EA5157" w14:textId="331564C3" w:rsidR="0036312A" w:rsidRPr="00244D65" w:rsidRDefault="0036312A" w:rsidP="0085595C">
            <w:pPr>
              <w:rPr>
                <w:noProof/>
              </w:rPr>
            </w:pPr>
            <w:r w:rsidRPr="00244D65">
              <w:rPr>
                <w:noProof/>
              </w:rPr>
              <w:t>GDP</w:t>
            </w:r>
          </w:p>
        </w:tc>
        <w:tc>
          <w:tcPr>
            <w:tcW w:w="6520" w:type="dxa"/>
            <w:tcMar>
              <w:top w:w="85" w:type="dxa"/>
              <w:left w:w="57" w:type="dxa"/>
              <w:bottom w:w="85" w:type="dxa"/>
              <w:right w:w="57" w:type="dxa"/>
            </w:tcMar>
          </w:tcPr>
          <w:p w14:paraId="1F3F29DC" w14:textId="10A91015" w:rsidR="0036312A" w:rsidRPr="00244D65" w:rsidRDefault="0036312A" w:rsidP="0085595C">
            <w:pPr>
              <w:rPr>
                <w:noProof/>
              </w:rPr>
            </w:pPr>
            <w:r w:rsidRPr="00244D65">
              <w:rPr>
                <w:noProof/>
              </w:rPr>
              <w:t>Gross Domestic Product</w:t>
            </w:r>
          </w:p>
        </w:tc>
      </w:tr>
      <w:tr w:rsidR="0036312A" w:rsidRPr="00244D65" w14:paraId="32D9F3D6" w14:textId="77777777" w:rsidTr="46010CBF">
        <w:tc>
          <w:tcPr>
            <w:tcW w:w="2221" w:type="dxa"/>
            <w:tcMar>
              <w:top w:w="85" w:type="dxa"/>
              <w:left w:w="57" w:type="dxa"/>
              <w:bottom w:w="85" w:type="dxa"/>
              <w:right w:w="57" w:type="dxa"/>
            </w:tcMar>
          </w:tcPr>
          <w:p w14:paraId="3E1196BC" w14:textId="38930BB7" w:rsidR="0036312A" w:rsidRPr="00244D65" w:rsidRDefault="0036312A" w:rsidP="0085595C">
            <w:pPr>
              <w:rPr>
                <w:noProof/>
              </w:rPr>
            </w:pPr>
            <w:r w:rsidRPr="00244D65">
              <w:rPr>
                <w:noProof/>
              </w:rPr>
              <w:t>GEM</w:t>
            </w:r>
            <w:r w:rsidRPr="00244D65">
              <w:rPr>
                <w:rFonts w:ascii="Cambria Math" w:hAnsi="Cambria Math" w:cs="Cambria Math"/>
                <w:noProof/>
              </w:rPr>
              <w:t>‑</w:t>
            </w:r>
            <w:r w:rsidRPr="00244D65">
              <w:rPr>
                <w:noProof/>
              </w:rPr>
              <w:t>E3</w:t>
            </w:r>
          </w:p>
        </w:tc>
        <w:tc>
          <w:tcPr>
            <w:tcW w:w="6520" w:type="dxa"/>
            <w:tcMar>
              <w:top w:w="85" w:type="dxa"/>
              <w:left w:w="57" w:type="dxa"/>
              <w:bottom w:w="85" w:type="dxa"/>
              <w:right w:w="57" w:type="dxa"/>
            </w:tcMar>
          </w:tcPr>
          <w:p w14:paraId="43D08DBA" w14:textId="40DAAAE7" w:rsidR="0036312A" w:rsidRPr="00244D65" w:rsidRDefault="0036312A" w:rsidP="0085595C">
            <w:pPr>
              <w:rPr>
                <w:noProof/>
              </w:rPr>
            </w:pPr>
            <w:r w:rsidRPr="00244D65">
              <w:rPr>
                <w:noProof/>
              </w:rPr>
              <w:t>General Equilibrium Model for Energy</w:t>
            </w:r>
            <w:r w:rsidRPr="00244D65">
              <w:rPr>
                <w:rFonts w:ascii="Cambria Math" w:hAnsi="Cambria Math" w:cs="Cambria Math"/>
                <w:noProof/>
              </w:rPr>
              <w:t>‑</w:t>
            </w:r>
            <w:r w:rsidRPr="00244D65">
              <w:rPr>
                <w:noProof/>
              </w:rPr>
              <w:t>Economy</w:t>
            </w:r>
            <w:r w:rsidRPr="00244D65">
              <w:rPr>
                <w:rFonts w:ascii="Cambria Math" w:hAnsi="Cambria Math" w:cs="Cambria Math"/>
                <w:noProof/>
              </w:rPr>
              <w:t>‑</w:t>
            </w:r>
            <w:r w:rsidRPr="00244D65">
              <w:rPr>
                <w:noProof/>
              </w:rPr>
              <w:t>Environment interactions</w:t>
            </w:r>
          </w:p>
        </w:tc>
      </w:tr>
      <w:tr w:rsidR="0036312A" w:rsidRPr="00244D65" w14:paraId="383A7828" w14:textId="77777777" w:rsidTr="46010CBF">
        <w:tc>
          <w:tcPr>
            <w:tcW w:w="2221" w:type="dxa"/>
            <w:tcMar>
              <w:top w:w="85" w:type="dxa"/>
              <w:left w:w="57" w:type="dxa"/>
              <w:bottom w:w="85" w:type="dxa"/>
              <w:right w:w="57" w:type="dxa"/>
            </w:tcMar>
          </w:tcPr>
          <w:p w14:paraId="162A2B23" w14:textId="20780612" w:rsidR="0036312A" w:rsidRPr="00244D65" w:rsidRDefault="0036312A" w:rsidP="0085595C">
            <w:pPr>
              <w:rPr>
                <w:noProof/>
              </w:rPr>
            </w:pPr>
            <w:r w:rsidRPr="00244D65">
              <w:rPr>
                <w:noProof/>
              </w:rPr>
              <w:t>GHG</w:t>
            </w:r>
          </w:p>
        </w:tc>
        <w:tc>
          <w:tcPr>
            <w:tcW w:w="6520" w:type="dxa"/>
            <w:tcMar>
              <w:top w:w="85" w:type="dxa"/>
              <w:left w:w="57" w:type="dxa"/>
              <w:bottom w:w="85" w:type="dxa"/>
              <w:right w:w="57" w:type="dxa"/>
            </w:tcMar>
          </w:tcPr>
          <w:p w14:paraId="6AC59037" w14:textId="1FDB3F61" w:rsidR="0036312A" w:rsidRPr="00244D65" w:rsidRDefault="0036312A" w:rsidP="0085595C">
            <w:pPr>
              <w:rPr>
                <w:noProof/>
              </w:rPr>
            </w:pPr>
            <w:r w:rsidRPr="00244D65">
              <w:rPr>
                <w:noProof/>
              </w:rPr>
              <w:t>Greenhouse gas</w:t>
            </w:r>
          </w:p>
        </w:tc>
      </w:tr>
      <w:tr w:rsidR="0036312A" w:rsidRPr="00244D65" w14:paraId="7F3774E9" w14:textId="77777777" w:rsidTr="46010CBF">
        <w:tc>
          <w:tcPr>
            <w:tcW w:w="2221" w:type="dxa"/>
            <w:tcMar>
              <w:top w:w="85" w:type="dxa"/>
              <w:left w:w="57" w:type="dxa"/>
              <w:bottom w:w="85" w:type="dxa"/>
              <w:right w:w="57" w:type="dxa"/>
            </w:tcMar>
          </w:tcPr>
          <w:p w14:paraId="33F3B460" w14:textId="6A399A71" w:rsidR="0036312A" w:rsidRPr="00244D65" w:rsidRDefault="0036312A" w:rsidP="0085595C">
            <w:pPr>
              <w:rPr>
                <w:noProof/>
              </w:rPr>
            </w:pPr>
            <w:r w:rsidRPr="00244D65">
              <w:rPr>
                <w:noProof/>
              </w:rPr>
              <w:t>GT</w:t>
            </w:r>
          </w:p>
        </w:tc>
        <w:tc>
          <w:tcPr>
            <w:tcW w:w="6520" w:type="dxa"/>
            <w:tcMar>
              <w:top w:w="85" w:type="dxa"/>
              <w:left w:w="57" w:type="dxa"/>
              <w:bottom w:w="85" w:type="dxa"/>
              <w:right w:w="57" w:type="dxa"/>
            </w:tcMar>
          </w:tcPr>
          <w:p w14:paraId="275B9387" w14:textId="391B2F73" w:rsidR="0036312A" w:rsidRPr="00244D65" w:rsidRDefault="0036312A" w:rsidP="0085595C">
            <w:pPr>
              <w:rPr>
                <w:noProof/>
              </w:rPr>
            </w:pPr>
            <w:r w:rsidRPr="00244D65">
              <w:rPr>
                <w:noProof/>
              </w:rPr>
              <w:t>Gross Tonnage</w:t>
            </w:r>
          </w:p>
        </w:tc>
      </w:tr>
      <w:tr w:rsidR="006977DD" w:rsidRPr="00244D65" w14:paraId="7AC018D2" w14:textId="77777777" w:rsidTr="46010CBF">
        <w:tc>
          <w:tcPr>
            <w:tcW w:w="2221" w:type="dxa"/>
            <w:tcMar>
              <w:top w:w="85" w:type="dxa"/>
              <w:left w:w="57" w:type="dxa"/>
              <w:bottom w:w="85" w:type="dxa"/>
              <w:right w:w="57" w:type="dxa"/>
            </w:tcMar>
          </w:tcPr>
          <w:p w14:paraId="7BB261F2" w14:textId="1048E6D2" w:rsidR="006977DD" w:rsidRPr="00244D65" w:rsidRDefault="006977DD" w:rsidP="0085595C">
            <w:pPr>
              <w:rPr>
                <w:noProof/>
              </w:rPr>
            </w:pPr>
            <w:r w:rsidRPr="00244D65">
              <w:rPr>
                <w:noProof/>
              </w:rPr>
              <w:t>HWI</w:t>
            </w:r>
          </w:p>
        </w:tc>
        <w:tc>
          <w:tcPr>
            <w:tcW w:w="6520" w:type="dxa"/>
            <w:tcMar>
              <w:top w:w="85" w:type="dxa"/>
              <w:left w:w="57" w:type="dxa"/>
              <w:bottom w:w="85" w:type="dxa"/>
              <w:right w:w="57" w:type="dxa"/>
            </w:tcMar>
          </w:tcPr>
          <w:p w14:paraId="05647A9A" w14:textId="4DC28909" w:rsidR="006977DD" w:rsidRPr="00244D65" w:rsidRDefault="006977DD" w:rsidP="0085595C">
            <w:pPr>
              <w:rPr>
                <w:noProof/>
              </w:rPr>
            </w:pPr>
            <w:r w:rsidRPr="00244D65">
              <w:rPr>
                <w:noProof/>
              </w:rPr>
              <w:t>Hazardous waste incineration</w:t>
            </w:r>
          </w:p>
        </w:tc>
      </w:tr>
      <w:tr w:rsidR="0036312A" w:rsidRPr="00244D65" w14:paraId="3DB373EA" w14:textId="77777777" w:rsidTr="46010CBF">
        <w:tc>
          <w:tcPr>
            <w:tcW w:w="2221" w:type="dxa"/>
            <w:tcMar>
              <w:top w:w="85" w:type="dxa"/>
              <w:left w:w="57" w:type="dxa"/>
              <w:bottom w:w="85" w:type="dxa"/>
              <w:right w:w="57" w:type="dxa"/>
            </w:tcMar>
          </w:tcPr>
          <w:p w14:paraId="4E4D6F6C" w14:textId="02FA9BB4" w:rsidR="0036312A" w:rsidRPr="00244D65" w:rsidRDefault="0036312A" w:rsidP="0085595C">
            <w:pPr>
              <w:rPr>
                <w:noProof/>
              </w:rPr>
            </w:pPr>
            <w:r w:rsidRPr="00244D65">
              <w:rPr>
                <w:noProof/>
              </w:rPr>
              <w:t>ICC</w:t>
            </w:r>
          </w:p>
        </w:tc>
        <w:tc>
          <w:tcPr>
            <w:tcW w:w="6520" w:type="dxa"/>
            <w:tcMar>
              <w:top w:w="85" w:type="dxa"/>
              <w:left w:w="57" w:type="dxa"/>
              <w:bottom w:w="85" w:type="dxa"/>
              <w:right w:w="57" w:type="dxa"/>
            </w:tcMar>
          </w:tcPr>
          <w:p w14:paraId="0BB87028" w14:textId="6333F8B8" w:rsidR="0036312A" w:rsidRPr="00244D65" w:rsidRDefault="0036312A" w:rsidP="0085595C">
            <w:pPr>
              <w:rPr>
                <w:noProof/>
              </w:rPr>
            </w:pPr>
            <w:r w:rsidRPr="00244D65">
              <w:rPr>
                <w:noProof/>
              </w:rPr>
              <w:t>Indirect carbon cost</w:t>
            </w:r>
          </w:p>
        </w:tc>
      </w:tr>
      <w:tr w:rsidR="00194D0D" w:rsidRPr="00244D65" w14:paraId="1CDDA6DD" w14:textId="77777777" w:rsidTr="46010CBF">
        <w:tc>
          <w:tcPr>
            <w:tcW w:w="2221" w:type="dxa"/>
            <w:tcMar>
              <w:top w:w="85" w:type="dxa"/>
              <w:left w:w="57" w:type="dxa"/>
              <w:bottom w:w="85" w:type="dxa"/>
              <w:right w:w="57" w:type="dxa"/>
            </w:tcMar>
          </w:tcPr>
          <w:p w14:paraId="05E8D3D8" w14:textId="2EA05C66" w:rsidR="00194D0D" w:rsidRPr="00244D65" w:rsidRDefault="00194D0D" w:rsidP="0085595C">
            <w:pPr>
              <w:rPr>
                <w:noProof/>
              </w:rPr>
            </w:pPr>
            <w:r w:rsidRPr="00244D65">
              <w:rPr>
                <w:noProof/>
              </w:rPr>
              <w:t>IDB</w:t>
            </w:r>
          </w:p>
        </w:tc>
        <w:tc>
          <w:tcPr>
            <w:tcW w:w="6520" w:type="dxa"/>
            <w:tcMar>
              <w:top w:w="85" w:type="dxa"/>
              <w:left w:w="57" w:type="dxa"/>
              <w:bottom w:w="85" w:type="dxa"/>
              <w:right w:w="57" w:type="dxa"/>
            </w:tcMar>
          </w:tcPr>
          <w:p w14:paraId="5013A63F" w14:textId="24B3DCD4" w:rsidR="00194D0D" w:rsidRPr="00244D65" w:rsidRDefault="00194D0D" w:rsidP="0085595C">
            <w:pPr>
              <w:rPr>
                <w:noProof/>
              </w:rPr>
            </w:pPr>
            <w:r w:rsidRPr="00244D65">
              <w:rPr>
                <w:noProof/>
              </w:rPr>
              <w:t>Industrial Decarbonisation Bank</w:t>
            </w:r>
          </w:p>
        </w:tc>
      </w:tr>
      <w:tr w:rsidR="0036312A" w:rsidRPr="00244D65" w14:paraId="6C57B2BF" w14:textId="77777777" w:rsidTr="46010CBF">
        <w:tc>
          <w:tcPr>
            <w:tcW w:w="2221" w:type="dxa"/>
            <w:tcMar>
              <w:top w:w="85" w:type="dxa"/>
              <w:left w:w="57" w:type="dxa"/>
              <w:bottom w:w="85" w:type="dxa"/>
              <w:right w:w="57" w:type="dxa"/>
            </w:tcMar>
          </w:tcPr>
          <w:p w14:paraId="45446247" w14:textId="5BDDE6B7" w:rsidR="0036312A" w:rsidRPr="00244D65" w:rsidRDefault="0036312A" w:rsidP="0085595C">
            <w:pPr>
              <w:rPr>
                <w:noProof/>
              </w:rPr>
            </w:pPr>
            <w:r w:rsidRPr="00244D65">
              <w:rPr>
                <w:noProof/>
              </w:rPr>
              <w:t>IF</w:t>
            </w:r>
          </w:p>
        </w:tc>
        <w:tc>
          <w:tcPr>
            <w:tcW w:w="6520" w:type="dxa"/>
            <w:tcMar>
              <w:top w:w="85" w:type="dxa"/>
              <w:left w:w="57" w:type="dxa"/>
              <w:bottom w:w="85" w:type="dxa"/>
              <w:right w:w="57" w:type="dxa"/>
            </w:tcMar>
          </w:tcPr>
          <w:p w14:paraId="6B7B1814" w14:textId="62F825FE" w:rsidR="0036312A" w:rsidRPr="00244D65" w:rsidRDefault="0036312A" w:rsidP="0085595C">
            <w:pPr>
              <w:rPr>
                <w:noProof/>
              </w:rPr>
            </w:pPr>
            <w:r w:rsidRPr="00244D65">
              <w:rPr>
                <w:noProof/>
              </w:rPr>
              <w:t>Innovation Fund</w:t>
            </w:r>
          </w:p>
        </w:tc>
      </w:tr>
      <w:tr w:rsidR="0036312A" w:rsidRPr="00244D65" w14:paraId="4C8151AA" w14:textId="77777777" w:rsidTr="46010CBF">
        <w:tc>
          <w:tcPr>
            <w:tcW w:w="2221" w:type="dxa"/>
            <w:tcMar>
              <w:top w:w="85" w:type="dxa"/>
              <w:left w:w="57" w:type="dxa"/>
              <w:bottom w:w="85" w:type="dxa"/>
              <w:right w:w="57" w:type="dxa"/>
            </w:tcMar>
          </w:tcPr>
          <w:p w14:paraId="5B5DA479" w14:textId="04145DB6" w:rsidR="0036312A" w:rsidRPr="00244D65" w:rsidRDefault="0036312A" w:rsidP="0085595C">
            <w:pPr>
              <w:rPr>
                <w:noProof/>
              </w:rPr>
            </w:pPr>
            <w:r w:rsidRPr="00244D65">
              <w:rPr>
                <w:noProof/>
              </w:rPr>
              <w:t>IMO</w:t>
            </w:r>
          </w:p>
        </w:tc>
        <w:tc>
          <w:tcPr>
            <w:tcW w:w="6520" w:type="dxa"/>
            <w:tcMar>
              <w:top w:w="85" w:type="dxa"/>
              <w:left w:w="57" w:type="dxa"/>
              <w:bottom w:w="85" w:type="dxa"/>
              <w:right w:w="57" w:type="dxa"/>
            </w:tcMar>
          </w:tcPr>
          <w:p w14:paraId="327BA54D" w14:textId="1C5BC0CC" w:rsidR="0036312A" w:rsidRPr="00244D65" w:rsidRDefault="0036312A" w:rsidP="0085595C">
            <w:pPr>
              <w:rPr>
                <w:noProof/>
              </w:rPr>
            </w:pPr>
            <w:r w:rsidRPr="00244D65">
              <w:rPr>
                <w:noProof/>
              </w:rPr>
              <w:t>International Maritime Organization</w:t>
            </w:r>
          </w:p>
        </w:tc>
      </w:tr>
      <w:tr w:rsidR="0036312A" w:rsidRPr="00244D65" w14:paraId="70B67113" w14:textId="77777777" w:rsidTr="46010CBF">
        <w:tc>
          <w:tcPr>
            <w:tcW w:w="2221" w:type="dxa"/>
            <w:tcMar>
              <w:top w:w="85" w:type="dxa"/>
              <w:left w:w="57" w:type="dxa"/>
              <w:bottom w:w="85" w:type="dxa"/>
              <w:right w:w="57" w:type="dxa"/>
            </w:tcMar>
          </w:tcPr>
          <w:p w14:paraId="5CFA873F" w14:textId="481F43B4" w:rsidR="0036312A" w:rsidRPr="00244D65" w:rsidRDefault="0036312A" w:rsidP="0085595C">
            <w:pPr>
              <w:rPr>
                <w:noProof/>
              </w:rPr>
            </w:pPr>
            <w:r w:rsidRPr="00244D65">
              <w:rPr>
                <w:noProof/>
              </w:rPr>
              <w:t>JRC</w:t>
            </w:r>
          </w:p>
        </w:tc>
        <w:tc>
          <w:tcPr>
            <w:tcW w:w="6520" w:type="dxa"/>
            <w:tcMar>
              <w:top w:w="85" w:type="dxa"/>
              <w:left w:w="57" w:type="dxa"/>
              <w:bottom w:w="85" w:type="dxa"/>
              <w:right w:w="57" w:type="dxa"/>
            </w:tcMar>
          </w:tcPr>
          <w:p w14:paraId="12235667" w14:textId="64D66B98" w:rsidR="0036312A" w:rsidRPr="00244D65" w:rsidRDefault="0036312A" w:rsidP="0085595C">
            <w:pPr>
              <w:rPr>
                <w:noProof/>
              </w:rPr>
            </w:pPr>
            <w:r w:rsidRPr="00244D65">
              <w:rPr>
                <w:noProof/>
              </w:rPr>
              <w:t>Joint Research Centre of the European Commission</w:t>
            </w:r>
          </w:p>
        </w:tc>
      </w:tr>
      <w:tr w:rsidR="0036312A" w:rsidRPr="00244D65" w14:paraId="5F95FFC4" w14:textId="77777777" w:rsidTr="46010CBF">
        <w:tc>
          <w:tcPr>
            <w:tcW w:w="2221" w:type="dxa"/>
            <w:tcMar>
              <w:top w:w="85" w:type="dxa"/>
              <w:left w:w="57" w:type="dxa"/>
              <w:bottom w:w="85" w:type="dxa"/>
              <w:right w:w="57" w:type="dxa"/>
            </w:tcMar>
          </w:tcPr>
          <w:p w14:paraId="4FE414DE" w14:textId="19119577" w:rsidR="0036312A" w:rsidRPr="00244D65" w:rsidRDefault="0036312A" w:rsidP="0085595C">
            <w:pPr>
              <w:rPr>
                <w:noProof/>
              </w:rPr>
            </w:pPr>
            <w:r w:rsidRPr="00244D65">
              <w:rPr>
                <w:noProof/>
              </w:rPr>
              <w:t>LDC</w:t>
            </w:r>
          </w:p>
        </w:tc>
        <w:tc>
          <w:tcPr>
            <w:tcW w:w="6520" w:type="dxa"/>
            <w:tcMar>
              <w:top w:w="85" w:type="dxa"/>
              <w:left w:w="57" w:type="dxa"/>
              <w:bottom w:w="85" w:type="dxa"/>
              <w:right w:w="57" w:type="dxa"/>
            </w:tcMar>
          </w:tcPr>
          <w:p w14:paraId="7C017943" w14:textId="138C7F98" w:rsidR="0036312A" w:rsidRPr="00244D65" w:rsidRDefault="0036312A" w:rsidP="0085595C">
            <w:pPr>
              <w:rPr>
                <w:noProof/>
              </w:rPr>
            </w:pPr>
            <w:r w:rsidRPr="00244D65">
              <w:rPr>
                <w:noProof/>
              </w:rPr>
              <w:t>Least developed countries</w:t>
            </w:r>
          </w:p>
        </w:tc>
      </w:tr>
      <w:tr w:rsidR="0036312A" w:rsidRPr="00244D65" w14:paraId="69B0AB22" w14:textId="77777777" w:rsidTr="46010CBF">
        <w:tc>
          <w:tcPr>
            <w:tcW w:w="2221" w:type="dxa"/>
            <w:tcMar>
              <w:top w:w="85" w:type="dxa"/>
              <w:left w:w="57" w:type="dxa"/>
              <w:bottom w:w="85" w:type="dxa"/>
              <w:right w:w="57" w:type="dxa"/>
            </w:tcMar>
          </w:tcPr>
          <w:p w14:paraId="7EF8AA14" w14:textId="52FC0DE4" w:rsidR="0036312A" w:rsidRPr="00244D65" w:rsidRDefault="0036312A" w:rsidP="0085595C">
            <w:pPr>
              <w:rPr>
                <w:noProof/>
              </w:rPr>
            </w:pPr>
            <w:r w:rsidRPr="00244D65">
              <w:rPr>
                <w:noProof/>
              </w:rPr>
              <w:lastRenderedPageBreak/>
              <w:t>LRF</w:t>
            </w:r>
          </w:p>
        </w:tc>
        <w:tc>
          <w:tcPr>
            <w:tcW w:w="6520" w:type="dxa"/>
            <w:tcMar>
              <w:top w:w="85" w:type="dxa"/>
              <w:left w:w="57" w:type="dxa"/>
              <w:bottom w:w="85" w:type="dxa"/>
              <w:right w:w="57" w:type="dxa"/>
            </w:tcMar>
          </w:tcPr>
          <w:p w14:paraId="24A1AE83" w14:textId="100797C7" w:rsidR="0036312A" w:rsidRPr="00244D65" w:rsidRDefault="0036312A" w:rsidP="0085595C">
            <w:pPr>
              <w:rPr>
                <w:noProof/>
              </w:rPr>
            </w:pPr>
            <w:r w:rsidRPr="00244D65">
              <w:rPr>
                <w:noProof/>
              </w:rPr>
              <w:t>Linear Reduction Factor: a factor by which the ETS cap is reduced yearly</w:t>
            </w:r>
          </w:p>
        </w:tc>
      </w:tr>
      <w:tr w:rsidR="00CE7005" w:rsidRPr="00244D65" w14:paraId="0B9F4DFD" w14:textId="77777777" w:rsidTr="46010CBF">
        <w:tc>
          <w:tcPr>
            <w:tcW w:w="2221" w:type="dxa"/>
            <w:tcMar>
              <w:top w:w="85" w:type="dxa"/>
              <w:left w:w="57" w:type="dxa"/>
              <w:bottom w:w="85" w:type="dxa"/>
              <w:right w:w="57" w:type="dxa"/>
            </w:tcMar>
          </w:tcPr>
          <w:p w14:paraId="59A39111" w14:textId="77380B92" w:rsidR="00CE7005" w:rsidRPr="00244D65" w:rsidRDefault="00CE7005" w:rsidP="0085595C">
            <w:pPr>
              <w:rPr>
                <w:noProof/>
              </w:rPr>
            </w:pPr>
            <w:r w:rsidRPr="00244D65">
              <w:rPr>
                <w:noProof/>
              </w:rPr>
              <w:t>MF</w:t>
            </w:r>
          </w:p>
        </w:tc>
        <w:tc>
          <w:tcPr>
            <w:tcW w:w="6520" w:type="dxa"/>
            <w:tcMar>
              <w:top w:w="85" w:type="dxa"/>
              <w:left w:w="57" w:type="dxa"/>
              <w:bottom w:w="85" w:type="dxa"/>
              <w:right w:w="57" w:type="dxa"/>
            </w:tcMar>
          </w:tcPr>
          <w:p w14:paraId="73011569" w14:textId="688DBAFE" w:rsidR="00CE7005" w:rsidRPr="00244D65" w:rsidRDefault="00CE7005" w:rsidP="0085595C">
            <w:pPr>
              <w:rPr>
                <w:noProof/>
              </w:rPr>
            </w:pPr>
            <w:r w:rsidRPr="00244D65">
              <w:rPr>
                <w:noProof/>
              </w:rPr>
              <w:t>Modernisation Fund</w:t>
            </w:r>
          </w:p>
        </w:tc>
      </w:tr>
      <w:tr w:rsidR="0036312A" w:rsidRPr="00244D65" w14:paraId="672F0E4F" w14:textId="77777777" w:rsidTr="46010CBF">
        <w:tc>
          <w:tcPr>
            <w:tcW w:w="2221" w:type="dxa"/>
            <w:tcMar>
              <w:top w:w="85" w:type="dxa"/>
              <w:left w:w="57" w:type="dxa"/>
              <w:bottom w:w="85" w:type="dxa"/>
              <w:right w:w="57" w:type="dxa"/>
            </w:tcMar>
          </w:tcPr>
          <w:p w14:paraId="7D50EA7E" w14:textId="5E84F086" w:rsidR="0036312A" w:rsidRPr="00244D65" w:rsidRDefault="0036312A" w:rsidP="0085595C">
            <w:pPr>
              <w:rPr>
                <w:noProof/>
              </w:rPr>
            </w:pPr>
            <w:r w:rsidRPr="00244D65">
              <w:rPr>
                <w:noProof/>
              </w:rPr>
              <w:t>MSR</w:t>
            </w:r>
          </w:p>
        </w:tc>
        <w:tc>
          <w:tcPr>
            <w:tcW w:w="6520" w:type="dxa"/>
            <w:tcMar>
              <w:top w:w="85" w:type="dxa"/>
              <w:left w:w="57" w:type="dxa"/>
              <w:bottom w:w="85" w:type="dxa"/>
              <w:right w:w="57" w:type="dxa"/>
            </w:tcMar>
          </w:tcPr>
          <w:p w14:paraId="2440DB70" w14:textId="7062C2CC" w:rsidR="0036312A" w:rsidRPr="00244D65" w:rsidRDefault="0036312A" w:rsidP="0085595C">
            <w:pPr>
              <w:rPr>
                <w:noProof/>
              </w:rPr>
            </w:pPr>
            <w:r w:rsidRPr="00244D65">
              <w:rPr>
                <w:noProof/>
              </w:rPr>
              <w:t xml:space="preserve">Market </w:t>
            </w:r>
            <w:r w:rsidR="1E158456" w:rsidRPr="00244D65">
              <w:rPr>
                <w:noProof/>
              </w:rPr>
              <w:t>S</w:t>
            </w:r>
            <w:r w:rsidRPr="00244D65">
              <w:rPr>
                <w:noProof/>
              </w:rPr>
              <w:t xml:space="preserve">tability </w:t>
            </w:r>
            <w:r w:rsidR="1B6B0240" w:rsidRPr="00244D65">
              <w:rPr>
                <w:noProof/>
              </w:rPr>
              <w:t>R</w:t>
            </w:r>
            <w:r w:rsidRPr="00244D65">
              <w:rPr>
                <w:noProof/>
              </w:rPr>
              <w:t>eserve</w:t>
            </w:r>
          </w:p>
        </w:tc>
      </w:tr>
      <w:tr w:rsidR="0036312A" w:rsidRPr="00244D65" w14:paraId="032DB3D3" w14:textId="77777777" w:rsidTr="46010CBF">
        <w:tc>
          <w:tcPr>
            <w:tcW w:w="2221" w:type="dxa"/>
            <w:tcMar>
              <w:top w:w="85" w:type="dxa"/>
              <w:left w:w="57" w:type="dxa"/>
              <w:bottom w:w="85" w:type="dxa"/>
              <w:right w:w="57" w:type="dxa"/>
            </w:tcMar>
          </w:tcPr>
          <w:p w14:paraId="1F492F9D" w14:textId="47FB2375" w:rsidR="0036312A" w:rsidRPr="00244D65" w:rsidRDefault="0036312A" w:rsidP="0085595C">
            <w:pPr>
              <w:rPr>
                <w:noProof/>
              </w:rPr>
            </w:pPr>
            <w:r w:rsidRPr="00244D65">
              <w:rPr>
                <w:noProof/>
              </w:rPr>
              <w:t>MtCO₂</w:t>
            </w:r>
          </w:p>
        </w:tc>
        <w:tc>
          <w:tcPr>
            <w:tcW w:w="6520" w:type="dxa"/>
            <w:tcMar>
              <w:top w:w="85" w:type="dxa"/>
              <w:left w:w="57" w:type="dxa"/>
              <w:bottom w:w="85" w:type="dxa"/>
              <w:right w:w="57" w:type="dxa"/>
            </w:tcMar>
          </w:tcPr>
          <w:p w14:paraId="55B45BAC" w14:textId="254F1A45" w:rsidR="0036312A" w:rsidRPr="00244D65" w:rsidRDefault="0036312A" w:rsidP="0085595C">
            <w:pPr>
              <w:rPr>
                <w:noProof/>
              </w:rPr>
            </w:pPr>
            <w:r w:rsidRPr="00244D65">
              <w:rPr>
                <w:noProof/>
              </w:rPr>
              <w:t>Million tonnes of CO₂</w:t>
            </w:r>
          </w:p>
        </w:tc>
      </w:tr>
      <w:tr w:rsidR="0036312A" w:rsidRPr="00244D65" w14:paraId="72838A74" w14:textId="77777777" w:rsidTr="46010CBF">
        <w:tc>
          <w:tcPr>
            <w:tcW w:w="2221" w:type="dxa"/>
            <w:tcMar>
              <w:top w:w="85" w:type="dxa"/>
              <w:left w:w="57" w:type="dxa"/>
              <w:bottom w:w="85" w:type="dxa"/>
              <w:right w:w="57" w:type="dxa"/>
            </w:tcMar>
          </w:tcPr>
          <w:p w14:paraId="55AB9D2D" w14:textId="03786257" w:rsidR="0036312A" w:rsidRPr="00244D65" w:rsidRDefault="0036312A" w:rsidP="0085595C">
            <w:pPr>
              <w:rPr>
                <w:noProof/>
              </w:rPr>
            </w:pPr>
            <w:r w:rsidRPr="00244D65">
              <w:rPr>
                <w:noProof/>
              </w:rPr>
              <w:t>MW</w:t>
            </w:r>
          </w:p>
        </w:tc>
        <w:tc>
          <w:tcPr>
            <w:tcW w:w="6520" w:type="dxa"/>
            <w:tcMar>
              <w:top w:w="85" w:type="dxa"/>
              <w:left w:w="57" w:type="dxa"/>
              <w:bottom w:w="85" w:type="dxa"/>
              <w:right w:w="57" w:type="dxa"/>
            </w:tcMar>
          </w:tcPr>
          <w:p w14:paraId="33B99B32" w14:textId="66AFA00E" w:rsidR="0036312A" w:rsidRPr="00244D65" w:rsidRDefault="0036312A" w:rsidP="0085595C">
            <w:pPr>
              <w:rPr>
                <w:noProof/>
              </w:rPr>
            </w:pPr>
            <w:r w:rsidRPr="00244D65">
              <w:rPr>
                <w:noProof/>
              </w:rPr>
              <w:t>Megawatt</w:t>
            </w:r>
          </w:p>
        </w:tc>
      </w:tr>
      <w:tr w:rsidR="006977DD" w:rsidRPr="00244D65" w14:paraId="5B0DB3FB" w14:textId="77777777" w:rsidTr="46010CBF">
        <w:tc>
          <w:tcPr>
            <w:tcW w:w="2221" w:type="dxa"/>
            <w:tcMar>
              <w:top w:w="85" w:type="dxa"/>
              <w:left w:w="57" w:type="dxa"/>
              <w:bottom w:w="85" w:type="dxa"/>
              <w:right w:w="57" w:type="dxa"/>
            </w:tcMar>
          </w:tcPr>
          <w:p w14:paraId="42F8D167" w14:textId="5A1978D4" w:rsidR="006977DD" w:rsidRPr="00244D65" w:rsidRDefault="006977DD" w:rsidP="0085595C">
            <w:pPr>
              <w:rPr>
                <w:noProof/>
              </w:rPr>
            </w:pPr>
            <w:r w:rsidRPr="00244D65">
              <w:rPr>
                <w:noProof/>
              </w:rPr>
              <w:t>MWI</w:t>
            </w:r>
          </w:p>
        </w:tc>
        <w:tc>
          <w:tcPr>
            <w:tcW w:w="6520" w:type="dxa"/>
            <w:tcMar>
              <w:top w:w="85" w:type="dxa"/>
              <w:left w:w="57" w:type="dxa"/>
              <w:bottom w:w="85" w:type="dxa"/>
              <w:right w:w="57" w:type="dxa"/>
            </w:tcMar>
          </w:tcPr>
          <w:p w14:paraId="5E862386" w14:textId="0BEB6D03" w:rsidR="006977DD" w:rsidRPr="00244D65" w:rsidRDefault="006977DD" w:rsidP="0085595C">
            <w:pPr>
              <w:rPr>
                <w:noProof/>
              </w:rPr>
            </w:pPr>
            <w:r w:rsidRPr="00244D65">
              <w:rPr>
                <w:noProof/>
              </w:rPr>
              <w:t>Municipal waste incineration</w:t>
            </w:r>
          </w:p>
        </w:tc>
      </w:tr>
      <w:tr w:rsidR="0036312A" w:rsidRPr="00244D65" w14:paraId="7240500E" w14:textId="77777777" w:rsidTr="46010CBF">
        <w:tc>
          <w:tcPr>
            <w:tcW w:w="2221" w:type="dxa"/>
            <w:tcMar>
              <w:top w:w="85" w:type="dxa"/>
              <w:left w:w="57" w:type="dxa"/>
              <w:bottom w:w="85" w:type="dxa"/>
              <w:right w:w="57" w:type="dxa"/>
            </w:tcMar>
          </w:tcPr>
          <w:p w14:paraId="2224C51E" w14:textId="1613BA2E" w:rsidR="0036312A" w:rsidRPr="00244D65" w:rsidRDefault="00650DC3" w:rsidP="0085595C">
            <w:pPr>
              <w:rPr>
                <w:noProof/>
              </w:rPr>
            </w:pPr>
            <w:r w:rsidRPr="00244D65">
              <w:rPr>
                <w:noProof/>
              </w:rPr>
              <w:t>NECP</w:t>
            </w:r>
          </w:p>
        </w:tc>
        <w:tc>
          <w:tcPr>
            <w:tcW w:w="6520" w:type="dxa"/>
            <w:tcMar>
              <w:top w:w="85" w:type="dxa"/>
              <w:left w:w="57" w:type="dxa"/>
              <w:bottom w:w="85" w:type="dxa"/>
              <w:right w:w="57" w:type="dxa"/>
            </w:tcMar>
          </w:tcPr>
          <w:p w14:paraId="77AAE5D7" w14:textId="7A9C34DD" w:rsidR="0036312A" w:rsidRPr="00244D65" w:rsidRDefault="00650DC3" w:rsidP="0085595C">
            <w:pPr>
              <w:rPr>
                <w:noProof/>
              </w:rPr>
            </w:pPr>
            <w:r w:rsidRPr="00244D65">
              <w:rPr>
                <w:noProof/>
              </w:rPr>
              <w:t>National Energy and Climate Plan</w:t>
            </w:r>
          </w:p>
        </w:tc>
      </w:tr>
      <w:tr w:rsidR="0036312A" w:rsidRPr="00244D65" w14:paraId="5EA55A2A" w14:textId="77777777" w:rsidTr="46010CBF">
        <w:tc>
          <w:tcPr>
            <w:tcW w:w="2221" w:type="dxa"/>
            <w:tcMar>
              <w:top w:w="85" w:type="dxa"/>
              <w:left w:w="57" w:type="dxa"/>
              <w:bottom w:w="85" w:type="dxa"/>
              <w:right w:w="57" w:type="dxa"/>
            </w:tcMar>
          </w:tcPr>
          <w:p w14:paraId="365739B0" w14:textId="06D8F65F" w:rsidR="0036312A" w:rsidRPr="00244D65" w:rsidRDefault="00650DC3" w:rsidP="0085595C">
            <w:pPr>
              <w:rPr>
                <w:noProof/>
              </w:rPr>
            </w:pPr>
            <w:r w:rsidRPr="00244D65">
              <w:rPr>
                <w:noProof/>
              </w:rPr>
              <w:t>NIMs</w:t>
            </w:r>
          </w:p>
        </w:tc>
        <w:tc>
          <w:tcPr>
            <w:tcW w:w="6520" w:type="dxa"/>
            <w:tcMar>
              <w:top w:w="85" w:type="dxa"/>
              <w:left w:w="57" w:type="dxa"/>
              <w:bottom w:w="85" w:type="dxa"/>
              <w:right w:w="57" w:type="dxa"/>
            </w:tcMar>
          </w:tcPr>
          <w:p w14:paraId="4B4CDC1E" w14:textId="55A5052F" w:rsidR="0036312A" w:rsidRPr="00244D65" w:rsidRDefault="00650DC3" w:rsidP="0085595C">
            <w:pPr>
              <w:rPr>
                <w:noProof/>
              </w:rPr>
            </w:pPr>
            <w:r w:rsidRPr="00244D65">
              <w:rPr>
                <w:noProof/>
              </w:rPr>
              <w:t>National implementation measures under Article 11 ETS Directive</w:t>
            </w:r>
          </w:p>
        </w:tc>
      </w:tr>
      <w:tr w:rsidR="0036312A" w:rsidRPr="00244D65" w14:paraId="275B3021" w14:textId="77777777" w:rsidTr="46010CBF">
        <w:tc>
          <w:tcPr>
            <w:tcW w:w="2221" w:type="dxa"/>
            <w:tcMar>
              <w:top w:w="85" w:type="dxa"/>
              <w:left w:w="57" w:type="dxa"/>
              <w:bottom w:w="85" w:type="dxa"/>
              <w:right w:w="57" w:type="dxa"/>
            </w:tcMar>
          </w:tcPr>
          <w:p w14:paraId="12CB004C" w14:textId="017A0EC8" w:rsidR="0036312A" w:rsidRPr="00244D65" w:rsidRDefault="00650DC3" w:rsidP="0085595C">
            <w:pPr>
              <w:rPr>
                <w:noProof/>
              </w:rPr>
            </w:pPr>
            <w:r w:rsidRPr="00244D65">
              <w:rPr>
                <w:noProof/>
              </w:rPr>
              <w:t>OPC</w:t>
            </w:r>
          </w:p>
        </w:tc>
        <w:tc>
          <w:tcPr>
            <w:tcW w:w="6520" w:type="dxa"/>
            <w:tcMar>
              <w:top w:w="85" w:type="dxa"/>
              <w:left w:w="57" w:type="dxa"/>
              <w:bottom w:w="85" w:type="dxa"/>
              <w:right w:w="57" w:type="dxa"/>
            </w:tcMar>
          </w:tcPr>
          <w:p w14:paraId="10D71C09" w14:textId="36C4C281" w:rsidR="0036312A" w:rsidRPr="00244D65" w:rsidRDefault="00650DC3" w:rsidP="0085595C">
            <w:pPr>
              <w:rPr>
                <w:noProof/>
              </w:rPr>
            </w:pPr>
            <w:r w:rsidRPr="00244D65">
              <w:rPr>
                <w:noProof/>
              </w:rPr>
              <w:t>Open Public Consultation</w:t>
            </w:r>
          </w:p>
        </w:tc>
      </w:tr>
      <w:tr w:rsidR="0036312A" w:rsidRPr="00244D65" w14:paraId="21ADF2CD" w14:textId="77777777" w:rsidTr="46010CBF">
        <w:tc>
          <w:tcPr>
            <w:tcW w:w="2221" w:type="dxa"/>
            <w:tcMar>
              <w:top w:w="85" w:type="dxa"/>
              <w:left w:w="57" w:type="dxa"/>
              <w:bottom w:w="85" w:type="dxa"/>
              <w:right w:w="57" w:type="dxa"/>
            </w:tcMar>
          </w:tcPr>
          <w:p w14:paraId="38ADD3E0" w14:textId="04D57495" w:rsidR="0036312A" w:rsidRPr="00244D65" w:rsidRDefault="00650DC3" w:rsidP="0085595C">
            <w:pPr>
              <w:rPr>
                <w:noProof/>
              </w:rPr>
            </w:pPr>
            <w:r w:rsidRPr="00244D65">
              <w:rPr>
                <w:noProof/>
              </w:rPr>
              <w:t>PRIMES</w:t>
            </w:r>
          </w:p>
        </w:tc>
        <w:tc>
          <w:tcPr>
            <w:tcW w:w="6520" w:type="dxa"/>
            <w:tcMar>
              <w:top w:w="85" w:type="dxa"/>
              <w:left w:w="57" w:type="dxa"/>
              <w:bottom w:w="85" w:type="dxa"/>
              <w:right w:w="57" w:type="dxa"/>
            </w:tcMar>
          </w:tcPr>
          <w:p w14:paraId="7FA6162F" w14:textId="35668DF4" w:rsidR="0036312A" w:rsidRPr="00244D65" w:rsidRDefault="00650DC3" w:rsidP="0085595C">
            <w:pPr>
              <w:rPr>
                <w:noProof/>
              </w:rPr>
            </w:pPr>
            <w:r w:rsidRPr="00244D65">
              <w:rPr>
                <w:noProof/>
              </w:rPr>
              <w:t>Price</w:t>
            </w:r>
            <w:r w:rsidRPr="00244D65">
              <w:rPr>
                <w:rFonts w:ascii="Cambria Math" w:hAnsi="Cambria Math" w:cs="Cambria Math"/>
                <w:noProof/>
              </w:rPr>
              <w:t>‑</w:t>
            </w:r>
            <w:r w:rsidRPr="00244D65">
              <w:rPr>
                <w:noProof/>
              </w:rPr>
              <w:t>Induced Market Equilibrium System model</w:t>
            </w:r>
          </w:p>
        </w:tc>
      </w:tr>
      <w:tr w:rsidR="0036312A" w:rsidRPr="00244D65" w14:paraId="7B67156B" w14:textId="77777777" w:rsidTr="46010CBF">
        <w:tc>
          <w:tcPr>
            <w:tcW w:w="2221" w:type="dxa"/>
            <w:tcMar>
              <w:top w:w="85" w:type="dxa"/>
              <w:left w:w="57" w:type="dxa"/>
              <w:bottom w:w="85" w:type="dxa"/>
              <w:right w:w="57" w:type="dxa"/>
            </w:tcMar>
          </w:tcPr>
          <w:p w14:paraId="540612A7" w14:textId="185A4887" w:rsidR="0036312A" w:rsidRPr="00244D65" w:rsidRDefault="00650DC3" w:rsidP="0085595C">
            <w:pPr>
              <w:rPr>
                <w:noProof/>
              </w:rPr>
            </w:pPr>
            <w:r w:rsidRPr="00244D65">
              <w:rPr>
                <w:noProof/>
              </w:rPr>
              <w:t>PRIMES</w:t>
            </w:r>
            <w:r w:rsidRPr="00244D65">
              <w:rPr>
                <w:rFonts w:ascii="Cambria Math" w:hAnsi="Cambria Math" w:cs="Cambria Math"/>
                <w:noProof/>
              </w:rPr>
              <w:t>‑</w:t>
            </w:r>
            <w:r w:rsidRPr="00244D65">
              <w:rPr>
                <w:noProof/>
              </w:rPr>
              <w:t>TREMOVE</w:t>
            </w:r>
          </w:p>
        </w:tc>
        <w:tc>
          <w:tcPr>
            <w:tcW w:w="6520" w:type="dxa"/>
            <w:tcMar>
              <w:top w:w="85" w:type="dxa"/>
              <w:left w:w="57" w:type="dxa"/>
              <w:bottom w:w="85" w:type="dxa"/>
              <w:right w:w="57" w:type="dxa"/>
            </w:tcMar>
          </w:tcPr>
          <w:p w14:paraId="08067946" w14:textId="3A60A13C" w:rsidR="0036312A" w:rsidRPr="00244D65" w:rsidRDefault="00650DC3" w:rsidP="0085595C">
            <w:pPr>
              <w:rPr>
                <w:noProof/>
              </w:rPr>
            </w:pPr>
            <w:r w:rsidRPr="00244D65">
              <w:rPr>
                <w:noProof/>
              </w:rPr>
              <w:t>Integrated transport component of PRIMES model</w:t>
            </w:r>
          </w:p>
        </w:tc>
      </w:tr>
      <w:tr w:rsidR="0036312A" w:rsidRPr="00244D65" w14:paraId="793E97E5" w14:textId="77777777" w:rsidTr="46010CBF">
        <w:tc>
          <w:tcPr>
            <w:tcW w:w="2221" w:type="dxa"/>
            <w:tcMar>
              <w:top w:w="85" w:type="dxa"/>
              <w:left w:w="57" w:type="dxa"/>
              <w:bottom w:w="85" w:type="dxa"/>
              <w:right w:w="57" w:type="dxa"/>
            </w:tcMar>
          </w:tcPr>
          <w:p w14:paraId="552B721C" w14:textId="0DF06BAA" w:rsidR="0036312A" w:rsidRPr="00244D65" w:rsidRDefault="00650DC3" w:rsidP="0085595C">
            <w:pPr>
              <w:rPr>
                <w:noProof/>
              </w:rPr>
            </w:pPr>
            <w:r w:rsidRPr="00244D65">
              <w:rPr>
                <w:noProof/>
              </w:rPr>
              <w:t>SAF</w:t>
            </w:r>
          </w:p>
        </w:tc>
        <w:tc>
          <w:tcPr>
            <w:tcW w:w="6520" w:type="dxa"/>
            <w:tcMar>
              <w:top w:w="85" w:type="dxa"/>
              <w:left w:w="57" w:type="dxa"/>
              <w:bottom w:w="85" w:type="dxa"/>
              <w:right w:w="57" w:type="dxa"/>
            </w:tcMar>
          </w:tcPr>
          <w:p w14:paraId="7EC57C4D" w14:textId="5B5F0710" w:rsidR="0036312A" w:rsidRPr="00244D65" w:rsidRDefault="00650DC3" w:rsidP="0085595C">
            <w:pPr>
              <w:rPr>
                <w:noProof/>
              </w:rPr>
            </w:pPr>
            <w:r w:rsidRPr="00244D65">
              <w:rPr>
                <w:noProof/>
              </w:rPr>
              <w:t>Sustainable Aviation Fuel</w:t>
            </w:r>
          </w:p>
        </w:tc>
      </w:tr>
      <w:tr w:rsidR="0036312A" w:rsidRPr="00244D65" w14:paraId="61F7D86C" w14:textId="77777777" w:rsidTr="46010CBF">
        <w:tc>
          <w:tcPr>
            <w:tcW w:w="2221" w:type="dxa"/>
            <w:tcMar>
              <w:top w:w="85" w:type="dxa"/>
              <w:left w:w="57" w:type="dxa"/>
              <w:bottom w:w="85" w:type="dxa"/>
              <w:right w:w="57" w:type="dxa"/>
            </w:tcMar>
          </w:tcPr>
          <w:p w14:paraId="4B34B0BF" w14:textId="679ED464" w:rsidR="0036312A" w:rsidRPr="00244D65" w:rsidRDefault="00650DC3" w:rsidP="0085595C">
            <w:pPr>
              <w:rPr>
                <w:noProof/>
              </w:rPr>
            </w:pPr>
            <w:r w:rsidRPr="00244D65">
              <w:rPr>
                <w:noProof/>
              </w:rPr>
              <w:t>SME</w:t>
            </w:r>
          </w:p>
        </w:tc>
        <w:tc>
          <w:tcPr>
            <w:tcW w:w="6520" w:type="dxa"/>
            <w:tcMar>
              <w:top w:w="85" w:type="dxa"/>
              <w:left w:w="57" w:type="dxa"/>
              <w:bottom w:w="85" w:type="dxa"/>
              <w:right w:w="57" w:type="dxa"/>
            </w:tcMar>
          </w:tcPr>
          <w:p w14:paraId="3F6D5F8F" w14:textId="28163B3D" w:rsidR="0036312A" w:rsidRPr="00244D65" w:rsidRDefault="00650DC3" w:rsidP="0085595C">
            <w:pPr>
              <w:rPr>
                <w:noProof/>
              </w:rPr>
            </w:pPr>
            <w:r w:rsidRPr="00244D65">
              <w:rPr>
                <w:noProof/>
              </w:rPr>
              <w:t>Small and medium</w:t>
            </w:r>
            <w:r w:rsidRPr="00244D65">
              <w:rPr>
                <w:rFonts w:ascii="Cambria Math" w:hAnsi="Cambria Math" w:cs="Cambria Math"/>
                <w:noProof/>
              </w:rPr>
              <w:t>‑</w:t>
            </w:r>
            <w:r w:rsidRPr="00244D65">
              <w:rPr>
                <w:noProof/>
              </w:rPr>
              <w:t>sized enterprise</w:t>
            </w:r>
          </w:p>
        </w:tc>
      </w:tr>
      <w:tr w:rsidR="0036312A" w:rsidRPr="00244D65" w14:paraId="64CE34ED" w14:textId="77777777" w:rsidTr="46010CBF">
        <w:tc>
          <w:tcPr>
            <w:tcW w:w="2221" w:type="dxa"/>
            <w:tcMar>
              <w:top w:w="85" w:type="dxa"/>
              <w:left w:w="57" w:type="dxa"/>
              <w:bottom w:w="85" w:type="dxa"/>
              <w:right w:w="57" w:type="dxa"/>
            </w:tcMar>
          </w:tcPr>
          <w:p w14:paraId="3FD9A1E4" w14:textId="6279BAC8" w:rsidR="0036312A" w:rsidRPr="00244D65" w:rsidRDefault="00650DC3" w:rsidP="0085595C">
            <w:pPr>
              <w:rPr>
                <w:noProof/>
              </w:rPr>
            </w:pPr>
            <w:r w:rsidRPr="00244D65">
              <w:rPr>
                <w:noProof/>
              </w:rPr>
              <w:t>SIDS</w:t>
            </w:r>
          </w:p>
        </w:tc>
        <w:tc>
          <w:tcPr>
            <w:tcW w:w="6520" w:type="dxa"/>
            <w:tcMar>
              <w:top w:w="85" w:type="dxa"/>
              <w:left w:w="57" w:type="dxa"/>
              <w:bottom w:w="85" w:type="dxa"/>
              <w:right w:w="57" w:type="dxa"/>
            </w:tcMar>
          </w:tcPr>
          <w:p w14:paraId="1B2490A8" w14:textId="77EB4EBA" w:rsidR="0036312A" w:rsidRPr="00244D65" w:rsidRDefault="00650DC3" w:rsidP="0085595C">
            <w:pPr>
              <w:rPr>
                <w:noProof/>
              </w:rPr>
            </w:pPr>
            <w:r w:rsidRPr="00244D65">
              <w:rPr>
                <w:noProof/>
              </w:rPr>
              <w:t>Small island developing states</w:t>
            </w:r>
          </w:p>
        </w:tc>
      </w:tr>
      <w:tr w:rsidR="0036312A" w:rsidRPr="00244D65" w14:paraId="29692B20" w14:textId="77777777" w:rsidTr="46010CBF">
        <w:tc>
          <w:tcPr>
            <w:tcW w:w="2221" w:type="dxa"/>
            <w:tcMar>
              <w:top w:w="85" w:type="dxa"/>
              <w:left w:w="57" w:type="dxa"/>
              <w:bottom w:w="85" w:type="dxa"/>
              <w:right w:w="57" w:type="dxa"/>
            </w:tcMar>
          </w:tcPr>
          <w:p w14:paraId="68CC2283" w14:textId="4A8E5002" w:rsidR="0036312A" w:rsidRPr="00244D65" w:rsidRDefault="00650DC3" w:rsidP="0085595C">
            <w:pPr>
              <w:rPr>
                <w:noProof/>
              </w:rPr>
            </w:pPr>
            <w:r w:rsidRPr="00244D65">
              <w:rPr>
                <w:noProof/>
              </w:rPr>
              <w:t>SWD</w:t>
            </w:r>
          </w:p>
        </w:tc>
        <w:tc>
          <w:tcPr>
            <w:tcW w:w="6520" w:type="dxa"/>
            <w:tcMar>
              <w:top w:w="85" w:type="dxa"/>
              <w:left w:w="57" w:type="dxa"/>
              <w:bottom w:w="85" w:type="dxa"/>
              <w:right w:w="57" w:type="dxa"/>
            </w:tcMar>
          </w:tcPr>
          <w:p w14:paraId="7A54FC8A" w14:textId="19381EEC" w:rsidR="0036312A" w:rsidRPr="00244D65" w:rsidRDefault="00650DC3" w:rsidP="0085595C">
            <w:pPr>
              <w:rPr>
                <w:noProof/>
              </w:rPr>
            </w:pPr>
            <w:r w:rsidRPr="00244D65">
              <w:rPr>
                <w:noProof/>
              </w:rPr>
              <w:t>Staff working document</w:t>
            </w:r>
          </w:p>
        </w:tc>
      </w:tr>
      <w:tr w:rsidR="0036312A" w:rsidRPr="00244D65" w14:paraId="7621125B" w14:textId="77777777" w:rsidTr="46010CBF">
        <w:tc>
          <w:tcPr>
            <w:tcW w:w="2221" w:type="dxa"/>
            <w:tcMar>
              <w:top w:w="85" w:type="dxa"/>
              <w:left w:w="57" w:type="dxa"/>
              <w:bottom w:w="85" w:type="dxa"/>
              <w:right w:w="57" w:type="dxa"/>
            </w:tcMar>
          </w:tcPr>
          <w:p w14:paraId="04EDD34F" w14:textId="236D2160" w:rsidR="0036312A" w:rsidRPr="00244D65" w:rsidRDefault="00650DC3" w:rsidP="0085595C">
            <w:pPr>
              <w:rPr>
                <w:noProof/>
              </w:rPr>
            </w:pPr>
            <w:r w:rsidRPr="00244D65">
              <w:rPr>
                <w:noProof/>
              </w:rPr>
              <w:t>TNAC</w:t>
            </w:r>
          </w:p>
        </w:tc>
        <w:tc>
          <w:tcPr>
            <w:tcW w:w="6520" w:type="dxa"/>
            <w:tcMar>
              <w:top w:w="85" w:type="dxa"/>
              <w:left w:w="57" w:type="dxa"/>
              <w:bottom w:w="85" w:type="dxa"/>
              <w:right w:w="57" w:type="dxa"/>
            </w:tcMar>
          </w:tcPr>
          <w:p w14:paraId="32D024D0" w14:textId="2CA61D8B" w:rsidR="0036312A" w:rsidRPr="00244D65" w:rsidRDefault="00650DC3" w:rsidP="0085595C">
            <w:pPr>
              <w:rPr>
                <w:noProof/>
              </w:rPr>
            </w:pPr>
            <w:r w:rsidRPr="00244D65">
              <w:rPr>
                <w:noProof/>
              </w:rPr>
              <w:t>Total number of allowances in circulation</w:t>
            </w:r>
          </w:p>
        </w:tc>
      </w:tr>
      <w:tr w:rsidR="0036312A" w:rsidRPr="00244D65" w14:paraId="768ED3BE" w14:textId="77777777" w:rsidTr="46010CBF">
        <w:tc>
          <w:tcPr>
            <w:tcW w:w="2221" w:type="dxa"/>
            <w:tcMar>
              <w:top w:w="85" w:type="dxa"/>
              <w:left w:w="57" w:type="dxa"/>
              <w:bottom w:w="85" w:type="dxa"/>
              <w:right w:w="57" w:type="dxa"/>
            </w:tcMar>
          </w:tcPr>
          <w:p w14:paraId="3679069D" w14:textId="7BC823C7" w:rsidR="0036312A" w:rsidRPr="00244D65" w:rsidRDefault="00650DC3" w:rsidP="0085595C">
            <w:pPr>
              <w:rPr>
                <w:noProof/>
              </w:rPr>
            </w:pPr>
            <w:r w:rsidRPr="00244D65">
              <w:rPr>
                <w:noProof/>
              </w:rPr>
              <w:t>UNFCCC</w:t>
            </w:r>
          </w:p>
        </w:tc>
        <w:tc>
          <w:tcPr>
            <w:tcW w:w="6520" w:type="dxa"/>
            <w:tcMar>
              <w:top w:w="85" w:type="dxa"/>
              <w:left w:w="57" w:type="dxa"/>
              <w:bottom w:w="85" w:type="dxa"/>
              <w:right w:w="57" w:type="dxa"/>
            </w:tcMar>
          </w:tcPr>
          <w:p w14:paraId="5BFF91F2" w14:textId="19070633" w:rsidR="0036312A" w:rsidRPr="00244D65" w:rsidRDefault="00650DC3" w:rsidP="0085595C">
            <w:pPr>
              <w:rPr>
                <w:noProof/>
              </w:rPr>
            </w:pPr>
            <w:r w:rsidRPr="00244D65">
              <w:rPr>
                <w:noProof/>
              </w:rPr>
              <w:t>United Nations Framework Convention on Climate Change</w:t>
            </w:r>
          </w:p>
        </w:tc>
      </w:tr>
    </w:tbl>
    <w:p w14:paraId="67B6ADFD" w14:textId="77777777" w:rsidR="00AA6E01" w:rsidRPr="00244D65" w:rsidRDefault="00AA6E01" w:rsidP="0085595C">
      <w:pPr>
        <w:pStyle w:val="Heading1"/>
        <w:numPr>
          <w:ilvl w:val="0"/>
          <w:numId w:val="0"/>
        </w:numPr>
        <w:spacing w:before="120" w:after="120"/>
        <w:rPr>
          <w:noProof/>
        </w:rPr>
        <w:sectPr w:rsidR="00AA6E01" w:rsidRPr="00244D65" w:rsidSect="007105B3">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601" w:footer="1077" w:gutter="0"/>
          <w:cols w:space="720"/>
          <w:titlePg/>
          <w:docGrid w:linePitch="326"/>
        </w:sectPr>
      </w:pPr>
      <w:bookmarkStart w:id="17" w:name="_Toc211962802"/>
    </w:p>
    <w:p w14:paraId="473747AA" w14:textId="7F79BF8C" w:rsidR="006B087E" w:rsidRPr="00244D65" w:rsidRDefault="006B087E" w:rsidP="0085595C">
      <w:pPr>
        <w:pStyle w:val="Heading1"/>
        <w:spacing w:before="120" w:after="120"/>
        <w:rPr>
          <w:noProof/>
        </w:rPr>
      </w:pPr>
      <w:bookmarkStart w:id="18" w:name="_Toc234949728"/>
      <w:bookmarkStart w:id="19" w:name="_Toc232752484"/>
      <w:r w:rsidRPr="00244D65">
        <w:rPr>
          <w:noProof/>
        </w:rPr>
        <w:lastRenderedPageBreak/>
        <w:t>Introduction: Political and legal context</w:t>
      </w:r>
      <w:bookmarkEnd w:id="17"/>
      <w:bookmarkEnd w:id="18"/>
      <w:bookmarkEnd w:id="19"/>
    </w:p>
    <w:p w14:paraId="30216AB9" w14:textId="111CA1CA" w:rsidR="002739C1" w:rsidRPr="00244D65" w:rsidRDefault="002739C1" w:rsidP="0085595C">
      <w:pPr>
        <w:rPr>
          <w:noProof/>
        </w:rPr>
      </w:pPr>
      <w:r w:rsidRPr="00244D65">
        <w:rPr>
          <w:noProof/>
        </w:rPr>
        <w:t>The European Commission 2025 Foresight</w:t>
      </w:r>
      <w:r w:rsidRPr="00244D65">
        <w:rPr>
          <w:rStyle w:val="FootnoteReference"/>
          <w:noProof/>
        </w:rPr>
        <w:footnoteReference w:id="2"/>
      </w:r>
      <w:r w:rsidRPr="00244D65">
        <w:rPr>
          <w:noProof/>
        </w:rPr>
        <w:t xml:space="preserve"> report points out that climate change is </w:t>
      </w:r>
      <w:r w:rsidR="00AA6A36" w:rsidRPr="00244D65">
        <w:rPr>
          <w:noProof/>
        </w:rPr>
        <w:t xml:space="preserve">a </w:t>
      </w:r>
      <w:r w:rsidRPr="00244D65">
        <w:rPr>
          <w:noProof/>
        </w:rPr>
        <w:t>risk multiplier that should be addressed, and that the green transition for many countries can result in more independence and growth. Particularly for Europe, a successful transition to sustainable growth provides the opportunity to simultaneously enhance the Union’s strategic autonomy. In the same vein, the Draghi Report</w:t>
      </w:r>
      <w:r w:rsidRPr="00244D65">
        <w:rPr>
          <w:rStyle w:val="FootnoteReference"/>
          <w:noProof/>
        </w:rPr>
        <w:footnoteReference w:id="3"/>
      </w:r>
      <w:r w:rsidRPr="00244D65">
        <w:rPr>
          <w:noProof/>
        </w:rPr>
        <w:t xml:space="preserve"> points out that </w:t>
      </w:r>
      <w:r w:rsidR="00EE0378" w:rsidRPr="00244D65">
        <w:rPr>
          <w:i/>
          <w:noProof/>
        </w:rPr>
        <w:t xml:space="preserve">“if Europe’s ambitious climate targets are matched by a coherent plan to achieve them, </w:t>
      </w:r>
      <w:r w:rsidRPr="00244D65">
        <w:rPr>
          <w:i/>
          <w:noProof/>
        </w:rPr>
        <w:t xml:space="preserve">decarbonisation </w:t>
      </w:r>
      <w:r w:rsidR="00EE0378" w:rsidRPr="00244D65">
        <w:rPr>
          <w:i/>
          <w:noProof/>
        </w:rPr>
        <w:t>will be</w:t>
      </w:r>
      <w:r w:rsidRPr="00244D65">
        <w:rPr>
          <w:i/>
          <w:noProof/>
        </w:rPr>
        <w:t xml:space="preserve"> an opportunity for Europe</w:t>
      </w:r>
      <w:r w:rsidR="00EE0378" w:rsidRPr="00244D65">
        <w:rPr>
          <w:i/>
          <w:noProof/>
        </w:rPr>
        <w:t>. But</w:t>
      </w:r>
      <w:r w:rsidRPr="00244D65">
        <w:rPr>
          <w:i/>
          <w:noProof/>
        </w:rPr>
        <w:t xml:space="preserve"> if we fail to coordinate our policies, there is a risk that </w:t>
      </w:r>
      <w:r w:rsidR="00EE0378" w:rsidRPr="00244D65">
        <w:rPr>
          <w:i/>
          <w:noProof/>
        </w:rPr>
        <w:t>decarbonisation</w:t>
      </w:r>
      <w:r w:rsidRPr="00244D65">
        <w:rPr>
          <w:i/>
          <w:noProof/>
        </w:rPr>
        <w:t xml:space="preserve"> could run contrary to competitiveness and growth</w:t>
      </w:r>
      <w:r w:rsidR="00EE0378" w:rsidRPr="00244D65">
        <w:rPr>
          <w:noProof/>
        </w:rPr>
        <w:t>.”</w:t>
      </w:r>
    </w:p>
    <w:p w14:paraId="575A4E3D" w14:textId="084A8950" w:rsidR="000719BD" w:rsidRPr="00244D65" w:rsidRDefault="00BF644C" w:rsidP="0085595C">
      <w:pPr>
        <w:rPr>
          <w:noProof/>
        </w:rPr>
      </w:pPr>
      <w:r w:rsidRPr="00244D65">
        <w:rPr>
          <w:noProof/>
        </w:rPr>
        <w:t xml:space="preserve">The EU Emissions Trading System (EU ETS) is the cornerstone of EU climate policy. </w:t>
      </w:r>
      <w:r w:rsidR="000719BD" w:rsidRPr="00244D65">
        <w:rPr>
          <w:noProof/>
        </w:rPr>
        <w:t xml:space="preserve">Directive 2003/87/EC (the </w:t>
      </w:r>
      <w:r w:rsidR="00C35D52" w:rsidRPr="00244D65">
        <w:rPr>
          <w:noProof/>
        </w:rPr>
        <w:t>‘</w:t>
      </w:r>
      <w:r w:rsidR="000719BD" w:rsidRPr="00244D65">
        <w:rPr>
          <w:noProof/>
        </w:rPr>
        <w:t>ETS Directive</w:t>
      </w:r>
      <w:r w:rsidR="00C35D52" w:rsidRPr="00244D65">
        <w:rPr>
          <w:noProof/>
        </w:rPr>
        <w:t>’</w:t>
      </w:r>
      <w:r w:rsidR="000719BD" w:rsidRPr="00244D65">
        <w:rPr>
          <w:noProof/>
        </w:rPr>
        <w:t xml:space="preserve">) lays down the rules for greenhouse gas emission allowance trading within the European Union. The Market Stability Reserve (MSR) for the EU Emissions Trading System (EU ETS) was established by Decision (EU) 2015/1814 (the </w:t>
      </w:r>
      <w:r w:rsidR="00C35D52" w:rsidRPr="00244D65">
        <w:rPr>
          <w:noProof/>
        </w:rPr>
        <w:t>‘</w:t>
      </w:r>
      <w:r w:rsidR="000719BD" w:rsidRPr="00244D65">
        <w:rPr>
          <w:noProof/>
        </w:rPr>
        <w:t>MSR Decision</w:t>
      </w:r>
      <w:r w:rsidR="00C35D52" w:rsidRPr="00244D65">
        <w:rPr>
          <w:noProof/>
        </w:rPr>
        <w:t>’</w:t>
      </w:r>
      <w:r w:rsidR="000719BD" w:rsidRPr="00244D65">
        <w:rPr>
          <w:noProof/>
        </w:rPr>
        <w:t xml:space="preserve">). </w:t>
      </w:r>
    </w:p>
    <w:p w14:paraId="59968D94" w14:textId="7C1EA238" w:rsidR="00B32F8E" w:rsidRPr="00244D65" w:rsidRDefault="000E44CE" w:rsidP="00244D65">
      <w:pPr>
        <w:pStyle w:val="Figuretitle"/>
        <w:rPr>
          <w:noProof/>
        </w:rPr>
      </w:pPr>
      <w:bookmarkStart w:id="20" w:name="_Toc234496399"/>
      <w:bookmarkStart w:id="21" w:name="_Toc232754556"/>
      <w:r w:rsidRPr="00244D65">
        <w:rPr>
          <w:noProof/>
        </w:rPr>
        <w:t>How the EU ETS works</w:t>
      </w:r>
      <w:bookmarkEnd w:id="20"/>
      <w:bookmarkEnd w:id="21"/>
    </w:p>
    <w:p w14:paraId="69FA854C" w14:textId="1B8448B6" w:rsidR="00DC0D80" w:rsidRPr="00244D65" w:rsidRDefault="00DC0D80" w:rsidP="0085595C">
      <w:pPr>
        <w:rPr>
          <w:noProof/>
        </w:rPr>
      </w:pPr>
      <w:r>
        <w:rPr>
          <w:noProof/>
          <w:lang w:eastAsia="en-GB"/>
        </w:rPr>
        <w:drawing>
          <wp:inline distT="0" distB="0" distL="0" distR="0" wp14:anchorId="3CE6373F" wp14:editId="7C589451">
            <wp:extent cx="5563235" cy="2131060"/>
            <wp:effectExtent l="0" t="0" r="0" b="2540"/>
            <wp:docPr id="1568736151" name="Picture 1" descr="A diagram of a factor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8736151" name="Picture 1" descr="A diagram of a factory&#10;&#10;AI-generated content may be incorrec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563235" cy="2131060"/>
                    </a:xfrm>
                    <a:prstGeom prst="rect">
                      <a:avLst/>
                    </a:prstGeom>
                    <a:noFill/>
                    <a:ln>
                      <a:noFill/>
                    </a:ln>
                  </pic:spPr>
                </pic:pic>
              </a:graphicData>
            </a:graphic>
          </wp:inline>
        </w:drawing>
      </w:r>
    </w:p>
    <w:p w14:paraId="3E785C18" w14:textId="69AB1FA2" w:rsidR="000719BD" w:rsidRPr="00244D65" w:rsidRDefault="000719BD" w:rsidP="0085595C">
      <w:pPr>
        <w:rPr>
          <w:noProof/>
        </w:rPr>
      </w:pPr>
      <w:r w:rsidRPr="00244D65">
        <w:rPr>
          <w:noProof/>
        </w:rPr>
        <w:t>Regulation (EU) 2021/1119 of the European Parliament and of the Council (‘the European Climate Law’)</w:t>
      </w:r>
      <w:r w:rsidRPr="00244D65">
        <w:rPr>
          <w:rStyle w:val="FootnoteReference"/>
          <w:noProof/>
        </w:rPr>
        <w:footnoteReference w:id="4"/>
      </w:r>
      <w:r w:rsidRPr="00244D65">
        <w:rPr>
          <w:noProof/>
        </w:rPr>
        <w:t xml:space="preserve"> set</w:t>
      </w:r>
      <w:r w:rsidR="00A32D40" w:rsidRPr="00244D65">
        <w:rPr>
          <w:noProof/>
        </w:rPr>
        <w:t>s</w:t>
      </w:r>
      <w:r w:rsidRPr="00244D65">
        <w:rPr>
          <w:noProof/>
        </w:rPr>
        <w:t xml:space="preserve"> a legally binding economy-wide target of net zero greenhouse gas emissions at the latest by 2050, and an intermediate target of reducing net greenhouse gas emissions by at least 55% by 2030, compared to 1990 levels. The ‘Fit for 55’ package of legislation under the European Green Deal makes all sectors of the EU’s economy fit to meet this target. The ETS Directive and the MSR Decision were </w:t>
      </w:r>
      <w:r w:rsidR="000F0C47" w:rsidRPr="00244D65">
        <w:rPr>
          <w:noProof/>
        </w:rPr>
        <w:t>revised</w:t>
      </w:r>
      <w:r w:rsidR="003921A8" w:rsidRPr="00244D65">
        <w:rPr>
          <w:noProof/>
        </w:rPr>
        <w:t xml:space="preserve"> </w:t>
      </w:r>
      <w:r w:rsidRPr="00244D65">
        <w:rPr>
          <w:noProof/>
        </w:rPr>
        <w:t>by Directive (EU) 2023/958 and (EU) 2023/959</w:t>
      </w:r>
      <w:r w:rsidRPr="00244D65">
        <w:rPr>
          <w:rStyle w:val="FootnoteReference"/>
          <w:noProof/>
        </w:rPr>
        <w:footnoteReference w:id="5"/>
      </w:r>
      <w:r w:rsidRPr="00244D65">
        <w:rPr>
          <w:noProof/>
        </w:rPr>
        <w:t xml:space="preserve"> and amended in 2023 as part of th</w:t>
      </w:r>
      <w:r w:rsidR="00C2184C" w:rsidRPr="00244D65">
        <w:rPr>
          <w:noProof/>
        </w:rPr>
        <w:t>at</w:t>
      </w:r>
      <w:r w:rsidRPr="00244D65">
        <w:rPr>
          <w:noProof/>
        </w:rPr>
        <w:t xml:space="preserve"> package. </w:t>
      </w:r>
    </w:p>
    <w:p w14:paraId="2A71C7B5" w14:textId="36A6CEE5" w:rsidR="000719BD" w:rsidRPr="00244D65" w:rsidRDefault="000719BD" w:rsidP="0085595C">
      <w:pPr>
        <w:pStyle w:val="BodyA"/>
        <w:ind w:right="113"/>
        <w:jc w:val="both"/>
        <w:rPr>
          <w:noProof/>
          <w:lang w:val="en-GB"/>
        </w:rPr>
      </w:pPr>
      <w:r w:rsidRPr="00244D65">
        <w:rPr>
          <w:noProof/>
          <w:lang w:val="en-GB"/>
        </w:rPr>
        <w:t xml:space="preserve">Most changes introduced by these amendments took effect from January 2024 or take effect from 2026. However, some have applied since the entry into force of Directive (EU) 2023/959 </w:t>
      </w:r>
      <w:r w:rsidR="000E1CE5" w:rsidRPr="00244D65">
        <w:rPr>
          <w:noProof/>
          <w:lang w:val="en-GB"/>
        </w:rPr>
        <w:t>i</w:t>
      </w:r>
      <w:r w:rsidRPr="00244D65">
        <w:rPr>
          <w:noProof/>
          <w:lang w:val="en-GB"/>
        </w:rPr>
        <w:t xml:space="preserve">n June 2023. </w:t>
      </w:r>
    </w:p>
    <w:p w14:paraId="20E2BD93" w14:textId="0EC5D490" w:rsidR="00C95FD6" w:rsidRPr="00244D65" w:rsidRDefault="000719BD" w:rsidP="0085595C">
      <w:pPr>
        <w:rPr>
          <w:noProof/>
        </w:rPr>
      </w:pPr>
      <w:r w:rsidRPr="00244D65">
        <w:rPr>
          <w:noProof/>
        </w:rPr>
        <w:t xml:space="preserve">The </w:t>
      </w:r>
      <w:r w:rsidR="005822A3" w:rsidRPr="00244D65">
        <w:rPr>
          <w:noProof/>
        </w:rPr>
        <w:t>ETS Directive</w:t>
      </w:r>
      <w:r w:rsidRPr="00244D65">
        <w:rPr>
          <w:noProof/>
        </w:rPr>
        <w:t xml:space="preserve"> sets an emission reduction target of 62% for stationary installations, aviation and maritime (</w:t>
      </w:r>
      <w:r w:rsidR="005A1892" w:rsidRPr="00244D65">
        <w:rPr>
          <w:noProof/>
        </w:rPr>
        <w:t>EU ETS</w:t>
      </w:r>
      <w:r w:rsidRPr="00244D65">
        <w:rPr>
          <w:noProof/>
        </w:rPr>
        <w:t>) by 2030 compared to 2005. Stability and full implementation of the legislative framework in place for meeting the 2030 climate and energy targets is a precondition for the EU to stay on course to reach climate neutrality in 2050.</w:t>
      </w:r>
      <w:r w:rsidR="00AC6A40" w:rsidRPr="00244D65">
        <w:rPr>
          <w:noProof/>
        </w:rPr>
        <w:t xml:space="preserve"> </w:t>
      </w:r>
    </w:p>
    <w:p w14:paraId="1C18B696" w14:textId="77777777" w:rsidR="00DC0D80" w:rsidRPr="00244D65" w:rsidRDefault="001C72AB" w:rsidP="0085595C">
      <w:pPr>
        <w:rPr>
          <w:noProof/>
        </w:rPr>
      </w:pPr>
      <w:r w:rsidRPr="00244D65">
        <w:rPr>
          <w:noProof/>
        </w:rPr>
        <w:t xml:space="preserve">The </w:t>
      </w:r>
      <w:r w:rsidR="00691736" w:rsidRPr="00244D65">
        <w:rPr>
          <w:noProof/>
        </w:rPr>
        <w:t>e</w:t>
      </w:r>
      <w:r w:rsidRPr="00244D65">
        <w:rPr>
          <w:noProof/>
        </w:rPr>
        <w:t xml:space="preserve">valuation of the </w:t>
      </w:r>
      <w:r w:rsidR="00A6126B" w:rsidRPr="00244D65">
        <w:rPr>
          <w:noProof/>
        </w:rPr>
        <w:t xml:space="preserve">EU ETS (see Annex </w:t>
      </w:r>
      <w:r w:rsidR="00FC1E29" w:rsidRPr="00244D65">
        <w:rPr>
          <w:noProof/>
        </w:rPr>
        <w:t>15</w:t>
      </w:r>
      <w:r w:rsidR="00A47A0C" w:rsidRPr="00244D65">
        <w:rPr>
          <w:noProof/>
        </w:rPr>
        <w:t>) conclude</w:t>
      </w:r>
      <w:r w:rsidR="00B254C6" w:rsidRPr="00244D65">
        <w:rPr>
          <w:noProof/>
        </w:rPr>
        <w:t>s</w:t>
      </w:r>
      <w:r w:rsidR="00A47A0C" w:rsidRPr="00244D65">
        <w:rPr>
          <w:noProof/>
        </w:rPr>
        <w:t xml:space="preserve"> that the EU ETS continues</w:t>
      </w:r>
      <w:r w:rsidR="00BD4127" w:rsidRPr="00244D65">
        <w:rPr>
          <w:noProof/>
        </w:rPr>
        <w:t xml:space="preserve"> to be well aligned to the broader EU </w:t>
      </w:r>
      <w:r w:rsidR="00B254C6" w:rsidRPr="00244D65">
        <w:rPr>
          <w:noProof/>
        </w:rPr>
        <w:t>climate policies</w:t>
      </w:r>
      <w:r w:rsidR="009B6B04" w:rsidRPr="00244D65">
        <w:rPr>
          <w:noProof/>
        </w:rPr>
        <w:t xml:space="preserve">. </w:t>
      </w:r>
    </w:p>
    <w:p w14:paraId="47EE8054" w14:textId="5F624CE9" w:rsidR="00C225E8" w:rsidRPr="00244D65" w:rsidRDefault="009B6B04" w:rsidP="0085595C">
      <w:pPr>
        <w:rPr>
          <w:noProof/>
        </w:rPr>
      </w:pPr>
      <w:r w:rsidRPr="00244D65">
        <w:rPr>
          <w:noProof/>
        </w:rPr>
        <w:t xml:space="preserve">The </w:t>
      </w:r>
      <w:r w:rsidR="00415C2E" w:rsidRPr="00244D65">
        <w:rPr>
          <w:noProof/>
        </w:rPr>
        <w:t xml:space="preserve">ETS covered sectors delivered more </w:t>
      </w:r>
      <w:r w:rsidR="001643B4" w:rsidRPr="00244D65">
        <w:rPr>
          <w:noProof/>
        </w:rPr>
        <w:t>economically efficient</w:t>
      </w:r>
      <w:r w:rsidR="00B8127B" w:rsidRPr="00244D65">
        <w:rPr>
          <w:noProof/>
        </w:rPr>
        <w:t xml:space="preserve"> emissions reductions compared to non-ETS sectors</w:t>
      </w:r>
      <w:r w:rsidR="00D31020" w:rsidRPr="00244D65">
        <w:rPr>
          <w:noProof/>
        </w:rPr>
        <w:t>. The EU ETS has effectively met its objective</w:t>
      </w:r>
      <w:r w:rsidR="005C60F1" w:rsidRPr="00244D65">
        <w:rPr>
          <w:noProof/>
        </w:rPr>
        <w:t>s</w:t>
      </w:r>
      <w:r w:rsidR="00B22CAD" w:rsidRPr="00244D65">
        <w:rPr>
          <w:noProof/>
        </w:rPr>
        <w:t xml:space="preserve">, achieving over 50% emissions reductions </w:t>
      </w:r>
      <w:r w:rsidR="00F64120" w:rsidRPr="00244D65">
        <w:rPr>
          <w:noProof/>
        </w:rPr>
        <w:t xml:space="preserve">by 2025, compared to the 43% target </w:t>
      </w:r>
      <w:r w:rsidR="007E6794" w:rsidRPr="00244D65">
        <w:rPr>
          <w:noProof/>
        </w:rPr>
        <w:t xml:space="preserve">initially </w:t>
      </w:r>
      <w:r w:rsidR="00F64120" w:rsidRPr="00244D65">
        <w:rPr>
          <w:noProof/>
        </w:rPr>
        <w:t>set in 2018 to be achieved by 2030</w:t>
      </w:r>
      <w:r w:rsidR="00805DB4" w:rsidRPr="00244D65">
        <w:rPr>
          <w:noProof/>
        </w:rPr>
        <w:t>, prior to the amendment in 2023</w:t>
      </w:r>
      <w:r w:rsidR="00F64120" w:rsidRPr="00244D65">
        <w:rPr>
          <w:noProof/>
        </w:rPr>
        <w:t xml:space="preserve">. </w:t>
      </w:r>
      <w:r w:rsidR="005061EF" w:rsidRPr="00244D65">
        <w:rPr>
          <w:noProof/>
        </w:rPr>
        <w:t>The EU ETS remains not only relevant</w:t>
      </w:r>
      <w:r w:rsidR="0028440F" w:rsidRPr="00244D65">
        <w:rPr>
          <w:noProof/>
        </w:rPr>
        <w:t xml:space="preserve"> for the future, but the key policy instrument to achieve the EU</w:t>
      </w:r>
      <w:r w:rsidR="00685E19" w:rsidRPr="00244D65">
        <w:rPr>
          <w:noProof/>
        </w:rPr>
        <w:t xml:space="preserve">’s climate goals for the next decade. </w:t>
      </w:r>
      <w:r w:rsidR="00A83551" w:rsidRPr="00244D65">
        <w:rPr>
          <w:noProof/>
        </w:rPr>
        <w:t xml:space="preserve">The evaluation </w:t>
      </w:r>
      <w:r w:rsidR="00424209" w:rsidRPr="00244D65">
        <w:rPr>
          <w:noProof/>
        </w:rPr>
        <w:t>and recent report by the European Securities and Markets Authority</w:t>
      </w:r>
      <w:r w:rsidR="009C0304" w:rsidRPr="00244D65">
        <w:rPr>
          <w:noProof/>
        </w:rPr>
        <w:t xml:space="preserve"> (ESMA)</w:t>
      </w:r>
      <w:r w:rsidR="00AD6F9B" w:rsidRPr="00244D65">
        <w:rPr>
          <w:rStyle w:val="FootnoteReference"/>
          <w:noProof/>
        </w:rPr>
        <w:footnoteReference w:id="6"/>
      </w:r>
      <w:r w:rsidR="00424209" w:rsidRPr="00244D65">
        <w:rPr>
          <w:noProof/>
        </w:rPr>
        <w:t xml:space="preserve"> </w:t>
      </w:r>
      <w:r w:rsidR="00A83551" w:rsidRPr="00244D65">
        <w:rPr>
          <w:noProof/>
        </w:rPr>
        <w:t>show</w:t>
      </w:r>
      <w:r w:rsidR="00E71EC6" w:rsidRPr="00244D65">
        <w:rPr>
          <w:noProof/>
        </w:rPr>
        <w:t xml:space="preserve">ed </w:t>
      </w:r>
      <w:r w:rsidR="00A83551" w:rsidRPr="00244D65">
        <w:rPr>
          <w:noProof/>
        </w:rPr>
        <w:t>that the ETS</w:t>
      </w:r>
      <w:r w:rsidR="00E71EC6" w:rsidRPr="00244D65">
        <w:rPr>
          <w:noProof/>
        </w:rPr>
        <w:t xml:space="preserve"> functions in line with market trends and </w:t>
      </w:r>
      <w:r w:rsidR="023E166C" w:rsidRPr="00244D65">
        <w:rPr>
          <w:noProof/>
        </w:rPr>
        <w:t>underlying</w:t>
      </w:r>
      <w:r w:rsidR="00E71EC6" w:rsidRPr="00244D65">
        <w:rPr>
          <w:noProof/>
        </w:rPr>
        <w:t xml:space="preserve"> fundamentals</w:t>
      </w:r>
      <w:r w:rsidR="009C0304" w:rsidRPr="00244D65">
        <w:rPr>
          <w:noProof/>
        </w:rPr>
        <w:t xml:space="preserve"> and ESMA</w:t>
      </w:r>
      <w:r w:rsidR="6E669B30" w:rsidRPr="00244D65">
        <w:rPr>
          <w:noProof/>
        </w:rPr>
        <w:t xml:space="preserve"> did</w:t>
      </w:r>
      <w:r w:rsidR="009C0304" w:rsidRPr="00244D65">
        <w:rPr>
          <w:noProof/>
        </w:rPr>
        <w:t xml:space="preserve"> not identif</w:t>
      </w:r>
      <w:r w:rsidR="07A3600E" w:rsidRPr="00244D65">
        <w:rPr>
          <w:noProof/>
        </w:rPr>
        <w:t>y</w:t>
      </w:r>
      <w:r w:rsidR="009C0304" w:rsidRPr="00244D65">
        <w:rPr>
          <w:noProof/>
        </w:rPr>
        <w:t xml:space="preserve"> any issue in the integrity or transparency of EU carbon markets</w:t>
      </w:r>
      <w:r w:rsidR="67251EBD" w:rsidRPr="00244D65">
        <w:rPr>
          <w:noProof/>
        </w:rPr>
        <w:t>.</w:t>
      </w:r>
    </w:p>
    <w:p w14:paraId="5637BE8C" w14:textId="1AD37552" w:rsidR="000719BD" w:rsidRPr="00244D65" w:rsidRDefault="00C225E8" w:rsidP="00244D65">
      <w:pPr>
        <w:pStyle w:val="Figuretitle"/>
        <w:rPr>
          <w:noProof/>
        </w:rPr>
      </w:pPr>
      <w:bookmarkStart w:id="22" w:name="_Toc234496400"/>
      <w:bookmarkStart w:id="23" w:name="_Toc232754557"/>
      <w:r w:rsidRPr="00244D65">
        <w:rPr>
          <w:noProof/>
        </w:rPr>
        <w:t>EU ETS in the context of the EU’s climate and energy policy framework</w:t>
      </w:r>
      <w:bookmarkEnd w:id="22"/>
      <w:bookmarkEnd w:id="23"/>
      <w:r w:rsidR="67251EBD" w:rsidRPr="00244D65">
        <w:rPr>
          <w:noProof/>
        </w:rPr>
        <w:t xml:space="preserve"> </w:t>
      </w:r>
    </w:p>
    <w:p w14:paraId="7F8FDCA7" w14:textId="0A9A1E76" w:rsidR="00C225E8" w:rsidRPr="00244D65" w:rsidRDefault="00C225E8" w:rsidP="0085595C">
      <w:pPr>
        <w:rPr>
          <w:noProof/>
        </w:rPr>
      </w:pPr>
      <w:r>
        <w:rPr>
          <w:noProof/>
          <w:lang w:eastAsia="en-GB"/>
        </w:rPr>
        <w:drawing>
          <wp:inline distT="0" distB="0" distL="0" distR="0" wp14:anchorId="558F46D8" wp14:editId="12DBD309">
            <wp:extent cx="5563235" cy="1574800"/>
            <wp:effectExtent l="0" t="0" r="0" b="6350"/>
            <wp:docPr id="1115233852" name="Picture 4" descr="A screenshot of a websi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019675" name="Picture 4" descr="A screenshot of a website&#10;&#10;AI-generated content may be incorrec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563235" cy="1574800"/>
                    </a:xfrm>
                    <a:prstGeom prst="rect">
                      <a:avLst/>
                    </a:prstGeom>
                    <a:noFill/>
                    <a:ln>
                      <a:noFill/>
                    </a:ln>
                  </pic:spPr>
                </pic:pic>
              </a:graphicData>
            </a:graphic>
          </wp:inline>
        </w:drawing>
      </w:r>
    </w:p>
    <w:p w14:paraId="3901E27F" w14:textId="50C02D6D" w:rsidR="00D91553" w:rsidRPr="00244D65" w:rsidRDefault="00BB2135" w:rsidP="0085595C">
      <w:pPr>
        <w:rPr>
          <w:noProof/>
        </w:rPr>
      </w:pPr>
      <w:r w:rsidRPr="00244D65">
        <w:rPr>
          <w:noProof/>
        </w:rPr>
        <w:t xml:space="preserve">The EU </w:t>
      </w:r>
      <w:r w:rsidR="001C0333" w:rsidRPr="00244D65">
        <w:rPr>
          <w:noProof/>
        </w:rPr>
        <w:t>has adopted</w:t>
      </w:r>
      <w:r w:rsidRPr="00244D65">
        <w:rPr>
          <w:noProof/>
        </w:rPr>
        <w:t xml:space="preserve"> a legally binding climate target of 90% reduction in net greenhouse gas (GHG) emissions for 2040. </w:t>
      </w:r>
      <w:r w:rsidR="00D91553" w:rsidRPr="00244D65">
        <w:rPr>
          <w:noProof/>
        </w:rPr>
        <w:t>The 2040 climate target takes full account of the current economic, security and geopolitical landscape in alignment with the EU Competitiveness Compass</w:t>
      </w:r>
      <w:r w:rsidR="00D91553" w:rsidRPr="00244D65">
        <w:rPr>
          <w:rStyle w:val="FootnoteReference"/>
          <w:noProof/>
        </w:rPr>
        <w:footnoteReference w:id="7"/>
      </w:r>
      <w:r w:rsidR="00D91553" w:rsidRPr="00244D65">
        <w:rPr>
          <w:noProof/>
        </w:rPr>
        <w:t>, Clean Industrial Deal</w:t>
      </w:r>
      <w:r w:rsidR="00D91553" w:rsidRPr="00244D65">
        <w:rPr>
          <w:rStyle w:val="FootnoteReference"/>
          <w:noProof/>
        </w:rPr>
        <w:footnoteReference w:id="8"/>
      </w:r>
      <w:r w:rsidR="31A950F6" w:rsidRPr="00244D65">
        <w:rPr>
          <w:noProof/>
        </w:rPr>
        <w:t>,</w:t>
      </w:r>
      <w:r w:rsidR="00D91553" w:rsidRPr="00244D65">
        <w:rPr>
          <w:noProof/>
        </w:rPr>
        <w:t xml:space="preserve"> and Affordable Energy Action Plan</w:t>
      </w:r>
      <w:r w:rsidR="00D91553" w:rsidRPr="00244D65">
        <w:rPr>
          <w:rStyle w:val="FootnoteReference"/>
          <w:noProof/>
        </w:rPr>
        <w:footnoteReference w:id="9"/>
      </w:r>
      <w:r w:rsidR="00D91553" w:rsidRPr="00244D65">
        <w:rPr>
          <w:noProof/>
        </w:rPr>
        <w:t>. It provides the necessary predictability and stability for investments in the EU's clean energy transition and for driving industrial competitiveness.</w:t>
      </w:r>
    </w:p>
    <w:p w14:paraId="5791FAE0" w14:textId="18AD3B9B" w:rsidR="68D50C6B" w:rsidRPr="00244D65" w:rsidRDefault="68D50C6B" w:rsidP="0085595C">
      <w:pPr>
        <w:rPr>
          <w:noProof/>
        </w:rPr>
      </w:pPr>
      <w:r w:rsidRPr="00244D65">
        <w:rPr>
          <w:noProof/>
        </w:rPr>
        <w:t>The initiative seeks to ensure achievement of the climate targets in the European Climate Law. Therefore</w:t>
      </w:r>
      <w:r w:rsidR="27CB1DE8" w:rsidRPr="00244D65">
        <w:rPr>
          <w:noProof/>
        </w:rPr>
        <w:t>,</w:t>
      </w:r>
      <w:r w:rsidRPr="00244D65">
        <w:rPr>
          <w:noProof/>
        </w:rPr>
        <w:t xml:space="preserve"> this impact assessment includes the Commission’s </w:t>
      </w:r>
      <w:r w:rsidR="6311B882" w:rsidRPr="00244D65">
        <w:rPr>
          <w:noProof/>
        </w:rPr>
        <w:t>assessment of</w:t>
      </w:r>
      <w:r w:rsidRPr="00244D65">
        <w:rPr>
          <w:noProof/>
        </w:rPr>
        <w:t xml:space="preserve"> the consistency of the initiative with the European Climate Law’s objectives, as required by Article </w:t>
      </w:r>
      <w:r>
        <w:rPr>
          <w:noProof/>
        </w:rPr>
        <w:t>6</w:t>
      </w:r>
      <w:r w:rsidRPr="00244D65">
        <w:rPr>
          <w:noProof/>
        </w:rPr>
        <w:t>(4) of the European Climate Law.</w:t>
      </w:r>
      <w:r w:rsidR="00391AD6" w:rsidRPr="00244D65">
        <w:rPr>
          <w:noProof/>
        </w:rPr>
        <w:t xml:space="preserve"> </w:t>
      </w:r>
    </w:p>
    <w:p w14:paraId="2ACDE5BE" w14:textId="64C960FE" w:rsidR="009D1EB7" w:rsidRPr="00244D65" w:rsidRDefault="002C71CC" w:rsidP="0085595C">
      <w:pPr>
        <w:pStyle w:val="BodyA"/>
        <w:ind w:right="113"/>
        <w:jc w:val="both"/>
        <w:rPr>
          <w:noProof/>
          <w:lang w:val="en-GB"/>
        </w:rPr>
      </w:pPr>
      <w:r w:rsidRPr="00244D65">
        <w:rPr>
          <w:noProof/>
          <w:lang w:val="en-GB"/>
        </w:rPr>
        <w:t>The</w:t>
      </w:r>
      <w:r w:rsidR="25B3CC5F" w:rsidRPr="00244D65">
        <w:rPr>
          <w:noProof/>
          <w:lang w:val="en-GB"/>
        </w:rPr>
        <w:t xml:space="preserve"> 2040</w:t>
      </w:r>
      <w:r w:rsidRPr="00244D65">
        <w:rPr>
          <w:noProof/>
          <w:lang w:val="en-GB"/>
        </w:rPr>
        <w:t xml:space="preserve"> target includes a possibility to use </w:t>
      </w:r>
      <w:r w:rsidR="3738B556" w:rsidRPr="00244D65">
        <w:rPr>
          <w:noProof/>
          <w:lang w:val="en-GB"/>
        </w:rPr>
        <w:t xml:space="preserve">a limited quantity of </w:t>
      </w:r>
      <w:r w:rsidRPr="00244D65">
        <w:rPr>
          <w:noProof/>
          <w:lang w:val="en-GB"/>
        </w:rPr>
        <w:t xml:space="preserve">high-quality international credits to make an ‘adequate contribution' towards the 2040 target, starting in 2036. This amount can be up to 5% of 1990 EU net GHG emissions, corresponding to a domestic reduction of net GHG emissions </w:t>
      </w:r>
      <w:r w:rsidR="00B621E7" w:rsidRPr="00244D65">
        <w:rPr>
          <w:noProof/>
          <w:lang w:val="en-GB"/>
        </w:rPr>
        <w:t xml:space="preserve">of at least </w:t>
      </w:r>
      <w:r w:rsidRPr="00244D65">
        <w:rPr>
          <w:noProof/>
          <w:lang w:val="en-GB"/>
        </w:rPr>
        <w:t>by</w:t>
      </w:r>
      <w:r w:rsidR="00452381" w:rsidRPr="00244D65">
        <w:rPr>
          <w:noProof/>
          <w:lang w:val="en-GB"/>
        </w:rPr>
        <w:t xml:space="preserve"> 85</w:t>
      </w:r>
      <w:r w:rsidR="5484EC1E" w:rsidRPr="00244D65">
        <w:rPr>
          <w:noProof/>
          <w:lang w:val="en-GB"/>
        </w:rPr>
        <w:t>%</w:t>
      </w:r>
      <w:r w:rsidRPr="00244D65">
        <w:rPr>
          <w:noProof/>
          <w:lang w:val="en-GB"/>
        </w:rPr>
        <w:t xml:space="preserve"> compared to 1990 levels by 2040. </w:t>
      </w:r>
      <w:r w:rsidR="00F24C28" w:rsidRPr="00244D65">
        <w:rPr>
          <w:noProof/>
        </w:rPr>
        <w:t>A pilot period in 2031-2035 may be considered.</w:t>
      </w:r>
    </w:p>
    <w:p w14:paraId="255E050D" w14:textId="11ED369F" w:rsidR="00B20FC9" w:rsidRPr="00244D65" w:rsidRDefault="00926653" w:rsidP="0085595C">
      <w:pPr>
        <w:rPr>
          <w:noProof/>
        </w:rPr>
      </w:pPr>
      <w:r w:rsidRPr="00244D65">
        <w:rPr>
          <w:noProof/>
        </w:rPr>
        <w:t>I</w:t>
      </w:r>
      <w:r w:rsidR="009D1EB7" w:rsidRPr="00244D65">
        <w:rPr>
          <w:noProof/>
        </w:rPr>
        <w:t xml:space="preserve">nternational credits should be </w:t>
      </w:r>
      <w:r w:rsidR="001B487E" w:rsidRPr="00244D65">
        <w:rPr>
          <w:noProof/>
        </w:rPr>
        <w:t xml:space="preserve">integrated to the </w:t>
      </w:r>
      <w:r w:rsidR="00FB3B98" w:rsidRPr="00244D65">
        <w:rPr>
          <w:noProof/>
        </w:rPr>
        <w:t>future</w:t>
      </w:r>
      <w:r w:rsidR="00745DD9" w:rsidRPr="00244D65">
        <w:rPr>
          <w:noProof/>
        </w:rPr>
        <w:t xml:space="preserve"> </w:t>
      </w:r>
      <w:r w:rsidR="003F7968" w:rsidRPr="00244D65">
        <w:rPr>
          <w:noProof/>
        </w:rPr>
        <w:t xml:space="preserve">climate </w:t>
      </w:r>
      <w:r w:rsidR="00FB3B98" w:rsidRPr="00244D65">
        <w:rPr>
          <w:noProof/>
        </w:rPr>
        <w:t>legislation</w:t>
      </w:r>
      <w:r w:rsidR="003F7968" w:rsidRPr="00244D65">
        <w:rPr>
          <w:noProof/>
        </w:rPr>
        <w:t xml:space="preserve"> </w:t>
      </w:r>
      <w:r w:rsidR="002C71CC" w:rsidRPr="00244D65">
        <w:rPr>
          <w:noProof/>
        </w:rPr>
        <w:t xml:space="preserve">in a way </w:t>
      </w:r>
      <w:r w:rsidR="00AD7225" w:rsidRPr="00244D65">
        <w:rPr>
          <w:noProof/>
        </w:rPr>
        <w:t xml:space="preserve">which </w:t>
      </w:r>
      <w:r w:rsidR="00A76B78" w:rsidRPr="00244D65">
        <w:rPr>
          <w:noProof/>
        </w:rPr>
        <w:t xml:space="preserve">ensures </w:t>
      </w:r>
      <w:r w:rsidR="00A95506" w:rsidRPr="00244D65">
        <w:rPr>
          <w:noProof/>
        </w:rPr>
        <w:t>reaching the</w:t>
      </w:r>
      <w:r w:rsidR="6ACBD6AE" w:rsidRPr="00244D65">
        <w:rPr>
          <w:noProof/>
        </w:rPr>
        <w:t xml:space="preserve"> </w:t>
      </w:r>
      <w:r w:rsidR="004F4529" w:rsidRPr="00244D65">
        <w:rPr>
          <w:noProof/>
        </w:rPr>
        <w:t>climate</w:t>
      </w:r>
      <w:r w:rsidR="00A95506" w:rsidRPr="00244D65">
        <w:rPr>
          <w:noProof/>
        </w:rPr>
        <w:t xml:space="preserve"> target</w:t>
      </w:r>
      <w:r w:rsidR="00CA3A71" w:rsidRPr="00244D65">
        <w:rPr>
          <w:noProof/>
        </w:rPr>
        <w:t xml:space="preserve"> </w:t>
      </w:r>
      <w:r w:rsidR="002C71CC" w:rsidRPr="00244D65">
        <w:rPr>
          <w:noProof/>
        </w:rPr>
        <w:t>cost-efficien</w:t>
      </w:r>
      <w:r w:rsidR="00831920" w:rsidRPr="00244D65">
        <w:rPr>
          <w:noProof/>
        </w:rPr>
        <w:t xml:space="preserve">tly </w:t>
      </w:r>
      <w:r w:rsidR="00663C6A" w:rsidRPr="00244D65">
        <w:rPr>
          <w:noProof/>
        </w:rPr>
        <w:t>using high</w:t>
      </w:r>
      <w:r w:rsidR="00F51754" w:rsidRPr="00244D65">
        <w:rPr>
          <w:noProof/>
        </w:rPr>
        <w:t>-quality and integrity credits</w:t>
      </w:r>
      <w:r w:rsidR="002C71CC" w:rsidRPr="00244D65">
        <w:rPr>
          <w:noProof/>
        </w:rPr>
        <w:t xml:space="preserve">. </w:t>
      </w:r>
      <w:r w:rsidR="00526A65" w:rsidRPr="00244D65">
        <w:rPr>
          <w:noProof/>
        </w:rPr>
        <w:t>High</w:t>
      </w:r>
      <w:r w:rsidR="00697A4E" w:rsidRPr="00244D65">
        <w:rPr>
          <w:noProof/>
        </w:rPr>
        <w:t xml:space="preserve"> credit </w:t>
      </w:r>
      <w:r w:rsidR="00C06CD7" w:rsidRPr="00244D65">
        <w:rPr>
          <w:noProof/>
        </w:rPr>
        <w:t>integrity</w:t>
      </w:r>
      <w:r w:rsidR="002C71CC" w:rsidRPr="00244D65">
        <w:rPr>
          <w:noProof/>
        </w:rPr>
        <w:t> </w:t>
      </w:r>
      <w:r w:rsidR="00E002F2" w:rsidRPr="00244D65">
        <w:rPr>
          <w:noProof/>
        </w:rPr>
        <w:t>must be ensured taking</w:t>
      </w:r>
      <w:r w:rsidR="002C71CC" w:rsidRPr="00244D65">
        <w:rPr>
          <w:noProof/>
        </w:rPr>
        <w:t xml:space="preserve"> </w:t>
      </w:r>
      <w:r w:rsidR="00ED6408" w:rsidRPr="00244D65">
        <w:rPr>
          <w:noProof/>
        </w:rPr>
        <w:t>the rules</w:t>
      </w:r>
      <w:r w:rsidR="002C71CC" w:rsidRPr="00244D65">
        <w:rPr>
          <w:noProof/>
        </w:rPr>
        <w:t xml:space="preserve"> </w:t>
      </w:r>
      <w:r w:rsidR="00ED6408" w:rsidRPr="00244D65">
        <w:rPr>
          <w:noProof/>
        </w:rPr>
        <w:t>developed</w:t>
      </w:r>
      <w:r w:rsidR="002C71CC" w:rsidRPr="00244D65">
        <w:rPr>
          <w:noProof/>
        </w:rPr>
        <w:t xml:space="preserve"> under Article 6.4 of the Paris Agreement</w:t>
      </w:r>
      <w:r w:rsidR="006B7635" w:rsidRPr="00244D65">
        <w:rPr>
          <w:noProof/>
        </w:rPr>
        <w:t xml:space="preserve"> </w:t>
      </w:r>
      <w:r w:rsidR="639BE2CE" w:rsidRPr="00244D65">
        <w:rPr>
          <w:noProof/>
        </w:rPr>
        <w:t xml:space="preserve">as a </w:t>
      </w:r>
      <w:r w:rsidR="007D475F" w:rsidRPr="00244D65">
        <w:rPr>
          <w:noProof/>
        </w:rPr>
        <w:t>baseline</w:t>
      </w:r>
      <w:r w:rsidR="000F23C5" w:rsidRPr="00244D65">
        <w:rPr>
          <w:noProof/>
        </w:rPr>
        <w:t>.</w:t>
      </w:r>
      <w:r w:rsidR="00E30E21" w:rsidRPr="00244D65">
        <w:rPr>
          <w:noProof/>
        </w:rPr>
        <w:t xml:space="preserve"> </w:t>
      </w:r>
      <w:r w:rsidR="002C71CC" w:rsidRPr="00244D65">
        <w:rPr>
          <w:noProof/>
        </w:rPr>
        <w:t>T</w:t>
      </w:r>
      <w:r w:rsidR="00E30E21" w:rsidRPr="00244D65">
        <w:rPr>
          <w:noProof/>
        </w:rPr>
        <w:t>he</w:t>
      </w:r>
      <w:r w:rsidR="002C71CC" w:rsidRPr="00244D65">
        <w:rPr>
          <w:noProof/>
        </w:rPr>
        <w:t xml:space="preserve"> specific role and deployment </w:t>
      </w:r>
      <w:r w:rsidR="00E30E21" w:rsidRPr="00244D65">
        <w:rPr>
          <w:noProof/>
        </w:rPr>
        <w:t xml:space="preserve">of international credits </w:t>
      </w:r>
      <w:r w:rsidR="002C71CC" w:rsidRPr="00244D65">
        <w:rPr>
          <w:noProof/>
        </w:rPr>
        <w:t xml:space="preserve">will be based on a thorough impact assessment and subject to the development of Union law setting robust and high integrity criteria and </w:t>
      </w:r>
      <w:r w:rsidR="00443567" w:rsidRPr="00244D65">
        <w:rPr>
          <w:noProof/>
        </w:rPr>
        <w:t xml:space="preserve">other </w:t>
      </w:r>
      <w:r w:rsidR="00E30E21" w:rsidRPr="00244D65">
        <w:rPr>
          <w:noProof/>
        </w:rPr>
        <w:t>safe</w:t>
      </w:r>
      <w:r w:rsidR="00B0401D" w:rsidRPr="00244D65">
        <w:rPr>
          <w:noProof/>
        </w:rPr>
        <w:t>guards</w:t>
      </w:r>
      <w:r w:rsidR="00745DD9" w:rsidRPr="00244D65">
        <w:rPr>
          <w:noProof/>
        </w:rPr>
        <w:t>.</w:t>
      </w:r>
      <w:r w:rsidR="003874B2" w:rsidRPr="00244D65">
        <w:rPr>
          <w:noProof/>
        </w:rPr>
        <w:t xml:space="preserve"> </w:t>
      </w:r>
    </w:p>
    <w:p w14:paraId="7F36E4C7" w14:textId="23B34F3F" w:rsidR="007F1116" w:rsidRPr="00244D65" w:rsidRDefault="00054319" w:rsidP="0085595C">
      <w:pPr>
        <w:rPr>
          <w:noProof/>
        </w:rPr>
      </w:pPr>
      <w:r w:rsidRPr="00244D65">
        <w:rPr>
          <w:noProof/>
        </w:rPr>
        <w:t>Nevertheless, th</w:t>
      </w:r>
      <w:r w:rsidR="00C16DE9" w:rsidRPr="00244D65">
        <w:rPr>
          <w:noProof/>
        </w:rPr>
        <w:t>is</w:t>
      </w:r>
      <w:r w:rsidRPr="00244D65">
        <w:rPr>
          <w:noProof/>
        </w:rPr>
        <w:t xml:space="preserve"> impact assessment concludes that a direct integration of international credits in the ETS</w:t>
      </w:r>
      <w:r w:rsidR="00F24C28" w:rsidRPr="00244D65">
        <w:rPr>
          <w:noProof/>
        </w:rPr>
        <w:t xml:space="preserve"> is not appropriate</w:t>
      </w:r>
      <w:r w:rsidR="00B20FC9" w:rsidRPr="00244D65">
        <w:rPr>
          <w:noProof/>
        </w:rPr>
        <w:t>. The EU has had experience of</w:t>
      </w:r>
      <w:r w:rsidR="00C16DE9" w:rsidRPr="00244D65">
        <w:rPr>
          <w:noProof/>
        </w:rPr>
        <w:t xml:space="preserve"> direct</w:t>
      </w:r>
      <w:r w:rsidR="00B20FC9" w:rsidRPr="00244D65">
        <w:rPr>
          <w:noProof/>
        </w:rPr>
        <w:t xml:space="preserve"> integration of Certified Emission Reductions (CERs) from the Clean Development Mechanism (CDM) into the EU ETS and discontinued this approach due to negative impact</w:t>
      </w:r>
      <w:r w:rsidR="00C16DE9" w:rsidRPr="00244D65">
        <w:rPr>
          <w:noProof/>
        </w:rPr>
        <w:t>s</w:t>
      </w:r>
      <w:r w:rsidR="00B20FC9" w:rsidRPr="00244D65">
        <w:rPr>
          <w:noProof/>
        </w:rPr>
        <w:t xml:space="preserve"> on the effectiveness and integrity of the EU ETS. Repeating the</w:t>
      </w:r>
      <w:r w:rsidR="0029765B" w:rsidRPr="00244D65">
        <w:rPr>
          <w:noProof/>
        </w:rPr>
        <w:t>se</w:t>
      </w:r>
      <w:r w:rsidR="00B20FC9" w:rsidRPr="00244D65">
        <w:rPr>
          <w:noProof/>
        </w:rPr>
        <w:t xml:space="preserve"> results should be avoided. By contrast, adjusting the ETS cap equivalent to the amount of international credits that w</w:t>
      </w:r>
      <w:r w:rsidR="0029765B" w:rsidRPr="00244D65">
        <w:rPr>
          <w:noProof/>
        </w:rPr>
        <w:t>ould</w:t>
      </w:r>
      <w:r w:rsidR="00B20FC9" w:rsidRPr="00244D65">
        <w:rPr>
          <w:noProof/>
        </w:rPr>
        <w:t xml:space="preserve"> be </w:t>
      </w:r>
      <w:r w:rsidR="0029765B" w:rsidRPr="00244D65">
        <w:rPr>
          <w:noProof/>
        </w:rPr>
        <w:t>centrally purchased f</w:t>
      </w:r>
      <w:r w:rsidR="00B20FC9" w:rsidRPr="00244D65">
        <w:rPr>
          <w:noProof/>
        </w:rPr>
        <w:t xml:space="preserve">rom </w:t>
      </w:r>
      <w:r w:rsidR="00C16DE9" w:rsidRPr="00244D65">
        <w:rPr>
          <w:noProof/>
        </w:rPr>
        <w:t>mitigation</w:t>
      </w:r>
      <w:r w:rsidR="00B20FC9" w:rsidRPr="00244D65">
        <w:rPr>
          <w:noProof/>
        </w:rPr>
        <w:t xml:space="preserve"> outside of </w:t>
      </w:r>
      <w:r w:rsidR="00C16DE9" w:rsidRPr="00244D65">
        <w:rPr>
          <w:noProof/>
        </w:rPr>
        <w:t xml:space="preserve">the </w:t>
      </w:r>
      <w:r w:rsidR="00B20FC9" w:rsidRPr="00244D65">
        <w:rPr>
          <w:noProof/>
        </w:rPr>
        <w:t>EU</w:t>
      </w:r>
      <w:r w:rsidR="0029765B" w:rsidRPr="00244D65">
        <w:rPr>
          <w:noProof/>
        </w:rPr>
        <w:t xml:space="preserve"> under strict criteria and oversight</w:t>
      </w:r>
      <w:r w:rsidR="00B20FC9" w:rsidRPr="00244D65">
        <w:rPr>
          <w:noProof/>
        </w:rPr>
        <w:t xml:space="preserve">, is a </w:t>
      </w:r>
      <w:r w:rsidR="00C16DE9" w:rsidRPr="00244D65">
        <w:rPr>
          <w:noProof/>
        </w:rPr>
        <w:t xml:space="preserve">simpler, </w:t>
      </w:r>
      <w:r w:rsidR="00B20FC9" w:rsidRPr="00244D65">
        <w:rPr>
          <w:noProof/>
        </w:rPr>
        <w:t>straightforward approach that aligns with the fundamental principles of the system, ensuring a clearly defined cap</w:t>
      </w:r>
      <w:r w:rsidR="0029765B" w:rsidRPr="00244D65">
        <w:rPr>
          <w:noProof/>
        </w:rPr>
        <w:t xml:space="preserve"> and environmental integrity</w:t>
      </w:r>
      <w:r w:rsidR="00B20FC9" w:rsidRPr="00244D65">
        <w:rPr>
          <w:noProof/>
        </w:rPr>
        <w:t>, while still granting additional emission space</w:t>
      </w:r>
      <w:r w:rsidR="0029765B" w:rsidRPr="00244D65">
        <w:rPr>
          <w:noProof/>
        </w:rPr>
        <w:t xml:space="preserve"> to the EU ETS</w:t>
      </w:r>
      <w:r w:rsidR="00B20FC9" w:rsidRPr="00244D65">
        <w:rPr>
          <w:noProof/>
        </w:rPr>
        <w:t>.</w:t>
      </w:r>
      <w:r w:rsidR="007A78ED" w:rsidRPr="00244D65">
        <w:rPr>
          <w:noProof/>
        </w:rPr>
        <w:t xml:space="preserve"> Revenues associated with the additional allowances that can be auctioned could be earmarked </w:t>
      </w:r>
      <w:r w:rsidR="00C16DE9" w:rsidRPr="00244D65">
        <w:rPr>
          <w:noProof/>
        </w:rPr>
        <w:t>to</w:t>
      </w:r>
      <w:r w:rsidR="007A78ED" w:rsidRPr="00244D65">
        <w:rPr>
          <w:noProof/>
        </w:rPr>
        <w:t xml:space="preserve"> finance the international credits that justify the additional emissions space in the </w:t>
      </w:r>
      <w:r w:rsidR="0029765B" w:rsidRPr="00244D65">
        <w:rPr>
          <w:noProof/>
        </w:rPr>
        <w:t xml:space="preserve">EU </w:t>
      </w:r>
      <w:r w:rsidR="007A78ED" w:rsidRPr="00244D65">
        <w:rPr>
          <w:noProof/>
        </w:rPr>
        <w:t>ETS.</w:t>
      </w:r>
    </w:p>
    <w:p w14:paraId="03C99277" w14:textId="7121589E" w:rsidR="007F1116" w:rsidRPr="00244D65" w:rsidRDefault="007F1116" w:rsidP="0085595C">
      <w:pPr>
        <w:rPr>
          <w:noProof/>
        </w:rPr>
      </w:pPr>
      <w:r w:rsidRPr="00244D65">
        <w:rPr>
          <w:noProof/>
        </w:rPr>
        <w:t xml:space="preserve">This </w:t>
      </w:r>
      <w:r w:rsidR="003334B2" w:rsidRPr="00244D65">
        <w:rPr>
          <w:noProof/>
        </w:rPr>
        <w:t>impact assessment</w:t>
      </w:r>
      <w:r w:rsidRPr="00244D65">
        <w:rPr>
          <w:noProof/>
        </w:rPr>
        <w:t xml:space="preserve"> </w:t>
      </w:r>
      <w:r w:rsidR="00B20FC9" w:rsidRPr="00244D65">
        <w:rPr>
          <w:noProof/>
        </w:rPr>
        <w:t xml:space="preserve">therefore </w:t>
      </w:r>
      <w:r w:rsidRPr="00244D65">
        <w:rPr>
          <w:noProof/>
        </w:rPr>
        <w:t xml:space="preserve">uses (modelled) scenarios aiming at an economy-wide reduction of net greenhouse gas emissions by </w:t>
      </w:r>
      <w:r w:rsidR="00452381" w:rsidRPr="00244D65">
        <w:rPr>
          <w:noProof/>
        </w:rPr>
        <w:t xml:space="preserve">85% </w:t>
      </w:r>
      <w:r w:rsidRPr="00244D65">
        <w:rPr>
          <w:noProof/>
        </w:rPr>
        <w:t xml:space="preserve">in 2040 as </w:t>
      </w:r>
      <w:r w:rsidR="00ED4F24" w:rsidRPr="00244D65">
        <w:rPr>
          <w:noProof/>
        </w:rPr>
        <w:t>indicative</w:t>
      </w:r>
      <w:r w:rsidR="004B7A1C" w:rsidRPr="00244D65">
        <w:rPr>
          <w:noProof/>
        </w:rPr>
        <w:t xml:space="preserve"> of</w:t>
      </w:r>
      <w:r w:rsidR="00ED4F24" w:rsidRPr="00244D65">
        <w:rPr>
          <w:noProof/>
        </w:rPr>
        <w:t xml:space="preserve"> </w:t>
      </w:r>
      <w:r w:rsidRPr="00244D65">
        <w:rPr>
          <w:noProof/>
        </w:rPr>
        <w:t xml:space="preserve">the domestic impacts of the Climate Law, in particular on </w:t>
      </w:r>
      <w:r w:rsidR="005A1892" w:rsidRPr="00244D65">
        <w:rPr>
          <w:noProof/>
        </w:rPr>
        <w:t>EU ETS</w:t>
      </w:r>
      <w:r w:rsidRPr="00244D65">
        <w:rPr>
          <w:noProof/>
        </w:rPr>
        <w:t xml:space="preserve"> sectors.</w:t>
      </w:r>
      <w:r w:rsidR="00285688" w:rsidRPr="00244D65">
        <w:rPr>
          <w:noProof/>
        </w:rPr>
        <w:t xml:space="preserve"> It could be decided later that less than 5% of international credits are </w:t>
      </w:r>
      <w:r w:rsidR="00C16DE9" w:rsidRPr="00244D65">
        <w:rPr>
          <w:noProof/>
        </w:rPr>
        <w:t>used</w:t>
      </w:r>
      <w:r w:rsidR="00285688" w:rsidRPr="00244D65">
        <w:rPr>
          <w:noProof/>
        </w:rPr>
        <w:t>, which would enable more investment in domestic action.</w:t>
      </w:r>
      <w:r w:rsidRPr="00244D65">
        <w:rPr>
          <w:noProof/>
        </w:rPr>
        <w:t xml:space="preserve"> </w:t>
      </w:r>
      <w:r w:rsidR="00EC7895" w:rsidRPr="00244D65">
        <w:rPr>
          <w:noProof/>
        </w:rPr>
        <w:t>Consequently,</w:t>
      </w:r>
      <w:r w:rsidR="008378B1" w:rsidRPr="00244D65">
        <w:rPr>
          <w:noProof/>
        </w:rPr>
        <w:t xml:space="preserve"> the domestic reduction of net GHG emissions c</w:t>
      </w:r>
      <w:r w:rsidR="00F97BA8" w:rsidRPr="00244D65">
        <w:rPr>
          <w:noProof/>
        </w:rPr>
        <w:t>ould</w:t>
      </w:r>
      <w:r w:rsidR="008378B1" w:rsidRPr="00244D65">
        <w:rPr>
          <w:noProof/>
        </w:rPr>
        <w:t xml:space="preserve"> be higher than 85%</w:t>
      </w:r>
      <w:r w:rsidR="00F97BA8" w:rsidRPr="00244D65">
        <w:rPr>
          <w:noProof/>
        </w:rPr>
        <w:t>. However</w:t>
      </w:r>
      <w:r w:rsidR="008378B1" w:rsidRPr="00244D65">
        <w:rPr>
          <w:noProof/>
        </w:rPr>
        <w:t xml:space="preserve">, this target was chosen as the basis for the impact assessment to consider the maximum potential use of the international credit flexibility allowed in the European Climate Law. </w:t>
      </w:r>
      <w:r w:rsidRPr="00244D65">
        <w:rPr>
          <w:noProof/>
        </w:rPr>
        <w:t xml:space="preserve">The costs and </w:t>
      </w:r>
      <w:r w:rsidR="00921152" w:rsidRPr="00244D65">
        <w:rPr>
          <w:noProof/>
        </w:rPr>
        <w:t xml:space="preserve">full </w:t>
      </w:r>
      <w:r w:rsidRPr="00244D65">
        <w:rPr>
          <w:noProof/>
        </w:rPr>
        <w:t>impacts of purchases of international credits are not included in this impact assessment.</w:t>
      </w:r>
      <w:r w:rsidR="00B20FC9" w:rsidRPr="00244D65">
        <w:rPr>
          <w:noProof/>
        </w:rPr>
        <w:t xml:space="preserve"> Allowing direct use of international credits for operators for their ETS compliance obligations as means to create additional emissions space is an option which cannot be implemented simultaneously with the adjustment of the ETS cap to the EU-wide 85% domestic ambition target.</w:t>
      </w:r>
    </w:p>
    <w:p w14:paraId="1A944CEE" w14:textId="003CFCEF" w:rsidR="000719BD" w:rsidRPr="00244D65" w:rsidRDefault="000719BD" w:rsidP="0085595C">
      <w:pPr>
        <w:rPr>
          <w:noProof/>
        </w:rPr>
      </w:pPr>
      <w:r w:rsidRPr="00244D65">
        <w:rPr>
          <w:noProof/>
        </w:rPr>
        <w:t xml:space="preserve">The 2023 review under the Fit for 55 </w:t>
      </w:r>
      <w:bookmarkStart w:id="24" w:name="_Int_l7XYZ8VO"/>
      <w:r w:rsidRPr="00244D65">
        <w:rPr>
          <w:noProof/>
        </w:rPr>
        <w:t>package</w:t>
      </w:r>
      <w:bookmarkEnd w:id="24"/>
      <w:r w:rsidRPr="00244D65">
        <w:rPr>
          <w:noProof/>
        </w:rPr>
        <w:t xml:space="preserve"> introduced several review clauses relating to </w:t>
      </w:r>
      <w:r w:rsidR="005A1892" w:rsidRPr="00244D65">
        <w:rPr>
          <w:noProof/>
        </w:rPr>
        <w:t>the EU ETS</w:t>
      </w:r>
      <w:r w:rsidRPr="00244D65">
        <w:rPr>
          <w:noProof/>
        </w:rPr>
        <w:t xml:space="preserve">, under Article 3gg, Article 28b and Article 30 to assess potential adjustments to the system on aviation, maritime and stationary installations </w:t>
      </w:r>
      <w:r w:rsidR="00102EB1" w:rsidRPr="00244D65">
        <w:rPr>
          <w:noProof/>
        </w:rPr>
        <w:t>in</w:t>
      </w:r>
      <w:r w:rsidRPr="00244D65">
        <w:rPr>
          <w:noProof/>
        </w:rPr>
        <w:t xml:space="preserve"> 2026. In addition, Article 3 of the MSR Decision sets a legal obligation for a review of this instrument, with the next review due in 2026. </w:t>
      </w:r>
    </w:p>
    <w:p w14:paraId="4658051A" w14:textId="363916C9" w:rsidR="000719BD" w:rsidRPr="00244D65" w:rsidRDefault="000719BD" w:rsidP="0085595C">
      <w:pPr>
        <w:pStyle w:val="BodyA"/>
        <w:ind w:right="113"/>
        <w:jc w:val="both"/>
        <w:rPr>
          <w:noProof/>
          <w:lang w:val="en-GB"/>
        </w:rPr>
      </w:pPr>
      <w:r w:rsidRPr="00244D65">
        <w:rPr>
          <w:noProof/>
          <w:lang w:val="en-GB"/>
        </w:rPr>
        <w:t>Following the ‘evaluate first’ principle, the ETS Directive and the MSR Decision should be evaluated before undergoing revision. A new emissions trading system covering CO</w:t>
      </w:r>
      <w:r w:rsidRPr="00244D65">
        <w:rPr>
          <w:noProof/>
          <w:vertAlign w:val="subscript"/>
          <w:lang w:val="en-GB"/>
        </w:rPr>
        <w:t>2</w:t>
      </w:r>
      <w:r w:rsidRPr="00244D65">
        <w:rPr>
          <w:noProof/>
          <w:lang w:val="en-GB"/>
        </w:rPr>
        <w:t xml:space="preserve"> emissions from fuel combustion in buildings, road transport and small industry (ETS2) was created in the 2023 revision of the ETS Directive. As the ETS2 becomes fully operational </w:t>
      </w:r>
      <w:r w:rsidR="00455C10" w:rsidRPr="00244D65">
        <w:rPr>
          <w:noProof/>
          <w:lang w:val="en-GB"/>
        </w:rPr>
        <w:t>in 2028</w:t>
      </w:r>
      <w:r w:rsidRPr="00244D65">
        <w:rPr>
          <w:noProof/>
          <w:lang w:val="en-GB"/>
        </w:rPr>
        <w:t xml:space="preserve">, it is excluded from the scope of this </w:t>
      </w:r>
      <w:r w:rsidR="00EC65B5" w:rsidRPr="00244D65">
        <w:rPr>
          <w:noProof/>
          <w:lang w:val="en-GB"/>
        </w:rPr>
        <w:t>impact assessment</w:t>
      </w:r>
      <w:r w:rsidRPr="00244D65">
        <w:rPr>
          <w:noProof/>
          <w:lang w:val="en-GB"/>
        </w:rPr>
        <w:t>. Furthermore,</w:t>
      </w:r>
      <w:r w:rsidR="00EB1F7C" w:rsidRPr="00244D65">
        <w:rPr>
          <w:noProof/>
          <w:lang w:val="en-GB"/>
        </w:rPr>
        <w:t xml:space="preserve"> the application of the ETS2 </w:t>
      </w:r>
      <w:r w:rsidR="00FB2F5C" w:rsidRPr="00244D65">
        <w:rPr>
          <w:noProof/>
          <w:lang w:val="en-GB"/>
        </w:rPr>
        <w:t>is due to be reviewed by 2028 and</w:t>
      </w:r>
      <w:r w:rsidRPr="00244D65">
        <w:rPr>
          <w:noProof/>
          <w:lang w:val="en-GB"/>
        </w:rPr>
        <w:t xml:space="preserve"> any assessment of the feasibility of integrating the sectors under ETS2 into </w:t>
      </w:r>
      <w:r w:rsidR="005A1892" w:rsidRPr="00244D65">
        <w:rPr>
          <w:noProof/>
          <w:lang w:val="en-GB"/>
        </w:rPr>
        <w:t xml:space="preserve">the EU ETS </w:t>
      </w:r>
      <w:r w:rsidRPr="00244D65">
        <w:rPr>
          <w:noProof/>
          <w:lang w:val="en-GB"/>
        </w:rPr>
        <w:t>is subject to a review clause due in 2031</w:t>
      </w:r>
      <w:r w:rsidR="00FB2F5C" w:rsidRPr="00244D65">
        <w:rPr>
          <w:noProof/>
          <w:lang w:val="en-GB"/>
        </w:rPr>
        <w:t xml:space="preserve">, as </w:t>
      </w:r>
      <w:r w:rsidRPr="00244D65">
        <w:rPr>
          <w:noProof/>
          <w:lang w:val="en-GB"/>
        </w:rPr>
        <w:t>set out in Article 30i of Directive 20</w:t>
      </w:r>
      <w:r w:rsidR="00520962" w:rsidRPr="00244D65">
        <w:rPr>
          <w:noProof/>
          <w:lang w:val="en-GB"/>
        </w:rPr>
        <w:t>0</w:t>
      </w:r>
      <w:r w:rsidRPr="00244D65" w:rsidDel="00520962">
        <w:rPr>
          <w:noProof/>
          <w:lang w:val="en-GB"/>
        </w:rPr>
        <w:t>3</w:t>
      </w:r>
      <w:r w:rsidRPr="00244D65">
        <w:rPr>
          <w:noProof/>
          <w:lang w:val="en-GB"/>
        </w:rPr>
        <w:t>/87/EC.</w:t>
      </w:r>
    </w:p>
    <w:p w14:paraId="39C88A97" w14:textId="7138863B" w:rsidR="000719BD" w:rsidRPr="00244D65" w:rsidRDefault="000719BD" w:rsidP="0085595C">
      <w:pPr>
        <w:rPr>
          <w:noProof/>
        </w:rPr>
      </w:pPr>
      <w:r w:rsidRPr="00244D65">
        <w:rPr>
          <w:noProof/>
        </w:rPr>
        <w:t xml:space="preserve">Based on the Climate Law and the Paris Agreement, all sectors of the economy must contribute to reducing emissions, including all the sectors covered by </w:t>
      </w:r>
      <w:r w:rsidR="00962BF1" w:rsidRPr="00244D65">
        <w:rPr>
          <w:noProof/>
        </w:rPr>
        <w:t xml:space="preserve">the </w:t>
      </w:r>
      <w:r w:rsidR="006F5652" w:rsidRPr="00244D65">
        <w:rPr>
          <w:noProof/>
        </w:rPr>
        <w:t xml:space="preserve">EU </w:t>
      </w:r>
      <w:r w:rsidRPr="00244D65">
        <w:rPr>
          <w:noProof/>
        </w:rPr>
        <w:t xml:space="preserve">ETS. This contribution risks being hampered by potential residual emissions </w:t>
      </w:r>
      <w:r w:rsidR="00C30DD6" w:rsidRPr="00244D65">
        <w:rPr>
          <w:noProof/>
        </w:rPr>
        <w:t xml:space="preserve">from sectors where there is currently </w:t>
      </w:r>
      <w:r w:rsidR="00FD5FB1" w:rsidRPr="00244D65">
        <w:rPr>
          <w:noProof/>
        </w:rPr>
        <w:t xml:space="preserve">a </w:t>
      </w:r>
      <w:r w:rsidR="00C30DD6" w:rsidRPr="00244D65">
        <w:rPr>
          <w:noProof/>
        </w:rPr>
        <w:t>lack of business case for decarbonisation technologies</w:t>
      </w:r>
      <w:r w:rsidR="00FC1ACB" w:rsidRPr="00244D65">
        <w:rPr>
          <w:noProof/>
        </w:rPr>
        <w:t>,</w:t>
      </w:r>
      <w:r w:rsidR="00EE0601" w:rsidRPr="00244D65">
        <w:rPr>
          <w:noProof/>
        </w:rPr>
        <w:t xml:space="preserve"> notably in the</w:t>
      </w:r>
      <w:r w:rsidR="006D24FD" w:rsidRPr="00244D65">
        <w:rPr>
          <w:noProof/>
        </w:rPr>
        <w:t xml:space="preserve"> </w:t>
      </w:r>
      <w:r w:rsidR="00315841" w:rsidRPr="00244D65">
        <w:rPr>
          <w:noProof/>
        </w:rPr>
        <w:t>energy intensive industries</w:t>
      </w:r>
      <w:r w:rsidR="00891083" w:rsidRPr="00244D65">
        <w:rPr>
          <w:noProof/>
        </w:rPr>
        <w:t xml:space="preserve"> (EIIs)</w:t>
      </w:r>
      <w:r w:rsidR="005B72DB" w:rsidRPr="00244D65">
        <w:rPr>
          <w:noProof/>
        </w:rPr>
        <w:t xml:space="preserve"> where many processes are ‘hard</w:t>
      </w:r>
      <w:r w:rsidR="008C6695" w:rsidRPr="00244D65">
        <w:rPr>
          <w:noProof/>
        </w:rPr>
        <w:t>-</w:t>
      </w:r>
      <w:r w:rsidR="005B72DB" w:rsidRPr="00244D65">
        <w:rPr>
          <w:noProof/>
        </w:rPr>
        <w:t>to</w:t>
      </w:r>
      <w:r w:rsidR="008C6695" w:rsidRPr="00244D65">
        <w:rPr>
          <w:noProof/>
        </w:rPr>
        <w:t>-</w:t>
      </w:r>
      <w:r w:rsidR="005B72DB" w:rsidRPr="00244D65">
        <w:rPr>
          <w:noProof/>
        </w:rPr>
        <w:t>abate’</w:t>
      </w:r>
      <w:r w:rsidR="006D24FD" w:rsidRPr="00244D65">
        <w:rPr>
          <w:rStyle w:val="FootnoteReference"/>
          <w:noProof/>
        </w:rPr>
        <w:footnoteReference w:id="10"/>
      </w:r>
      <w:r w:rsidR="00DF3001" w:rsidRPr="00244D65">
        <w:rPr>
          <w:noProof/>
        </w:rPr>
        <w:t>;</w:t>
      </w:r>
      <w:r w:rsidR="00C30DD6" w:rsidRPr="00244D65">
        <w:rPr>
          <w:noProof/>
        </w:rPr>
        <w:t xml:space="preserve"> </w:t>
      </w:r>
      <w:r w:rsidRPr="00244D65">
        <w:rPr>
          <w:noProof/>
        </w:rPr>
        <w:t>from sectors with low incentives to shift to clean solutions due to incomplete internalisation of the climate cost</w:t>
      </w:r>
      <w:r w:rsidR="009E3E5B" w:rsidRPr="00244D65">
        <w:rPr>
          <w:noProof/>
        </w:rPr>
        <w:t>; and from sectors</w:t>
      </w:r>
      <w:r w:rsidR="2DCC9CB4" w:rsidRPr="00244D65">
        <w:rPr>
          <w:noProof/>
        </w:rPr>
        <w:t xml:space="preserve"> where alternative low-carbon technologies remain </w:t>
      </w:r>
      <w:r w:rsidR="69CDBE16" w:rsidRPr="00244D65">
        <w:rPr>
          <w:noProof/>
        </w:rPr>
        <w:t>constrained</w:t>
      </w:r>
      <w:r w:rsidR="00805DB4" w:rsidRPr="00244D65">
        <w:rPr>
          <w:noProof/>
        </w:rPr>
        <w:t>.</w:t>
      </w:r>
      <w:r w:rsidR="69CDBE16" w:rsidRPr="00244D65">
        <w:rPr>
          <w:noProof/>
        </w:rPr>
        <w:t xml:space="preserve"> </w:t>
      </w:r>
    </w:p>
    <w:p w14:paraId="5D799C05" w14:textId="4553BC47" w:rsidR="000719BD" w:rsidRPr="00244D65" w:rsidRDefault="00860106" w:rsidP="0085595C">
      <w:pPr>
        <w:rPr>
          <w:noProof/>
        </w:rPr>
      </w:pPr>
      <w:r w:rsidRPr="00244D65">
        <w:rPr>
          <w:noProof/>
        </w:rPr>
        <w:t>Aviation accounts for 2-3% of global CO</w:t>
      </w:r>
      <w:r w:rsidRPr="00244D65">
        <w:rPr>
          <w:noProof/>
          <w:vertAlign w:val="subscript"/>
        </w:rPr>
        <w:t>2</w:t>
      </w:r>
      <w:r w:rsidRPr="00244D65">
        <w:rPr>
          <w:noProof/>
        </w:rPr>
        <w:t xml:space="preserve"> emissions</w:t>
      </w:r>
      <w:r w:rsidRPr="00244D65">
        <w:rPr>
          <w:noProof/>
          <w:vertAlign w:val="superscript"/>
        </w:rPr>
        <w:footnoteReference w:id="11"/>
      </w:r>
      <w:r w:rsidR="240E88FD" w:rsidRPr="00244D65">
        <w:rPr>
          <w:noProof/>
        </w:rPr>
        <w:t xml:space="preserve"> and</w:t>
      </w:r>
      <w:r w:rsidRPr="00244D65">
        <w:rPr>
          <w:noProof/>
        </w:rPr>
        <w:t xml:space="preserve"> is a source of non-CO</w:t>
      </w:r>
      <w:r w:rsidRPr="00244D65">
        <w:rPr>
          <w:noProof/>
          <w:vertAlign w:val="subscript"/>
        </w:rPr>
        <w:t>2</w:t>
      </w:r>
      <w:r w:rsidRPr="00244D65">
        <w:rPr>
          <w:noProof/>
        </w:rPr>
        <w:t xml:space="preserve"> climate impacts at least as significant as those of CO</w:t>
      </w:r>
      <w:r w:rsidRPr="00244D65">
        <w:rPr>
          <w:noProof/>
          <w:vertAlign w:val="subscript"/>
        </w:rPr>
        <w:t>2</w:t>
      </w:r>
      <w:r w:rsidRPr="00244D65">
        <w:rPr>
          <w:noProof/>
        </w:rPr>
        <w:t xml:space="preserve">. </w:t>
      </w:r>
      <w:r w:rsidR="000719BD" w:rsidRPr="00244D65">
        <w:rPr>
          <w:noProof/>
        </w:rPr>
        <w:t>Aviation’s share of EU transport emissions today is 13.9%, or around 4% of the EU’s total CO</w:t>
      </w:r>
      <w:r w:rsidR="000719BD" w:rsidRPr="00244D65">
        <w:rPr>
          <w:noProof/>
          <w:vertAlign w:val="subscript"/>
        </w:rPr>
        <w:t>2</w:t>
      </w:r>
      <w:r w:rsidR="000719BD" w:rsidRPr="00244D65">
        <w:rPr>
          <w:noProof/>
        </w:rPr>
        <w:t xml:space="preserve"> emissions. By 2050, aviation’s share is expected to grow to around 90%</w:t>
      </w:r>
      <w:r w:rsidR="000719BD" w:rsidRPr="00244D65">
        <w:rPr>
          <w:rStyle w:val="FootnoteReference"/>
          <w:noProof/>
        </w:rPr>
        <w:footnoteReference w:id="12"/>
      </w:r>
      <w:r w:rsidR="000719BD" w:rsidRPr="00244D65">
        <w:rPr>
          <w:noProof/>
        </w:rPr>
        <w:t xml:space="preserve">. Long-haul flights fuel this growth. Globally, the International Civil Aviation Organization (ICAO) projects that international aviation emissions will </w:t>
      </w:r>
      <w:r w:rsidR="00D34398" w:rsidRPr="00244D65">
        <w:rPr>
          <w:noProof/>
        </w:rPr>
        <w:t>continue to grow</w:t>
      </w:r>
      <w:r w:rsidR="000A4398" w:rsidRPr="00244D65">
        <w:rPr>
          <w:noProof/>
        </w:rPr>
        <w:t xml:space="preserve">, although </w:t>
      </w:r>
      <w:r w:rsidR="00EC6E85" w:rsidRPr="00244D65">
        <w:rPr>
          <w:noProof/>
        </w:rPr>
        <w:t>Carbon Offsetting and Reduction Scheme for International Aviation (CORSIA)</w:t>
      </w:r>
      <w:r w:rsidR="0051424A" w:rsidRPr="00244D65">
        <w:rPr>
          <w:noProof/>
        </w:rPr>
        <w:t xml:space="preserve"> </w:t>
      </w:r>
      <w:r w:rsidR="00964FEC" w:rsidRPr="00244D65">
        <w:rPr>
          <w:noProof/>
        </w:rPr>
        <w:t>aims to</w:t>
      </w:r>
      <w:r w:rsidR="00D34398" w:rsidRPr="00244D65">
        <w:rPr>
          <w:noProof/>
        </w:rPr>
        <w:t xml:space="preserve"> </w:t>
      </w:r>
      <w:r w:rsidR="00166C26" w:rsidRPr="00244D65">
        <w:rPr>
          <w:noProof/>
        </w:rPr>
        <w:t xml:space="preserve">offset </w:t>
      </w:r>
      <w:r w:rsidR="00964FEC" w:rsidRPr="00244D65">
        <w:rPr>
          <w:noProof/>
        </w:rPr>
        <w:t xml:space="preserve">most </w:t>
      </w:r>
      <w:r w:rsidR="00166C26" w:rsidRPr="00244D65">
        <w:rPr>
          <w:noProof/>
        </w:rPr>
        <w:t>of that growth</w:t>
      </w:r>
      <w:r w:rsidR="000719BD" w:rsidRPr="00244D65">
        <w:rPr>
          <w:rStyle w:val="FootnoteReference"/>
          <w:noProof/>
        </w:rPr>
        <w:footnoteReference w:id="13"/>
      </w:r>
      <w:r w:rsidR="000719BD" w:rsidRPr="00244D65">
        <w:rPr>
          <w:noProof/>
        </w:rPr>
        <w:t xml:space="preserve">. </w:t>
      </w:r>
      <w:r w:rsidR="00556871" w:rsidRPr="00244D65">
        <w:rPr>
          <w:noProof/>
        </w:rPr>
        <w:t>Aviation, like shipping, has important decarbonisation challenges</w:t>
      </w:r>
      <w:r w:rsidR="005D7A09" w:rsidRPr="00244D65">
        <w:rPr>
          <w:noProof/>
        </w:rPr>
        <w:t xml:space="preserve"> as a hard-to-abate sector, marked by long asset lifetimes, significant capital </w:t>
      </w:r>
      <w:r w:rsidR="60A85E1E" w:rsidRPr="00244D65">
        <w:rPr>
          <w:noProof/>
        </w:rPr>
        <w:t>intensity,</w:t>
      </w:r>
      <w:r w:rsidR="005D7A09" w:rsidRPr="00244D65">
        <w:rPr>
          <w:noProof/>
        </w:rPr>
        <w:t xml:space="preserve"> and a current scarcity of immediate alternatives to fossil fuels. </w:t>
      </w:r>
    </w:p>
    <w:p w14:paraId="1D634B81" w14:textId="3451EA9B" w:rsidR="000719BD" w:rsidRPr="00244D65" w:rsidRDefault="000719BD" w:rsidP="0085595C">
      <w:pPr>
        <w:rPr>
          <w:noProof/>
        </w:rPr>
      </w:pPr>
      <w:r w:rsidRPr="00244D65">
        <w:rPr>
          <w:noProof/>
        </w:rPr>
        <w:t>Maritime transport represents around 14% of the total EU transport emissions, or around 4% of the EU’s total CO</w:t>
      </w:r>
      <w:r w:rsidRPr="00244D65">
        <w:rPr>
          <w:noProof/>
          <w:vertAlign w:val="subscript"/>
        </w:rPr>
        <w:t>2</w:t>
      </w:r>
      <w:r w:rsidRPr="00244D65">
        <w:rPr>
          <w:noProof/>
        </w:rPr>
        <w:t xml:space="preserve"> emissions. </w:t>
      </w:r>
      <w:r w:rsidR="00DF4101" w:rsidRPr="00244D65">
        <w:rPr>
          <w:noProof/>
        </w:rPr>
        <w:t>Its</w:t>
      </w:r>
      <w:r w:rsidRPr="00244D65">
        <w:rPr>
          <w:noProof/>
        </w:rPr>
        <w:t xml:space="preserve"> green transition will require the mobilisation of the whole EU maritime value chain and will require substantial investment in enhancing vessel efficiency, developing new </w:t>
      </w:r>
      <w:r w:rsidR="002B1E03" w:rsidRPr="00244D65">
        <w:rPr>
          <w:noProof/>
        </w:rPr>
        <w:t xml:space="preserve">sustainable </w:t>
      </w:r>
      <w:r w:rsidRPr="00244D65">
        <w:rPr>
          <w:noProof/>
        </w:rPr>
        <w:t xml:space="preserve">propulsion </w:t>
      </w:r>
      <w:r w:rsidR="69D8E2DA" w:rsidRPr="00244D65">
        <w:rPr>
          <w:noProof/>
        </w:rPr>
        <w:t>technologies,</w:t>
      </w:r>
      <w:r w:rsidRPr="00244D65">
        <w:rPr>
          <w:noProof/>
        </w:rPr>
        <w:t xml:space="preserve"> and scaling up the production and distribution of sustainable renewable and low-carbon fuels, including the upgrade of port and energy infrastructures. </w:t>
      </w:r>
    </w:p>
    <w:p w14:paraId="0554459F" w14:textId="4BB36F8A" w:rsidR="000719BD" w:rsidRPr="00244D65" w:rsidRDefault="000719BD" w:rsidP="0085595C">
      <w:pPr>
        <w:rPr>
          <w:noProof/>
        </w:rPr>
      </w:pPr>
      <w:r w:rsidRPr="00244D65">
        <w:rPr>
          <w:noProof/>
        </w:rPr>
        <w:t xml:space="preserve">For aviation and maritime, complementary policies </w:t>
      </w:r>
      <w:r w:rsidR="000A6EBF" w:rsidRPr="00244D65">
        <w:rPr>
          <w:noProof/>
        </w:rPr>
        <w:t>such as FuelEU</w:t>
      </w:r>
      <w:r w:rsidR="00C06AF7" w:rsidRPr="00244D65">
        <w:rPr>
          <w:noProof/>
        </w:rPr>
        <w:t xml:space="preserve"> Maritime</w:t>
      </w:r>
      <w:r w:rsidR="000A6EBF" w:rsidRPr="00244D65">
        <w:rPr>
          <w:noProof/>
        </w:rPr>
        <w:t xml:space="preserve"> and </w:t>
      </w:r>
      <w:r w:rsidR="574B81DE" w:rsidRPr="00244D65">
        <w:rPr>
          <w:noProof/>
        </w:rPr>
        <w:t>ReFuel</w:t>
      </w:r>
      <w:r w:rsidR="3B0976B7" w:rsidRPr="00244D65">
        <w:rPr>
          <w:noProof/>
        </w:rPr>
        <w:t>EU Aviation</w:t>
      </w:r>
      <w:r w:rsidRPr="00244D65">
        <w:rPr>
          <w:noProof/>
        </w:rPr>
        <w:t xml:space="preserve"> </w:t>
      </w:r>
      <w:bookmarkStart w:id="25" w:name="_Int_SCbPHHSY"/>
      <w:r w:rsidRPr="00244D65">
        <w:rPr>
          <w:noProof/>
        </w:rPr>
        <w:t>work in synergy</w:t>
      </w:r>
      <w:bookmarkEnd w:id="25"/>
      <w:r w:rsidRPr="00244D65">
        <w:rPr>
          <w:noProof/>
        </w:rPr>
        <w:t xml:space="preserve"> with the ETS</w:t>
      </w:r>
      <w:r w:rsidR="00665CEF" w:rsidRPr="00244D65">
        <w:rPr>
          <w:noProof/>
        </w:rPr>
        <w:t>’s multiple incentives</w:t>
      </w:r>
      <w:r w:rsidRPr="00244D65" w:rsidDel="00665CEF">
        <w:rPr>
          <w:noProof/>
        </w:rPr>
        <w:t xml:space="preserve"> </w:t>
      </w:r>
      <w:r w:rsidRPr="00244D65">
        <w:rPr>
          <w:noProof/>
        </w:rPr>
        <w:t>support</w:t>
      </w:r>
      <w:r w:rsidR="00665CEF" w:rsidRPr="00244D65">
        <w:rPr>
          <w:noProof/>
        </w:rPr>
        <w:t>ing</w:t>
      </w:r>
      <w:r w:rsidRPr="00244D65">
        <w:rPr>
          <w:noProof/>
        </w:rPr>
        <w:t xml:space="preserve"> the uptake of more sustainable fuels</w:t>
      </w:r>
      <w:r w:rsidRPr="00244D65">
        <w:rPr>
          <w:rStyle w:val="FootnoteReference"/>
          <w:noProof/>
        </w:rPr>
        <w:footnoteReference w:id="14"/>
      </w:r>
      <w:r w:rsidRPr="00244D65">
        <w:rPr>
          <w:noProof/>
        </w:rPr>
        <w:t xml:space="preserve">. </w:t>
      </w:r>
    </w:p>
    <w:p w14:paraId="67BB6323" w14:textId="504E2C6B" w:rsidR="00314FDE" w:rsidRPr="00244D65" w:rsidRDefault="008658A1" w:rsidP="0085595C">
      <w:pPr>
        <w:pStyle w:val="BodyA"/>
        <w:ind w:right="113"/>
        <w:jc w:val="both"/>
        <w:rPr>
          <w:rFonts w:eastAsia="Calibri"/>
          <w:noProof/>
          <w:lang w:val="en-GB"/>
        </w:rPr>
      </w:pPr>
      <w:r w:rsidRPr="00244D65">
        <w:rPr>
          <w:noProof/>
          <w:lang w:val="en-GB"/>
        </w:rPr>
        <w:t>O</w:t>
      </w:r>
      <w:r w:rsidR="001F163B" w:rsidRPr="00244D65">
        <w:rPr>
          <w:noProof/>
          <w:lang w:val="en-GB"/>
        </w:rPr>
        <w:t>ver</w:t>
      </w:r>
      <w:r w:rsidR="68BC9E96" w:rsidRPr="00244D65">
        <w:rPr>
          <w:noProof/>
          <w:lang w:val="en-GB"/>
        </w:rPr>
        <w:t xml:space="preserve"> the coming decade and to achieve climate neutrality by 2050, industry </w:t>
      </w:r>
      <w:bookmarkStart w:id="26" w:name="_Int_LzU0fnjU"/>
      <w:r w:rsidR="68BC9E96" w:rsidRPr="00244D65">
        <w:rPr>
          <w:noProof/>
          <w:lang w:val="en-GB"/>
        </w:rPr>
        <w:t>ha</w:t>
      </w:r>
      <w:r w:rsidR="0065408B" w:rsidRPr="00244D65">
        <w:rPr>
          <w:noProof/>
          <w:lang w:val="en-GB"/>
        </w:rPr>
        <w:t>s</w:t>
      </w:r>
      <w:r w:rsidR="68BC9E96" w:rsidRPr="00244D65">
        <w:rPr>
          <w:noProof/>
          <w:lang w:val="en-GB"/>
        </w:rPr>
        <w:t xml:space="preserve"> to</w:t>
      </w:r>
      <w:bookmarkEnd w:id="26"/>
      <w:r w:rsidR="68BC9E96" w:rsidRPr="00244D65">
        <w:rPr>
          <w:noProof/>
          <w:lang w:val="en-GB"/>
        </w:rPr>
        <w:t xml:space="preserve"> go through a significant transformation to decarbonise and switch to cleaner and more energy efficient technologies</w:t>
      </w:r>
      <w:r w:rsidR="0099561C" w:rsidRPr="00244D65">
        <w:rPr>
          <w:noProof/>
          <w:lang w:val="en-GB"/>
        </w:rPr>
        <w:t>,</w:t>
      </w:r>
      <w:r w:rsidR="7254B099" w:rsidRPr="00244D65">
        <w:rPr>
          <w:noProof/>
          <w:lang w:val="en-GB"/>
        </w:rPr>
        <w:t xml:space="preserve"> such as electrification, </w:t>
      </w:r>
      <w:r w:rsidR="00534341" w:rsidRPr="00244D65">
        <w:rPr>
          <w:noProof/>
          <w:lang w:val="en-GB"/>
        </w:rPr>
        <w:t xml:space="preserve">the </w:t>
      </w:r>
      <w:r w:rsidR="7254B099" w:rsidRPr="00244D65">
        <w:rPr>
          <w:noProof/>
          <w:lang w:val="en-GB"/>
        </w:rPr>
        <w:t xml:space="preserve">use hydrogen from renewable sources, </w:t>
      </w:r>
      <w:r w:rsidR="00F55FE8" w:rsidRPr="00244D65">
        <w:rPr>
          <w:noProof/>
          <w:lang w:val="en-GB"/>
        </w:rPr>
        <w:t>or</w:t>
      </w:r>
      <w:r w:rsidR="005120BF" w:rsidRPr="00244D65">
        <w:rPr>
          <w:noProof/>
          <w:lang w:val="en-GB"/>
        </w:rPr>
        <w:t xml:space="preserve"> </w:t>
      </w:r>
      <w:r w:rsidR="00D92F41" w:rsidRPr="00244D65">
        <w:rPr>
          <w:noProof/>
          <w:lang w:val="en-GB"/>
        </w:rPr>
        <w:t>deploying</w:t>
      </w:r>
      <w:r w:rsidR="7254B099" w:rsidRPr="00244D65">
        <w:rPr>
          <w:noProof/>
          <w:lang w:val="en-GB"/>
        </w:rPr>
        <w:t xml:space="preserve"> </w:t>
      </w:r>
      <w:r w:rsidR="00421F90" w:rsidRPr="00244D65">
        <w:rPr>
          <w:noProof/>
          <w:lang w:val="en-GB"/>
        </w:rPr>
        <w:t>CCUS</w:t>
      </w:r>
      <w:r w:rsidR="0078276E" w:rsidRPr="00244D65">
        <w:rPr>
          <w:noProof/>
          <w:lang w:val="en-GB"/>
        </w:rPr>
        <w:t>,</w:t>
      </w:r>
      <w:r w:rsidR="7254B099" w:rsidRPr="00244D65">
        <w:rPr>
          <w:noProof/>
          <w:lang w:val="en-GB"/>
        </w:rPr>
        <w:t xml:space="preserve"> as well as </w:t>
      </w:r>
      <w:r w:rsidR="0078276E" w:rsidRPr="00244D65">
        <w:rPr>
          <w:noProof/>
          <w:lang w:val="en-GB"/>
        </w:rPr>
        <w:t xml:space="preserve">generating </w:t>
      </w:r>
      <w:r w:rsidR="7254B099" w:rsidRPr="00244D65">
        <w:rPr>
          <w:noProof/>
          <w:lang w:val="en-GB"/>
        </w:rPr>
        <w:t>carbon removals</w:t>
      </w:r>
      <w:r w:rsidR="68BC9E96" w:rsidRPr="00244D65">
        <w:rPr>
          <w:noProof/>
          <w:lang w:val="en-GB"/>
        </w:rPr>
        <w:t>. At the same time, it</w:t>
      </w:r>
      <w:r w:rsidR="68BC9E96" w:rsidRPr="00244D65" w:rsidDel="001005CC">
        <w:rPr>
          <w:noProof/>
          <w:lang w:val="en-GB"/>
        </w:rPr>
        <w:t xml:space="preserve"> </w:t>
      </w:r>
      <w:r w:rsidR="68BC9E96" w:rsidRPr="00244D65">
        <w:rPr>
          <w:noProof/>
          <w:lang w:val="en-GB"/>
        </w:rPr>
        <w:t>need</w:t>
      </w:r>
      <w:r w:rsidR="001005CC" w:rsidRPr="00244D65">
        <w:rPr>
          <w:noProof/>
          <w:lang w:val="en-GB"/>
        </w:rPr>
        <w:t>s</w:t>
      </w:r>
      <w:r w:rsidR="68BC9E96" w:rsidRPr="00244D65">
        <w:rPr>
          <w:noProof/>
          <w:lang w:val="en-GB"/>
        </w:rPr>
        <w:t xml:space="preserve"> to </w:t>
      </w:r>
      <w:r w:rsidR="36A37A80" w:rsidRPr="00244D65">
        <w:rPr>
          <w:noProof/>
          <w:lang w:val="en-GB"/>
        </w:rPr>
        <w:t xml:space="preserve">remain </w:t>
      </w:r>
      <w:r w:rsidR="68BC9E96" w:rsidRPr="00244D65">
        <w:rPr>
          <w:noProof/>
          <w:lang w:val="en-GB"/>
        </w:rPr>
        <w:t>competitive</w:t>
      </w:r>
      <w:r w:rsidR="370974FD" w:rsidRPr="00244D65">
        <w:rPr>
          <w:noProof/>
          <w:lang w:val="en-GB"/>
        </w:rPr>
        <w:t xml:space="preserve"> in a global market</w:t>
      </w:r>
      <w:r w:rsidR="68BC9E96" w:rsidRPr="00244D65">
        <w:rPr>
          <w:noProof/>
          <w:lang w:val="en-GB"/>
        </w:rPr>
        <w:t xml:space="preserve"> and ensure quality </w:t>
      </w:r>
      <w:r w:rsidR="000C653C" w:rsidRPr="00244D65">
        <w:rPr>
          <w:noProof/>
          <w:lang w:val="en-GB"/>
        </w:rPr>
        <w:t>jobs</w:t>
      </w:r>
      <w:r w:rsidR="68BC9E96" w:rsidRPr="00244D65">
        <w:rPr>
          <w:noProof/>
          <w:lang w:val="en-GB"/>
        </w:rPr>
        <w:t xml:space="preserve"> consistent with the objectives of the Clean Industrial Deal. This transformation requires stepping up </w:t>
      </w:r>
      <w:bookmarkStart w:id="27" w:name="_Int_CcU5iRmy"/>
      <w:r w:rsidR="68BC9E96" w:rsidRPr="00244D65">
        <w:rPr>
          <w:noProof/>
          <w:lang w:val="en-GB"/>
        </w:rPr>
        <w:t>investments</w:t>
      </w:r>
      <w:r w:rsidR="05AF5D6D" w:rsidRPr="00244D65">
        <w:rPr>
          <w:noProof/>
          <w:lang w:val="en-GB"/>
        </w:rPr>
        <w:t xml:space="preserve"> substantially</w:t>
      </w:r>
      <w:bookmarkEnd w:id="27"/>
      <w:r w:rsidR="68BC9E96" w:rsidRPr="00244D65">
        <w:rPr>
          <w:noProof/>
          <w:lang w:val="en-GB"/>
        </w:rPr>
        <w:t>.</w:t>
      </w:r>
      <w:r w:rsidR="0078276E" w:rsidRPr="00244D65">
        <w:rPr>
          <w:noProof/>
          <w:lang w:val="en-GB"/>
        </w:rPr>
        <w:t xml:space="preserve"> </w:t>
      </w:r>
      <w:r w:rsidR="00862E69" w:rsidRPr="00244D65">
        <w:rPr>
          <w:noProof/>
          <w:lang w:val="en-GB"/>
        </w:rPr>
        <w:t>Scenario S2 in the</w:t>
      </w:r>
      <w:r w:rsidR="368AD207" w:rsidRPr="00244D65">
        <w:rPr>
          <w:noProof/>
          <w:lang w:val="en-GB"/>
        </w:rPr>
        <w:t xml:space="preserve"> 2040 Climate Target </w:t>
      </w:r>
      <w:r w:rsidR="00BC674F" w:rsidRPr="00244D65">
        <w:rPr>
          <w:noProof/>
          <w:lang w:val="en-GB"/>
        </w:rPr>
        <w:t>Impact Assessment</w:t>
      </w:r>
      <w:r w:rsidR="00862E69" w:rsidRPr="00244D65">
        <w:rPr>
          <w:noProof/>
          <w:lang w:val="en-GB"/>
        </w:rPr>
        <w:t xml:space="preserve">, reaching </w:t>
      </w:r>
      <w:r w:rsidR="00B42B05" w:rsidRPr="00244D65">
        <w:rPr>
          <w:noProof/>
          <w:lang w:val="en-GB"/>
        </w:rPr>
        <w:t>-88% GHG reductions by 2040 compared to 1990,</w:t>
      </w:r>
      <w:r w:rsidR="368AD207" w:rsidRPr="00244D65">
        <w:rPr>
          <w:noProof/>
          <w:lang w:val="en-GB"/>
        </w:rPr>
        <w:t xml:space="preserve"> estimates the investment needs to transform the </w:t>
      </w:r>
      <w:r w:rsidR="00ED7805" w:rsidRPr="00244D65">
        <w:rPr>
          <w:noProof/>
          <w:lang w:val="en-GB"/>
        </w:rPr>
        <w:t xml:space="preserve">iron and </w:t>
      </w:r>
      <w:r w:rsidR="368AD207" w:rsidRPr="00244D65">
        <w:rPr>
          <w:noProof/>
          <w:lang w:val="en-GB"/>
        </w:rPr>
        <w:t xml:space="preserve">steel sector at around EUR </w:t>
      </w:r>
      <w:r w:rsidR="00ED7805" w:rsidRPr="00244D65">
        <w:rPr>
          <w:noProof/>
          <w:lang w:val="en-GB"/>
        </w:rPr>
        <w:t>80</w:t>
      </w:r>
      <w:r w:rsidR="368AD207" w:rsidRPr="00244D65">
        <w:rPr>
          <w:noProof/>
          <w:lang w:val="en-GB"/>
        </w:rPr>
        <w:t xml:space="preserve"> billion between 2031 and 2040</w:t>
      </w:r>
      <w:r w:rsidR="00440F89" w:rsidRPr="00244D65">
        <w:rPr>
          <w:noProof/>
          <w:lang w:val="en-GB"/>
        </w:rPr>
        <w:t>;</w:t>
      </w:r>
      <w:r w:rsidR="368AD207" w:rsidRPr="00244D65">
        <w:rPr>
          <w:noProof/>
          <w:lang w:val="en-GB"/>
        </w:rPr>
        <w:t xml:space="preserve"> at around EUR 3</w:t>
      </w:r>
      <w:r w:rsidR="004B120F" w:rsidRPr="00244D65">
        <w:rPr>
          <w:noProof/>
          <w:lang w:val="en-GB"/>
        </w:rPr>
        <w:t>3</w:t>
      </w:r>
      <w:r w:rsidR="368AD207" w:rsidRPr="00244D65">
        <w:rPr>
          <w:noProof/>
          <w:lang w:val="en-GB"/>
        </w:rPr>
        <w:t>0 billion for the f</w:t>
      </w:r>
      <w:r w:rsidR="00E97043" w:rsidRPr="00244D65">
        <w:rPr>
          <w:noProof/>
          <w:lang w:val="en-GB"/>
        </w:rPr>
        <w:t>ive</w:t>
      </w:r>
      <w:r w:rsidR="368AD207" w:rsidRPr="00244D65">
        <w:rPr>
          <w:noProof/>
          <w:lang w:val="en-GB"/>
        </w:rPr>
        <w:t xml:space="preserve"> largest EIIs together (chemicals, basic metals, non-metallic minerals, </w:t>
      </w:r>
      <w:r w:rsidR="368AD207" w:rsidRPr="00244D65">
        <w:rPr>
          <w:rFonts w:eastAsia="Calibri"/>
          <w:noProof/>
          <w:lang w:val="en-GB" w:eastAsia="en-GB"/>
        </w:rPr>
        <w:t>and</w:t>
      </w:r>
      <w:r w:rsidR="368AD207" w:rsidRPr="00244D65">
        <w:rPr>
          <w:noProof/>
          <w:lang w:val="en-GB"/>
        </w:rPr>
        <w:t xml:space="preserve"> pulp and paper industry) for the same period</w:t>
      </w:r>
      <w:r w:rsidRPr="00244D65">
        <w:rPr>
          <w:noProof/>
          <w:vertAlign w:val="superscript"/>
          <w:lang w:val="en-GB"/>
        </w:rPr>
        <w:footnoteReference w:id="15"/>
      </w:r>
      <w:r w:rsidR="00734FA3" w:rsidRPr="00244D65">
        <w:rPr>
          <w:noProof/>
          <w:lang w:val="en-GB"/>
        </w:rPr>
        <w:t>.</w:t>
      </w:r>
    </w:p>
    <w:p w14:paraId="36FE4460" w14:textId="50D89DF5" w:rsidR="00F152C5" w:rsidRPr="00244D65" w:rsidRDefault="3A4612E8" w:rsidP="0085595C">
      <w:pPr>
        <w:rPr>
          <w:noProof/>
        </w:rPr>
      </w:pPr>
      <w:r w:rsidRPr="00244D65">
        <w:rPr>
          <w:noProof/>
        </w:rPr>
        <w:t>The carbon price signal</w:t>
      </w:r>
      <w:r w:rsidR="008C6FDF" w:rsidRPr="00244D65">
        <w:rPr>
          <w:noProof/>
        </w:rPr>
        <w:t>,</w:t>
      </w:r>
      <w:r w:rsidRPr="00244D65">
        <w:rPr>
          <w:noProof/>
        </w:rPr>
        <w:t xml:space="preserve"> together with </w:t>
      </w:r>
      <w:r w:rsidR="00734FA3" w:rsidRPr="00244D65">
        <w:rPr>
          <w:noProof/>
        </w:rPr>
        <w:t>the</w:t>
      </w:r>
      <w:r w:rsidRPr="00244D65">
        <w:rPr>
          <w:noProof/>
        </w:rPr>
        <w:t xml:space="preserve"> phase-in</w:t>
      </w:r>
      <w:r w:rsidR="004515B5" w:rsidRPr="00244D65">
        <w:rPr>
          <w:noProof/>
        </w:rPr>
        <w:t xml:space="preserve"> of the Carbon Border Adjustment Mechanism (CBAM)</w:t>
      </w:r>
      <w:r w:rsidRPr="00244D65">
        <w:rPr>
          <w:noProof/>
        </w:rPr>
        <w:t xml:space="preserve"> already provide</w:t>
      </w:r>
      <w:r w:rsidR="3E936F4E" w:rsidRPr="00244D65">
        <w:rPr>
          <w:noProof/>
        </w:rPr>
        <w:t>s</w:t>
      </w:r>
      <w:r w:rsidRPr="00244D65">
        <w:rPr>
          <w:noProof/>
        </w:rPr>
        <w:t xml:space="preserve"> </w:t>
      </w:r>
      <w:r w:rsidR="6D2E53BE" w:rsidRPr="00244D65">
        <w:rPr>
          <w:noProof/>
        </w:rPr>
        <w:t xml:space="preserve">an </w:t>
      </w:r>
      <w:r w:rsidRPr="00244D65">
        <w:rPr>
          <w:noProof/>
        </w:rPr>
        <w:t xml:space="preserve">incentive for industrial decarbonisation, while protecting against carbon leakage. In addition, carbon pricing works hand in hand with regulatory measures such as targets and requirements on energy efficiency, renewable energy or decarbonised mobility and industry. </w:t>
      </w:r>
      <w:r w:rsidR="1C97914A" w:rsidRPr="00244D65">
        <w:rPr>
          <w:noProof/>
        </w:rPr>
        <w:t>In many sectors</w:t>
      </w:r>
      <w:r w:rsidR="00B6492E" w:rsidRPr="00244D65">
        <w:rPr>
          <w:noProof/>
        </w:rPr>
        <w:t xml:space="preserve"> (e.g. steel, cement or chemicals)</w:t>
      </w:r>
      <w:r w:rsidR="1C97914A" w:rsidRPr="00244D65">
        <w:rPr>
          <w:noProof/>
        </w:rPr>
        <w:t>, h</w:t>
      </w:r>
      <w:r w:rsidRPr="00244D65">
        <w:rPr>
          <w:noProof/>
        </w:rPr>
        <w:t xml:space="preserve">owever, </w:t>
      </w:r>
      <w:r w:rsidR="007F11E8" w:rsidRPr="00244D65">
        <w:rPr>
          <w:noProof/>
        </w:rPr>
        <w:t xml:space="preserve">the </w:t>
      </w:r>
      <w:r w:rsidR="006B50C6" w:rsidRPr="00244D65">
        <w:rPr>
          <w:noProof/>
        </w:rPr>
        <w:t xml:space="preserve">price signal </w:t>
      </w:r>
      <w:r w:rsidR="0023774B" w:rsidRPr="00244D65">
        <w:rPr>
          <w:noProof/>
        </w:rPr>
        <w:t>(</w:t>
      </w:r>
      <w:r w:rsidR="006B50C6" w:rsidRPr="00244D65">
        <w:rPr>
          <w:noProof/>
        </w:rPr>
        <w:t>together with regulatory framework</w:t>
      </w:r>
      <w:r w:rsidR="0023774B" w:rsidRPr="00244D65">
        <w:rPr>
          <w:noProof/>
        </w:rPr>
        <w:t>) ha</w:t>
      </w:r>
      <w:r w:rsidR="00787448" w:rsidRPr="00244D65">
        <w:rPr>
          <w:noProof/>
        </w:rPr>
        <w:t>s</w:t>
      </w:r>
      <w:r w:rsidR="0023774B" w:rsidRPr="00244D65">
        <w:rPr>
          <w:noProof/>
        </w:rPr>
        <w:t xml:space="preserve"> not been strong enough to drive the transformational change and in the near future</w:t>
      </w:r>
      <w:r w:rsidR="00314FDE" w:rsidRPr="00244D65">
        <w:rPr>
          <w:noProof/>
        </w:rPr>
        <w:t>,</w:t>
      </w:r>
      <w:r w:rsidRPr="00244D65">
        <w:rPr>
          <w:noProof/>
        </w:rPr>
        <w:t xml:space="preserve"> investments</w:t>
      </w:r>
      <w:r w:rsidR="553624B4" w:rsidRPr="00244D65">
        <w:rPr>
          <w:noProof/>
        </w:rPr>
        <w:t xml:space="preserve"> </w:t>
      </w:r>
      <w:r w:rsidR="3ABBD12C" w:rsidRPr="00244D65">
        <w:rPr>
          <w:noProof/>
        </w:rPr>
        <w:t xml:space="preserve">will still be </w:t>
      </w:r>
      <w:r w:rsidRPr="00244D65">
        <w:rPr>
          <w:noProof/>
        </w:rPr>
        <w:t>lack</w:t>
      </w:r>
      <w:r w:rsidR="3ABBD12C" w:rsidRPr="00244D65">
        <w:rPr>
          <w:noProof/>
        </w:rPr>
        <w:t xml:space="preserve">ing </w:t>
      </w:r>
      <w:r w:rsidRPr="00244D65">
        <w:rPr>
          <w:noProof/>
        </w:rPr>
        <w:t>a business case at prevailing and anticipated carbon prices and as the regulatory measures still need time to be fully implemented</w:t>
      </w:r>
      <w:r w:rsidR="0FCC7780" w:rsidRPr="00244D65">
        <w:rPr>
          <w:noProof/>
        </w:rPr>
        <w:t>.</w:t>
      </w:r>
      <w:r w:rsidR="07F61DAE" w:rsidRPr="00244D65">
        <w:rPr>
          <w:noProof/>
        </w:rPr>
        <w:t xml:space="preserve"> This is why the Clean Industrial Deal Communication announced the Industrial Decarbonisation Bank </w:t>
      </w:r>
      <w:r w:rsidR="3872B0FB" w:rsidRPr="00244D65">
        <w:rPr>
          <w:noProof/>
        </w:rPr>
        <w:t xml:space="preserve">(IDB) </w:t>
      </w:r>
      <w:r w:rsidR="07F61DAE" w:rsidRPr="00244D65">
        <w:rPr>
          <w:noProof/>
        </w:rPr>
        <w:t>to address the scale-up and roll-out of more mature industrial decarbonisation projects</w:t>
      </w:r>
      <w:r w:rsidR="00FE08AC" w:rsidRPr="00244D65">
        <w:rPr>
          <w:noProof/>
        </w:rPr>
        <w:t>,</w:t>
      </w:r>
      <w:r w:rsidR="07F61DAE" w:rsidRPr="00244D65">
        <w:rPr>
          <w:noProof/>
        </w:rPr>
        <w:t xml:space="preserve"> notably in </w:t>
      </w:r>
      <w:r w:rsidR="004A6C01" w:rsidRPr="00244D65">
        <w:rPr>
          <w:noProof/>
        </w:rPr>
        <w:t>E</w:t>
      </w:r>
      <w:r w:rsidR="00264E91" w:rsidRPr="00244D65">
        <w:rPr>
          <w:noProof/>
        </w:rPr>
        <w:t>I</w:t>
      </w:r>
      <w:r w:rsidR="004A6C01" w:rsidRPr="00244D65">
        <w:rPr>
          <w:noProof/>
        </w:rPr>
        <w:t>Is</w:t>
      </w:r>
      <w:r w:rsidR="07F61DAE" w:rsidRPr="00244D65">
        <w:rPr>
          <w:noProof/>
        </w:rPr>
        <w:t xml:space="preserve"> across all M</w:t>
      </w:r>
      <w:r w:rsidR="007515D9" w:rsidRPr="00244D65">
        <w:rPr>
          <w:noProof/>
        </w:rPr>
        <w:t>ember States</w:t>
      </w:r>
      <w:r w:rsidR="06A3355B" w:rsidRPr="00244D65">
        <w:rPr>
          <w:noProof/>
        </w:rPr>
        <w:t xml:space="preserve"> to be funded </w:t>
      </w:r>
      <w:r w:rsidR="005E008E" w:rsidRPr="00244D65">
        <w:rPr>
          <w:noProof/>
        </w:rPr>
        <w:t>mostly</w:t>
      </w:r>
      <w:r w:rsidR="00FE08AC" w:rsidRPr="00244D65">
        <w:rPr>
          <w:noProof/>
        </w:rPr>
        <w:t xml:space="preserve"> </w:t>
      </w:r>
      <w:r w:rsidR="06A3355B" w:rsidRPr="00244D65">
        <w:rPr>
          <w:noProof/>
        </w:rPr>
        <w:t xml:space="preserve">by a </w:t>
      </w:r>
      <w:r w:rsidR="104C7D9F" w:rsidRPr="00244D65">
        <w:rPr>
          <w:noProof/>
        </w:rPr>
        <w:t xml:space="preserve">dedicated part of ETS </w:t>
      </w:r>
      <w:r w:rsidR="06A3355B" w:rsidRPr="00244D65">
        <w:rPr>
          <w:noProof/>
        </w:rPr>
        <w:t>re</w:t>
      </w:r>
      <w:r w:rsidR="00FE08AC" w:rsidRPr="00244D65">
        <w:rPr>
          <w:noProof/>
        </w:rPr>
        <w:t>venues</w:t>
      </w:r>
      <w:r w:rsidR="00C52671" w:rsidRPr="00244D65">
        <w:rPr>
          <w:rStyle w:val="FootnoteReference"/>
          <w:noProof/>
        </w:rPr>
        <w:footnoteReference w:id="16"/>
      </w:r>
      <w:r w:rsidR="06A3355B" w:rsidRPr="00244D65">
        <w:rPr>
          <w:noProof/>
        </w:rPr>
        <w:t>.</w:t>
      </w:r>
      <w:r w:rsidR="104C7D9F" w:rsidRPr="00244D65">
        <w:rPr>
          <w:noProof/>
        </w:rPr>
        <w:t xml:space="preserve"> </w:t>
      </w:r>
      <w:r w:rsidR="5B01F039" w:rsidRPr="00244D65">
        <w:rPr>
          <w:noProof/>
        </w:rPr>
        <w:t>With the</w:t>
      </w:r>
      <w:r w:rsidR="001F163B" w:rsidRPr="00244D65" w:rsidDel="5B01F039">
        <w:rPr>
          <w:noProof/>
        </w:rPr>
        <w:t xml:space="preserve"> </w:t>
      </w:r>
      <w:r w:rsidR="0E32FA57" w:rsidRPr="00244D65">
        <w:rPr>
          <w:noProof/>
        </w:rPr>
        <w:t>IDB</w:t>
      </w:r>
      <w:r w:rsidR="5B01F039" w:rsidRPr="00244D65">
        <w:rPr>
          <w:noProof/>
        </w:rPr>
        <w:t xml:space="preserve"> focussing on </w:t>
      </w:r>
      <w:r w:rsidR="40153951" w:rsidRPr="00244D65">
        <w:rPr>
          <w:noProof/>
        </w:rPr>
        <w:t xml:space="preserve">scale-up and roll-out, there is also need for continuation of the Innovation Fund </w:t>
      </w:r>
      <w:r w:rsidR="3B2869F4" w:rsidRPr="00244D65">
        <w:rPr>
          <w:noProof/>
        </w:rPr>
        <w:t>(also funded by ETS resources)</w:t>
      </w:r>
      <w:r w:rsidR="40153951" w:rsidRPr="00244D65">
        <w:rPr>
          <w:noProof/>
        </w:rPr>
        <w:t xml:space="preserve"> to </w:t>
      </w:r>
      <w:r w:rsidR="6A703253" w:rsidRPr="00244D65">
        <w:rPr>
          <w:noProof/>
        </w:rPr>
        <w:t xml:space="preserve">continue supporting </w:t>
      </w:r>
      <w:r w:rsidR="40153951" w:rsidRPr="00244D65">
        <w:rPr>
          <w:noProof/>
        </w:rPr>
        <w:t xml:space="preserve">innovative </w:t>
      </w:r>
      <w:r w:rsidR="52460D7F" w:rsidRPr="00244D65">
        <w:rPr>
          <w:noProof/>
        </w:rPr>
        <w:t xml:space="preserve">and first of a </w:t>
      </w:r>
      <w:r w:rsidR="00BE4A01" w:rsidRPr="00244D65">
        <w:rPr>
          <w:noProof/>
        </w:rPr>
        <w:t>kind technology</w:t>
      </w:r>
      <w:r w:rsidR="40153951" w:rsidRPr="00244D65">
        <w:rPr>
          <w:noProof/>
        </w:rPr>
        <w:t xml:space="preserve"> </w:t>
      </w:r>
      <w:r w:rsidR="68C4E50B" w:rsidRPr="00244D65">
        <w:rPr>
          <w:noProof/>
        </w:rPr>
        <w:t xml:space="preserve">that can address the sectors that currently do not </w:t>
      </w:r>
      <w:r w:rsidR="6A703253" w:rsidRPr="00244D65">
        <w:rPr>
          <w:noProof/>
        </w:rPr>
        <w:t xml:space="preserve">yet </w:t>
      </w:r>
      <w:r w:rsidR="68C4E50B" w:rsidRPr="00244D65">
        <w:rPr>
          <w:noProof/>
        </w:rPr>
        <w:t xml:space="preserve">have technically viable </w:t>
      </w:r>
      <w:r w:rsidR="6A703253" w:rsidRPr="00244D65">
        <w:rPr>
          <w:noProof/>
        </w:rPr>
        <w:t xml:space="preserve">decarbonisation </w:t>
      </w:r>
      <w:r w:rsidR="68C4E50B" w:rsidRPr="00244D65">
        <w:rPr>
          <w:noProof/>
        </w:rPr>
        <w:t>solutions.</w:t>
      </w:r>
      <w:r w:rsidR="1910877D" w:rsidRPr="00244D65">
        <w:rPr>
          <w:rStyle w:val="FootnoteReference"/>
          <w:noProof/>
        </w:rPr>
        <w:t xml:space="preserve"> </w:t>
      </w:r>
      <w:r w:rsidR="008A770F" w:rsidRPr="00244D65">
        <w:rPr>
          <w:noProof/>
        </w:rPr>
        <w:t>Importantly, the rollout of decarbonisation technologies in EIIs will</w:t>
      </w:r>
      <w:r w:rsidR="002376CE" w:rsidRPr="00244D65">
        <w:rPr>
          <w:noProof/>
        </w:rPr>
        <w:t xml:space="preserve"> lead to a significant increase in electricity demand</w:t>
      </w:r>
      <w:r w:rsidR="00B82B46" w:rsidRPr="00244D65">
        <w:rPr>
          <w:noProof/>
        </w:rPr>
        <w:t xml:space="preserve"> so expansion of the power generation capacities will be needed</w:t>
      </w:r>
      <w:r w:rsidR="00151A90" w:rsidRPr="00244D65">
        <w:rPr>
          <w:noProof/>
        </w:rPr>
        <w:t>.</w:t>
      </w:r>
    </w:p>
    <w:p w14:paraId="0CFF8941" w14:textId="469E03C9" w:rsidR="000719BD" w:rsidRPr="00244D65" w:rsidRDefault="68BC9E96" w:rsidP="0085595C">
      <w:pPr>
        <w:rPr>
          <w:rFonts w:cs="Calibri"/>
          <w:noProof/>
          <w:color w:val="000000" w:themeColor="text1"/>
          <w:sz w:val="20"/>
          <w:szCs w:val="20"/>
        </w:rPr>
      </w:pPr>
      <w:r w:rsidRPr="00244D65">
        <w:rPr>
          <w:noProof/>
        </w:rPr>
        <w:t xml:space="preserve">The </w:t>
      </w:r>
      <w:r w:rsidR="00867833" w:rsidRPr="00244D65">
        <w:rPr>
          <w:noProof/>
        </w:rPr>
        <w:t>EU</w:t>
      </w:r>
      <w:r w:rsidRPr="00244D65">
        <w:rPr>
          <w:noProof/>
        </w:rPr>
        <w:t xml:space="preserve"> ETS </w:t>
      </w:r>
      <w:r w:rsidR="06A3355B" w:rsidRPr="00244D65">
        <w:rPr>
          <w:noProof/>
        </w:rPr>
        <w:t>thus</w:t>
      </w:r>
      <w:r w:rsidRPr="00244D65">
        <w:rPr>
          <w:noProof/>
        </w:rPr>
        <w:t xml:space="preserve"> support</w:t>
      </w:r>
      <w:r w:rsidR="00763472" w:rsidRPr="00244D65">
        <w:rPr>
          <w:noProof/>
        </w:rPr>
        <w:t>s</w:t>
      </w:r>
      <w:r w:rsidRPr="00244D65">
        <w:rPr>
          <w:noProof/>
        </w:rPr>
        <w:t xml:space="preserve"> the objectives of the Clean Industrial Deal by providing a clear and predictable carbon price, incentivising investment in decarbonisation solutions</w:t>
      </w:r>
      <w:r w:rsidR="06A3355B" w:rsidRPr="00244D65">
        <w:rPr>
          <w:noProof/>
        </w:rPr>
        <w:t xml:space="preserve"> and funding the investments which still lack the business case</w:t>
      </w:r>
      <w:r w:rsidR="77459839" w:rsidRPr="00244D65">
        <w:rPr>
          <w:noProof/>
        </w:rPr>
        <w:t xml:space="preserve"> or where </w:t>
      </w:r>
      <w:r w:rsidR="046D87C3" w:rsidRPr="00244D65">
        <w:rPr>
          <w:noProof/>
        </w:rPr>
        <w:t>decarbonisation solutions have yet to be demonstrated</w:t>
      </w:r>
      <w:r w:rsidRPr="00244D65">
        <w:rPr>
          <w:noProof/>
        </w:rPr>
        <w:t xml:space="preserve">, while continuing to provide carbon-leakage protection and financial support from the auction revenues with more than </w:t>
      </w:r>
      <w:r w:rsidR="00BE4A01" w:rsidRPr="00244D65">
        <w:rPr>
          <w:noProof/>
        </w:rPr>
        <w:t>EUR</w:t>
      </w:r>
      <w:r w:rsidRPr="00244D65">
        <w:rPr>
          <w:noProof/>
        </w:rPr>
        <w:t xml:space="preserve"> </w:t>
      </w:r>
      <w:r w:rsidR="350FF58C" w:rsidRPr="00244D65">
        <w:rPr>
          <w:noProof/>
        </w:rPr>
        <w:t>2</w:t>
      </w:r>
      <w:r w:rsidR="4DF19486" w:rsidRPr="00244D65">
        <w:rPr>
          <w:noProof/>
        </w:rPr>
        <w:t>6</w:t>
      </w:r>
      <w:r w:rsidR="350FF58C" w:rsidRPr="00244D65">
        <w:rPr>
          <w:noProof/>
        </w:rPr>
        <w:t>0</w:t>
      </w:r>
      <w:r w:rsidRPr="00244D65">
        <w:rPr>
          <w:noProof/>
        </w:rPr>
        <w:t xml:space="preserve"> billion generated since the start of the system</w:t>
      </w:r>
      <w:r w:rsidR="00133399" w:rsidRPr="00244D65">
        <w:rPr>
          <w:noProof/>
        </w:rPr>
        <w:t xml:space="preserve">. </w:t>
      </w:r>
      <w:r w:rsidR="000A786C" w:rsidRPr="00244D65">
        <w:rPr>
          <w:noProof/>
        </w:rPr>
        <w:t xml:space="preserve">In </w:t>
      </w:r>
      <w:r w:rsidR="00647CBD" w:rsidRPr="00244D65">
        <w:rPr>
          <w:noProof/>
        </w:rPr>
        <w:t xml:space="preserve">the same </w:t>
      </w:r>
      <w:r w:rsidR="000A786C" w:rsidRPr="00244D65">
        <w:rPr>
          <w:noProof/>
        </w:rPr>
        <w:t xml:space="preserve">way, the ETS </w:t>
      </w:r>
      <w:r w:rsidR="00647CBD" w:rsidRPr="00244D65">
        <w:rPr>
          <w:noProof/>
        </w:rPr>
        <w:t xml:space="preserve">will </w:t>
      </w:r>
      <w:r w:rsidR="000A786C" w:rsidRPr="00244D65">
        <w:rPr>
          <w:noProof/>
        </w:rPr>
        <w:t>c</w:t>
      </w:r>
      <w:r w:rsidR="00B61B2E" w:rsidRPr="00244D65">
        <w:rPr>
          <w:noProof/>
        </w:rPr>
        <w:t>omplement</w:t>
      </w:r>
      <w:r w:rsidR="000A786C" w:rsidRPr="00244D65">
        <w:rPr>
          <w:noProof/>
        </w:rPr>
        <w:t xml:space="preserve"> other</w:t>
      </w:r>
      <w:r w:rsidR="00B61B2E" w:rsidRPr="00244D65">
        <w:rPr>
          <w:noProof/>
        </w:rPr>
        <w:t xml:space="preserve"> </w:t>
      </w:r>
      <w:r w:rsidR="005C0409" w:rsidRPr="00244D65">
        <w:rPr>
          <w:noProof/>
        </w:rPr>
        <w:t>initiatives in support of the Clean Industrial Deal objectives</w:t>
      </w:r>
      <w:r w:rsidR="005D0034" w:rsidRPr="00244D65">
        <w:rPr>
          <w:noProof/>
        </w:rPr>
        <w:t>. Examples include</w:t>
      </w:r>
      <w:r w:rsidR="00081B9D" w:rsidRPr="00244D65">
        <w:rPr>
          <w:noProof/>
        </w:rPr>
        <w:t>:</w:t>
      </w:r>
      <w:r w:rsidR="005D0034" w:rsidRPr="00244D65">
        <w:rPr>
          <w:noProof/>
        </w:rPr>
        <w:t xml:space="preserve"> </w:t>
      </w:r>
      <w:r w:rsidR="00A206E0" w:rsidRPr="00244D65">
        <w:rPr>
          <w:noProof/>
        </w:rPr>
        <w:t xml:space="preserve">action to </w:t>
      </w:r>
      <w:r w:rsidR="00403797" w:rsidRPr="00244D65">
        <w:rPr>
          <w:noProof/>
        </w:rPr>
        <w:t>speed up permitting for industrial decarbonisation investments,</w:t>
      </w:r>
      <w:r w:rsidR="00A206E0" w:rsidRPr="00244D65">
        <w:rPr>
          <w:noProof/>
        </w:rPr>
        <w:t xml:space="preserve"> build lead markets for </w:t>
      </w:r>
      <w:r w:rsidR="55722BB5" w:rsidRPr="00244D65">
        <w:rPr>
          <w:noProof/>
        </w:rPr>
        <w:t>E</w:t>
      </w:r>
      <w:r w:rsidR="5CE647C0" w:rsidRPr="00244D65">
        <w:rPr>
          <w:noProof/>
        </w:rPr>
        <w:t>uropean</w:t>
      </w:r>
      <w:r w:rsidR="55722BB5" w:rsidRPr="00244D65">
        <w:rPr>
          <w:noProof/>
        </w:rPr>
        <w:t xml:space="preserve"> </w:t>
      </w:r>
      <w:r w:rsidR="00A206E0" w:rsidRPr="00244D65">
        <w:rPr>
          <w:noProof/>
        </w:rPr>
        <w:t>clean technologies and</w:t>
      </w:r>
      <w:r w:rsidR="28041BBE" w:rsidRPr="00244D65">
        <w:rPr>
          <w:noProof/>
        </w:rPr>
        <w:t xml:space="preserve"> industrial</w:t>
      </w:r>
      <w:r w:rsidR="00A206E0" w:rsidRPr="00244D65">
        <w:rPr>
          <w:noProof/>
        </w:rPr>
        <w:t xml:space="preserve"> products through the </w:t>
      </w:r>
      <w:r w:rsidR="00F41D8E" w:rsidRPr="00244D65">
        <w:rPr>
          <w:noProof/>
        </w:rPr>
        <w:t>Industrial Accelerator Act</w:t>
      </w:r>
      <w:r w:rsidR="00C606CA" w:rsidRPr="00244D65">
        <w:rPr>
          <w:noProof/>
        </w:rPr>
        <w:t>;</w:t>
      </w:r>
      <w:r w:rsidR="00081B9D" w:rsidRPr="00244D65">
        <w:rPr>
          <w:noProof/>
        </w:rPr>
        <w:t xml:space="preserve"> </w:t>
      </w:r>
      <w:r w:rsidR="00E82E0A" w:rsidRPr="00244D65">
        <w:rPr>
          <w:noProof/>
        </w:rPr>
        <w:t xml:space="preserve">action to </w:t>
      </w:r>
      <w:r w:rsidR="008B7044" w:rsidRPr="00244D65">
        <w:rPr>
          <w:noProof/>
        </w:rPr>
        <w:t>lower</w:t>
      </w:r>
      <w:r w:rsidR="00A6047A" w:rsidRPr="00244D65">
        <w:rPr>
          <w:noProof/>
        </w:rPr>
        <w:t xml:space="preserve"> industrial</w:t>
      </w:r>
      <w:r w:rsidR="008B7044" w:rsidRPr="00244D65">
        <w:rPr>
          <w:noProof/>
        </w:rPr>
        <w:t xml:space="preserve"> energy costs through the Affordable Energy Action Plan, including the </w:t>
      </w:r>
      <w:r w:rsidR="00C606CA" w:rsidRPr="00244D65">
        <w:rPr>
          <w:noProof/>
        </w:rPr>
        <w:t>European Grids Package</w:t>
      </w:r>
      <w:r w:rsidR="003A41DC" w:rsidRPr="00244D65">
        <w:rPr>
          <w:noProof/>
        </w:rPr>
        <w:t xml:space="preserve"> that will</w:t>
      </w:r>
      <w:r w:rsidR="00375D12" w:rsidRPr="00244D65">
        <w:rPr>
          <w:noProof/>
        </w:rPr>
        <w:t xml:space="preserve"> accelerate electrification and integration of cheaper renewables</w:t>
      </w:r>
      <w:r w:rsidR="002D215B" w:rsidRPr="00244D65">
        <w:rPr>
          <w:noProof/>
        </w:rPr>
        <w:t xml:space="preserve"> by</w:t>
      </w:r>
      <w:r w:rsidR="003A41DC" w:rsidRPr="00244D65">
        <w:rPr>
          <w:noProof/>
        </w:rPr>
        <w:t xml:space="preserve"> enabl</w:t>
      </w:r>
      <w:r w:rsidR="002D215B" w:rsidRPr="00244D65">
        <w:rPr>
          <w:noProof/>
        </w:rPr>
        <w:t>ing</w:t>
      </w:r>
      <w:r w:rsidR="003A41DC" w:rsidRPr="00244D65">
        <w:rPr>
          <w:noProof/>
        </w:rPr>
        <w:t xml:space="preserve"> energy to flow efficiently across all Member States</w:t>
      </w:r>
      <w:r w:rsidR="00544B9B" w:rsidRPr="00244D65">
        <w:rPr>
          <w:noProof/>
        </w:rPr>
        <w:t>;</w:t>
      </w:r>
      <w:r w:rsidR="003A41DC" w:rsidRPr="00244D65">
        <w:rPr>
          <w:noProof/>
        </w:rPr>
        <w:t xml:space="preserve"> </w:t>
      </w:r>
      <w:r w:rsidR="00EA586F" w:rsidRPr="00244D65">
        <w:rPr>
          <w:noProof/>
        </w:rPr>
        <w:t xml:space="preserve">and </w:t>
      </w:r>
      <w:r w:rsidR="00F52D43" w:rsidRPr="00244D65">
        <w:rPr>
          <w:noProof/>
        </w:rPr>
        <w:t xml:space="preserve">action </w:t>
      </w:r>
      <w:r w:rsidR="00EB575A" w:rsidRPr="00244D65">
        <w:rPr>
          <w:noProof/>
        </w:rPr>
        <w:t xml:space="preserve">to </w:t>
      </w:r>
      <w:r w:rsidR="00EE2545" w:rsidRPr="00244D65">
        <w:rPr>
          <w:noProof/>
        </w:rPr>
        <w:t>stimulate supply and demand for secondary raw materials, most notably through the Circular Economy Act.</w:t>
      </w:r>
      <w:r w:rsidR="000C653C" w:rsidRPr="00244D65">
        <w:rPr>
          <w:noProof/>
        </w:rPr>
        <w:t xml:space="preserve">  </w:t>
      </w:r>
    </w:p>
    <w:p w14:paraId="424147B3" w14:textId="64346BB4" w:rsidR="000719BD" w:rsidRPr="00244D65" w:rsidRDefault="000719BD" w:rsidP="0085595C">
      <w:pPr>
        <w:rPr>
          <w:noProof/>
        </w:rPr>
      </w:pPr>
      <w:r w:rsidRPr="00244D65">
        <w:rPr>
          <w:noProof/>
        </w:rPr>
        <w:t xml:space="preserve">GHG emissions from waste treatment are not subject to carbon pricing </w:t>
      </w:r>
      <w:r w:rsidR="00001F5D" w:rsidRPr="00244D65">
        <w:rPr>
          <w:noProof/>
        </w:rPr>
        <w:t xml:space="preserve">in </w:t>
      </w:r>
      <w:r w:rsidR="00B72529" w:rsidRPr="00244D65">
        <w:rPr>
          <w:noProof/>
        </w:rPr>
        <w:t>most</w:t>
      </w:r>
      <w:r w:rsidR="00001F5D" w:rsidRPr="00244D65">
        <w:rPr>
          <w:noProof/>
        </w:rPr>
        <w:t xml:space="preserve"> Member States</w:t>
      </w:r>
      <w:r w:rsidRPr="00244D65">
        <w:rPr>
          <w:noProof/>
        </w:rPr>
        <w:t>. Waste accounts for about 3% of the EU’s total greenhouse gas (GHG) emissions</w:t>
      </w:r>
      <w:r w:rsidR="00F36409" w:rsidRPr="00244D65">
        <w:rPr>
          <w:noProof/>
        </w:rPr>
        <w:t xml:space="preserve"> – excluding waste incineration with energy recovery (waste-to-energy), which is estimated to account for a further 2-3% of the EUs GHG emissions</w:t>
      </w:r>
      <w:r w:rsidRPr="00244D65">
        <w:rPr>
          <w:noProof/>
        </w:rPr>
        <w:t>. In addition to losing valuable resources, waste can have significant negative impacts on human health and the environment. For example, incinerating waste can contribute to air pollution, while landfills might contaminate water and land. Wast</w:t>
      </w:r>
      <w:r w:rsidR="008820FA" w:rsidRPr="00244D65">
        <w:rPr>
          <w:noProof/>
        </w:rPr>
        <w:t>e</w:t>
      </w:r>
      <w:r w:rsidRPr="00244D65">
        <w:rPr>
          <w:noProof/>
        </w:rPr>
        <w:t xml:space="preserve"> sector emissions could decrease further once all current EU waste policies are fully implemented. However, new policy instruments</w:t>
      </w:r>
      <w:r w:rsidR="00E30A78" w:rsidRPr="00244D65">
        <w:rPr>
          <w:noProof/>
        </w:rPr>
        <w:t>, including the sector's inclusion in the ETS,</w:t>
      </w:r>
      <w:r w:rsidRPr="00244D65">
        <w:rPr>
          <w:noProof/>
        </w:rPr>
        <w:t xml:space="preserve"> could support GHG emissions reductions from the sector. </w:t>
      </w:r>
    </w:p>
    <w:p w14:paraId="08C3343E" w14:textId="46AC8581" w:rsidR="000719BD" w:rsidRPr="00244D65" w:rsidRDefault="000719BD" w:rsidP="0085595C">
      <w:pPr>
        <w:rPr>
          <w:noProof/>
        </w:rPr>
      </w:pPr>
      <w:r w:rsidRPr="00244D65">
        <w:rPr>
          <w:noProof/>
        </w:rPr>
        <w:t xml:space="preserve">In addition, the </w:t>
      </w:r>
      <w:r w:rsidR="00457337" w:rsidRPr="00244D65">
        <w:rPr>
          <w:noProof/>
        </w:rPr>
        <w:t>EU</w:t>
      </w:r>
      <w:r w:rsidRPr="00244D65">
        <w:rPr>
          <w:noProof/>
        </w:rPr>
        <w:t xml:space="preserve"> ETS’s contribution to the necessary emissions reductions may be hampered by market inefficiencies resulting from a decreasing market size, which is intrinsic to the system design. The MSR rules under the ETS aim to tackle structural supply-demand imbalances between the available allowances to emit CO</w:t>
      </w:r>
      <w:r w:rsidRPr="00244D65">
        <w:rPr>
          <w:noProof/>
          <w:vertAlign w:val="subscript"/>
        </w:rPr>
        <w:t>2</w:t>
      </w:r>
      <w:r w:rsidRPr="00244D65">
        <w:rPr>
          <w:noProof/>
        </w:rPr>
        <w:t xml:space="preserve"> and the emissions of the compliance entities covered. </w:t>
      </w:r>
      <w:r w:rsidR="0075526B" w:rsidRPr="00244D65">
        <w:rPr>
          <w:noProof/>
        </w:rPr>
        <w:t xml:space="preserve">The </w:t>
      </w:r>
      <w:r w:rsidR="00212390" w:rsidRPr="00244D65">
        <w:rPr>
          <w:noProof/>
        </w:rPr>
        <w:t>impact assessment</w:t>
      </w:r>
      <w:r w:rsidRPr="00244D65">
        <w:rPr>
          <w:noProof/>
        </w:rPr>
        <w:t xml:space="preserve"> therefore analyses whether the rules governing the operation of the MSR remain appropriate in the context of a </w:t>
      </w:r>
      <w:r w:rsidR="00DD0DCA" w:rsidRPr="00244D65">
        <w:rPr>
          <w:noProof/>
        </w:rPr>
        <w:t xml:space="preserve">declining </w:t>
      </w:r>
      <w:r w:rsidRPr="00244D65">
        <w:rPr>
          <w:noProof/>
        </w:rPr>
        <w:t xml:space="preserve">supply of allowances. </w:t>
      </w:r>
      <w:r w:rsidR="00006B7B" w:rsidRPr="00244D65">
        <w:rPr>
          <w:noProof/>
        </w:rPr>
        <w:t>And more precisely</w:t>
      </w:r>
      <w:r w:rsidR="00F05B4F" w:rsidRPr="00244D65">
        <w:rPr>
          <w:noProof/>
        </w:rPr>
        <w:t>, this</w:t>
      </w:r>
      <w:r w:rsidRPr="00244D65">
        <w:rPr>
          <w:noProof/>
        </w:rPr>
        <w:t xml:space="preserve"> involves: (i) ensuring that the market remains efficient and creates an incentive to invest in decarbonisation in the global context; and (ii) addressing specific challenges faced by covered sectors to facilitate the uptake of available solutions. This assessment </w:t>
      </w:r>
      <w:r w:rsidR="00132FD6" w:rsidRPr="00244D65">
        <w:rPr>
          <w:noProof/>
        </w:rPr>
        <w:t>is</w:t>
      </w:r>
      <w:r w:rsidRPr="00244D65">
        <w:rPr>
          <w:noProof/>
        </w:rPr>
        <w:t xml:space="preserve"> carried out </w:t>
      </w:r>
      <w:r w:rsidR="00132FD6" w:rsidRPr="00244D65">
        <w:rPr>
          <w:noProof/>
        </w:rPr>
        <w:t>in consideration of</w:t>
      </w:r>
      <w:r w:rsidRPr="00244D65">
        <w:rPr>
          <w:noProof/>
        </w:rPr>
        <w:t xml:space="preserve"> other legislative acts t</w:t>
      </w:r>
      <w:r w:rsidR="00375CC5" w:rsidRPr="00244D65">
        <w:rPr>
          <w:noProof/>
        </w:rPr>
        <w:t>hat</w:t>
      </w:r>
      <w:r w:rsidRPr="00244D65">
        <w:rPr>
          <w:noProof/>
        </w:rPr>
        <w:t xml:space="preserve"> facilitate the clean transition and the competitiveness of EU industry. </w:t>
      </w:r>
      <w:r w:rsidR="002119DB" w:rsidRPr="00244D65">
        <w:rPr>
          <w:noProof/>
        </w:rPr>
        <w:t>T</w:t>
      </w:r>
      <w:r w:rsidRPr="00244D65">
        <w:rPr>
          <w:noProof/>
        </w:rPr>
        <w:t xml:space="preserve">he impact assessment </w:t>
      </w:r>
      <w:r w:rsidR="007A78B5" w:rsidRPr="00244D65">
        <w:rPr>
          <w:noProof/>
        </w:rPr>
        <w:t xml:space="preserve">also </w:t>
      </w:r>
      <w:r w:rsidRPr="00244D65">
        <w:rPr>
          <w:noProof/>
        </w:rPr>
        <w:t>examines how to optimise the use of ETS revenues in support of decarbonisation investments.</w:t>
      </w:r>
    </w:p>
    <w:p w14:paraId="554A78F8" w14:textId="647F012D" w:rsidR="000719BD" w:rsidRPr="00244D65" w:rsidRDefault="00375CC5" w:rsidP="0085595C">
      <w:pPr>
        <w:rPr>
          <w:noProof/>
        </w:rPr>
      </w:pPr>
      <w:r w:rsidRPr="00244D65">
        <w:rPr>
          <w:noProof/>
        </w:rPr>
        <w:t>In consequence, t</w:t>
      </w:r>
      <w:r w:rsidR="000719BD" w:rsidRPr="00244D65">
        <w:rPr>
          <w:noProof/>
        </w:rPr>
        <w:t xml:space="preserve">he </w:t>
      </w:r>
      <w:r w:rsidRPr="00244D65">
        <w:rPr>
          <w:noProof/>
        </w:rPr>
        <w:t>impact assessment</w:t>
      </w:r>
      <w:r w:rsidR="000719BD" w:rsidRPr="00244D65">
        <w:rPr>
          <w:noProof/>
        </w:rPr>
        <w:t xml:space="preserve"> explores a broad variety of options compared to the baseline (in general terms, the continuation of the current </w:t>
      </w:r>
      <w:r w:rsidR="00962BF1" w:rsidRPr="00244D65">
        <w:rPr>
          <w:noProof/>
        </w:rPr>
        <w:t>EU ETS</w:t>
      </w:r>
      <w:r w:rsidR="000719BD" w:rsidRPr="00244D65">
        <w:rPr>
          <w:noProof/>
        </w:rPr>
        <w:t xml:space="preserve"> framework) for the following aspects</w:t>
      </w:r>
      <w:r w:rsidR="00B25E5F" w:rsidRPr="00244D65">
        <w:rPr>
          <w:noProof/>
        </w:rPr>
        <w:t>. The</w:t>
      </w:r>
      <w:r w:rsidR="00D35A03" w:rsidRPr="00244D65">
        <w:rPr>
          <w:noProof/>
        </w:rPr>
        <w:t>se aspects</w:t>
      </w:r>
      <w:r w:rsidR="00C06634" w:rsidRPr="00244D65">
        <w:rPr>
          <w:noProof/>
        </w:rPr>
        <w:t xml:space="preserve"> </w:t>
      </w:r>
      <w:r w:rsidR="00395CAE" w:rsidRPr="00244D65">
        <w:rPr>
          <w:noProof/>
        </w:rPr>
        <w:t>w</w:t>
      </w:r>
      <w:r w:rsidR="00B25E5F" w:rsidRPr="00244D65">
        <w:rPr>
          <w:noProof/>
        </w:rPr>
        <w:t xml:space="preserve">ere </w:t>
      </w:r>
      <w:r w:rsidR="00D35A03" w:rsidRPr="00244D65">
        <w:rPr>
          <w:noProof/>
        </w:rPr>
        <w:t>selected</w:t>
      </w:r>
      <w:r w:rsidR="00B25E5F" w:rsidRPr="00244D65">
        <w:rPr>
          <w:noProof/>
        </w:rPr>
        <w:t xml:space="preserve"> because they correspond </w:t>
      </w:r>
      <w:r w:rsidR="00D35A03" w:rsidRPr="00244D65">
        <w:rPr>
          <w:noProof/>
        </w:rPr>
        <w:t>to</w:t>
      </w:r>
      <w:r w:rsidR="00B25E5F" w:rsidRPr="00244D65">
        <w:rPr>
          <w:noProof/>
        </w:rPr>
        <w:t xml:space="preserve"> the </w:t>
      </w:r>
      <w:r w:rsidR="00B57303" w:rsidRPr="00244D65">
        <w:rPr>
          <w:noProof/>
        </w:rPr>
        <w:t>topics established in the review clauses introduced with the Fit for 55 package (Article 3gg, Article 28b and Article 30 of the ETS Directive</w:t>
      </w:r>
      <w:r w:rsidR="001E6CDA" w:rsidRPr="00244D65">
        <w:rPr>
          <w:noProof/>
        </w:rPr>
        <w:t xml:space="preserve">) and </w:t>
      </w:r>
      <w:r w:rsidR="00D35A03" w:rsidRPr="00244D65">
        <w:rPr>
          <w:noProof/>
        </w:rPr>
        <w:t xml:space="preserve">the </w:t>
      </w:r>
      <w:r w:rsidR="001E6CDA" w:rsidRPr="00244D65">
        <w:rPr>
          <w:noProof/>
        </w:rPr>
        <w:t>regular review of the MSR Decision (Article 3)</w:t>
      </w:r>
      <w:r w:rsidR="00395CAE" w:rsidRPr="00244D65">
        <w:rPr>
          <w:noProof/>
        </w:rPr>
        <w:t>,</w:t>
      </w:r>
      <w:r w:rsidR="001E6CDA" w:rsidRPr="00244D65">
        <w:rPr>
          <w:noProof/>
        </w:rPr>
        <w:t xml:space="preserve"> and</w:t>
      </w:r>
      <w:r w:rsidR="007656F8" w:rsidRPr="00244D65">
        <w:rPr>
          <w:noProof/>
        </w:rPr>
        <w:t xml:space="preserve"> more broadly</w:t>
      </w:r>
      <w:r w:rsidR="001E6CDA" w:rsidRPr="00244D65">
        <w:rPr>
          <w:noProof/>
        </w:rPr>
        <w:t xml:space="preserve"> because they </w:t>
      </w:r>
      <w:r w:rsidR="009D2472" w:rsidRPr="00244D65">
        <w:rPr>
          <w:noProof/>
        </w:rPr>
        <w:t>need to be review</w:t>
      </w:r>
      <w:r w:rsidR="00403DD1" w:rsidRPr="00244D65">
        <w:rPr>
          <w:noProof/>
        </w:rPr>
        <w:t>ed</w:t>
      </w:r>
      <w:r w:rsidR="000719BD" w:rsidRPr="00244D65">
        <w:rPr>
          <w:noProof/>
        </w:rPr>
        <w:t xml:space="preserve"> to ensure that the EU ETS continues to contribute in the most cost-effective and economically efficient manner to the overall goal of reaching economy-wide carbon neutrality by 2050 and to the 2040 target, taking into account the broader policy framework and the need for all sectors to contribute to the EU climate efforts, while growing our economy and preserving competitiveness:</w:t>
      </w:r>
    </w:p>
    <w:p w14:paraId="558AF2C8" w14:textId="198B9019" w:rsidR="0016280B" w:rsidRPr="00244D65" w:rsidRDefault="0016280B" w:rsidP="0085595C">
      <w:pPr>
        <w:pStyle w:val="ListParagraph"/>
        <w:numPr>
          <w:ilvl w:val="0"/>
          <w:numId w:val="6"/>
        </w:numPr>
        <w:ind w:left="714" w:hanging="357"/>
        <w:contextualSpacing w:val="0"/>
        <w:rPr>
          <w:noProof/>
          <w:lang w:eastAsia="en-GB"/>
        </w:rPr>
      </w:pPr>
      <w:bookmarkStart w:id="28" w:name="_Toc211962803"/>
      <w:r w:rsidRPr="00244D65">
        <w:rPr>
          <w:b/>
          <w:noProof/>
          <w:lang w:eastAsia="en-GB"/>
        </w:rPr>
        <w:t>Carbon removals:</w:t>
      </w:r>
      <w:r w:rsidRPr="00244D65">
        <w:rPr>
          <w:noProof/>
          <w:lang w:eastAsia="en-GB"/>
        </w:rPr>
        <w:t xml:space="preserve"> this covers the possible inclusion of domestic permanent carbon removals</w:t>
      </w:r>
      <w:r w:rsidRPr="00244D65">
        <w:rPr>
          <w:b/>
          <w:noProof/>
          <w:lang w:eastAsia="en-GB"/>
        </w:rPr>
        <w:t xml:space="preserve"> </w:t>
      </w:r>
      <w:r w:rsidRPr="00244D65">
        <w:rPr>
          <w:noProof/>
          <w:lang w:eastAsia="en-GB"/>
        </w:rPr>
        <w:t>in the EU ETS. More specifically, it looks at (i) how the EU ETS could account for negative emissions resulting from GHGs that are removed from the atmosphere and safely and permanently stored (such as biogenic emissions</w:t>
      </w:r>
      <w:r w:rsidRPr="00244D65">
        <w:rPr>
          <w:b/>
          <w:noProof/>
          <w:lang w:eastAsia="en-GB"/>
        </w:rPr>
        <w:t xml:space="preserve"> </w:t>
      </w:r>
      <w:r w:rsidRPr="00244D65">
        <w:rPr>
          <w:noProof/>
          <w:lang w:eastAsia="en-GB"/>
        </w:rPr>
        <w:t xml:space="preserve">with carbon capture and storage or direct air capture with carbon storage); (ii) how those negative emissions, if appropriate, could be covered by ‘emissions trading’, setting a clear scope and strict criteria; (iii) putting in place of safeguards to ensure that such removals do not </w:t>
      </w:r>
      <w:r w:rsidR="00E959CE" w:rsidRPr="00244D65">
        <w:rPr>
          <w:noProof/>
          <w:lang w:eastAsia="en-GB"/>
        </w:rPr>
        <w:t xml:space="preserve">deter </w:t>
      </w:r>
      <w:r w:rsidRPr="00244D65">
        <w:rPr>
          <w:noProof/>
          <w:lang w:eastAsia="en-GB"/>
        </w:rPr>
        <w:t>necessary emissions reductions.</w:t>
      </w:r>
      <w:bookmarkEnd w:id="28"/>
    </w:p>
    <w:p w14:paraId="03A62F30" w14:textId="775D03CB" w:rsidR="00941167" w:rsidRPr="00244D65" w:rsidRDefault="0016280B" w:rsidP="0085595C">
      <w:pPr>
        <w:pStyle w:val="ListParagraph"/>
        <w:numPr>
          <w:ilvl w:val="0"/>
          <w:numId w:val="6"/>
        </w:numPr>
        <w:ind w:left="714" w:hanging="357"/>
        <w:contextualSpacing w:val="0"/>
        <w:rPr>
          <w:b/>
          <w:bCs/>
          <w:noProof/>
          <w:lang w:eastAsia="en-GB"/>
        </w:rPr>
      </w:pPr>
      <w:bookmarkStart w:id="29" w:name="_Toc211962804"/>
      <w:r w:rsidRPr="00244D65">
        <w:rPr>
          <w:b/>
          <w:bCs/>
          <w:noProof/>
          <w:lang w:eastAsia="en-GB"/>
        </w:rPr>
        <w:t>Market Stability Reserve:</w:t>
      </w:r>
      <w:r w:rsidRPr="00244D65">
        <w:rPr>
          <w:noProof/>
          <w:lang w:eastAsia="en-GB"/>
        </w:rPr>
        <w:t xml:space="preserve"> the review consider</w:t>
      </w:r>
      <w:r w:rsidR="002155F5" w:rsidRPr="00244D65">
        <w:rPr>
          <w:noProof/>
          <w:lang w:eastAsia="en-GB"/>
        </w:rPr>
        <w:t>s</w:t>
      </w:r>
      <w:r w:rsidRPr="00244D65">
        <w:rPr>
          <w:noProof/>
          <w:lang w:eastAsia="en-GB"/>
        </w:rPr>
        <w:t xml:space="preserve"> the parameters of the reserve (intake and release rates, </w:t>
      </w:r>
      <w:r w:rsidR="10C41C25" w:rsidRPr="00244D65">
        <w:rPr>
          <w:noProof/>
          <w:lang w:eastAsia="en-GB"/>
        </w:rPr>
        <w:t>thresholds,</w:t>
      </w:r>
      <w:r w:rsidRPr="00244D65">
        <w:rPr>
          <w:noProof/>
          <w:lang w:eastAsia="en-GB"/>
        </w:rPr>
        <w:t xml:space="preserve"> and their potential alignment with </w:t>
      </w:r>
      <w:r w:rsidR="00074802" w:rsidRPr="00244D65">
        <w:rPr>
          <w:noProof/>
          <w:lang w:eastAsia="en-GB"/>
        </w:rPr>
        <w:t>a declining market</w:t>
      </w:r>
      <w:r w:rsidRPr="00244D65">
        <w:rPr>
          <w:noProof/>
          <w:lang w:eastAsia="en-GB"/>
        </w:rPr>
        <w:t xml:space="preserve">) </w:t>
      </w:r>
      <w:bookmarkEnd w:id="29"/>
      <w:r w:rsidR="00941167" w:rsidRPr="00244D65">
        <w:rPr>
          <w:noProof/>
          <w:lang w:eastAsia="en-GB"/>
        </w:rPr>
        <w:t>and analyse</w:t>
      </w:r>
      <w:r w:rsidR="002155F5" w:rsidRPr="00244D65">
        <w:rPr>
          <w:noProof/>
          <w:lang w:eastAsia="en-GB"/>
        </w:rPr>
        <w:t>s</w:t>
      </w:r>
      <w:r w:rsidR="00941167" w:rsidRPr="00244D65">
        <w:rPr>
          <w:noProof/>
          <w:lang w:eastAsia="en-GB"/>
        </w:rPr>
        <w:t xml:space="preserve"> if </w:t>
      </w:r>
      <w:r w:rsidR="00F62902" w:rsidRPr="00244D65">
        <w:rPr>
          <w:noProof/>
          <w:lang w:eastAsia="en-GB"/>
        </w:rPr>
        <w:t xml:space="preserve">the </w:t>
      </w:r>
      <w:r w:rsidR="00941167" w:rsidRPr="00244D65">
        <w:rPr>
          <w:noProof/>
          <w:lang w:eastAsia="en-GB"/>
        </w:rPr>
        <w:t xml:space="preserve">MSR is </w:t>
      </w:r>
      <w:r w:rsidR="00F62902" w:rsidRPr="00244D65">
        <w:rPr>
          <w:noProof/>
          <w:lang w:eastAsia="en-GB"/>
        </w:rPr>
        <w:t>adequately</w:t>
      </w:r>
      <w:r w:rsidR="00941167" w:rsidRPr="00244D65">
        <w:rPr>
          <w:noProof/>
          <w:lang w:eastAsia="en-GB"/>
        </w:rPr>
        <w:t xml:space="preserve"> designed for the ETS of the next </w:t>
      </w:r>
      <w:r w:rsidR="00441D14" w:rsidRPr="00244D65">
        <w:rPr>
          <w:noProof/>
          <w:lang w:eastAsia="en-GB"/>
        </w:rPr>
        <w:t xml:space="preserve">decade, </w:t>
      </w:r>
      <w:r w:rsidR="00AB586A" w:rsidRPr="00244D65">
        <w:rPr>
          <w:noProof/>
          <w:lang w:eastAsia="en-GB"/>
        </w:rPr>
        <w:t xml:space="preserve">which will </w:t>
      </w:r>
      <w:r w:rsidR="00076A96" w:rsidRPr="00244D65">
        <w:rPr>
          <w:noProof/>
          <w:lang w:eastAsia="en-GB"/>
        </w:rPr>
        <w:t>be characterized by a shrinking market</w:t>
      </w:r>
      <w:r w:rsidR="00FE7FFC" w:rsidRPr="00244D65">
        <w:rPr>
          <w:noProof/>
          <w:lang w:eastAsia="en-GB"/>
        </w:rPr>
        <w:t xml:space="preserve">. </w:t>
      </w:r>
    </w:p>
    <w:p w14:paraId="65D34CE7" w14:textId="48D46F84" w:rsidR="00E00D95" w:rsidRPr="00244D65" w:rsidRDefault="004713FD" w:rsidP="0085595C">
      <w:pPr>
        <w:pStyle w:val="ListParagraph"/>
        <w:numPr>
          <w:ilvl w:val="0"/>
          <w:numId w:val="6"/>
        </w:numPr>
        <w:ind w:left="714" w:hanging="357"/>
        <w:contextualSpacing w:val="0"/>
        <w:rPr>
          <w:noProof/>
          <w:lang w:eastAsia="en-GB"/>
        </w:rPr>
      </w:pPr>
      <w:bookmarkStart w:id="30" w:name="_Toc211962805"/>
      <w:r w:rsidRPr="00244D65">
        <w:rPr>
          <w:b/>
          <w:bCs/>
          <w:noProof/>
          <w:lang w:eastAsia="en-GB"/>
        </w:rPr>
        <w:t xml:space="preserve">Industrial Decarbonisation Bank: </w:t>
      </w:r>
      <w:r w:rsidRPr="00244D65">
        <w:rPr>
          <w:noProof/>
          <w:lang w:eastAsia="en-GB"/>
        </w:rPr>
        <w:t>t</w:t>
      </w:r>
      <w:r w:rsidR="5CBB1F33" w:rsidRPr="00244D65">
        <w:rPr>
          <w:noProof/>
          <w:lang w:eastAsia="en-GB"/>
        </w:rPr>
        <w:t xml:space="preserve">he Clean Industrial Deal announced the </w:t>
      </w:r>
      <w:r w:rsidR="00463831" w:rsidRPr="00244D65">
        <w:rPr>
          <w:noProof/>
          <w:lang w:eastAsia="en-GB"/>
        </w:rPr>
        <w:t>Industrial Decarbonisation</w:t>
      </w:r>
      <w:r w:rsidR="5CBB1F33" w:rsidRPr="00244D65">
        <w:rPr>
          <w:noProof/>
          <w:lang w:eastAsia="en-GB"/>
        </w:rPr>
        <w:t xml:space="preserve"> Bank, aiming for the budget of EUR 100 </w:t>
      </w:r>
      <w:r>
        <w:rPr>
          <w:noProof/>
          <w:lang w:eastAsia="en-GB"/>
        </w:rPr>
        <w:t>billion</w:t>
      </w:r>
      <w:r w:rsidR="5CBB1F33" w:rsidRPr="00244D65">
        <w:rPr>
          <w:noProof/>
          <w:lang w:eastAsia="en-GB"/>
        </w:rPr>
        <w:t xml:space="preserve"> </w:t>
      </w:r>
      <w:r w:rsidR="00CE1A17" w:rsidRPr="00244D65">
        <w:rPr>
          <w:noProof/>
          <w:lang w:eastAsia="en-GB"/>
        </w:rPr>
        <w:t>drawing on the</w:t>
      </w:r>
      <w:r w:rsidR="00710FFB" w:rsidRPr="00244D65">
        <w:rPr>
          <w:noProof/>
          <w:lang w:eastAsia="en-GB"/>
        </w:rPr>
        <w:t xml:space="preserve"> ETS auction revenues</w:t>
      </w:r>
      <w:r w:rsidR="00E221C0" w:rsidRPr="00244D65">
        <w:rPr>
          <w:noProof/>
          <w:lang w:eastAsia="en-GB"/>
        </w:rPr>
        <w:t xml:space="preserve"> </w:t>
      </w:r>
      <w:r w:rsidR="00D9315B" w:rsidRPr="00244D65">
        <w:rPr>
          <w:noProof/>
          <w:lang w:eastAsia="en-GB"/>
        </w:rPr>
        <w:t>and the revision of InvestEU</w:t>
      </w:r>
      <w:r w:rsidR="00710FFB" w:rsidRPr="00244D65">
        <w:rPr>
          <w:noProof/>
          <w:lang w:eastAsia="en-GB"/>
        </w:rPr>
        <w:t xml:space="preserve"> </w:t>
      </w:r>
      <w:r w:rsidR="5CBB1F33" w:rsidRPr="00244D65">
        <w:rPr>
          <w:noProof/>
          <w:lang w:eastAsia="en-GB"/>
        </w:rPr>
        <w:t>so that a sizable impact can be made on the industrial decarbonisation</w:t>
      </w:r>
      <w:r w:rsidR="00134EFB" w:rsidRPr="00244D65">
        <w:rPr>
          <w:noProof/>
          <w:lang w:eastAsia="en-GB"/>
        </w:rPr>
        <w:t xml:space="preserve"> in the EU</w:t>
      </w:r>
      <w:r w:rsidR="5CBB1F33" w:rsidRPr="00244D65">
        <w:rPr>
          <w:noProof/>
          <w:lang w:eastAsia="en-GB"/>
        </w:rPr>
        <w:t>. The policy options assesse</w:t>
      </w:r>
      <w:r w:rsidR="00157713" w:rsidRPr="00244D65">
        <w:rPr>
          <w:noProof/>
          <w:lang w:eastAsia="en-GB"/>
        </w:rPr>
        <w:t>d</w:t>
      </w:r>
      <w:r w:rsidR="5CBB1F33" w:rsidRPr="00244D65">
        <w:rPr>
          <w:noProof/>
          <w:lang w:eastAsia="en-GB"/>
        </w:rPr>
        <w:t xml:space="preserve"> </w:t>
      </w:r>
      <w:r w:rsidR="11E2B72B" w:rsidRPr="00244D65">
        <w:rPr>
          <w:noProof/>
          <w:lang w:eastAsia="en-GB"/>
        </w:rPr>
        <w:t>concern</w:t>
      </w:r>
      <w:r w:rsidR="298038C6" w:rsidRPr="00244D65">
        <w:rPr>
          <w:noProof/>
          <w:lang w:eastAsia="en-GB"/>
        </w:rPr>
        <w:t>:</w:t>
      </w:r>
      <w:r w:rsidR="5CBB1F33" w:rsidRPr="00244D65">
        <w:rPr>
          <w:noProof/>
          <w:lang w:eastAsia="en-GB"/>
        </w:rPr>
        <w:t xml:space="preserve"> </w:t>
      </w:r>
      <w:bookmarkStart w:id="31" w:name="_Int_xNw2eSXT"/>
      <w:r w:rsidR="5CBB1F33" w:rsidRPr="00244D65">
        <w:rPr>
          <w:noProof/>
          <w:lang w:eastAsia="en-GB"/>
        </w:rPr>
        <w:t>possible ways</w:t>
      </w:r>
      <w:bookmarkEnd w:id="31"/>
      <w:r w:rsidR="5CBB1F33" w:rsidRPr="00244D65">
        <w:rPr>
          <w:noProof/>
          <w:lang w:eastAsia="en-GB"/>
        </w:rPr>
        <w:t xml:space="preserve"> to allocate the support by </w:t>
      </w:r>
      <w:r w:rsidR="0067714A" w:rsidRPr="00244D65">
        <w:rPr>
          <w:noProof/>
          <w:lang w:eastAsia="en-GB"/>
        </w:rPr>
        <w:t xml:space="preserve">the </w:t>
      </w:r>
      <w:r w:rsidR="11E2B72B" w:rsidRPr="00244D65">
        <w:rPr>
          <w:noProof/>
          <w:lang w:eastAsia="en-GB"/>
        </w:rPr>
        <w:t>B</w:t>
      </w:r>
      <w:r w:rsidR="5CBB1F33" w:rsidRPr="00244D65">
        <w:rPr>
          <w:noProof/>
          <w:lang w:eastAsia="en-GB"/>
        </w:rPr>
        <w:t>ank</w:t>
      </w:r>
      <w:r w:rsidR="298038C6" w:rsidRPr="00244D65">
        <w:rPr>
          <w:noProof/>
          <w:lang w:eastAsia="en-GB"/>
        </w:rPr>
        <w:t>;</w:t>
      </w:r>
      <w:r w:rsidR="30287966" w:rsidRPr="00244D65">
        <w:rPr>
          <w:noProof/>
          <w:lang w:eastAsia="en-GB"/>
        </w:rPr>
        <w:t xml:space="preserve"> </w:t>
      </w:r>
      <w:r w:rsidR="5CBB1F33" w:rsidRPr="00244D65">
        <w:rPr>
          <w:noProof/>
          <w:lang w:eastAsia="en-GB"/>
        </w:rPr>
        <w:t>different forms th</w:t>
      </w:r>
      <w:r w:rsidR="30287966" w:rsidRPr="00244D65">
        <w:rPr>
          <w:noProof/>
          <w:lang w:eastAsia="en-GB"/>
        </w:rPr>
        <w:t>at the</w:t>
      </w:r>
      <w:r w:rsidR="5CBB1F33" w:rsidRPr="00244D65">
        <w:rPr>
          <w:noProof/>
          <w:lang w:eastAsia="en-GB"/>
        </w:rPr>
        <w:t xml:space="preserve"> support</w:t>
      </w:r>
      <w:r w:rsidR="30287966" w:rsidRPr="00244D65">
        <w:rPr>
          <w:noProof/>
          <w:lang w:eastAsia="en-GB"/>
        </w:rPr>
        <w:t xml:space="preserve"> could take </w:t>
      </w:r>
      <w:r w:rsidR="298038C6" w:rsidRPr="00244D65">
        <w:rPr>
          <w:noProof/>
          <w:lang w:eastAsia="en-GB"/>
        </w:rPr>
        <w:t>and measures to ensure the geographical balance</w:t>
      </w:r>
      <w:r w:rsidR="001F5CDF" w:rsidRPr="00244D65">
        <w:rPr>
          <w:noProof/>
          <w:lang w:eastAsia="en-GB"/>
        </w:rPr>
        <w:t xml:space="preserve"> in allocating the support</w:t>
      </w:r>
      <w:r w:rsidR="5CBB1F33" w:rsidRPr="00244D65">
        <w:rPr>
          <w:noProof/>
          <w:lang w:eastAsia="en-GB"/>
        </w:rPr>
        <w:t>.</w:t>
      </w:r>
      <w:r w:rsidR="004652CB" w:rsidRPr="00244D65">
        <w:rPr>
          <w:noProof/>
          <w:lang w:eastAsia="en-GB"/>
        </w:rPr>
        <w:t xml:space="preserve"> </w:t>
      </w:r>
      <w:r w:rsidR="002B1CAD" w:rsidRPr="00244D65">
        <w:rPr>
          <w:noProof/>
          <w:lang w:eastAsia="en-GB"/>
        </w:rPr>
        <w:t xml:space="preserve">The IDB will </w:t>
      </w:r>
      <w:r w:rsidR="003112FD" w:rsidRPr="00244D65">
        <w:rPr>
          <w:noProof/>
          <w:lang w:eastAsia="en-GB"/>
        </w:rPr>
        <w:t>operate alongside the I</w:t>
      </w:r>
      <w:r w:rsidR="00DF63B0" w:rsidRPr="00244D65">
        <w:rPr>
          <w:noProof/>
          <w:lang w:eastAsia="en-GB"/>
        </w:rPr>
        <w:t>nnovation Fund (</w:t>
      </w:r>
      <w:r w:rsidR="003112FD" w:rsidRPr="00244D65">
        <w:rPr>
          <w:noProof/>
          <w:lang w:eastAsia="en-GB"/>
        </w:rPr>
        <w:t>IF</w:t>
      </w:r>
      <w:r w:rsidR="00DF63B0" w:rsidRPr="00244D65">
        <w:rPr>
          <w:noProof/>
          <w:lang w:eastAsia="en-GB"/>
        </w:rPr>
        <w:t>)</w:t>
      </w:r>
      <w:r w:rsidR="003112FD" w:rsidRPr="00244D65">
        <w:rPr>
          <w:noProof/>
          <w:lang w:eastAsia="en-GB"/>
        </w:rPr>
        <w:t xml:space="preserve"> </w:t>
      </w:r>
      <w:r w:rsidR="009204C3" w:rsidRPr="00244D65">
        <w:rPr>
          <w:noProof/>
          <w:lang w:eastAsia="en-GB"/>
        </w:rPr>
        <w:t xml:space="preserve">and the </w:t>
      </w:r>
      <w:r w:rsidR="00DF63B0" w:rsidRPr="00244D65">
        <w:rPr>
          <w:noProof/>
          <w:lang w:eastAsia="en-GB"/>
        </w:rPr>
        <w:t>European Competitiveness Fund</w:t>
      </w:r>
      <w:r w:rsidR="00887C42" w:rsidRPr="00244D65">
        <w:rPr>
          <w:noProof/>
          <w:lang w:eastAsia="en-GB"/>
        </w:rPr>
        <w:t xml:space="preserve"> (ECF)</w:t>
      </w:r>
      <w:r w:rsidR="00EE0040" w:rsidRPr="00244D65">
        <w:rPr>
          <w:noProof/>
          <w:lang w:eastAsia="en-GB"/>
        </w:rPr>
        <w:t>.</w:t>
      </w:r>
      <w:r w:rsidR="000C653C" w:rsidRPr="00244D65">
        <w:rPr>
          <w:noProof/>
          <w:lang w:eastAsia="en-GB"/>
        </w:rPr>
        <w:t xml:space="preserve"> </w:t>
      </w:r>
      <w:r w:rsidR="00203F4B" w:rsidRPr="00244D65">
        <w:rPr>
          <w:noProof/>
          <w:lang w:eastAsia="en-GB"/>
        </w:rPr>
        <w:t>T</w:t>
      </w:r>
      <w:r w:rsidR="00203F4B" w:rsidRPr="00244D65">
        <w:rPr>
          <w:noProof/>
        </w:rPr>
        <w:t xml:space="preserve">his assessment also considers the role the IDB can play in addressing residual risks of carbon leakage for CBAM sectors. </w:t>
      </w:r>
      <w:r w:rsidR="00E00D95" w:rsidRPr="00244D65">
        <w:rPr>
          <w:noProof/>
          <w:lang w:eastAsia="en-GB"/>
        </w:rPr>
        <w:t>For the I</w:t>
      </w:r>
      <w:r w:rsidR="00DF63B0" w:rsidRPr="00244D65">
        <w:rPr>
          <w:noProof/>
          <w:lang w:eastAsia="en-GB"/>
        </w:rPr>
        <w:t>F</w:t>
      </w:r>
      <w:r w:rsidR="00E00D95" w:rsidRPr="00244D65">
        <w:rPr>
          <w:noProof/>
          <w:lang w:eastAsia="en-GB"/>
        </w:rPr>
        <w:t>, the</w:t>
      </w:r>
      <w:r w:rsidR="0014629F" w:rsidRPr="00244D65">
        <w:rPr>
          <w:noProof/>
          <w:lang w:eastAsia="en-GB"/>
        </w:rPr>
        <w:t xml:space="preserve"> Fund</w:t>
      </w:r>
      <w:r w:rsidR="00B961C6" w:rsidRPr="00244D65">
        <w:rPr>
          <w:noProof/>
          <w:lang w:eastAsia="en-GB"/>
        </w:rPr>
        <w:t>’s</w:t>
      </w:r>
      <w:r w:rsidR="00E00D95" w:rsidRPr="00244D65">
        <w:rPr>
          <w:noProof/>
          <w:lang w:eastAsia="en-GB"/>
        </w:rPr>
        <w:t xml:space="preserve"> </w:t>
      </w:r>
      <w:r w:rsidR="000C0645" w:rsidRPr="00244D65">
        <w:rPr>
          <w:noProof/>
          <w:lang w:eastAsia="en-GB"/>
        </w:rPr>
        <w:t xml:space="preserve">evaluation </w:t>
      </w:r>
      <w:r w:rsidR="00215C13" w:rsidRPr="00244D65">
        <w:rPr>
          <w:noProof/>
          <w:lang w:eastAsia="en-GB"/>
        </w:rPr>
        <w:t>recommends the continuation of the programme</w:t>
      </w:r>
      <w:r w:rsidR="00AF7EB2" w:rsidRPr="00244D65">
        <w:rPr>
          <w:noProof/>
          <w:lang w:eastAsia="en-GB"/>
        </w:rPr>
        <w:t xml:space="preserve"> with improvements</w:t>
      </w:r>
      <w:r w:rsidR="00A66B78" w:rsidRPr="00244D65">
        <w:rPr>
          <w:noProof/>
          <w:lang w:eastAsia="en-GB"/>
        </w:rPr>
        <w:t>, notably</w:t>
      </w:r>
      <w:r w:rsidR="00AF7EB2" w:rsidRPr="00244D65">
        <w:rPr>
          <w:noProof/>
          <w:lang w:eastAsia="en-GB"/>
        </w:rPr>
        <w:t xml:space="preserve"> in </w:t>
      </w:r>
      <w:r w:rsidR="00A66B78" w:rsidRPr="00244D65">
        <w:rPr>
          <w:noProof/>
          <w:lang w:eastAsia="en-GB"/>
        </w:rPr>
        <w:t>terms of</w:t>
      </w:r>
      <w:r w:rsidR="00AF7EB2" w:rsidRPr="00244D65">
        <w:rPr>
          <w:noProof/>
          <w:lang w:eastAsia="en-GB"/>
        </w:rPr>
        <w:t xml:space="preserve"> </w:t>
      </w:r>
      <w:r w:rsidR="000756A8" w:rsidRPr="00244D65">
        <w:rPr>
          <w:noProof/>
          <w:lang w:eastAsia="en-GB"/>
        </w:rPr>
        <w:t>simplification without</w:t>
      </w:r>
      <w:r w:rsidR="00CA11C1" w:rsidRPr="00244D65">
        <w:rPr>
          <w:noProof/>
          <w:lang w:eastAsia="en-GB"/>
        </w:rPr>
        <w:t>, however fundamental change to its operation and objective</w:t>
      </w:r>
      <w:r w:rsidR="009B4AB9" w:rsidRPr="00244D65">
        <w:rPr>
          <w:noProof/>
          <w:lang w:eastAsia="en-GB"/>
        </w:rPr>
        <w:t>s</w:t>
      </w:r>
      <w:r w:rsidR="00CA11C1" w:rsidRPr="00244D65">
        <w:rPr>
          <w:noProof/>
          <w:lang w:eastAsia="en-GB"/>
        </w:rPr>
        <w:t xml:space="preserve"> (i.e. support for innovative, First-of-a-Kind projects)</w:t>
      </w:r>
      <w:r w:rsidR="009B4AB9" w:rsidRPr="00244D65">
        <w:rPr>
          <w:noProof/>
          <w:lang w:eastAsia="en-GB"/>
        </w:rPr>
        <w:t>.</w:t>
      </w:r>
      <w:r w:rsidR="00590D81" w:rsidRPr="00244D65">
        <w:rPr>
          <w:noProof/>
          <w:lang w:eastAsia="en-GB"/>
        </w:rPr>
        <w:t xml:space="preserve"> </w:t>
      </w:r>
    </w:p>
    <w:p w14:paraId="17015183" w14:textId="10B06F5F" w:rsidR="006B48BF" w:rsidRPr="00244D65" w:rsidRDefault="2F2FCFAA" w:rsidP="0085595C">
      <w:pPr>
        <w:pStyle w:val="ListParagraph"/>
        <w:numPr>
          <w:ilvl w:val="0"/>
          <w:numId w:val="6"/>
        </w:numPr>
        <w:ind w:left="714" w:hanging="357"/>
        <w:contextualSpacing w:val="0"/>
        <w:rPr>
          <w:bCs/>
          <w:noProof/>
          <w:lang w:eastAsia="en-GB"/>
        </w:rPr>
      </w:pPr>
      <w:r w:rsidRPr="00244D65">
        <w:rPr>
          <w:b/>
          <w:noProof/>
          <w:lang w:eastAsia="en-GB"/>
        </w:rPr>
        <w:t>Modernisation Fund</w:t>
      </w:r>
      <w:r w:rsidR="006B48BF" w:rsidRPr="00244D65">
        <w:rPr>
          <w:bCs/>
          <w:noProof/>
          <w:lang w:eastAsia="en-GB"/>
        </w:rPr>
        <w:t>:</w:t>
      </w:r>
      <w:r w:rsidRPr="00244D65">
        <w:rPr>
          <w:bCs/>
          <w:noProof/>
          <w:lang w:eastAsia="en-GB"/>
        </w:rPr>
        <w:t xml:space="preserve"> th</w:t>
      </w:r>
      <w:r w:rsidR="0F253154" w:rsidRPr="00244D65">
        <w:rPr>
          <w:bCs/>
          <w:noProof/>
          <w:lang w:eastAsia="en-GB"/>
        </w:rPr>
        <w:t xml:space="preserve">e </w:t>
      </w:r>
      <w:r w:rsidR="002C05AB" w:rsidRPr="00244D65">
        <w:rPr>
          <w:bCs/>
          <w:noProof/>
          <w:lang w:eastAsia="en-GB"/>
        </w:rPr>
        <w:t>evaluation</w:t>
      </w:r>
      <w:r w:rsidR="00F40311" w:rsidRPr="00244D65">
        <w:rPr>
          <w:bCs/>
          <w:noProof/>
          <w:lang w:eastAsia="en-GB"/>
        </w:rPr>
        <w:t xml:space="preserve"> indicates</w:t>
      </w:r>
      <w:r w:rsidR="00A70342" w:rsidRPr="00244D65">
        <w:rPr>
          <w:bCs/>
          <w:noProof/>
          <w:lang w:eastAsia="en-GB"/>
        </w:rPr>
        <w:t xml:space="preserve"> that it </w:t>
      </w:r>
      <w:r w:rsidR="00A70342" w:rsidRPr="00244D65">
        <w:rPr>
          <w:noProof/>
          <w:lang w:eastAsia="en-GB"/>
        </w:rPr>
        <w:t>is succeeding in supporting relevant investments to decarbonise the energy systems of Member States with high needs and low-income. </w:t>
      </w:r>
      <w:r w:rsidR="00A70342" w:rsidRPr="00244D65">
        <w:rPr>
          <w:bCs/>
          <w:noProof/>
          <w:lang w:eastAsia="en-GB"/>
        </w:rPr>
        <w:t>The distinction between priority area and non-priority area and the rules attached to each category have proved effective to foster </w:t>
      </w:r>
      <w:r w:rsidR="00B06096" w:rsidRPr="00244D65">
        <w:rPr>
          <w:bCs/>
          <w:noProof/>
          <w:lang w:eastAsia="en-GB"/>
        </w:rPr>
        <w:t xml:space="preserve">those </w:t>
      </w:r>
      <w:r w:rsidR="00A70342" w:rsidRPr="00244D65">
        <w:rPr>
          <w:bCs/>
          <w:noProof/>
          <w:lang w:eastAsia="en-GB"/>
        </w:rPr>
        <w:t>investments most closely aligned with EU climate and energy targets, while allowing room for some investments in transitional technologies.</w:t>
      </w:r>
      <w:r w:rsidR="00F40311" w:rsidRPr="00244D65">
        <w:rPr>
          <w:bCs/>
          <w:noProof/>
          <w:lang w:eastAsia="en-GB"/>
        </w:rPr>
        <w:t xml:space="preserve"> The </w:t>
      </w:r>
      <w:r w:rsidR="003230A7" w:rsidRPr="00244D65">
        <w:rPr>
          <w:bCs/>
          <w:noProof/>
          <w:lang w:eastAsia="en-GB"/>
        </w:rPr>
        <w:t xml:space="preserve">impact assessment </w:t>
      </w:r>
      <w:r w:rsidR="0F253154" w:rsidRPr="00244D65">
        <w:rPr>
          <w:bCs/>
          <w:noProof/>
          <w:lang w:eastAsia="en-GB"/>
        </w:rPr>
        <w:t xml:space="preserve">considers the possibility to </w:t>
      </w:r>
      <w:r w:rsidR="002C38BD" w:rsidRPr="00244D65">
        <w:rPr>
          <w:bCs/>
          <w:noProof/>
          <w:lang w:eastAsia="en-GB"/>
        </w:rPr>
        <w:t xml:space="preserve">increase the scope of priority investment to more decarbonation </w:t>
      </w:r>
      <w:r w:rsidR="000C653C" w:rsidRPr="00244D65">
        <w:rPr>
          <w:bCs/>
          <w:noProof/>
          <w:lang w:eastAsia="en-GB"/>
        </w:rPr>
        <w:t>technologies;</w:t>
      </w:r>
      <w:r w:rsidR="002C38BD" w:rsidRPr="00244D65">
        <w:rPr>
          <w:bCs/>
          <w:noProof/>
          <w:lang w:eastAsia="en-GB"/>
        </w:rPr>
        <w:t xml:space="preserve"> to </w:t>
      </w:r>
      <w:r w:rsidR="00BF709D" w:rsidRPr="00244D65">
        <w:rPr>
          <w:bCs/>
          <w:noProof/>
          <w:lang w:eastAsia="en-GB"/>
        </w:rPr>
        <w:t>dis</w:t>
      </w:r>
      <w:r w:rsidR="004A6BA2" w:rsidRPr="00244D65">
        <w:rPr>
          <w:bCs/>
          <w:noProof/>
          <w:lang w:eastAsia="en-GB"/>
        </w:rPr>
        <w:t xml:space="preserve">continue </w:t>
      </w:r>
      <w:r w:rsidR="0F253154" w:rsidRPr="00244D65">
        <w:rPr>
          <w:bCs/>
          <w:noProof/>
          <w:lang w:eastAsia="en-GB"/>
        </w:rPr>
        <w:t>financ</w:t>
      </w:r>
      <w:r w:rsidR="004A6BA2" w:rsidRPr="00244D65">
        <w:rPr>
          <w:bCs/>
          <w:noProof/>
          <w:lang w:eastAsia="en-GB"/>
        </w:rPr>
        <w:t>ing</w:t>
      </w:r>
      <w:r w:rsidR="0F253154" w:rsidRPr="00244D65">
        <w:rPr>
          <w:bCs/>
          <w:noProof/>
          <w:lang w:eastAsia="en-GB"/>
        </w:rPr>
        <w:t xml:space="preserve"> investments related to fossil fuels and waste-to-energy, the respective shares of priority/non</w:t>
      </w:r>
      <w:r w:rsidR="46BD1FCD" w:rsidRPr="00244D65">
        <w:rPr>
          <w:bCs/>
          <w:noProof/>
          <w:lang w:eastAsia="en-GB"/>
        </w:rPr>
        <w:t>-</w:t>
      </w:r>
      <w:r w:rsidR="46BD1FCD" w:rsidRPr="00244D65">
        <w:rPr>
          <w:noProof/>
          <w:lang w:eastAsia="en-GB"/>
        </w:rPr>
        <w:t>p</w:t>
      </w:r>
      <w:r w:rsidR="0F253154" w:rsidRPr="00244D65">
        <w:rPr>
          <w:noProof/>
          <w:lang w:eastAsia="en-GB"/>
        </w:rPr>
        <w:t>riority</w:t>
      </w:r>
      <w:r w:rsidR="0F253154" w:rsidRPr="00244D65">
        <w:rPr>
          <w:bCs/>
          <w:noProof/>
          <w:lang w:eastAsia="en-GB"/>
        </w:rPr>
        <w:t xml:space="preserve"> investment</w:t>
      </w:r>
      <w:r w:rsidR="38D7A4AD" w:rsidRPr="00244D65">
        <w:rPr>
          <w:bCs/>
          <w:noProof/>
          <w:lang w:eastAsia="en-GB"/>
        </w:rPr>
        <w:t>s</w:t>
      </w:r>
      <w:r w:rsidRPr="00244D65">
        <w:rPr>
          <w:bCs/>
          <w:noProof/>
          <w:lang w:eastAsia="en-GB"/>
        </w:rPr>
        <w:t xml:space="preserve"> </w:t>
      </w:r>
      <w:r w:rsidR="27DBC892" w:rsidRPr="00244D65">
        <w:rPr>
          <w:bCs/>
          <w:noProof/>
          <w:lang w:eastAsia="en-GB"/>
        </w:rPr>
        <w:t xml:space="preserve">and the governance </w:t>
      </w:r>
      <w:r w:rsidR="6A985F3E" w:rsidRPr="00244D65">
        <w:rPr>
          <w:bCs/>
          <w:noProof/>
          <w:lang w:eastAsia="en-GB"/>
        </w:rPr>
        <w:t>related to the</w:t>
      </w:r>
      <w:r w:rsidR="27DBC892" w:rsidRPr="00244D65">
        <w:rPr>
          <w:bCs/>
          <w:noProof/>
          <w:lang w:eastAsia="en-GB"/>
        </w:rPr>
        <w:t xml:space="preserve"> </w:t>
      </w:r>
      <w:r w:rsidR="6AFDDD0B" w:rsidRPr="00244D65">
        <w:rPr>
          <w:bCs/>
          <w:noProof/>
          <w:lang w:eastAsia="en-GB"/>
        </w:rPr>
        <w:t xml:space="preserve">confirmation of </w:t>
      </w:r>
      <w:r w:rsidR="27DBC892" w:rsidRPr="00244D65">
        <w:rPr>
          <w:bCs/>
          <w:noProof/>
          <w:lang w:eastAsia="en-GB"/>
        </w:rPr>
        <w:t>priority investments.</w:t>
      </w:r>
      <w:bookmarkStart w:id="32" w:name="_Toc211962806"/>
      <w:bookmarkEnd w:id="30"/>
    </w:p>
    <w:p w14:paraId="2850C3D6" w14:textId="224B7967" w:rsidR="004E3043" w:rsidRPr="00244D65" w:rsidRDefault="000719BD" w:rsidP="0085595C">
      <w:pPr>
        <w:pStyle w:val="ListParagraph"/>
        <w:numPr>
          <w:ilvl w:val="0"/>
          <w:numId w:val="6"/>
        </w:numPr>
        <w:ind w:left="714" w:hanging="357"/>
        <w:contextualSpacing w:val="0"/>
        <w:rPr>
          <w:bCs/>
          <w:noProof/>
          <w:lang w:eastAsia="en-GB"/>
        </w:rPr>
      </w:pPr>
      <w:r w:rsidRPr="00244D65">
        <w:rPr>
          <w:b/>
          <w:noProof/>
          <w:lang w:eastAsia="en-GB"/>
        </w:rPr>
        <w:t>Aviation emissions</w:t>
      </w:r>
      <w:r w:rsidRPr="00244D65">
        <w:rPr>
          <w:noProof/>
          <w:lang w:eastAsia="en-GB"/>
        </w:rPr>
        <w:t xml:space="preserve">: While legally the ETS covers emissions </w:t>
      </w:r>
      <w:r w:rsidR="007319F5" w:rsidRPr="00244D65">
        <w:rPr>
          <w:noProof/>
        </w:rPr>
        <w:t>from January 2027</w:t>
      </w:r>
      <w:r w:rsidRPr="00244D65">
        <w:rPr>
          <w:noProof/>
          <w:lang w:eastAsia="en-GB"/>
        </w:rPr>
        <w:t xml:space="preserve"> from flights landing in (unless exempted) and departing from the European Economic Area (EEA), the EU has temporarily limited the scope to intra-EEA flights and departing flights to the UK and Switzerland. This is to encourage the development of an effective global carbon pricing scheme by ICAO. </w:t>
      </w:r>
      <w:r w:rsidR="0001151F" w:rsidRPr="00244D65">
        <w:rPr>
          <w:noProof/>
          <w:lang w:eastAsia="en-GB"/>
        </w:rPr>
        <w:t xml:space="preserve">This impact assessment </w:t>
      </w:r>
      <w:r w:rsidR="003B710F" w:rsidRPr="00244D65">
        <w:rPr>
          <w:noProof/>
          <w:lang w:eastAsia="en-GB"/>
        </w:rPr>
        <w:t>examines</w:t>
      </w:r>
      <w:r w:rsidRPr="00244D65">
        <w:rPr>
          <w:noProof/>
        </w:rPr>
        <w:t xml:space="preserve"> CORSIA in line with the ETS Directive assessment criteria and indications on geographical scope</w:t>
      </w:r>
      <w:r w:rsidRPr="00244D65">
        <w:rPr>
          <w:noProof/>
          <w:lang w:eastAsia="en-GB"/>
        </w:rPr>
        <w:t>.</w:t>
      </w:r>
      <w:bookmarkEnd w:id="32"/>
    </w:p>
    <w:p w14:paraId="27F55750" w14:textId="2B04AEAE" w:rsidR="000719BD" w:rsidRPr="00244D65" w:rsidRDefault="006B48BF" w:rsidP="0085595C">
      <w:pPr>
        <w:pStyle w:val="ListParagraph"/>
        <w:numPr>
          <w:ilvl w:val="0"/>
          <w:numId w:val="6"/>
        </w:numPr>
        <w:ind w:left="714" w:hanging="357"/>
        <w:contextualSpacing w:val="0"/>
        <w:rPr>
          <w:noProof/>
          <w:sz w:val="28"/>
          <w:szCs w:val="28"/>
        </w:rPr>
      </w:pPr>
      <w:bookmarkStart w:id="33" w:name="_Toc211962807"/>
      <w:r w:rsidRPr="00244D65">
        <w:rPr>
          <w:b/>
          <w:bCs/>
          <w:noProof/>
          <w:lang w:eastAsia="en-GB"/>
        </w:rPr>
        <w:t>M</w:t>
      </w:r>
      <w:r w:rsidR="000719BD" w:rsidRPr="00244D65">
        <w:rPr>
          <w:b/>
          <w:bCs/>
          <w:noProof/>
          <w:lang w:eastAsia="en-GB"/>
        </w:rPr>
        <w:t>aritime emission</w:t>
      </w:r>
      <w:r w:rsidR="16726F73" w:rsidRPr="00244D65">
        <w:rPr>
          <w:b/>
          <w:bCs/>
          <w:noProof/>
          <w:lang w:eastAsia="en-GB"/>
        </w:rPr>
        <w:t>s</w:t>
      </w:r>
      <w:r w:rsidRPr="00244D65">
        <w:rPr>
          <w:noProof/>
          <w:vertAlign w:val="superscript"/>
          <w:lang w:eastAsia="en-GB"/>
        </w:rPr>
        <w:footnoteReference w:id="17"/>
      </w:r>
      <w:r w:rsidR="000719BD" w:rsidRPr="00244D65">
        <w:rPr>
          <w:noProof/>
          <w:lang w:eastAsia="en-GB"/>
        </w:rPr>
        <w:t xml:space="preserve">: </w:t>
      </w:r>
      <w:r w:rsidRPr="00244D65">
        <w:rPr>
          <w:noProof/>
          <w:lang w:eastAsia="en-GB"/>
        </w:rPr>
        <w:t>t</w:t>
      </w:r>
      <w:r w:rsidR="000719BD" w:rsidRPr="00244D65">
        <w:rPr>
          <w:noProof/>
          <w:lang w:eastAsia="en-GB"/>
        </w:rPr>
        <w:t xml:space="preserve">he impact assessment </w:t>
      </w:r>
      <w:r w:rsidR="006F4E53" w:rsidRPr="00244D65">
        <w:rPr>
          <w:noProof/>
          <w:lang w:eastAsia="en-GB"/>
        </w:rPr>
        <w:t xml:space="preserve">examines </w:t>
      </w:r>
      <w:r w:rsidR="00AE28B3" w:rsidRPr="00244D65">
        <w:rPr>
          <w:noProof/>
          <w:lang w:eastAsia="en-GB"/>
        </w:rPr>
        <w:t xml:space="preserve">the possibility of a dedicated EU mechanism to directly support shipping companies with ETS allowances </w:t>
      </w:r>
      <w:r w:rsidR="005121B5" w:rsidRPr="00244D65">
        <w:rPr>
          <w:noProof/>
          <w:lang w:eastAsia="en-GB"/>
        </w:rPr>
        <w:t xml:space="preserve">in their efforts </w:t>
      </w:r>
      <w:r w:rsidR="0089198C" w:rsidRPr="00244D65">
        <w:rPr>
          <w:noProof/>
          <w:lang w:eastAsia="en-GB"/>
        </w:rPr>
        <w:t>to</w:t>
      </w:r>
      <w:r w:rsidR="00AE28B3" w:rsidRPr="00244D65">
        <w:rPr>
          <w:noProof/>
          <w:lang w:eastAsia="en-GB"/>
        </w:rPr>
        <w:t xml:space="preserve"> us</w:t>
      </w:r>
      <w:r w:rsidR="0089198C" w:rsidRPr="00244D65">
        <w:rPr>
          <w:noProof/>
          <w:lang w:eastAsia="en-GB"/>
        </w:rPr>
        <w:t>e</w:t>
      </w:r>
      <w:r w:rsidR="00AE28B3" w:rsidRPr="00244D65">
        <w:rPr>
          <w:noProof/>
          <w:lang w:eastAsia="en-GB"/>
        </w:rPr>
        <w:t xml:space="preserve"> sustainable fuels and clean propulsion technologies. </w:t>
      </w:r>
      <w:r w:rsidR="000719BD" w:rsidRPr="00244D65">
        <w:rPr>
          <w:noProof/>
          <w:lang w:eastAsia="en-GB"/>
        </w:rPr>
        <w:t xml:space="preserve">Furthermore, it considers legislative improvements to ensure the effective implementation of ETS </w:t>
      </w:r>
      <w:r w:rsidR="00660AE2" w:rsidRPr="00244D65">
        <w:rPr>
          <w:noProof/>
          <w:lang w:eastAsia="en-GB"/>
        </w:rPr>
        <w:t>applica</w:t>
      </w:r>
      <w:r w:rsidR="000719BD" w:rsidRPr="00244D65">
        <w:rPr>
          <w:noProof/>
          <w:lang w:eastAsia="en-GB"/>
        </w:rPr>
        <w:t>tion to maritime transport, notably in relation to the possible risk of evasion/ circumvention</w:t>
      </w:r>
      <w:r w:rsidR="00331AAD" w:rsidRPr="00244D65">
        <w:rPr>
          <w:noProof/>
          <w:lang w:eastAsia="en-GB"/>
        </w:rPr>
        <w:t>.</w:t>
      </w:r>
      <w:r w:rsidR="000719BD" w:rsidRPr="00244D65">
        <w:rPr>
          <w:noProof/>
          <w:lang w:eastAsia="en-GB"/>
        </w:rPr>
        <w:t xml:space="preserve"> It</w:t>
      </w:r>
      <w:r w:rsidR="00881057" w:rsidRPr="00244D65">
        <w:rPr>
          <w:noProof/>
        </w:rPr>
        <w:t xml:space="preserve"> also</w:t>
      </w:r>
      <w:r w:rsidR="000719BD" w:rsidRPr="00244D65">
        <w:rPr>
          <w:noProof/>
          <w:lang w:eastAsia="en-GB"/>
        </w:rPr>
        <w:t xml:space="preserve"> examines opportunities for simplification and </w:t>
      </w:r>
      <w:r w:rsidR="00906085" w:rsidRPr="00244D65">
        <w:rPr>
          <w:noProof/>
        </w:rPr>
        <w:t>other measures to enhance the robustness and effectiveness of the system's implementation</w:t>
      </w:r>
      <w:r w:rsidR="0030044A" w:rsidRPr="00244D65">
        <w:rPr>
          <w:noProof/>
        </w:rPr>
        <w:t>,</w:t>
      </w:r>
      <w:r w:rsidR="0030044A" w:rsidRPr="00244D65">
        <w:rPr>
          <w:noProof/>
          <w:lang w:eastAsia="en-GB"/>
        </w:rPr>
        <w:t xml:space="preserve"> </w:t>
      </w:r>
      <w:r w:rsidR="000719BD" w:rsidRPr="00244D65">
        <w:rPr>
          <w:noProof/>
          <w:lang w:eastAsia="en-GB"/>
        </w:rPr>
        <w:t xml:space="preserve">including in terms of </w:t>
      </w:r>
      <w:r w:rsidR="00C952E3" w:rsidRPr="00244D65">
        <w:rPr>
          <w:noProof/>
        </w:rPr>
        <w:t xml:space="preserve">alignment </w:t>
      </w:r>
      <w:r w:rsidR="000719BD" w:rsidRPr="00244D65">
        <w:rPr>
          <w:noProof/>
          <w:lang w:eastAsia="en-GB"/>
        </w:rPr>
        <w:t>with other EU legislation</w:t>
      </w:r>
      <w:bookmarkEnd w:id="33"/>
      <w:r w:rsidR="00331AAD" w:rsidRPr="00244D65">
        <w:rPr>
          <w:noProof/>
          <w:lang w:eastAsia="en-GB"/>
        </w:rPr>
        <w:t xml:space="preserve"> and the need for derogations to maintain territorial continuity and connectivity. T</w:t>
      </w:r>
      <w:r w:rsidR="00D62C92" w:rsidRPr="00244D65">
        <w:rPr>
          <w:noProof/>
          <w:lang w:eastAsia="en-GB"/>
        </w:rPr>
        <w:t xml:space="preserve">he impact assessment </w:t>
      </w:r>
      <w:r w:rsidR="00417B2A" w:rsidRPr="00244D65">
        <w:rPr>
          <w:noProof/>
          <w:lang w:eastAsia="en-GB"/>
        </w:rPr>
        <w:t xml:space="preserve">further </w:t>
      </w:r>
      <w:r w:rsidR="00D62C92" w:rsidRPr="00244D65">
        <w:rPr>
          <w:noProof/>
        </w:rPr>
        <w:t xml:space="preserve">examines design </w:t>
      </w:r>
      <w:r w:rsidR="00331AAD" w:rsidRPr="00244D65">
        <w:rPr>
          <w:noProof/>
        </w:rPr>
        <w:t xml:space="preserve">options </w:t>
      </w:r>
      <w:r w:rsidR="005853C7" w:rsidRPr="00244D65">
        <w:rPr>
          <w:noProof/>
        </w:rPr>
        <w:t>to ensure coherence</w:t>
      </w:r>
      <w:r w:rsidR="00331AAD" w:rsidRPr="00244D65">
        <w:rPr>
          <w:noProof/>
        </w:rPr>
        <w:t xml:space="preserve"> </w:t>
      </w:r>
      <w:r w:rsidR="00D62C92" w:rsidRPr="00244D65">
        <w:rPr>
          <w:noProof/>
        </w:rPr>
        <w:t xml:space="preserve">between the EU ETS and </w:t>
      </w:r>
      <w:r w:rsidR="004051BB" w:rsidRPr="00244D65">
        <w:rPr>
          <w:noProof/>
        </w:rPr>
        <w:t xml:space="preserve">any global measure </w:t>
      </w:r>
      <w:r w:rsidR="003254F9" w:rsidRPr="00244D65">
        <w:rPr>
          <w:noProof/>
        </w:rPr>
        <w:t>at</w:t>
      </w:r>
      <w:r w:rsidR="004051BB" w:rsidRPr="00244D65">
        <w:rPr>
          <w:noProof/>
        </w:rPr>
        <w:t xml:space="preserve"> </w:t>
      </w:r>
      <w:r w:rsidR="00174AF2" w:rsidRPr="00244D65">
        <w:rPr>
          <w:noProof/>
        </w:rPr>
        <w:t xml:space="preserve">the </w:t>
      </w:r>
      <w:r w:rsidR="004051BB" w:rsidRPr="00244D65">
        <w:rPr>
          <w:noProof/>
        </w:rPr>
        <w:t>I</w:t>
      </w:r>
      <w:r w:rsidR="00174AF2" w:rsidRPr="00244D65">
        <w:rPr>
          <w:noProof/>
        </w:rPr>
        <w:t>nternati</w:t>
      </w:r>
      <w:r w:rsidR="00834692" w:rsidRPr="00244D65">
        <w:rPr>
          <w:noProof/>
        </w:rPr>
        <w:t>o</w:t>
      </w:r>
      <w:r w:rsidR="00174AF2" w:rsidRPr="00244D65">
        <w:rPr>
          <w:noProof/>
        </w:rPr>
        <w:t xml:space="preserve">nal </w:t>
      </w:r>
      <w:r w:rsidR="004051BB" w:rsidRPr="00244D65">
        <w:rPr>
          <w:noProof/>
        </w:rPr>
        <w:t>M</w:t>
      </w:r>
      <w:r w:rsidR="00174AF2" w:rsidRPr="00244D65">
        <w:rPr>
          <w:noProof/>
        </w:rPr>
        <w:t xml:space="preserve">aritime </w:t>
      </w:r>
      <w:r w:rsidR="004051BB" w:rsidRPr="00244D65">
        <w:rPr>
          <w:noProof/>
        </w:rPr>
        <w:t>O</w:t>
      </w:r>
      <w:r w:rsidR="00174AF2" w:rsidRPr="00244D65">
        <w:rPr>
          <w:noProof/>
        </w:rPr>
        <w:t>rganization (</w:t>
      </w:r>
      <w:r w:rsidR="004051BB" w:rsidRPr="00244D65">
        <w:rPr>
          <w:noProof/>
        </w:rPr>
        <w:t>IMO</w:t>
      </w:r>
      <w:r w:rsidR="00174AF2" w:rsidRPr="00244D65">
        <w:rPr>
          <w:noProof/>
        </w:rPr>
        <w:t>)</w:t>
      </w:r>
      <w:r w:rsidR="004051BB" w:rsidRPr="00244D65">
        <w:rPr>
          <w:noProof/>
        </w:rPr>
        <w:t xml:space="preserve"> implementing the 2023 IMO </w:t>
      </w:r>
      <w:r w:rsidR="00F66A3A" w:rsidRPr="00244D65">
        <w:rPr>
          <w:noProof/>
        </w:rPr>
        <w:t xml:space="preserve">GHG </w:t>
      </w:r>
      <w:r w:rsidR="004051BB" w:rsidRPr="00244D65">
        <w:rPr>
          <w:noProof/>
        </w:rPr>
        <w:t>Strategy</w:t>
      </w:r>
      <w:r w:rsidR="00417B2A" w:rsidRPr="00244D65">
        <w:rPr>
          <w:noProof/>
        </w:rPr>
        <w:t>,</w:t>
      </w:r>
      <w:r w:rsidR="00B45DA0" w:rsidRPr="00244D65">
        <w:rPr>
          <w:noProof/>
        </w:rPr>
        <w:t xml:space="preserve"> </w:t>
      </w:r>
      <w:r w:rsidR="001611C5" w:rsidRPr="00244D65">
        <w:rPr>
          <w:noProof/>
        </w:rPr>
        <w:t xml:space="preserve">notably </w:t>
      </w:r>
      <w:bookmarkStart w:id="34" w:name="_Int_PkeNhEO5"/>
      <w:r w:rsidR="00B66A57" w:rsidRPr="00244D65">
        <w:rPr>
          <w:noProof/>
        </w:rPr>
        <w:t>in order to</w:t>
      </w:r>
      <w:bookmarkEnd w:id="34"/>
      <w:r w:rsidR="00B66A57" w:rsidRPr="00244D65">
        <w:rPr>
          <w:noProof/>
        </w:rPr>
        <w:t xml:space="preserve"> avoid double payment</w:t>
      </w:r>
      <w:r w:rsidR="00B45DA0" w:rsidRPr="00244D65">
        <w:rPr>
          <w:noProof/>
        </w:rPr>
        <w:t xml:space="preserve"> </w:t>
      </w:r>
      <w:r w:rsidR="005C76A4" w:rsidRPr="00244D65">
        <w:rPr>
          <w:noProof/>
        </w:rPr>
        <w:t>of the same emissions</w:t>
      </w:r>
      <w:r w:rsidR="00F17005" w:rsidRPr="00244D65">
        <w:rPr>
          <w:noProof/>
        </w:rPr>
        <w:t>. I</w:t>
      </w:r>
      <w:r w:rsidR="00CF6DDB" w:rsidRPr="00244D65">
        <w:rPr>
          <w:noProof/>
          <w:lang w:eastAsia="en-GB"/>
        </w:rPr>
        <w:t>t</w:t>
      </w:r>
      <w:r w:rsidR="000719BD" w:rsidRPr="00244D65">
        <w:rPr>
          <w:noProof/>
          <w:lang w:eastAsia="en-GB"/>
        </w:rPr>
        <w:t xml:space="preserve"> </w:t>
      </w:r>
      <w:r w:rsidR="00F17005" w:rsidRPr="00244D65">
        <w:rPr>
          <w:noProof/>
          <w:lang w:eastAsia="en-GB"/>
        </w:rPr>
        <w:t>also</w:t>
      </w:r>
      <w:r w:rsidR="000719BD" w:rsidRPr="00244D65">
        <w:rPr>
          <w:noProof/>
          <w:lang w:eastAsia="en-GB"/>
        </w:rPr>
        <w:t xml:space="preserve"> </w:t>
      </w:r>
      <w:r w:rsidR="00CF6DDB" w:rsidRPr="00244D65">
        <w:rPr>
          <w:noProof/>
          <w:lang w:eastAsia="en-GB"/>
        </w:rPr>
        <w:t xml:space="preserve">examines the feasibility and </w:t>
      </w:r>
      <w:bookmarkStart w:id="35" w:name="_Int_564qSS88"/>
      <w:r w:rsidR="00CF6DDB" w:rsidRPr="00244D65">
        <w:rPr>
          <w:noProof/>
          <w:lang w:eastAsia="en-GB"/>
        </w:rPr>
        <w:t>possible impacts</w:t>
      </w:r>
      <w:bookmarkEnd w:id="35"/>
      <w:r w:rsidR="00CF6DDB" w:rsidRPr="00244D65">
        <w:rPr>
          <w:noProof/>
          <w:lang w:eastAsia="en-GB"/>
        </w:rPr>
        <w:t xml:space="preserve"> of including emissions from small ships (i.e. below 5 000 gross </w:t>
      </w:r>
      <w:bookmarkStart w:id="36" w:name="_Int_R1U4v0dW"/>
      <w:r w:rsidR="00CF6DDB" w:rsidRPr="00244D65">
        <w:rPr>
          <w:noProof/>
          <w:lang w:eastAsia="en-GB"/>
        </w:rPr>
        <w:t>tonnage</w:t>
      </w:r>
      <w:bookmarkEnd w:id="36"/>
      <w:r w:rsidR="00CF6DDB" w:rsidRPr="00244D65">
        <w:rPr>
          <w:noProof/>
          <w:lang w:eastAsia="en-GB"/>
        </w:rPr>
        <w:t xml:space="preserve"> but not below 400 gross tonnage).</w:t>
      </w:r>
    </w:p>
    <w:p w14:paraId="0A2364CB" w14:textId="59C9E586" w:rsidR="000719BD" w:rsidRPr="00244D65" w:rsidRDefault="00C93421" w:rsidP="0085595C">
      <w:pPr>
        <w:pStyle w:val="ListParagraph"/>
        <w:numPr>
          <w:ilvl w:val="0"/>
          <w:numId w:val="6"/>
        </w:numPr>
        <w:ind w:left="714" w:hanging="357"/>
        <w:contextualSpacing w:val="0"/>
        <w:rPr>
          <w:rFonts w:eastAsia="Arial"/>
          <w:noProof/>
        </w:rPr>
      </w:pPr>
      <w:bookmarkStart w:id="37" w:name="_Toc211962808"/>
      <w:r w:rsidRPr="00244D65">
        <w:rPr>
          <w:b/>
          <w:bCs/>
          <w:noProof/>
          <w:lang w:eastAsia="en-GB"/>
        </w:rPr>
        <w:t>Risk of c</w:t>
      </w:r>
      <w:r w:rsidR="000719BD" w:rsidRPr="00244D65">
        <w:rPr>
          <w:b/>
          <w:bCs/>
          <w:noProof/>
          <w:lang w:eastAsia="en-GB"/>
        </w:rPr>
        <w:t>arbon leakage:</w:t>
      </w:r>
      <w:r w:rsidR="000719BD" w:rsidRPr="00244D65">
        <w:rPr>
          <w:noProof/>
          <w:lang w:eastAsia="en-GB"/>
        </w:rPr>
        <w:t xml:space="preserve"> this involves the assessment of measures that aim to protect industrial installations exposed to a risk of transfer of production or investments to other countries with laxer emission constraints as a result of having to pay for their greenhouse gas emissions (directly or indirectly), while ensuring </w:t>
      </w:r>
      <w:r w:rsidR="006D4956" w:rsidRPr="00244D65">
        <w:rPr>
          <w:noProof/>
          <w:lang w:eastAsia="en-GB"/>
        </w:rPr>
        <w:t>the necessary incentives for emissions reductions</w:t>
      </w:r>
      <w:r w:rsidR="000719BD" w:rsidRPr="00244D65">
        <w:rPr>
          <w:noProof/>
          <w:lang w:eastAsia="en-GB"/>
        </w:rPr>
        <w:t xml:space="preserve">. </w:t>
      </w:r>
      <w:r w:rsidR="00614903" w:rsidRPr="00244D65">
        <w:rPr>
          <w:noProof/>
        </w:rPr>
        <w:t xml:space="preserve">Carbon leakage can occur due to the cost of both direct emissions (ETS costs paid by installations) and indirect emissions (carbon costs in the power sector that are passed onto electro-intensive industries). </w:t>
      </w:r>
      <w:r w:rsidR="005603CC" w:rsidRPr="00244D65">
        <w:rPr>
          <w:noProof/>
        </w:rPr>
        <w:t>T</w:t>
      </w:r>
      <w:r w:rsidR="000719BD" w:rsidRPr="00244D65">
        <w:rPr>
          <w:noProof/>
        </w:rPr>
        <w:t xml:space="preserve">he impact assessment will consider </w:t>
      </w:r>
      <w:r w:rsidR="00F96D5A" w:rsidRPr="00244D65">
        <w:rPr>
          <w:noProof/>
        </w:rPr>
        <w:t xml:space="preserve">primarily </w:t>
      </w:r>
      <w:r w:rsidR="000719BD" w:rsidRPr="00244D65">
        <w:rPr>
          <w:noProof/>
        </w:rPr>
        <w:t xml:space="preserve">carbon leakage protection options for emissions not covered </w:t>
      </w:r>
      <w:r w:rsidR="00CE2E0E" w:rsidRPr="00244D65">
        <w:rPr>
          <w:noProof/>
        </w:rPr>
        <w:t xml:space="preserve">by </w:t>
      </w:r>
      <w:r w:rsidR="000719BD" w:rsidRPr="00244D65">
        <w:rPr>
          <w:noProof/>
        </w:rPr>
        <w:t>CBAM</w:t>
      </w:r>
      <w:r w:rsidR="00600CC8" w:rsidRPr="00244D65">
        <w:rPr>
          <w:noProof/>
        </w:rPr>
        <w:t xml:space="preserve">. </w:t>
      </w:r>
      <w:r w:rsidR="00081256" w:rsidRPr="00244D65">
        <w:rPr>
          <w:noProof/>
        </w:rPr>
        <w:t>For CBAM sectors</w:t>
      </w:r>
      <w:r w:rsidR="000C653C" w:rsidRPr="00244D65">
        <w:rPr>
          <w:noProof/>
        </w:rPr>
        <w:t xml:space="preserve"> </w:t>
      </w:r>
      <w:r w:rsidR="000719BD" w:rsidRPr="00244D65">
        <w:rPr>
          <w:noProof/>
          <w:lang w:eastAsia="en-GB"/>
        </w:rPr>
        <w:t xml:space="preserve">CBAM’s full </w:t>
      </w:r>
      <w:r w:rsidR="006A0C14" w:rsidRPr="00244D65">
        <w:rPr>
          <w:noProof/>
          <w:lang w:eastAsia="en-GB"/>
        </w:rPr>
        <w:t xml:space="preserve">but </w:t>
      </w:r>
      <w:r w:rsidR="00C21CBA" w:rsidRPr="00244D65">
        <w:rPr>
          <w:noProof/>
          <w:lang w:eastAsia="en-GB"/>
        </w:rPr>
        <w:t xml:space="preserve">gradual </w:t>
      </w:r>
      <w:r w:rsidR="000719BD" w:rsidRPr="00244D65">
        <w:rPr>
          <w:noProof/>
          <w:lang w:eastAsia="en-GB"/>
        </w:rPr>
        <w:t xml:space="preserve">implementation </w:t>
      </w:r>
      <w:r w:rsidR="006A0C14" w:rsidRPr="00244D65">
        <w:rPr>
          <w:noProof/>
          <w:lang w:eastAsia="en-GB"/>
        </w:rPr>
        <w:t xml:space="preserve">from 2026 </w:t>
      </w:r>
      <w:r w:rsidR="000719BD" w:rsidRPr="00244D65">
        <w:rPr>
          <w:noProof/>
          <w:lang w:eastAsia="en-GB"/>
        </w:rPr>
        <w:t>and the</w:t>
      </w:r>
      <w:r w:rsidR="007521B3" w:rsidRPr="00244D65">
        <w:rPr>
          <w:noProof/>
          <w:lang w:eastAsia="en-GB"/>
        </w:rPr>
        <w:t xml:space="preserve"> </w:t>
      </w:r>
      <w:r w:rsidR="006305A6" w:rsidRPr="00244D65">
        <w:rPr>
          <w:noProof/>
          <w:lang w:eastAsia="en-GB"/>
        </w:rPr>
        <w:t xml:space="preserve">corresponding </w:t>
      </w:r>
      <w:r w:rsidR="007521B3" w:rsidRPr="00244D65">
        <w:rPr>
          <w:noProof/>
          <w:lang w:eastAsia="en-GB"/>
        </w:rPr>
        <w:t>gradual</w:t>
      </w:r>
      <w:r w:rsidR="000719BD" w:rsidRPr="00244D65">
        <w:rPr>
          <w:noProof/>
          <w:lang w:eastAsia="en-GB"/>
        </w:rPr>
        <w:t xml:space="preserve"> phase-out of free allocation to </w:t>
      </w:r>
      <w:r w:rsidR="0072067F" w:rsidRPr="00244D65">
        <w:rPr>
          <w:noProof/>
          <w:lang w:eastAsia="en-GB"/>
        </w:rPr>
        <w:t>CBAM</w:t>
      </w:r>
      <w:r w:rsidR="000719BD" w:rsidRPr="00244D65">
        <w:rPr>
          <w:noProof/>
          <w:lang w:eastAsia="en-GB"/>
        </w:rPr>
        <w:t xml:space="preserve"> sectors </w:t>
      </w:r>
      <w:r w:rsidR="005C6A03" w:rsidRPr="00244D65">
        <w:rPr>
          <w:noProof/>
          <w:lang w:eastAsia="en-GB"/>
        </w:rPr>
        <w:t xml:space="preserve">provide for </w:t>
      </w:r>
      <w:r w:rsidR="006305A6" w:rsidRPr="00244D65">
        <w:rPr>
          <w:noProof/>
          <w:lang w:eastAsia="en-GB"/>
        </w:rPr>
        <w:t>a</w:t>
      </w:r>
      <w:r w:rsidR="007E65E9" w:rsidRPr="00244D65">
        <w:rPr>
          <w:noProof/>
          <w:lang w:eastAsia="en-GB"/>
        </w:rPr>
        <w:t xml:space="preserve"> </w:t>
      </w:r>
      <w:r w:rsidR="006305A6" w:rsidRPr="00244D65">
        <w:rPr>
          <w:noProof/>
          <w:lang w:eastAsia="en-GB"/>
        </w:rPr>
        <w:t>change of mechanism to address carbon leakage risks</w:t>
      </w:r>
      <w:r w:rsidR="000719BD" w:rsidRPr="00244D65">
        <w:rPr>
          <w:noProof/>
          <w:lang w:eastAsia="en-GB"/>
        </w:rPr>
        <w:t>.</w:t>
      </w:r>
      <w:bookmarkEnd w:id="37"/>
      <w:r w:rsidR="0029789A" w:rsidRPr="00244D65">
        <w:rPr>
          <w:noProof/>
        </w:rPr>
        <w:t xml:space="preserve"> </w:t>
      </w:r>
      <w:r w:rsidR="005603CC" w:rsidRPr="00244D65">
        <w:rPr>
          <w:noProof/>
        </w:rPr>
        <w:t xml:space="preserve">Nevertheless, this assessment will also consider the impacts of a </w:t>
      </w:r>
      <w:r w:rsidR="2377CCE5" w:rsidRPr="00244D65">
        <w:rPr>
          <w:noProof/>
        </w:rPr>
        <w:t>slowdown</w:t>
      </w:r>
      <w:r w:rsidR="005603CC" w:rsidRPr="00244D65">
        <w:rPr>
          <w:noProof/>
        </w:rPr>
        <w:t xml:space="preserve"> of the phase-out of free allocation for CBAM sectors</w:t>
      </w:r>
      <w:r w:rsidR="004551A7" w:rsidRPr="00244D65">
        <w:rPr>
          <w:noProof/>
        </w:rPr>
        <w:t>,</w:t>
      </w:r>
      <w:r w:rsidR="005603CC" w:rsidRPr="00244D65">
        <w:rPr>
          <w:noProof/>
        </w:rPr>
        <w:t xml:space="preserve"> addressing residual risks of carbon leakage. </w:t>
      </w:r>
      <w:r w:rsidR="00600E74" w:rsidRPr="00244D65">
        <w:rPr>
          <w:noProof/>
        </w:rPr>
        <w:t xml:space="preserve">For indirect emissions, the impact assessment will consider </w:t>
      </w:r>
      <w:r w:rsidR="006119B5" w:rsidRPr="00244D65">
        <w:rPr>
          <w:noProof/>
        </w:rPr>
        <w:t>how t</w:t>
      </w:r>
      <w:r w:rsidR="00AE27E4" w:rsidRPr="00244D65">
        <w:rPr>
          <w:noProof/>
        </w:rPr>
        <w:t>o</w:t>
      </w:r>
      <w:r w:rsidR="006A0519" w:rsidRPr="00244D65">
        <w:rPr>
          <w:noProof/>
        </w:rPr>
        <w:t xml:space="preserve"> address carbon leakage </w:t>
      </w:r>
      <w:r w:rsidR="00AE27E4" w:rsidRPr="00244D65">
        <w:rPr>
          <w:noProof/>
        </w:rPr>
        <w:t xml:space="preserve">risk </w:t>
      </w:r>
      <w:r w:rsidR="005E09E0" w:rsidRPr="00244D65">
        <w:rPr>
          <w:noProof/>
        </w:rPr>
        <w:t>post-2030</w:t>
      </w:r>
      <w:r w:rsidR="00F11690" w:rsidRPr="00244D65">
        <w:rPr>
          <w:noProof/>
        </w:rPr>
        <w:t xml:space="preserve">, </w:t>
      </w:r>
      <w:bookmarkStart w:id="38" w:name="_Int_ZNXB2vqv"/>
      <w:r w:rsidR="00F11690" w:rsidRPr="00244D65">
        <w:rPr>
          <w:noProof/>
        </w:rPr>
        <w:t>in particular whether</w:t>
      </w:r>
      <w:bookmarkEnd w:id="38"/>
      <w:r w:rsidR="00F11690" w:rsidRPr="00244D65">
        <w:rPr>
          <w:noProof/>
        </w:rPr>
        <w:t xml:space="preserve"> to continue</w:t>
      </w:r>
      <w:r w:rsidR="0064407D" w:rsidRPr="00244D65">
        <w:rPr>
          <w:noProof/>
        </w:rPr>
        <w:t xml:space="preserve"> to encourage</w:t>
      </w:r>
      <w:r w:rsidR="00F11690" w:rsidRPr="00244D65">
        <w:rPr>
          <w:noProof/>
        </w:rPr>
        <w:t xml:space="preserve"> </w:t>
      </w:r>
      <w:r w:rsidR="0064407D" w:rsidRPr="00244D65">
        <w:rPr>
          <w:noProof/>
        </w:rPr>
        <w:t xml:space="preserve">Member States to provide indirect </w:t>
      </w:r>
      <w:r w:rsidR="00F76297" w:rsidRPr="00244D65">
        <w:rPr>
          <w:noProof/>
        </w:rPr>
        <w:t>carbon cost compensation (ICC)</w:t>
      </w:r>
      <w:r w:rsidR="005E09E0" w:rsidRPr="00244D65">
        <w:rPr>
          <w:noProof/>
        </w:rPr>
        <w:t xml:space="preserve"> </w:t>
      </w:r>
      <w:r w:rsidR="00AE27E4" w:rsidRPr="00244D65">
        <w:rPr>
          <w:noProof/>
        </w:rPr>
        <w:t xml:space="preserve">through </w:t>
      </w:r>
      <w:r w:rsidR="00F76297" w:rsidRPr="00244D65">
        <w:rPr>
          <w:noProof/>
        </w:rPr>
        <w:t>State aid,</w:t>
      </w:r>
      <w:r w:rsidR="007A6E6E" w:rsidRPr="00244D65">
        <w:rPr>
          <w:noProof/>
        </w:rPr>
        <w:t xml:space="preserve"> and/or </w:t>
      </w:r>
      <w:r w:rsidR="000218A7" w:rsidRPr="00244D65">
        <w:rPr>
          <w:noProof/>
        </w:rPr>
        <w:t xml:space="preserve">whether to </w:t>
      </w:r>
      <w:r w:rsidR="007A7E96" w:rsidRPr="00244D65">
        <w:rPr>
          <w:noProof/>
        </w:rPr>
        <w:t>harmonis</w:t>
      </w:r>
      <w:r w:rsidR="000218A7" w:rsidRPr="00244D65">
        <w:rPr>
          <w:noProof/>
        </w:rPr>
        <w:t>e</w:t>
      </w:r>
      <w:r w:rsidR="007A7E96" w:rsidRPr="00244D65">
        <w:rPr>
          <w:noProof/>
        </w:rPr>
        <w:t xml:space="preserve"> the provision of compensation through an EU instrument.</w:t>
      </w:r>
      <w:r w:rsidR="007A6E6E" w:rsidRPr="00244D65">
        <w:rPr>
          <w:noProof/>
        </w:rPr>
        <w:t xml:space="preserve"> </w:t>
      </w:r>
    </w:p>
    <w:p w14:paraId="04FC6626" w14:textId="684511BA" w:rsidR="0016280B" w:rsidRPr="00244D65" w:rsidRDefault="0016280B" w:rsidP="0085595C">
      <w:pPr>
        <w:pStyle w:val="ListParagraph"/>
        <w:numPr>
          <w:ilvl w:val="0"/>
          <w:numId w:val="6"/>
        </w:numPr>
        <w:ind w:left="714" w:hanging="357"/>
        <w:contextualSpacing w:val="0"/>
        <w:rPr>
          <w:noProof/>
          <w:lang w:eastAsia="en-GB"/>
        </w:rPr>
      </w:pPr>
      <w:bookmarkStart w:id="39" w:name="_Toc211962809"/>
      <w:r w:rsidRPr="00244D65">
        <w:rPr>
          <w:b/>
          <w:noProof/>
          <w:lang w:eastAsia="en-GB"/>
        </w:rPr>
        <w:t xml:space="preserve">Thermal input thresholds: </w:t>
      </w:r>
      <w:r w:rsidRPr="00244D65">
        <w:rPr>
          <w:noProof/>
          <w:lang w:eastAsia="en-GB"/>
        </w:rPr>
        <w:t>this examines the feasibility of lowering the 20 MW total rated thermal input thresholds for the activities listed in Annex I from 2031</w:t>
      </w:r>
      <w:r w:rsidR="00BD5116" w:rsidRPr="00244D65">
        <w:rPr>
          <w:noProof/>
          <w:lang w:eastAsia="en-GB"/>
        </w:rPr>
        <w:t xml:space="preserve"> </w:t>
      </w:r>
      <w:r w:rsidR="00F81C01" w:rsidRPr="00244D65">
        <w:rPr>
          <w:noProof/>
          <w:lang w:eastAsia="en-GB"/>
        </w:rPr>
        <w:t>onwards</w:t>
      </w:r>
      <w:r w:rsidRPr="00244D65">
        <w:rPr>
          <w:noProof/>
          <w:lang w:eastAsia="en-GB"/>
        </w:rPr>
        <w:t xml:space="preserve"> (minimum threshold for inclusion in the ETS for several activities), considering ETS2.</w:t>
      </w:r>
      <w:bookmarkEnd w:id="39"/>
    </w:p>
    <w:p w14:paraId="151F0A8D" w14:textId="096AB199" w:rsidR="000719BD" w:rsidRPr="00244D65" w:rsidRDefault="000719BD" w:rsidP="0085595C">
      <w:pPr>
        <w:pStyle w:val="ListParagraph"/>
        <w:numPr>
          <w:ilvl w:val="0"/>
          <w:numId w:val="6"/>
        </w:numPr>
        <w:ind w:left="714" w:hanging="357"/>
        <w:contextualSpacing w:val="0"/>
        <w:rPr>
          <w:rFonts w:eastAsia="Arial"/>
          <w:b/>
          <w:noProof/>
          <w:lang w:eastAsia="en-GB"/>
        </w:rPr>
      </w:pPr>
      <w:r w:rsidRPr="00244D65">
        <w:rPr>
          <w:b/>
          <w:noProof/>
          <w:lang w:eastAsia="en-GB"/>
        </w:rPr>
        <w:t>Municipal waste incineration:</w:t>
      </w:r>
      <w:r w:rsidRPr="00244D65">
        <w:rPr>
          <w:noProof/>
          <w:lang w:eastAsia="en-GB"/>
        </w:rPr>
        <w:t xml:space="preserve"> this considers the feasibility of including emissions from municipal waste incineration in the EU ETS from 2028 (with possible opt-out</w:t>
      </w:r>
      <w:r w:rsidR="004C3ADF" w:rsidRPr="00244D65">
        <w:rPr>
          <w:noProof/>
          <w:lang w:eastAsia="en-GB"/>
        </w:rPr>
        <w:t>s</w:t>
      </w:r>
      <w:r w:rsidRPr="00244D65">
        <w:rPr>
          <w:noProof/>
          <w:lang w:eastAsia="en-GB"/>
        </w:rPr>
        <w:t xml:space="preserve"> until 2030). The Commission must also assess the possibility of including in the EU ETS other waste management processes, in particular landfilling, which creates </w:t>
      </w:r>
      <w:r w:rsidR="00AE0F4B" w:rsidRPr="00244D65">
        <w:rPr>
          <w:noProof/>
          <w:lang w:eastAsia="en-GB"/>
        </w:rPr>
        <w:t xml:space="preserve">significant </w:t>
      </w:r>
      <w:r w:rsidRPr="00244D65">
        <w:rPr>
          <w:noProof/>
          <w:lang w:eastAsia="en-GB"/>
        </w:rPr>
        <w:t xml:space="preserve">methane and nitrous oxide emissions. The analysis on the possible scope expansion of the EU ETS to waste management processes must </w:t>
      </w:r>
      <w:r w:rsidR="2A8895E2" w:rsidRPr="00244D65">
        <w:rPr>
          <w:noProof/>
          <w:lang w:eastAsia="en-GB"/>
        </w:rPr>
        <w:t xml:space="preserve">take into account the </w:t>
      </w:r>
      <w:r w:rsidRPr="00244D65">
        <w:rPr>
          <w:noProof/>
          <w:lang w:eastAsia="en-GB"/>
        </w:rPr>
        <w:t>alignment with the waste hierarchy.</w:t>
      </w:r>
    </w:p>
    <w:p w14:paraId="62E484A2" w14:textId="5D2BEAD6" w:rsidR="000719BD" w:rsidRPr="00244D65" w:rsidRDefault="000719BD" w:rsidP="0085595C">
      <w:pPr>
        <w:pStyle w:val="ListParagraph"/>
        <w:numPr>
          <w:ilvl w:val="0"/>
          <w:numId w:val="6"/>
        </w:numPr>
        <w:ind w:left="714" w:hanging="357"/>
        <w:contextualSpacing w:val="0"/>
        <w:rPr>
          <w:noProof/>
          <w:lang w:eastAsia="en-GB"/>
        </w:rPr>
      </w:pPr>
      <w:r w:rsidRPr="00244D65">
        <w:rPr>
          <w:b/>
          <w:noProof/>
          <w:lang w:eastAsia="en-GB"/>
        </w:rPr>
        <w:t>Non-permanent carbon capture and use</w:t>
      </w:r>
      <w:r w:rsidR="00D72EA5" w:rsidRPr="00244D65">
        <w:rPr>
          <w:noProof/>
        </w:rPr>
        <w:t xml:space="preserve"> (CCU)</w:t>
      </w:r>
      <w:r w:rsidRPr="00244D65">
        <w:rPr>
          <w:b/>
          <w:noProof/>
          <w:lang w:eastAsia="en-GB"/>
        </w:rPr>
        <w:t>:</w:t>
      </w:r>
      <w:r w:rsidRPr="00244D65">
        <w:rPr>
          <w:noProof/>
          <w:lang w:eastAsia="en-GB"/>
        </w:rPr>
        <w:t xml:space="preserve"> the impact assessment examines whether</w:t>
      </w:r>
      <w:r w:rsidR="00B95C3B" w:rsidRPr="00244D65">
        <w:rPr>
          <w:noProof/>
          <w:lang w:eastAsia="en-GB"/>
        </w:rPr>
        <w:t>, in view of providing incentives for emission reductions,</w:t>
      </w:r>
      <w:r w:rsidRPr="00244D65">
        <w:rPr>
          <w:noProof/>
          <w:lang w:eastAsia="en-GB"/>
        </w:rPr>
        <w:t xml:space="preserve"> all GHG emissions covered by the </w:t>
      </w:r>
      <w:r w:rsidR="00060CCA" w:rsidRPr="00244D65">
        <w:rPr>
          <w:noProof/>
          <w:lang w:eastAsia="en-GB"/>
        </w:rPr>
        <w:t>ETS</w:t>
      </w:r>
      <w:r w:rsidRPr="00244D65">
        <w:rPr>
          <w:noProof/>
          <w:lang w:eastAsia="en-GB"/>
        </w:rPr>
        <w:t xml:space="preserve"> are effectively accounted for and whether double counting is avoided, in particular regarding emissions considered to have been captured and utilised in a product that does not permanently chemically bind CO</w:t>
      </w:r>
      <w:r w:rsidRPr="00244D65">
        <w:rPr>
          <w:noProof/>
          <w:vertAlign w:val="subscript"/>
          <w:lang w:eastAsia="en-GB"/>
        </w:rPr>
        <w:t>2</w:t>
      </w:r>
      <w:r w:rsidRPr="00244D65">
        <w:rPr>
          <w:noProof/>
          <w:lang w:eastAsia="en-GB"/>
        </w:rPr>
        <w:t>.</w:t>
      </w:r>
    </w:p>
    <w:p w14:paraId="605AAAE2" w14:textId="16D09195" w:rsidR="000719BD" w:rsidRPr="00244D65" w:rsidRDefault="000719BD" w:rsidP="0085595C">
      <w:pPr>
        <w:pStyle w:val="ListParagraph"/>
        <w:numPr>
          <w:ilvl w:val="0"/>
          <w:numId w:val="6"/>
        </w:numPr>
        <w:ind w:left="714" w:hanging="357"/>
        <w:contextualSpacing w:val="0"/>
        <w:rPr>
          <w:rFonts w:eastAsia="Arial"/>
          <w:noProof/>
        </w:rPr>
      </w:pPr>
      <w:bookmarkStart w:id="40" w:name="_Toc211962810"/>
      <w:r w:rsidRPr="00244D65">
        <w:rPr>
          <w:b/>
          <w:noProof/>
          <w:lang w:eastAsia="en-GB"/>
        </w:rPr>
        <w:t>Linking with other carbon markets</w:t>
      </w:r>
      <w:r w:rsidRPr="00244D65">
        <w:rPr>
          <w:noProof/>
          <w:lang w:eastAsia="en-GB"/>
        </w:rPr>
        <w:t>: a standalone annex considers how effective links can be established between the revised EU ETS and other carbon market to realise the benefits of a reduced cost of emission abatement, an increased market liquidity, an effective mitigation of the risk of carbon leakage</w:t>
      </w:r>
      <w:r w:rsidR="00C01381" w:rsidRPr="00244D65">
        <w:rPr>
          <w:noProof/>
          <w:lang w:eastAsia="en-GB"/>
        </w:rPr>
        <w:t>,</w:t>
      </w:r>
      <w:r w:rsidRPr="00244D65">
        <w:rPr>
          <w:noProof/>
          <w:lang w:eastAsia="en-GB"/>
        </w:rPr>
        <w:t xml:space="preserve"> without impeding achievement of the climate-neutrality objective and EU climate targets.</w:t>
      </w:r>
      <w:bookmarkEnd w:id="40"/>
    </w:p>
    <w:p w14:paraId="2EC522F2" w14:textId="0D52318F" w:rsidR="006B087E" w:rsidRPr="00244D65" w:rsidRDefault="000719BD" w:rsidP="0085595C">
      <w:pPr>
        <w:rPr>
          <w:noProof/>
          <w:lang w:eastAsia="en-GB"/>
        </w:rPr>
      </w:pPr>
      <w:bookmarkStart w:id="41" w:name="_Toc211962812"/>
      <w:r w:rsidRPr="00244D65">
        <w:rPr>
          <w:noProof/>
          <w:lang w:eastAsia="en-GB"/>
        </w:rPr>
        <w:t>Overall,</w:t>
      </w:r>
      <w:r w:rsidRPr="00244D65">
        <w:rPr>
          <w:b/>
          <w:noProof/>
          <w:lang w:eastAsia="en-GB"/>
        </w:rPr>
        <w:t xml:space="preserve"> </w:t>
      </w:r>
      <w:r w:rsidRPr="00244D65">
        <w:rPr>
          <w:noProof/>
          <w:lang w:eastAsia="en-GB"/>
        </w:rPr>
        <w:t xml:space="preserve">the </w:t>
      </w:r>
      <w:r w:rsidR="006B48BF" w:rsidRPr="00244D65">
        <w:rPr>
          <w:noProof/>
          <w:lang w:eastAsia="en-GB"/>
        </w:rPr>
        <w:t>impact assessment</w:t>
      </w:r>
      <w:r w:rsidRPr="00244D65">
        <w:rPr>
          <w:noProof/>
          <w:lang w:eastAsia="en-GB"/>
        </w:rPr>
        <w:t xml:space="preserve"> assess</w:t>
      </w:r>
      <w:r w:rsidR="006B48BF" w:rsidRPr="00244D65">
        <w:rPr>
          <w:noProof/>
          <w:lang w:eastAsia="en-GB"/>
        </w:rPr>
        <w:t>es the</w:t>
      </w:r>
      <w:r w:rsidRPr="00244D65">
        <w:rPr>
          <w:noProof/>
          <w:lang w:eastAsia="en-GB"/>
        </w:rPr>
        <w:t xml:space="preserve"> consistency with other EU legislative acts and possible simplification options, including evaluation of the administrative costs linked to ETS implementation and the risk of additional burden resulting from monitoring and reporting obligations</w:t>
      </w:r>
      <w:bookmarkEnd w:id="41"/>
      <w:r w:rsidR="002A6343" w:rsidRPr="00244D65">
        <w:rPr>
          <w:noProof/>
          <w:lang w:eastAsia="en-GB"/>
        </w:rPr>
        <w:t>.</w:t>
      </w:r>
      <w:r w:rsidR="0060203E" w:rsidRPr="00244D65">
        <w:rPr>
          <w:noProof/>
          <w:lang w:eastAsia="en-GB"/>
        </w:rPr>
        <w:t xml:space="preserve"> Impacts o</w:t>
      </w:r>
      <w:r w:rsidR="00366EA7" w:rsidRPr="00244D65">
        <w:rPr>
          <w:noProof/>
          <w:lang w:eastAsia="en-GB"/>
        </w:rPr>
        <w:t>n</w:t>
      </w:r>
      <w:r w:rsidR="0060203E" w:rsidRPr="00244D65">
        <w:rPr>
          <w:noProof/>
          <w:lang w:eastAsia="en-GB"/>
        </w:rPr>
        <w:t xml:space="preserve"> third countries are </w:t>
      </w:r>
      <w:r w:rsidR="007B5207" w:rsidRPr="00244D65">
        <w:rPr>
          <w:noProof/>
          <w:lang w:eastAsia="en-GB"/>
        </w:rPr>
        <w:t>catered for</w:t>
      </w:r>
      <w:r w:rsidR="005A5033" w:rsidRPr="00244D65">
        <w:rPr>
          <w:noProof/>
          <w:lang w:eastAsia="en-GB"/>
        </w:rPr>
        <w:t xml:space="preserve"> in current policies, such as the </w:t>
      </w:r>
      <w:r w:rsidR="0013609D" w:rsidRPr="00244D65">
        <w:rPr>
          <w:noProof/>
          <w:lang w:eastAsia="en-GB"/>
        </w:rPr>
        <w:t>CBAM application based on effective EU ETS price</w:t>
      </w:r>
      <w:r w:rsidR="000C506D" w:rsidRPr="00244D65">
        <w:rPr>
          <w:noProof/>
          <w:lang w:eastAsia="en-GB"/>
        </w:rPr>
        <w:t xml:space="preserve">, or </w:t>
      </w:r>
      <w:r w:rsidR="0060203E" w:rsidRPr="00244D65">
        <w:rPr>
          <w:noProof/>
          <w:lang w:eastAsia="en-GB"/>
        </w:rPr>
        <w:t>assessed as part of separate dedicated processes</w:t>
      </w:r>
      <w:r w:rsidR="001D79D8" w:rsidRPr="00244D65">
        <w:rPr>
          <w:noProof/>
          <w:lang w:eastAsia="en-GB"/>
        </w:rPr>
        <w:t xml:space="preserve">, such as </w:t>
      </w:r>
      <w:r w:rsidR="000F4844" w:rsidRPr="00244D65">
        <w:rPr>
          <w:noProof/>
          <w:lang w:eastAsia="en-GB"/>
        </w:rPr>
        <w:t>linking or EU enlarg</w:t>
      </w:r>
      <w:r w:rsidR="00781E7A" w:rsidRPr="00244D65">
        <w:rPr>
          <w:noProof/>
          <w:lang w:eastAsia="en-GB"/>
        </w:rPr>
        <w:t>ement frameworks</w:t>
      </w:r>
      <w:r w:rsidR="0060203E" w:rsidRPr="00244D65">
        <w:rPr>
          <w:noProof/>
          <w:lang w:eastAsia="en-GB"/>
        </w:rPr>
        <w:t>.</w:t>
      </w:r>
      <w:r w:rsidR="000C653C" w:rsidRPr="00244D65">
        <w:rPr>
          <w:noProof/>
          <w:lang w:eastAsia="en-GB"/>
        </w:rPr>
        <w:t xml:space="preserve"> </w:t>
      </w:r>
      <w:r w:rsidR="0060203E" w:rsidRPr="00244D65">
        <w:rPr>
          <w:noProof/>
          <w:lang w:eastAsia="en-GB"/>
        </w:rPr>
        <w:t xml:space="preserve"> </w:t>
      </w:r>
    </w:p>
    <w:p w14:paraId="5BDA5DC0" w14:textId="77777777" w:rsidR="006B087E" w:rsidRPr="00244D65" w:rsidRDefault="006B087E" w:rsidP="0085595C">
      <w:pPr>
        <w:pStyle w:val="Heading1"/>
        <w:spacing w:before="120" w:after="120"/>
        <w:rPr>
          <w:noProof/>
        </w:rPr>
      </w:pPr>
      <w:bookmarkStart w:id="42" w:name="_Toc211962813"/>
      <w:bookmarkStart w:id="43" w:name="_Toc234949729"/>
      <w:bookmarkStart w:id="44" w:name="_Toc232752485"/>
      <w:r w:rsidRPr="00244D65">
        <w:rPr>
          <w:noProof/>
        </w:rPr>
        <w:t>Problem definition</w:t>
      </w:r>
      <w:bookmarkEnd w:id="42"/>
      <w:bookmarkEnd w:id="43"/>
      <w:bookmarkEnd w:id="44"/>
    </w:p>
    <w:p w14:paraId="634B85A9" w14:textId="45BB3A31" w:rsidR="006B087E" w:rsidRPr="00244D65" w:rsidRDefault="006B087E" w:rsidP="0085595C">
      <w:pPr>
        <w:pStyle w:val="Heading2"/>
        <w:rPr>
          <w:noProof/>
        </w:rPr>
      </w:pPr>
      <w:bookmarkStart w:id="45" w:name="_Toc211962814"/>
      <w:bookmarkStart w:id="46" w:name="_Toc234949730"/>
      <w:bookmarkStart w:id="47" w:name="_Toc232752486"/>
      <w:r w:rsidRPr="00244D65">
        <w:rPr>
          <w:noProof/>
        </w:rPr>
        <w:t>What are the problems?</w:t>
      </w:r>
      <w:bookmarkEnd w:id="45"/>
      <w:bookmarkEnd w:id="46"/>
      <w:bookmarkEnd w:id="47"/>
    </w:p>
    <w:p w14:paraId="1473E13D" w14:textId="1F42EABC" w:rsidR="00F16091" w:rsidRPr="00244D65" w:rsidRDefault="00F16091" w:rsidP="0085595C">
      <w:pPr>
        <w:rPr>
          <w:b/>
          <w:bCs/>
          <w:noProof/>
        </w:rPr>
      </w:pPr>
      <w:bookmarkStart w:id="48" w:name="_Toc185599270"/>
      <w:bookmarkStart w:id="49" w:name="_Toc211962815"/>
      <w:r w:rsidRPr="00244D65">
        <w:rPr>
          <w:b/>
          <w:bCs/>
          <w:noProof/>
        </w:rPr>
        <w:t xml:space="preserve">Problem 1: </w:t>
      </w:r>
      <w:bookmarkEnd w:id="48"/>
      <w:r w:rsidRPr="00244D65">
        <w:rPr>
          <w:b/>
          <w:bCs/>
          <w:noProof/>
        </w:rPr>
        <w:t xml:space="preserve">Risk of not contributing cost-effectively (i) to the EU emissions reduction target in line with climate neutrality and the 2040 target, and (ii) to addressing the </w:t>
      </w:r>
      <w:r w:rsidR="00F854D9" w:rsidRPr="00244D65">
        <w:rPr>
          <w:b/>
          <w:bCs/>
          <w:noProof/>
        </w:rPr>
        <w:t xml:space="preserve">EU </w:t>
      </w:r>
      <w:r w:rsidR="000034F0" w:rsidRPr="00244D65">
        <w:rPr>
          <w:b/>
          <w:bCs/>
          <w:noProof/>
        </w:rPr>
        <w:t>ETS</w:t>
      </w:r>
      <w:r w:rsidR="00936F42" w:rsidRPr="00244D65">
        <w:rPr>
          <w:b/>
          <w:bCs/>
          <w:noProof/>
        </w:rPr>
        <w:t>’s</w:t>
      </w:r>
      <w:r w:rsidRPr="00244D65">
        <w:rPr>
          <w:b/>
          <w:bCs/>
          <w:noProof/>
        </w:rPr>
        <w:t xml:space="preserve"> fair share of international emissions</w:t>
      </w:r>
      <w:bookmarkEnd w:id="49"/>
    </w:p>
    <w:p w14:paraId="257DFC32" w14:textId="72F541CE" w:rsidR="00CA1FCF" w:rsidRPr="00244D65" w:rsidRDefault="00F16091" w:rsidP="0085595C">
      <w:pPr>
        <w:rPr>
          <w:noProof/>
        </w:rPr>
      </w:pPr>
      <w:bookmarkStart w:id="50" w:name="_Toc211962816"/>
      <w:r w:rsidRPr="00244D65">
        <w:rPr>
          <w:noProof/>
        </w:rPr>
        <w:t xml:space="preserve">The overarching objective of the EU ETS is to contribute to reduce GHG emissions cost-effectively through-out the EU economy, including its fair share of international emissions, in a way that is in line with the climate neutrality objective by 2050 and the </w:t>
      </w:r>
      <w:r w:rsidR="006136ED" w:rsidRPr="00244D65">
        <w:rPr>
          <w:noProof/>
        </w:rPr>
        <w:t xml:space="preserve">intermediate 2040 </w:t>
      </w:r>
      <w:r w:rsidRPr="00244D65">
        <w:rPr>
          <w:noProof/>
        </w:rPr>
        <w:t>climate target. However,</w:t>
      </w:r>
      <w:r w:rsidR="009B05D0" w:rsidRPr="00244D65">
        <w:rPr>
          <w:noProof/>
        </w:rPr>
        <w:t xml:space="preserve"> </w:t>
      </w:r>
      <w:r w:rsidRPr="00244D65">
        <w:rPr>
          <w:noProof/>
        </w:rPr>
        <w:t xml:space="preserve">there is a risk that the </w:t>
      </w:r>
      <w:r w:rsidR="00962BF1" w:rsidRPr="00244D65">
        <w:rPr>
          <w:noProof/>
        </w:rPr>
        <w:t>EU ETS</w:t>
      </w:r>
      <w:r w:rsidRPr="00244D65">
        <w:rPr>
          <w:noProof/>
        </w:rPr>
        <w:t xml:space="preserve"> is not contributing to these emissions reductions cost-effectively </w:t>
      </w:r>
      <w:r w:rsidR="00CA1FCF" w:rsidRPr="00244D65">
        <w:rPr>
          <w:noProof/>
        </w:rPr>
        <w:t>for several reasons:</w:t>
      </w:r>
    </w:p>
    <w:p w14:paraId="102DEF38" w14:textId="77777777" w:rsidR="004F3DF9" w:rsidRPr="00244D65" w:rsidRDefault="004F3DF9" w:rsidP="0085595C">
      <w:pPr>
        <w:pStyle w:val="ListParagraph"/>
        <w:numPr>
          <w:ilvl w:val="0"/>
          <w:numId w:val="18"/>
        </w:numPr>
        <w:rPr>
          <w:noProof/>
        </w:rPr>
      </w:pPr>
      <w:r w:rsidRPr="00244D65">
        <w:rPr>
          <w:rFonts w:eastAsia="Times New Roman"/>
          <w:noProof/>
          <w:lang w:eastAsia="en-GB"/>
        </w:rPr>
        <w:t>The current legislative framework was designed in view of the 2030 climate target, so the</w:t>
      </w:r>
      <w:r w:rsidRPr="00244D65">
        <w:rPr>
          <w:noProof/>
        </w:rPr>
        <w:t xml:space="preserve"> EU ETS cap trajectory is not aligned with the overall climate policy framework that ensures a balanced and cost-effective contribution of all sectors to greenhouse gas emission reductions and carbon removals towards the 2040 target.</w:t>
      </w:r>
    </w:p>
    <w:p w14:paraId="5C92C399" w14:textId="77777777" w:rsidR="00C76C9B" w:rsidRPr="00244D65" w:rsidRDefault="00C76C9B" w:rsidP="0085595C">
      <w:pPr>
        <w:pStyle w:val="ListParagraph"/>
        <w:numPr>
          <w:ilvl w:val="0"/>
          <w:numId w:val="18"/>
        </w:numPr>
        <w:rPr>
          <w:noProof/>
        </w:rPr>
      </w:pPr>
      <w:r w:rsidRPr="00244D65">
        <w:rPr>
          <w:noProof/>
        </w:rPr>
        <w:t>As the cap is reduced towards climate neutrality, the carbon price is expected to rise. In a market which functions perfectly otherwise, this expectation would be sufficient to guarantee long term investment. However, there are other market failures, such as insufficient incentive for investing in R&amp;D&amp;I as a public good, or the more myopic perspective of investors. Therefore, other risks remain:</w:t>
      </w:r>
    </w:p>
    <w:p w14:paraId="4E315763" w14:textId="77777777" w:rsidR="00C76C9B" w:rsidRPr="00244D65" w:rsidRDefault="00CA1FCF" w:rsidP="0085595C">
      <w:pPr>
        <w:pStyle w:val="ListParagraph"/>
        <w:numPr>
          <w:ilvl w:val="1"/>
          <w:numId w:val="18"/>
        </w:numPr>
        <w:rPr>
          <w:noProof/>
        </w:rPr>
      </w:pPr>
      <w:r w:rsidRPr="00244D65" w:rsidDel="00524B10">
        <w:rPr>
          <w:noProof/>
        </w:rPr>
        <w:t>I</w:t>
      </w:r>
      <w:r w:rsidR="00F16091" w:rsidRPr="00244D65" w:rsidDel="00524B10">
        <w:rPr>
          <w:noProof/>
        </w:rPr>
        <w:t>nsufficient</w:t>
      </w:r>
      <w:r w:rsidR="00C76C9B" w:rsidRPr="00244D65">
        <w:rPr>
          <w:noProof/>
        </w:rPr>
        <w:t xml:space="preserve"> long-term</w:t>
      </w:r>
      <w:r w:rsidR="00F16091" w:rsidRPr="00244D65" w:rsidDel="00524B10">
        <w:rPr>
          <w:noProof/>
        </w:rPr>
        <w:t xml:space="preserve"> investments </w:t>
      </w:r>
      <w:r w:rsidR="00183C8B" w:rsidRPr="00244D65" w:rsidDel="00524B10">
        <w:rPr>
          <w:noProof/>
        </w:rPr>
        <w:t xml:space="preserve">will be </w:t>
      </w:r>
      <w:r w:rsidR="00F16091" w:rsidRPr="00244D65" w:rsidDel="00524B10">
        <w:rPr>
          <w:noProof/>
        </w:rPr>
        <w:t xml:space="preserve">made to decarbonise certain sectors, </w:t>
      </w:r>
      <w:r w:rsidR="0076607C" w:rsidRPr="00244D65" w:rsidDel="00524B10">
        <w:rPr>
          <w:noProof/>
        </w:rPr>
        <w:t xml:space="preserve">among other things, </w:t>
      </w:r>
      <w:r w:rsidR="00F16091" w:rsidRPr="00244D65" w:rsidDel="00524B10">
        <w:rPr>
          <w:noProof/>
        </w:rPr>
        <w:t xml:space="preserve">due to </w:t>
      </w:r>
      <w:r w:rsidR="007B2A67" w:rsidRPr="00244D65" w:rsidDel="00524B10">
        <w:rPr>
          <w:noProof/>
        </w:rPr>
        <w:t>lack of</w:t>
      </w:r>
      <w:r w:rsidR="0076607C" w:rsidRPr="00244D65" w:rsidDel="00524B10">
        <w:rPr>
          <w:noProof/>
        </w:rPr>
        <w:t xml:space="preserve"> </w:t>
      </w:r>
      <w:r w:rsidR="00BA38D4" w:rsidRPr="00244D65" w:rsidDel="00524B10">
        <w:rPr>
          <w:noProof/>
        </w:rPr>
        <w:t xml:space="preserve">sufficiently </w:t>
      </w:r>
      <w:r w:rsidR="0076607C" w:rsidRPr="00244D65" w:rsidDel="00524B10">
        <w:rPr>
          <w:noProof/>
        </w:rPr>
        <w:t xml:space="preserve">strong carbon price signal </w:t>
      </w:r>
      <w:r w:rsidR="00C76C9B" w:rsidRPr="00244D65">
        <w:rPr>
          <w:noProof/>
        </w:rPr>
        <w:t>as perceived by investors</w:t>
      </w:r>
      <w:r w:rsidR="00A1736A" w:rsidRPr="00244D65" w:rsidDel="00524B10">
        <w:rPr>
          <w:noProof/>
        </w:rPr>
        <w:t>.</w:t>
      </w:r>
      <w:r w:rsidR="00D35E20" w:rsidRPr="00244D65" w:rsidDel="00524B10">
        <w:rPr>
          <w:noProof/>
        </w:rPr>
        <w:t xml:space="preserve"> </w:t>
      </w:r>
      <w:r w:rsidR="00FB3280" w:rsidRPr="00244D65" w:rsidDel="00524B10">
        <w:rPr>
          <w:noProof/>
        </w:rPr>
        <w:t xml:space="preserve">This risk is confirmed by the findings of the evaluation (see Annex </w:t>
      </w:r>
      <w:r w:rsidR="007D00FC" w:rsidRPr="00244D65" w:rsidDel="00524B10">
        <w:rPr>
          <w:noProof/>
        </w:rPr>
        <w:t>15</w:t>
      </w:r>
      <w:r w:rsidR="00FB3280" w:rsidRPr="00244D65" w:rsidDel="00524B10">
        <w:rPr>
          <w:noProof/>
        </w:rPr>
        <w:t>)</w:t>
      </w:r>
      <w:r w:rsidR="00512950" w:rsidRPr="00244D65" w:rsidDel="00524B10">
        <w:rPr>
          <w:noProof/>
        </w:rPr>
        <w:t xml:space="preserve">. </w:t>
      </w:r>
      <w:r w:rsidR="00AB5768" w:rsidRPr="00244D65" w:rsidDel="00524B10">
        <w:rPr>
          <w:noProof/>
        </w:rPr>
        <w:t>While the EU ETS</w:t>
      </w:r>
      <w:r w:rsidR="005C7655" w:rsidRPr="00244D65" w:rsidDel="00524B10">
        <w:rPr>
          <w:noProof/>
        </w:rPr>
        <w:t xml:space="preserve"> has delivered significant </w:t>
      </w:r>
      <w:r w:rsidR="0016096C" w:rsidRPr="00244D65" w:rsidDel="00524B10">
        <w:rPr>
          <w:noProof/>
        </w:rPr>
        <w:t xml:space="preserve">emissions reductions in the power sector, </w:t>
      </w:r>
      <w:r w:rsidR="00530B27" w:rsidRPr="00244D65" w:rsidDel="00524B10">
        <w:rPr>
          <w:noProof/>
        </w:rPr>
        <w:t>the</w:t>
      </w:r>
      <w:r w:rsidR="003618A3" w:rsidRPr="00244D65" w:rsidDel="00524B10">
        <w:rPr>
          <w:noProof/>
        </w:rPr>
        <w:t xml:space="preserve"> relative</w:t>
      </w:r>
      <w:r w:rsidR="00CB0AC8" w:rsidRPr="00244D65" w:rsidDel="00524B10">
        <w:rPr>
          <w:noProof/>
        </w:rPr>
        <w:t>l</w:t>
      </w:r>
      <w:r w:rsidR="003618A3" w:rsidRPr="00244D65" w:rsidDel="00524B10">
        <w:rPr>
          <w:noProof/>
        </w:rPr>
        <w:t>y low</w:t>
      </w:r>
      <w:r w:rsidR="00530B27" w:rsidRPr="00244D65" w:rsidDel="00524B10">
        <w:rPr>
          <w:noProof/>
        </w:rPr>
        <w:t xml:space="preserve"> </w:t>
      </w:r>
      <w:r w:rsidR="00BB26BC" w:rsidRPr="00244D65" w:rsidDel="00524B10">
        <w:rPr>
          <w:noProof/>
        </w:rPr>
        <w:t xml:space="preserve">carbon </w:t>
      </w:r>
      <w:r w:rsidR="1580333A" w:rsidRPr="00244D65" w:rsidDel="00524B10">
        <w:rPr>
          <w:noProof/>
        </w:rPr>
        <w:t>prices,</w:t>
      </w:r>
      <w:r w:rsidR="003618A3" w:rsidRPr="00244D65" w:rsidDel="00524B10">
        <w:rPr>
          <w:noProof/>
        </w:rPr>
        <w:t xml:space="preserve"> and high share of free allocation to industry</w:t>
      </w:r>
      <w:r w:rsidR="00642075" w:rsidRPr="00244D65" w:rsidDel="00524B10">
        <w:rPr>
          <w:noProof/>
        </w:rPr>
        <w:t xml:space="preserve"> reduced the incentives to invest in decarbonisation technologies. </w:t>
      </w:r>
    </w:p>
    <w:p w14:paraId="55F24E8D" w14:textId="7510B1AA" w:rsidR="00C76C9B" w:rsidRPr="00244D65" w:rsidRDefault="00C76C9B" w:rsidP="0085595C">
      <w:pPr>
        <w:pStyle w:val="ListParagraph"/>
        <w:numPr>
          <w:ilvl w:val="1"/>
          <w:numId w:val="18"/>
        </w:numPr>
        <w:rPr>
          <w:noProof/>
        </w:rPr>
      </w:pPr>
      <w:r w:rsidRPr="00244D65">
        <w:rPr>
          <w:noProof/>
        </w:rPr>
        <w:t>Lack of funding mechanisms of sufficient duration and magnitude to support the business case for industrial decarbonisations and thus investments</w:t>
      </w:r>
      <w:r w:rsidRPr="00244D65">
        <w:rPr>
          <w:rStyle w:val="FootnoteReference"/>
          <w:noProof/>
        </w:rPr>
        <w:footnoteReference w:id="18"/>
      </w:r>
      <w:r w:rsidRPr="00244D65">
        <w:rPr>
          <w:noProof/>
        </w:rPr>
        <w:t xml:space="preserve">. In this case, ETS risks leading to GHG emissions reductions mainly through a decrease in production levels rather than by a decrease in carbon emissions intensity of industrial activities. </w:t>
      </w:r>
    </w:p>
    <w:p w14:paraId="4BBC4C0B" w14:textId="77777777" w:rsidR="00C76C9B" w:rsidRPr="00244D65" w:rsidRDefault="00C76C9B" w:rsidP="0085595C">
      <w:pPr>
        <w:ind w:left="360"/>
        <w:rPr>
          <w:noProof/>
        </w:rPr>
      </w:pPr>
      <w:r w:rsidRPr="00244D65">
        <w:rPr>
          <w:noProof/>
        </w:rPr>
        <w:t>These issues are particularly acute for climate solutions which are not yet</w:t>
      </w:r>
      <w:r w:rsidRPr="00244D65">
        <w:rPr>
          <w:rStyle w:val="FootnoteReference"/>
          <w:noProof/>
        </w:rPr>
        <w:footnoteReference w:id="19"/>
      </w:r>
      <w:r w:rsidRPr="00244D65">
        <w:rPr>
          <w:noProof/>
        </w:rPr>
        <w:t xml:space="preserve"> market ready, or which require infrastructure to be built, such as carbon or hydrogen transport networks. </w:t>
      </w:r>
    </w:p>
    <w:p w14:paraId="2AF76450" w14:textId="7AB47FAA" w:rsidR="00F16091" w:rsidRPr="00244D65" w:rsidRDefault="00CA1FCF" w:rsidP="0085595C">
      <w:pPr>
        <w:pStyle w:val="ListParagraph"/>
        <w:numPr>
          <w:ilvl w:val="0"/>
          <w:numId w:val="18"/>
        </w:numPr>
        <w:rPr>
          <w:noProof/>
        </w:rPr>
      </w:pPr>
      <w:r w:rsidRPr="00244D65">
        <w:rPr>
          <w:noProof/>
        </w:rPr>
        <w:t>T</w:t>
      </w:r>
      <w:r w:rsidR="00F16091" w:rsidRPr="00244D65">
        <w:rPr>
          <w:noProof/>
        </w:rPr>
        <w:t xml:space="preserve">he EU ETS risks not contributing cost-effectively to the reduction of </w:t>
      </w:r>
      <w:r w:rsidR="005E3FB9" w:rsidRPr="00244D65">
        <w:rPr>
          <w:noProof/>
        </w:rPr>
        <w:t xml:space="preserve">the </w:t>
      </w:r>
      <w:r w:rsidR="00F16091" w:rsidRPr="00244D65">
        <w:rPr>
          <w:noProof/>
        </w:rPr>
        <w:t xml:space="preserve">EU’s fair share of international emissions, if there is a lack of </w:t>
      </w:r>
      <w:r w:rsidR="00FF726E" w:rsidRPr="00244D65">
        <w:rPr>
          <w:noProof/>
        </w:rPr>
        <w:t xml:space="preserve">implementation </w:t>
      </w:r>
      <w:r w:rsidR="00B3062E" w:rsidRPr="00244D65">
        <w:rPr>
          <w:noProof/>
        </w:rPr>
        <w:t xml:space="preserve">of </w:t>
      </w:r>
      <w:r w:rsidR="00FF726E" w:rsidRPr="00244D65">
        <w:rPr>
          <w:noProof/>
        </w:rPr>
        <w:t xml:space="preserve">or </w:t>
      </w:r>
      <w:r w:rsidR="00A63783" w:rsidRPr="00244D65">
        <w:rPr>
          <w:noProof/>
        </w:rPr>
        <w:t xml:space="preserve">coherence between </w:t>
      </w:r>
      <w:r w:rsidR="00F16091" w:rsidRPr="00244D65">
        <w:rPr>
          <w:noProof/>
        </w:rPr>
        <w:t xml:space="preserve">the ETS and global measures, </w:t>
      </w:r>
      <w:r w:rsidR="00B55834" w:rsidRPr="00244D65">
        <w:rPr>
          <w:noProof/>
        </w:rPr>
        <w:t xml:space="preserve">for example </w:t>
      </w:r>
      <w:r w:rsidR="00EC5ECC" w:rsidRPr="00244D65">
        <w:rPr>
          <w:noProof/>
        </w:rPr>
        <w:t>in case transport is subject to</w:t>
      </w:r>
      <w:r w:rsidR="00F16091" w:rsidRPr="00244D65">
        <w:rPr>
          <w:noProof/>
        </w:rPr>
        <w:t xml:space="preserve"> </w:t>
      </w:r>
      <w:r w:rsidR="003110B3" w:rsidRPr="00244D65">
        <w:rPr>
          <w:noProof/>
        </w:rPr>
        <w:t xml:space="preserve">double </w:t>
      </w:r>
      <w:r w:rsidR="00F16091" w:rsidRPr="00244D65">
        <w:rPr>
          <w:noProof/>
        </w:rPr>
        <w:t>carbon pricing</w:t>
      </w:r>
      <w:bookmarkEnd w:id="50"/>
      <w:r w:rsidR="00F16091" w:rsidRPr="00244D65">
        <w:rPr>
          <w:noProof/>
        </w:rPr>
        <w:t>.</w:t>
      </w:r>
      <w:r w:rsidR="007079DA" w:rsidRPr="00244D65">
        <w:rPr>
          <w:noProof/>
        </w:rPr>
        <w:t xml:space="preserve"> </w:t>
      </w:r>
    </w:p>
    <w:p w14:paraId="6FD00B0E" w14:textId="28510992" w:rsidR="00F16091" w:rsidRPr="00244D65" w:rsidRDefault="00F16091" w:rsidP="0085595C">
      <w:pPr>
        <w:keepNext/>
        <w:rPr>
          <w:b/>
          <w:bCs/>
          <w:noProof/>
        </w:rPr>
      </w:pPr>
      <w:bookmarkStart w:id="51" w:name="_Toc185599271"/>
      <w:bookmarkStart w:id="52" w:name="_Toc211962818"/>
      <w:r w:rsidRPr="00244D65">
        <w:rPr>
          <w:b/>
          <w:bCs/>
          <w:noProof/>
        </w:rPr>
        <w:t>Problem 2: Risk of market inefficiencies</w:t>
      </w:r>
      <w:bookmarkEnd w:id="51"/>
      <w:bookmarkEnd w:id="52"/>
      <w:r w:rsidR="000C653C" w:rsidRPr="00244D65">
        <w:rPr>
          <w:b/>
          <w:bCs/>
          <w:noProof/>
        </w:rPr>
        <w:t xml:space="preserve"> </w:t>
      </w:r>
    </w:p>
    <w:p w14:paraId="598259FC" w14:textId="327E87F6" w:rsidR="00852EDD" w:rsidRPr="00244D65" w:rsidRDefault="00F16091" w:rsidP="0085595C">
      <w:pPr>
        <w:rPr>
          <w:noProof/>
        </w:rPr>
      </w:pPr>
      <w:bookmarkStart w:id="53" w:name="_Toc211962819"/>
      <w:r w:rsidRPr="00244D65">
        <w:rPr>
          <w:noProof/>
        </w:rPr>
        <w:t xml:space="preserve">The EU ETS is designed as a cap-and-trade system, with the cap limiting the total amount of GHG that can be emitted by installations and operators covered under the scope of the system. </w:t>
      </w:r>
      <w:r w:rsidR="00B80CD2" w:rsidRPr="00244D65">
        <w:rPr>
          <w:noProof/>
        </w:rPr>
        <w:t>As</w:t>
      </w:r>
      <w:bookmarkStart w:id="54" w:name="_Toc211962820"/>
      <w:bookmarkEnd w:id="53"/>
      <w:r w:rsidRPr="00244D65">
        <w:rPr>
          <w:noProof/>
        </w:rPr>
        <w:t xml:space="preserve"> the price of allowances is determined by the market at the intersection of demand and a </w:t>
      </w:r>
      <w:r w:rsidR="00CD6C6C" w:rsidRPr="00244D65">
        <w:rPr>
          <w:noProof/>
        </w:rPr>
        <w:t>pre-determined</w:t>
      </w:r>
      <w:r w:rsidRPr="00244D65">
        <w:rPr>
          <w:noProof/>
        </w:rPr>
        <w:t xml:space="preserve"> supply, the European carbon market can be exposed to a certain risk of market inefficiencies (e.g. trading frictions, price volatility)</w:t>
      </w:r>
      <w:r w:rsidR="00917CAE" w:rsidRPr="00244D65">
        <w:rPr>
          <w:noProof/>
        </w:rPr>
        <w:t xml:space="preserve"> as it becomes smaller</w:t>
      </w:r>
      <w:bookmarkEnd w:id="54"/>
      <w:r w:rsidR="00761015" w:rsidRPr="00244D65">
        <w:rPr>
          <w:noProof/>
        </w:rPr>
        <w:t>.</w:t>
      </w:r>
      <w:r w:rsidR="000C653C" w:rsidRPr="00244D65">
        <w:rPr>
          <w:noProof/>
        </w:rPr>
        <w:t xml:space="preserve"> </w:t>
      </w:r>
    </w:p>
    <w:p w14:paraId="188710ED" w14:textId="2AECFF01" w:rsidR="00F97799" w:rsidRPr="00244D65" w:rsidRDefault="004B3E48" w:rsidP="00244D65">
      <w:pPr>
        <w:pStyle w:val="Figuretitle"/>
        <w:rPr>
          <w:noProof/>
        </w:rPr>
      </w:pPr>
      <w:bookmarkStart w:id="55" w:name="_Toc234496401"/>
      <w:bookmarkStart w:id="56" w:name="_Toc232754558"/>
      <w:r w:rsidRPr="00244D65">
        <w:rPr>
          <w:noProof/>
        </w:rPr>
        <w:t>Problem tree</w:t>
      </w:r>
      <w:bookmarkEnd w:id="55"/>
      <w:bookmarkEnd w:id="56"/>
    </w:p>
    <w:p w14:paraId="18C6FC5D" w14:textId="77777777" w:rsidR="00BA4E81" w:rsidRDefault="00881AB8" w:rsidP="0085595C">
      <w:pPr>
        <w:pStyle w:val="Figuretitle"/>
        <w:numPr>
          <w:ilvl w:val="0"/>
          <w:numId w:val="0"/>
        </w:numPr>
        <w:rPr>
          <w:noProof/>
        </w:rPr>
      </w:pPr>
      <w:r>
        <w:rPr>
          <w:noProof/>
          <w:lang w:eastAsia="en-GB"/>
        </w:rPr>
        <w:drawing>
          <wp:inline distT="0" distB="0" distL="0" distR="0" wp14:anchorId="5940558A" wp14:editId="7F4F7A8A">
            <wp:extent cx="5731510" cy="3241675"/>
            <wp:effectExtent l="0" t="0" r="2540" b="0"/>
            <wp:docPr id="1101605116" name="Picture 1" descr="A diagram of a proble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605116" name="Picture 1" descr="A diagram of a problem&#10;&#10;AI-generated content may be incorrect."/>
                    <pic:cNvPicPr/>
                  </pic:nvPicPr>
                  <pic:blipFill>
                    <a:blip r:embed="rId23"/>
                    <a:stretch>
                      <a:fillRect/>
                    </a:stretch>
                  </pic:blipFill>
                  <pic:spPr>
                    <a:xfrm>
                      <a:off x="0" y="0"/>
                      <a:ext cx="5731510" cy="3241675"/>
                    </a:xfrm>
                    <a:prstGeom prst="rect">
                      <a:avLst/>
                    </a:prstGeom>
                  </pic:spPr>
                </pic:pic>
              </a:graphicData>
            </a:graphic>
          </wp:inline>
        </w:drawing>
      </w:r>
    </w:p>
    <w:p w14:paraId="16A2A403" w14:textId="77777777" w:rsidR="006B087E" w:rsidRPr="00244D65" w:rsidRDefault="006B087E" w:rsidP="0085595C">
      <w:pPr>
        <w:pStyle w:val="Heading2"/>
        <w:rPr>
          <w:noProof/>
        </w:rPr>
      </w:pPr>
      <w:bookmarkStart w:id="57" w:name="_Toc234949731"/>
      <w:bookmarkStart w:id="58" w:name="_Toc232752487"/>
      <w:r w:rsidRPr="00244D65">
        <w:rPr>
          <w:noProof/>
        </w:rPr>
        <w:t>What are the problem drivers?</w:t>
      </w:r>
      <w:bookmarkEnd w:id="57"/>
      <w:bookmarkEnd w:id="58"/>
    </w:p>
    <w:p w14:paraId="56A9D685" w14:textId="0183F62D" w:rsidR="0070088B" w:rsidRPr="00244D65" w:rsidRDefault="0070088B" w:rsidP="0085595C">
      <w:pPr>
        <w:rPr>
          <w:noProof/>
          <w:lang w:eastAsia="en-GB"/>
        </w:rPr>
      </w:pPr>
      <w:bookmarkStart w:id="59" w:name="_Toc211962822"/>
      <w:r w:rsidRPr="00244D65">
        <w:rPr>
          <w:noProof/>
          <w:lang w:eastAsia="en-GB"/>
        </w:rPr>
        <w:t>Associated with Problem 1:</w:t>
      </w:r>
      <w:bookmarkEnd w:id="59"/>
      <w:r w:rsidRPr="00244D65">
        <w:rPr>
          <w:noProof/>
          <w:lang w:eastAsia="en-GB"/>
        </w:rPr>
        <w:t xml:space="preserve"> </w:t>
      </w:r>
    </w:p>
    <w:p w14:paraId="4C9780FC" w14:textId="46049A7C" w:rsidR="0070088B" w:rsidRPr="00244D65" w:rsidRDefault="0070088B" w:rsidP="0085595C">
      <w:pPr>
        <w:pStyle w:val="ListParagraph"/>
        <w:numPr>
          <w:ilvl w:val="0"/>
          <w:numId w:val="7"/>
        </w:numPr>
        <w:rPr>
          <w:rFonts w:eastAsia="Times New Roman"/>
          <w:noProof/>
          <w:lang w:eastAsia="en-GB"/>
        </w:rPr>
      </w:pPr>
      <w:bookmarkStart w:id="60" w:name="_Toc211962823"/>
      <w:r w:rsidRPr="00244D65">
        <w:rPr>
          <w:rFonts w:eastAsia="Times New Roman"/>
          <w:b/>
          <w:bCs/>
          <w:noProof/>
          <w:lang w:eastAsia="en-GB"/>
        </w:rPr>
        <w:t>D1</w:t>
      </w:r>
      <w:r w:rsidR="2BD567A2" w:rsidRPr="00244D65">
        <w:rPr>
          <w:rFonts w:eastAsia="Times New Roman"/>
          <w:b/>
          <w:bCs/>
          <w:noProof/>
          <w:lang w:eastAsia="en-GB"/>
        </w:rPr>
        <w:t>:</w:t>
      </w:r>
      <w:r w:rsidRPr="00244D65">
        <w:rPr>
          <w:rFonts w:eastAsia="Times New Roman"/>
          <w:b/>
          <w:bCs/>
          <w:noProof/>
          <w:lang w:eastAsia="en-GB"/>
        </w:rPr>
        <w:t xml:space="preserve"> Residual emissions inconsistent with </w:t>
      </w:r>
      <w:r w:rsidR="00962BF1" w:rsidRPr="00244D65">
        <w:rPr>
          <w:rFonts w:eastAsia="Times New Roman"/>
          <w:b/>
          <w:bCs/>
          <w:noProof/>
          <w:lang w:eastAsia="en-GB"/>
        </w:rPr>
        <w:t>EU ETS</w:t>
      </w:r>
      <w:r w:rsidRPr="00244D65">
        <w:rPr>
          <w:rFonts w:eastAsia="Times New Roman"/>
          <w:b/>
          <w:bCs/>
          <w:noProof/>
          <w:lang w:eastAsia="en-GB"/>
        </w:rPr>
        <w:t xml:space="preserve"> cap trajectory.</w:t>
      </w:r>
      <w:r w:rsidRPr="00244D65">
        <w:rPr>
          <w:rFonts w:eastAsia="Times New Roman"/>
          <w:noProof/>
          <w:lang w:eastAsia="en-GB"/>
        </w:rPr>
        <w:t xml:space="preserve"> </w:t>
      </w:r>
      <w:r w:rsidRPr="00244D65">
        <w:rPr>
          <w:rFonts w:eastAsia="Arial"/>
          <w:noProof/>
          <w:color w:val="242828"/>
        </w:rPr>
        <w:t>The climate neutrality objective is at the heart of the </w:t>
      </w:r>
      <w:hyperlink r:id="rId24">
        <w:r w:rsidRPr="00244D65">
          <w:rPr>
            <w:rFonts w:eastAsia="Arial"/>
            <w:noProof/>
            <w:color w:val="242828"/>
          </w:rPr>
          <w:t>European Green Deal</w:t>
        </w:r>
      </w:hyperlink>
      <w:r w:rsidRPr="00244D65">
        <w:rPr>
          <w:rFonts w:eastAsia="Arial"/>
          <w:noProof/>
          <w:color w:val="242828"/>
        </w:rPr>
        <w:t>, and is a legally binding objective set out in the </w:t>
      </w:r>
      <w:hyperlink r:id="rId25">
        <w:r w:rsidRPr="00244D65">
          <w:rPr>
            <w:rFonts w:eastAsia="Arial"/>
            <w:noProof/>
            <w:color w:val="242828"/>
          </w:rPr>
          <w:t>European Climate Law</w:t>
        </w:r>
      </w:hyperlink>
      <w:r w:rsidR="006E10C8" w:rsidRPr="00244D65">
        <w:rPr>
          <w:noProof/>
        </w:rPr>
        <w:t xml:space="preserve"> </w:t>
      </w:r>
      <w:r w:rsidR="006E10C8" w:rsidRPr="00244D65">
        <w:rPr>
          <w:rFonts w:eastAsia="Times New Roman"/>
          <w:noProof/>
          <w:lang w:eastAsia="en-GB"/>
        </w:rPr>
        <w:t>(ECL)</w:t>
      </w:r>
      <w:r w:rsidRPr="00244D65">
        <w:rPr>
          <w:rFonts w:eastAsia="Arial"/>
          <w:noProof/>
          <w:color w:val="242828"/>
        </w:rPr>
        <w:t>. The 2040 climate target is the EU’s</w:t>
      </w:r>
      <w:r w:rsidR="000C653C" w:rsidRPr="00244D65">
        <w:rPr>
          <w:rFonts w:eastAsia="Arial"/>
          <w:noProof/>
          <w:color w:val="242828"/>
        </w:rPr>
        <w:t xml:space="preserve"> </w:t>
      </w:r>
      <w:r w:rsidRPr="00244D65">
        <w:rPr>
          <w:rFonts w:eastAsia="Arial"/>
          <w:noProof/>
          <w:color w:val="242828"/>
        </w:rPr>
        <w:t xml:space="preserve">intermediate step </w:t>
      </w:r>
      <w:r w:rsidR="00912923" w:rsidRPr="00244D65">
        <w:rPr>
          <w:rFonts w:eastAsia="Arial"/>
          <w:noProof/>
          <w:color w:val="242828"/>
        </w:rPr>
        <w:t xml:space="preserve">after 2030 </w:t>
      </w:r>
      <w:r w:rsidRPr="00244D65">
        <w:rPr>
          <w:rFonts w:eastAsia="Arial"/>
          <w:noProof/>
          <w:color w:val="242828"/>
        </w:rPr>
        <w:t>on the path to climate neutrality.</w:t>
      </w:r>
      <w:r w:rsidR="000C653C" w:rsidRPr="00244D65">
        <w:rPr>
          <w:rFonts w:eastAsia="Arial"/>
          <w:noProof/>
          <w:color w:val="242828"/>
        </w:rPr>
        <w:t xml:space="preserve"> </w:t>
      </w:r>
      <w:r w:rsidR="00562314" w:rsidRPr="00244D65">
        <w:rPr>
          <w:noProof/>
        </w:rPr>
        <w:t xml:space="preserve">In December 2025, the European Parliament and the Council </w:t>
      </w:r>
      <w:r w:rsidR="00562314" w:rsidRPr="00244D65">
        <w:rPr>
          <w:rFonts w:eastAsia="Times New Roman"/>
          <w:noProof/>
          <w:lang w:eastAsia="en-GB"/>
        </w:rPr>
        <w:t xml:space="preserve">reached agreement on amending the European </w:t>
      </w:r>
      <w:r w:rsidR="006E10C8" w:rsidRPr="00244D65">
        <w:rPr>
          <w:rFonts w:eastAsia="Times New Roman"/>
          <w:noProof/>
          <w:lang w:eastAsia="en-GB"/>
        </w:rPr>
        <w:t>C</w:t>
      </w:r>
      <w:r w:rsidR="00562314" w:rsidRPr="00244D65">
        <w:rPr>
          <w:rFonts w:eastAsia="Times New Roman"/>
          <w:noProof/>
          <w:lang w:eastAsia="en-GB"/>
        </w:rPr>
        <w:t xml:space="preserve">limate </w:t>
      </w:r>
      <w:r w:rsidR="006E10C8" w:rsidRPr="00244D65">
        <w:rPr>
          <w:rFonts w:eastAsia="Times New Roman"/>
          <w:noProof/>
          <w:lang w:eastAsia="en-GB"/>
        </w:rPr>
        <w:t>L</w:t>
      </w:r>
      <w:r w:rsidR="00562314" w:rsidRPr="00244D65">
        <w:rPr>
          <w:rFonts w:eastAsia="Times New Roman"/>
          <w:noProof/>
          <w:lang w:eastAsia="en-GB"/>
        </w:rPr>
        <w:t xml:space="preserve">aw, introducing a binding intermediate climate target for 2040 of a 90% reduction in net greenhouse gas (GHG) emissions compared to 1990 levels. </w:t>
      </w:r>
      <w:r w:rsidR="00AF216D" w:rsidRPr="00244D65">
        <w:rPr>
          <w:rFonts w:eastAsia="Times New Roman"/>
          <w:noProof/>
          <w:lang w:eastAsia="en-GB"/>
        </w:rPr>
        <w:t xml:space="preserve">The agreement also sets out certain areas of flexibility to support the achievement of the 2040 target </w:t>
      </w:r>
      <w:r w:rsidR="007F40C2" w:rsidRPr="00244D65">
        <w:rPr>
          <w:rFonts w:eastAsia="Times New Roman"/>
          <w:noProof/>
          <w:lang w:eastAsia="en-GB"/>
        </w:rPr>
        <w:t xml:space="preserve">including on the contribution of high-quality international carbon credits to the target. </w:t>
      </w:r>
      <w:r w:rsidRPr="00244D65">
        <w:rPr>
          <w:rFonts w:eastAsia="Arial"/>
          <w:noProof/>
          <w:color w:val="242828"/>
        </w:rPr>
        <w:t xml:space="preserve">However, there will still be residual emissions in industry, aviation and maritime that need to be abated </w:t>
      </w:r>
      <w:bookmarkStart w:id="61" w:name="_Int_g3SBrxET"/>
      <w:r w:rsidRPr="00244D65">
        <w:rPr>
          <w:rFonts w:eastAsia="Arial"/>
          <w:noProof/>
          <w:color w:val="242828"/>
        </w:rPr>
        <w:t>in order to</w:t>
      </w:r>
      <w:bookmarkEnd w:id="61"/>
      <w:r w:rsidRPr="00244D65">
        <w:rPr>
          <w:rFonts w:eastAsia="Arial"/>
          <w:noProof/>
          <w:color w:val="242828"/>
        </w:rPr>
        <w:t xml:space="preserve"> </w:t>
      </w:r>
      <w:r w:rsidR="00126360" w:rsidRPr="00244D65">
        <w:rPr>
          <w:rFonts w:eastAsia="Arial"/>
          <w:noProof/>
          <w:color w:val="242828"/>
        </w:rPr>
        <w:t xml:space="preserve">align to </w:t>
      </w:r>
      <w:r w:rsidRPr="00244D65">
        <w:rPr>
          <w:rFonts w:eastAsia="Arial"/>
          <w:noProof/>
          <w:color w:val="242828"/>
        </w:rPr>
        <w:t>the carbon budget and target that are given by the cap trajectory.</w:t>
      </w:r>
      <w:bookmarkEnd w:id="60"/>
    </w:p>
    <w:p w14:paraId="6B3C2720" w14:textId="77777777" w:rsidR="0070088B" w:rsidRPr="00244D65" w:rsidRDefault="0070088B" w:rsidP="0085595C">
      <w:pPr>
        <w:rPr>
          <w:noProof/>
          <w:lang w:eastAsia="en-GB"/>
        </w:rPr>
      </w:pPr>
      <w:bookmarkStart w:id="62" w:name="_Toc211962824"/>
      <w:r w:rsidRPr="00244D65">
        <w:rPr>
          <w:noProof/>
          <w:lang w:eastAsia="en-GB"/>
        </w:rPr>
        <w:t>The following sub-drivers have been identified:</w:t>
      </w:r>
      <w:bookmarkEnd w:id="62"/>
    </w:p>
    <w:p w14:paraId="7DB5DFD2" w14:textId="4A238CE6" w:rsidR="0070088B" w:rsidRPr="00244D65" w:rsidRDefault="0070088B" w:rsidP="0085595C">
      <w:pPr>
        <w:pStyle w:val="ListParagraph"/>
        <w:numPr>
          <w:ilvl w:val="1"/>
          <w:numId w:val="7"/>
        </w:numPr>
        <w:rPr>
          <w:noProof/>
          <w:lang w:eastAsia="en-GB"/>
        </w:rPr>
      </w:pPr>
      <w:bookmarkStart w:id="63" w:name="_Toc211962825"/>
      <w:r w:rsidRPr="00244D65">
        <w:rPr>
          <w:noProof/>
          <w:lang w:eastAsia="en-GB"/>
        </w:rPr>
        <w:t>D1.1 (P9+10) CO</w:t>
      </w:r>
      <w:r w:rsidRPr="00244D65">
        <w:rPr>
          <w:noProof/>
          <w:vertAlign w:val="subscript"/>
          <w:lang w:eastAsia="en-GB"/>
        </w:rPr>
        <w:t>2</w:t>
      </w:r>
      <w:r w:rsidRPr="00244D65">
        <w:rPr>
          <w:noProof/>
          <w:lang w:eastAsia="en-GB"/>
        </w:rPr>
        <w:t xml:space="preserve"> generation is currently unavoidable for certain activities</w:t>
      </w:r>
      <w:bookmarkEnd w:id="63"/>
      <w:r w:rsidR="005B1FA8" w:rsidRPr="00244D65">
        <w:rPr>
          <w:noProof/>
          <w:lang w:eastAsia="en-GB"/>
        </w:rPr>
        <w:t>, which needs to be recognised in the cap setting and/or role of removals.</w:t>
      </w:r>
    </w:p>
    <w:p w14:paraId="28DCFAF0" w14:textId="43A427CA" w:rsidR="0070088B" w:rsidRPr="00244D65" w:rsidDel="007A7923" w:rsidRDefault="3BE95305" w:rsidP="0085595C">
      <w:pPr>
        <w:pStyle w:val="ListParagraph"/>
        <w:numPr>
          <w:ilvl w:val="1"/>
          <w:numId w:val="7"/>
        </w:numPr>
        <w:rPr>
          <w:noProof/>
          <w:lang w:eastAsia="en-GB"/>
        </w:rPr>
      </w:pPr>
      <w:bookmarkStart w:id="64" w:name="_Toc211962827"/>
      <w:r w:rsidRPr="00244D65">
        <w:rPr>
          <w:noProof/>
          <w:lang w:eastAsia="en-GB"/>
        </w:rPr>
        <w:t xml:space="preserve">D1.2 (P1) </w:t>
      </w:r>
      <w:r w:rsidR="2E5F5207" w:rsidRPr="00244D65">
        <w:rPr>
          <w:noProof/>
          <w:lang w:eastAsia="en-GB"/>
        </w:rPr>
        <w:t xml:space="preserve">Insufficient financing </w:t>
      </w:r>
      <w:r w:rsidR="4E92D97E" w:rsidRPr="00244D65">
        <w:rPr>
          <w:noProof/>
          <w:lang w:eastAsia="en-GB"/>
        </w:rPr>
        <w:t xml:space="preserve">for </w:t>
      </w:r>
      <w:r w:rsidR="2E5F5207" w:rsidRPr="00244D65">
        <w:rPr>
          <w:noProof/>
          <w:lang w:eastAsia="en-GB"/>
        </w:rPr>
        <w:t>innovation</w:t>
      </w:r>
      <w:r w:rsidR="00835D16" w:rsidRPr="00244D65">
        <w:rPr>
          <w:noProof/>
          <w:lang w:eastAsia="en-GB"/>
        </w:rPr>
        <w:t>,</w:t>
      </w:r>
      <w:r w:rsidR="2E5F5207" w:rsidRPr="00244D65">
        <w:rPr>
          <w:noProof/>
          <w:lang w:eastAsia="en-GB"/>
        </w:rPr>
        <w:t xml:space="preserve"> </w:t>
      </w:r>
      <w:r w:rsidR="1E6BA28E" w:rsidRPr="00244D65">
        <w:rPr>
          <w:noProof/>
          <w:lang w:eastAsia="en-GB"/>
        </w:rPr>
        <w:t>scale-up</w:t>
      </w:r>
      <w:r w:rsidR="2E5F5207" w:rsidRPr="00244D65">
        <w:rPr>
          <w:noProof/>
          <w:lang w:eastAsia="en-GB"/>
        </w:rPr>
        <w:t xml:space="preserve"> </w:t>
      </w:r>
      <w:r w:rsidR="00835D16" w:rsidRPr="00244D65">
        <w:rPr>
          <w:noProof/>
          <w:lang w:eastAsia="en-GB"/>
        </w:rPr>
        <w:t>and</w:t>
      </w:r>
      <w:r w:rsidR="2E5F5207" w:rsidRPr="00244D65">
        <w:rPr>
          <w:noProof/>
          <w:lang w:eastAsia="en-GB"/>
        </w:rPr>
        <w:t xml:space="preserve"> </w:t>
      </w:r>
      <w:r w:rsidR="48714E63" w:rsidRPr="00244D65">
        <w:rPr>
          <w:noProof/>
          <w:lang w:eastAsia="en-GB"/>
        </w:rPr>
        <w:t>roll-out</w:t>
      </w:r>
      <w:r w:rsidR="2E5F5207" w:rsidRPr="00244D65">
        <w:rPr>
          <w:noProof/>
          <w:lang w:eastAsia="en-GB"/>
        </w:rPr>
        <w:t xml:space="preserve"> of </w:t>
      </w:r>
      <w:r w:rsidR="756A3224" w:rsidRPr="00244D65">
        <w:rPr>
          <w:noProof/>
          <w:lang w:eastAsia="en-GB"/>
        </w:rPr>
        <w:t xml:space="preserve">decarbonisation </w:t>
      </w:r>
      <w:r w:rsidR="2E5F5207" w:rsidRPr="00244D65">
        <w:rPr>
          <w:noProof/>
          <w:lang w:eastAsia="en-GB"/>
        </w:rPr>
        <w:t>technologies</w:t>
      </w:r>
      <w:r w:rsidR="00CF242D" w:rsidRPr="00244D65">
        <w:rPr>
          <w:noProof/>
          <w:lang w:eastAsia="en-GB"/>
        </w:rPr>
        <w:t xml:space="preserve"> </w:t>
      </w:r>
      <w:r w:rsidR="2BD62B2C" w:rsidRPr="00244D65">
        <w:rPr>
          <w:noProof/>
          <w:lang w:eastAsia="en-GB"/>
        </w:rPr>
        <w:t xml:space="preserve">and clean fuels </w:t>
      </w:r>
      <w:r w:rsidR="00CF242D" w:rsidRPr="00244D65">
        <w:rPr>
          <w:noProof/>
          <w:lang w:eastAsia="en-GB"/>
        </w:rPr>
        <w:t>to address</w:t>
      </w:r>
      <w:r w:rsidR="00CB162D" w:rsidRPr="00244D65">
        <w:rPr>
          <w:noProof/>
          <w:lang w:eastAsia="en-GB"/>
        </w:rPr>
        <w:t xml:space="preserve"> the</w:t>
      </w:r>
      <w:r w:rsidR="2E5F5207" w:rsidRPr="00244D65">
        <w:rPr>
          <w:noProof/>
          <w:lang w:eastAsia="en-GB"/>
        </w:rPr>
        <w:t xml:space="preserve"> </w:t>
      </w:r>
      <w:r w:rsidR="3C565B40" w:rsidRPr="00244D65">
        <w:rPr>
          <w:noProof/>
          <w:lang w:eastAsia="en-GB"/>
        </w:rPr>
        <w:t>lack of business case</w:t>
      </w:r>
      <w:r w:rsidR="35A78B3E" w:rsidRPr="00244D65">
        <w:rPr>
          <w:noProof/>
          <w:lang w:eastAsia="en-GB"/>
        </w:rPr>
        <w:t xml:space="preserve"> </w:t>
      </w:r>
      <w:r w:rsidR="12E1FC2F" w:rsidRPr="00244D65">
        <w:rPr>
          <w:noProof/>
          <w:lang w:eastAsia="en-GB"/>
        </w:rPr>
        <w:t>and</w:t>
      </w:r>
      <w:r w:rsidR="35A78B3E" w:rsidRPr="00244D65">
        <w:rPr>
          <w:noProof/>
          <w:lang w:eastAsia="en-GB"/>
        </w:rPr>
        <w:t xml:space="preserve"> </w:t>
      </w:r>
      <w:r w:rsidR="2E5F5207" w:rsidRPr="00244D65">
        <w:rPr>
          <w:noProof/>
          <w:lang w:eastAsia="en-GB"/>
        </w:rPr>
        <w:t>h</w:t>
      </w:r>
      <w:r w:rsidR="57CA1859" w:rsidRPr="00244D65">
        <w:rPr>
          <w:noProof/>
          <w:lang w:eastAsia="en-GB"/>
        </w:rPr>
        <w:t>igh</w:t>
      </w:r>
      <w:r w:rsidR="13A39972" w:rsidRPr="00244D65">
        <w:rPr>
          <w:noProof/>
          <w:lang w:eastAsia="en-GB"/>
        </w:rPr>
        <w:t xml:space="preserve"> </w:t>
      </w:r>
      <w:r w:rsidR="57CA1859" w:rsidRPr="00244D65">
        <w:rPr>
          <w:noProof/>
          <w:lang w:eastAsia="en-GB"/>
        </w:rPr>
        <w:t xml:space="preserve">investment needs in </w:t>
      </w:r>
      <w:r w:rsidR="13A39972" w:rsidRPr="00244D65">
        <w:rPr>
          <w:noProof/>
          <w:lang w:eastAsia="en-GB"/>
        </w:rPr>
        <w:t xml:space="preserve">carbon-intensive, </w:t>
      </w:r>
      <w:r w:rsidR="32228C91" w:rsidRPr="00244D65">
        <w:rPr>
          <w:noProof/>
          <w:lang w:eastAsia="en-GB"/>
        </w:rPr>
        <w:t xml:space="preserve">in particular in </w:t>
      </w:r>
      <w:r w:rsidR="13A39972" w:rsidRPr="00244D65">
        <w:rPr>
          <w:noProof/>
          <w:lang w:eastAsia="en-GB"/>
        </w:rPr>
        <w:t>low-income Member States</w:t>
      </w:r>
      <w:r w:rsidR="00B4171C" w:rsidRPr="00244D65">
        <w:rPr>
          <w:noProof/>
          <w:lang w:eastAsia="en-GB"/>
        </w:rPr>
        <w:t>.</w:t>
      </w:r>
      <w:r w:rsidR="13A39972" w:rsidRPr="00244D65">
        <w:rPr>
          <w:noProof/>
          <w:lang w:eastAsia="en-GB"/>
        </w:rPr>
        <w:t xml:space="preserve"> </w:t>
      </w:r>
      <w:bookmarkEnd w:id="64"/>
    </w:p>
    <w:p w14:paraId="63E7B70D" w14:textId="244B407D" w:rsidR="0070088B" w:rsidRPr="00244D65" w:rsidRDefault="0070088B" w:rsidP="0085595C">
      <w:pPr>
        <w:pStyle w:val="ListParagraph"/>
        <w:numPr>
          <w:ilvl w:val="1"/>
          <w:numId w:val="7"/>
        </w:numPr>
        <w:rPr>
          <w:noProof/>
          <w:lang w:eastAsia="en-GB"/>
        </w:rPr>
      </w:pPr>
      <w:bookmarkStart w:id="65" w:name="_Toc211962829"/>
      <w:r w:rsidRPr="00244D65">
        <w:rPr>
          <w:noProof/>
          <w:lang w:eastAsia="en-GB"/>
        </w:rPr>
        <w:t>D1.3 (P2) Unlevel playing field for CCU and double counting of emissions</w:t>
      </w:r>
      <w:bookmarkEnd w:id="65"/>
      <w:r w:rsidR="00B4171C" w:rsidRPr="00244D65">
        <w:rPr>
          <w:noProof/>
          <w:lang w:eastAsia="en-GB"/>
        </w:rPr>
        <w:t>.</w:t>
      </w:r>
    </w:p>
    <w:p w14:paraId="569FDC8F" w14:textId="77777777" w:rsidR="000D502A" w:rsidRPr="00244D65" w:rsidRDefault="000D502A" w:rsidP="0085595C">
      <w:pPr>
        <w:pStyle w:val="ListParagraph"/>
        <w:ind w:left="1440"/>
        <w:rPr>
          <w:noProof/>
          <w:lang w:eastAsia="en-GB"/>
        </w:rPr>
      </w:pPr>
    </w:p>
    <w:p w14:paraId="4B664CE2" w14:textId="196C4C69" w:rsidR="0070088B" w:rsidRPr="00244D65" w:rsidRDefault="4E8B59C5" w:rsidP="0085595C">
      <w:pPr>
        <w:pStyle w:val="ListParagraph"/>
        <w:numPr>
          <w:ilvl w:val="0"/>
          <w:numId w:val="7"/>
        </w:numPr>
        <w:rPr>
          <w:noProof/>
          <w:lang w:eastAsia="en-GB"/>
        </w:rPr>
      </w:pPr>
      <w:bookmarkStart w:id="66" w:name="_Toc211962832"/>
      <w:r w:rsidRPr="00244D65">
        <w:rPr>
          <w:b/>
          <w:bCs/>
          <w:noProof/>
          <w:lang w:eastAsia="en-GB"/>
        </w:rPr>
        <w:t>D2: Lack of internalisation of the climate impact (insufficient carbon price signal).</w:t>
      </w:r>
      <w:r w:rsidRPr="00244D65">
        <w:rPr>
          <w:noProof/>
          <w:lang w:eastAsia="en-GB"/>
        </w:rPr>
        <w:t xml:space="preserve"> The </w:t>
      </w:r>
      <w:r w:rsidR="7633FE93" w:rsidRPr="00244D65">
        <w:rPr>
          <w:noProof/>
          <w:lang w:eastAsia="en-GB"/>
        </w:rPr>
        <w:t>reason for</w:t>
      </w:r>
      <w:r w:rsidRPr="00244D65">
        <w:rPr>
          <w:noProof/>
          <w:lang w:eastAsia="en-GB"/>
        </w:rPr>
        <w:t xml:space="preserve"> </w:t>
      </w:r>
      <w:r w:rsidR="32AF2E56" w:rsidRPr="00244D65">
        <w:rPr>
          <w:noProof/>
          <w:lang w:eastAsia="en-GB"/>
        </w:rPr>
        <w:t xml:space="preserve">setting a cap and letting the market </w:t>
      </w:r>
      <w:r w:rsidRPr="00244D65">
        <w:rPr>
          <w:noProof/>
          <w:lang w:eastAsia="en-GB"/>
        </w:rPr>
        <w:t xml:space="preserve">put a price on carbon emissions is to trigger a behavioural </w:t>
      </w:r>
      <w:r w:rsidR="34EC746C" w:rsidRPr="00244D65">
        <w:rPr>
          <w:noProof/>
          <w:lang w:eastAsia="en-GB"/>
        </w:rPr>
        <w:t xml:space="preserve">and investment </w:t>
      </w:r>
      <w:r w:rsidRPr="00244D65">
        <w:rPr>
          <w:noProof/>
          <w:lang w:eastAsia="en-GB"/>
        </w:rPr>
        <w:t xml:space="preserve">change that should result in reduced emissions in line with the climate change mitigation pathway. The price signal of the EU ETS adds to the cost of activities that generate greenhouse gases, 'internalising' the harmful effect on the environment, known as 'negative externalities', in accordance with the 'polluter pays' principle. </w:t>
      </w:r>
      <w:r w:rsidR="6CCC00D2" w:rsidRPr="00244D65">
        <w:rPr>
          <w:noProof/>
          <w:lang w:eastAsia="en-GB"/>
        </w:rPr>
        <w:t>When t</w:t>
      </w:r>
      <w:r w:rsidRPr="00244D65">
        <w:rPr>
          <w:noProof/>
          <w:lang w:eastAsia="en-GB"/>
        </w:rPr>
        <w:t xml:space="preserve">he </w:t>
      </w:r>
      <w:r w:rsidR="239AFAF5" w:rsidRPr="00244D65">
        <w:rPr>
          <w:noProof/>
          <w:lang w:eastAsia="en-GB"/>
        </w:rPr>
        <w:t>EU ETS</w:t>
      </w:r>
      <w:r w:rsidRPr="00244D65">
        <w:rPr>
          <w:noProof/>
          <w:lang w:eastAsia="en-GB"/>
        </w:rPr>
        <w:t xml:space="preserve"> does not cover certain activities, </w:t>
      </w:r>
      <w:r w:rsidR="6CCC00D2" w:rsidRPr="00244D65">
        <w:rPr>
          <w:noProof/>
          <w:lang w:eastAsia="en-GB"/>
        </w:rPr>
        <w:t>it does</w:t>
      </w:r>
      <w:r w:rsidRPr="00244D65">
        <w:rPr>
          <w:noProof/>
          <w:lang w:eastAsia="en-GB"/>
        </w:rPr>
        <w:t xml:space="preserve"> not </w:t>
      </w:r>
      <w:r w:rsidR="24FA8D49" w:rsidRPr="00244D65">
        <w:rPr>
          <w:noProof/>
          <w:lang w:eastAsia="en-GB"/>
        </w:rPr>
        <w:t xml:space="preserve">play a role in the </w:t>
      </w:r>
      <w:r w:rsidRPr="00244D65">
        <w:rPr>
          <w:noProof/>
          <w:lang w:eastAsia="en-GB"/>
        </w:rPr>
        <w:t>internalis</w:t>
      </w:r>
      <w:r w:rsidR="24FA8D49" w:rsidRPr="00244D65">
        <w:rPr>
          <w:noProof/>
          <w:lang w:eastAsia="en-GB"/>
        </w:rPr>
        <w:t>ation of</w:t>
      </w:r>
      <w:r w:rsidRPr="00244D65">
        <w:rPr>
          <w:noProof/>
          <w:lang w:eastAsia="en-GB"/>
        </w:rPr>
        <w:t xml:space="preserve"> the</w:t>
      </w:r>
      <w:r w:rsidR="6CCC00D2" w:rsidRPr="00244D65">
        <w:rPr>
          <w:noProof/>
          <w:lang w:eastAsia="en-GB"/>
        </w:rPr>
        <w:t>ir</w:t>
      </w:r>
      <w:r w:rsidRPr="00244D65">
        <w:rPr>
          <w:noProof/>
          <w:lang w:eastAsia="en-GB"/>
        </w:rPr>
        <w:t xml:space="preserve"> carbon cost. As a result, they </w:t>
      </w:r>
      <w:r w:rsidR="4C3C249D" w:rsidRPr="00244D65">
        <w:rPr>
          <w:noProof/>
          <w:lang w:eastAsia="en-GB"/>
        </w:rPr>
        <w:t xml:space="preserve">may </w:t>
      </w:r>
      <w:r w:rsidRPr="00244D65">
        <w:rPr>
          <w:noProof/>
          <w:lang w:eastAsia="en-GB"/>
        </w:rPr>
        <w:t>lack the incentive to reduce their emissions</w:t>
      </w:r>
      <w:r w:rsidR="4C3C249D" w:rsidRPr="00244D65">
        <w:rPr>
          <w:noProof/>
          <w:lang w:eastAsia="en-GB"/>
        </w:rPr>
        <w:t xml:space="preserve">, </w:t>
      </w:r>
      <w:r w:rsidR="7044FF4D" w:rsidRPr="00244D65">
        <w:rPr>
          <w:noProof/>
          <w:lang w:eastAsia="en-GB"/>
        </w:rPr>
        <w:t xml:space="preserve">unless other regulatory measures </w:t>
      </w:r>
      <w:r w:rsidR="1AF8E480" w:rsidRPr="00244D65">
        <w:rPr>
          <w:noProof/>
          <w:lang w:eastAsia="en-GB"/>
        </w:rPr>
        <w:t xml:space="preserve">achieve </w:t>
      </w:r>
      <w:r w:rsidR="7044FF4D" w:rsidRPr="00244D65">
        <w:rPr>
          <w:noProof/>
          <w:lang w:eastAsia="en-GB"/>
        </w:rPr>
        <w:t>the reductions</w:t>
      </w:r>
      <w:r w:rsidR="1AF8E480" w:rsidRPr="00244D65">
        <w:rPr>
          <w:noProof/>
          <w:lang w:eastAsia="en-GB"/>
        </w:rPr>
        <w:t xml:space="preserve"> fully</w:t>
      </w:r>
      <w:r w:rsidR="7044FF4D" w:rsidRPr="00244D65">
        <w:rPr>
          <w:noProof/>
          <w:lang w:eastAsia="en-GB"/>
        </w:rPr>
        <w:t xml:space="preserve"> (</w:t>
      </w:r>
      <w:r w:rsidR="1AF8E480" w:rsidRPr="00244D65">
        <w:rPr>
          <w:noProof/>
          <w:lang w:eastAsia="en-GB"/>
        </w:rPr>
        <w:t xml:space="preserve">e.g. </w:t>
      </w:r>
      <w:r w:rsidR="7044FF4D" w:rsidRPr="00244D65">
        <w:rPr>
          <w:noProof/>
          <w:lang w:eastAsia="en-GB"/>
        </w:rPr>
        <w:t>targets or prohibitions)</w:t>
      </w:r>
      <w:r w:rsidRPr="00244D65">
        <w:rPr>
          <w:noProof/>
          <w:lang w:eastAsia="en-GB"/>
        </w:rPr>
        <w:t xml:space="preserve">. </w:t>
      </w:r>
      <w:r w:rsidR="3F3DBE75" w:rsidRPr="00244D65">
        <w:rPr>
          <w:noProof/>
          <w:lang w:eastAsia="en-GB"/>
        </w:rPr>
        <w:t>L</w:t>
      </w:r>
      <w:r w:rsidR="3F3DBE75" w:rsidRPr="00244D65">
        <w:rPr>
          <w:noProof/>
          <w:color w:val="000000" w:themeColor="text1"/>
          <w:lang w:val="en-US"/>
        </w:rPr>
        <w:t xml:space="preserve">ack of </w:t>
      </w:r>
      <w:bookmarkStart w:id="67" w:name="_Int_yq44rQUL"/>
      <w:r w:rsidR="3F3DBE75" w:rsidRPr="00244D65">
        <w:rPr>
          <w:noProof/>
          <w:color w:val="000000" w:themeColor="text1"/>
          <w:lang w:val="en-US"/>
        </w:rPr>
        <w:t>internalisation</w:t>
      </w:r>
      <w:bookmarkEnd w:id="67"/>
      <w:r w:rsidR="3F3DBE75" w:rsidRPr="00244D65">
        <w:rPr>
          <w:noProof/>
          <w:color w:val="000000" w:themeColor="text1"/>
          <w:lang w:val="en-US"/>
        </w:rPr>
        <w:t xml:space="preserve"> of carbon cost concerns for instance the emissions of small ships. It is estimated that all categories of small ships (below 5000 gross tonnage</w:t>
      </w:r>
      <w:r w:rsidR="00CD3ABF" w:rsidRPr="00244D65">
        <w:rPr>
          <w:noProof/>
          <w:color w:val="000000" w:themeColor="text1"/>
          <w:lang w:val="en-US"/>
        </w:rPr>
        <w:t>,</w:t>
      </w:r>
      <w:r w:rsidR="3F3DBE75" w:rsidRPr="00244D65">
        <w:rPr>
          <w:noProof/>
          <w:color w:val="000000" w:themeColor="text1"/>
          <w:lang w:val="en-US"/>
        </w:rPr>
        <w:t xml:space="preserve"> but not below 400 gross tonnage) could add a total of 14</w:t>
      </w:r>
      <w:r w:rsidR="008B7EAE" w:rsidRPr="00244D65">
        <w:rPr>
          <w:noProof/>
          <w:color w:val="000000" w:themeColor="text1"/>
          <w:lang w:val="en-US"/>
        </w:rPr>
        <w:t>.</w:t>
      </w:r>
      <w:r w:rsidR="3F3DBE75" w:rsidRPr="00244D65">
        <w:rPr>
          <w:noProof/>
          <w:color w:val="000000" w:themeColor="text1"/>
          <w:lang w:val="en-US"/>
        </w:rPr>
        <w:t xml:space="preserve">6 MtCO2 in the ETS scope. </w:t>
      </w:r>
      <w:r w:rsidRPr="00244D65">
        <w:rPr>
          <w:noProof/>
          <w:lang w:eastAsia="en-GB"/>
        </w:rPr>
        <w:t xml:space="preserve">Similarly, </w:t>
      </w:r>
      <w:r w:rsidR="64A78CF4" w:rsidRPr="00244D65">
        <w:rPr>
          <w:noProof/>
          <w:lang w:eastAsia="en-GB"/>
        </w:rPr>
        <w:t>measures to address carbon leakage (</w:t>
      </w:r>
      <w:r w:rsidRPr="00244D65">
        <w:rPr>
          <w:noProof/>
          <w:lang w:eastAsia="en-GB"/>
        </w:rPr>
        <w:t>assigning allowances free of charge</w:t>
      </w:r>
      <w:r w:rsidR="63485978" w:rsidRPr="00244D65">
        <w:rPr>
          <w:noProof/>
          <w:lang w:eastAsia="en-GB"/>
        </w:rPr>
        <w:t xml:space="preserve"> and </w:t>
      </w:r>
      <w:r w:rsidR="64A78CF4" w:rsidRPr="00244D65">
        <w:rPr>
          <w:noProof/>
          <w:lang w:eastAsia="en-GB"/>
        </w:rPr>
        <w:t xml:space="preserve">allowing </w:t>
      </w:r>
      <w:r w:rsidR="63485978" w:rsidRPr="00244D65">
        <w:rPr>
          <w:noProof/>
          <w:lang w:eastAsia="en-GB"/>
        </w:rPr>
        <w:t>compensat</w:t>
      </w:r>
      <w:r w:rsidR="64A78CF4" w:rsidRPr="00244D65">
        <w:rPr>
          <w:noProof/>
          <w:lang w:eastAsia="en-GB"/>
        </w:rPr>
        <w:t>io</w:t>
      </w:r>
      <w:r w:rsidR="63485978" w:rsidRPr="00244D65">
        <w:rPr>
          <w:noProof/>
          <w:lang w:eastAsia="en-GB"/>
        </w:rPr>
        <w:t>n for indirect emission costs</w:t>
      </w:r>
      <w:r w:rsidR="64A78CF4" w:rsidRPr="00244D65">
        <w:rPr>
          <w:noProof/>
          <w:lang w:eastAsia="en-GB"/>
        </w:rPr>
        <w:t>)</w:t>
      </w:r>
      <w:r w:rsidRPr="00244D65">
        <w:rPr>
          <w:noProof/>
          <w:lang w:eastAsia="en-GB"/>
        </w:rPr>
        <w:t xml:space="preserve"> can also dampen the carbon price signal </w:t>
      </w:r>
      <w:r w:rsidR="18DA48F3" w:rsidRPr="00244D65">
        <w:rPr>
          <w:noProof/>
          <w:lang w:eastAsia="en-GB"/>
        </w:rPr>
        <w:t>and</w:t>
      </w:r>
      <w:r w:rsidRPr="00244D65">
        <w:rPr>
          <w:noProof/>
          <w:lang w:eastAsia="en-GB"/>
        </w:rPr>
        <w:t xml:space="preserve"> reduc</w:t>
      </w:r>
      <w:r w:rsidR="18DA48F3" w:rsidRPr="00244D65">
        <w:rPr>
          <w:noProof/>
          <w:lang w:eastAsia="en-GB"/>
        </w:rPr>
        <w:t>e</w:t>
      </w:r>
      <w:r w:rsidRPr="00244D65">
        <w:rPr>
          <w:noProof/>
          <w:lang w:eastAsia="en-GB"/>
        </w:rPr>
        <w:t xml:space="preserve"> incentives to </w:t>
      </w:r>
      <w:bookmarkEnd w:id="66"/>
      <w:r w:rsidR="34EC746C" w:rsidRPr="00244D65">
        <w:rPr>
          <w:noProof/>
          <w:lang w:eastAsia="en-GB"/>
        </w:rPr>
        <w:t>decarbonise</w:t>
      </w:r>
      <w:r w:rsidRPr="00244D65">
        <w:rPr>
          <w:noProof/>
          <w:lang w:eastAsia="en-GB"/>
        </w:rPr>
        <w:t>.</w:t>
      </w:r>
      <w:r w:rsidR="633197D2" w:rsidRPr="00244D65">
        <w:rPr>
          <w:noProof/>
          <w:lang w:eastAsia="en-GB"/>
        </w:rPr>
        <w:t xml:space="preserve"> This is confirmed by the findings of the evaluation, </w:t>
      </w:r>
      <w:r w:rsidR="188EADF7" w:rsidRPr="00244D65">
        <w:rPr>
          <w:noProof/>
          <w:lang w:eastAsia="en-GB"/>
        </w:rPr>
        <w:t>which indicat</w:t>
      </w:r>
      <w:r w:rsidR="01A6F860" w:rsidRPr="00244D65">
        <w:rPr>
          <w:noProof/>
          <w:lang w:eastAsia="en-GB"/>
        </w:rPr>
        <w:t>e</w:t>
      </w:r>
      <w:r w:rsidR="188EADF7" w:rsidRPr="00244D65">
        <w:rPr>
          <w:noProof/>
          <w:lang w:eastAsia="en-GB"/>
        </w:rPr>
        <w:t xml:space="preserve">s, based on literature review, </w:t>
      </w:r>
      <w:r w:rsidR="5D10DC71" w:rsidRPr="00244D65">
        <w:rPr>
          <w:noProof/>
          <w:lang w:eastAsia="en-GB"/>
        </w:rPr>
        <w:t>that</w:t>
      </w:r>
      <w:r w:rsidR="62EA056A" w:rsidRPr="00244D65">
        <w:rPr>
          <w:noProof/>
          <w:lang w:eastAsia="en-GB"/>
        </w:rPr>
        <w:t xml:space="preserve"> </w:t>
      </w:r>
      <w:r w:rsidR="62EA056A" w:rsidRPr="00244D65">
        <w:rPr>
          <w:noProof/>
        </w:rPr>
        <w:t xml:space="preserve">the effect of the </w:t>
      </w:r>
      <w:r w:rsidR="7A6763F2" w:rsidRPr="00244D65">
        <w:rPr>
          <w:noProof/>
        </w:rPr>
        <w:t>EU</w:t>
      </w:r>
      <w:r w:rsidR="62EA056A" w:rsidRPr="00244D65">
        <w:rPr>
          <w:noProof/>
        </w:rPr>
        <w:t xml:space="preserve"> ETS prices on carbon efficiency and</w:t>
      </w:r>
      <w:r w:rsidR="633197D2" w:rsidRPr="00244D65">
        <w:rPr>
          <w:noProof/>
          <w:lang w:eastAsia="en-GB"/>
        </w:rPr>
        <w:t xml:space="preserve"> emissions </w:t>
      </w:r>
      <w:r w:rsidR="62EA056A" w:rsidRPr="00244D65">
        <w:rPr>
          <w:noProof/>
        </w:rPr>
        <w:t>reduction is more pronounced for sectors transitioning away from free allocation and into auctioning</w:t>
      </w:r>
      <w:r w:rsidR="6A02CA37" w:rsidRPr="00244D65">
        <w:rPr>
          <w:noProof/>
        </w:rPr>
        <w:t xml:space="preserve"> (see Annex </w:t>
      </w:r>
      <w:r w:rsidR="4BE9D103" w:rsidRPr="00244D65">
        <w:rPr>
          <w:noProof/>
        </w:rPr>
        <w:t>15</w:t>
      </w:r>
      <w:r w:rsidR="6A02CA37" w:rsidRPr="00244D65">
        <w:rPr>
          <w:noProof/>
        </w:rPr>
        <w:t xml:space="preserve">, </w:t>
      </w:r>
      <w:r w:rsidR="00C67A42" w:rsidRPr="00244D65">
        <w:rPr>
          <w:noProof/>
        </w:rPr>
        <w:t>S</w:t>
      </w:r>
      <w:r w:rsidR="24E4FBF3" w:rsidRPr="00244D65">
        <w:rPr>
          <w:noProof/>
        </w:rPr>
        <w:t>ection 4</w:t>
      </w:r>
      <w:r w:rsidR="74480EA2" w:rsidRPr="00244D65">
        <w:rPr>
          <w:noProof/>
          <w:lang w:eastAsia="en-GB"/>
        </w:rPr>
        <w:t>)</w:t>
      </w:r>
      <w:r w:rsidR="19328565" w:rsidRPr="00244D65">
        <w:rPr>
          <w:noProof/>
          <w:lang w:eastAsia="en-GB"/>
        </w:rPr>
        <w:t>.</w:t>
      </w:r>
    </w:p>
    <w:p w14:paraId="2EA047CE" w14:textId="77777777" w:rsidR="0070088B" w:rsidRPr="00244D65" w:rsidRDefault="0070088B" w:rsidP="0085595C">
      <w:pPr>
        <w:rPr>
          <w:noProof/>
          <w:lang w:eastAsia="en-GB"/>
        </w:rPr>
      </w:pPr>
      <w:bookmarkStart w:id="68" w:name="_Toc211962833"/>
      <w:r w:rsidRPr="00244D65">
        <w:rPr>
          <w:noProof/>
          <w:lang w:eastAsia="en-GB"/>
        </w:rPr>
        <w:t>The following sub-drivers have been identified:</w:t>
      </w:r>
      <w:bookmarkEnd w:id="68"/>
    </w:p>
    <w:p w14:paraId="10FD7197" w14:textId="72CFD3CE" w:rsidR="004C4311" w:rsidRPr="00244D65" w:rsidRDefault="0070088B" w:rsidP="0085595C">
      <w:pPr>
        <w:pStyle w:val="ListParagraph"/>
        <w:numPr>
          <w:ilvl w:val="1"/>
          <w:numId w:val="7"/>
        </w:numPr>
        <w:rPr>
          <w:noProof/>
          <w:lang w:eastAsia="en-GB"/>
        </w:rPr>
      </w:pPr>
      <w:bookmarkStart w:id="69" w:name="_Toc211962834"/>
      <w:r w:rsidRPr="00244D65">
        <w:rPr>
          <w:noProof/>
          <w:lang w:eastAsia="en-GB"/>
        </w:rPr>
        <w:t>D2.1 (P3) Free allocation dampens the carbon price signal</w:t>
      </w:r>
      <w:r w:rsidR="00B309F4" w:rsidRPr="00244D65">
        <w:rPr>
          <w:noProof/>
          <w:lang w:eastAsia="en-GB"/>
        </w:rPr>
        <w:t>.</w:t>
      </w:r>
      <w:r w:rsidR="00262BD0" w:rsidRPr="00244D65">
        <w:rPr>
          <w:noProof/>
          <w:lang w:eastAsia="en-GB"/>
        </w:rPr>
        <w:t xml:space="preserve"> </w:t>
      </w:r>
      <w:r w:rsidR="00847E5E" w:rsidRPr="00244D65">
        <w:rPr>
          <w:noProof/>
          <w:lang w:eastAsia="en-GB"/>
        </w:rPr>
        <w:t>I</w:t>
      </w:r>
      <w:r w:rsidR="00262BD0" w:rsidRPr="00244D65">
        <w:rPr>
          <w:noProof/>
          <w:lang w:eastAsia="en-GB"/>
        </w:rPr>
        <w:t xml:space="preserve">ndirect carbon cost (ICC) </w:t>
      </w:r>
      <w:r w:rsidR="00B82627" w:rsidRPr="00244D65">
        <w:rPr>
          <w:noProof/>
          <w:lang w:eastAsia="en-GB"/>
        </w:rPr>
        <w:t>pass</w:t>
      </w:r>
      <w:r w:rsidR="000C653C" w:rsidRPr="00244D65">
        <w:rPr>
          <w:noProof/>
          <w:lang w:eastAsia="en-GB"/>
        </w:rPr>
        <w:t>ed</w:t>
      </w:r>
      <w:r w:rsidR="00B82627" w:rsidRPr="00244D65">
        <w:rPr>
          <w:noProof/>
          <w:lang w:eastAsia="en-GB"/>
        </w:rPr>
        <w:t xml:space="preserve"> through</w:t>
      </w:r>
      <w:r w:rsidR="00262BD0" w:rsidRPr="00244D65">
        <w:rPr>
          <w:noProof/>
          <w:lang w:eastAsia="en-GB"/>
        </w:rPr>
        <w:t xml:space="preserve"> in electricity disincentivise</w:t>
      </w:r>
      <w:r w:rsidR="00B309F4" w:rsidRPr="00244D65">
        <w:rPr>
          <w:noProof/>
          <w:lang w:eastAsia="en-GB"/>
        </w:rPr>
        <w:t>s</w:t>
      </w:r>
      <w:r w:rsidR="00262BD0" w:rsidRPr="00244D65">
        <w:rPr>
          <w:noProof/>
          <w:lang w:eastAsia="en-GB"/>
        </w:rPr>
        <w:t xml:space="preserve"> industry electrification</w:t>
      </w:r>
      <w:r w:rsidR="004C4311" w:rsidRPr="00244D65">
        <w:rPr>
          <w:noProof/>
          <w:lang w:eastAsia="en-GB"/>
        </w:rPr>
        <w:t>.</w:t>
      </w:r>
      <w:bookmarkEnd w:id="69"/>
    </w:p>
    <w:p w14:paraId="5CEF5FCF" w14:textId="77777777" w:rsidR="0070088B" w:rsidRPr="00244D65" w:rsidRDefault="0070088B" w:rsidP="0085595C">
      <w:pPr>
        <w:pStyle w:val="ListParagraph"/>
        <w:numPr>
          <w:ilvl w:val="1"/>
          <w:numId w:val="7"/>
        </w:numPr>
        <w:rPr>
          <w:noProof/>
          <w:lang w:eastAsia="en-GB"/>
        </w:rPr>
      </w:pPr>
      <w:bookmarkStart w:id="70" w:name="_Toc211962836"/>
      <w:r w:rsidRPr="00244D65">
        <w:rPr>
          <w:noProof/>
          <w:lang w:eastAsia="en-GB"/>
        </w:rPr>
        <w:t>D2.2 (P8) Current regulations exempt small installations under 20MW</w:t>
      </w:r>
      <w:bookmarkEnd w:id="70"/>
    </w:p>
    <w:p w14:paraId="33865047" w14:textId="77777777" w:rsidR="0070088B" w:rsidRPr="00244D65" w:rsidRDefault="0070088B" w:rsidP="0085595C">
      <w:pPr>
        <w:pStyle w:val="ListParagraph"/>
        <w:numPr>
          <w:ilvl w:val="1"/>
          <w:numId w:val="7"/>
        </w:numPr>
        <w:rPr>
          <w:rFonts w:eastAsia="Times New Roman"/>
          <w:noProof/>
          <w:lang w:eastAsia="en-GB"/>
        </w:rPr>
      </w:pPr>
      <w:bookmarkStart w:id="71" w:name="_Toc211962839"/>
      <w:r w:rsidRPr="00244D65">
        <w:rPr>
          <w:noProof/>
          <w:lang w:eastAsia="en-GB"/>
        </w:rPr>
        <w:t>D2.3 (P4) Lack of equivalent GHG pricing signal for maritime emissions in neighbouring non-EU countries leading to a possible risk of evasion (including via relocation of transhipment activities).</w:t>
      </w:r>
      <w:bookmarkEnd w:id="71"/>
    </w:p>
    <w:p w14:paraId="7AB27BBD" w14:textId="47F6DCDA" w:rsidR="0070088B" w:rsidRPr="00244D65" w:rsidRDefault="0070088B" w:rsidP="0085595C">
      <w:pPr>
        <w:pStyle w:val="ListParagraph"/>
        <w:numPr>
          <w:ilvl w:val="1"/>
          <w:numId w:val="7"/>
        </w:numPr>
        <w:rPr>
          <w:noProof/>
          <w:lang w:eastAsia="en-GB"/>
        </w:rPr>
      </w:pPr>
      <w:bookmarkStart w:id="72" w:name="_Toc211962841"/>
      <w:r w:rsidRPr="00244D65">
        <w:rPr>
          <w:noProof/>
          <w:lang w:eastAsia="en-GB"/>
        </w:rPr>
        <w:t>D2.4 (P6/7</w:t>
      </w:r>
      <w:r w:rsidRPr="00244D65" w:rsidDel="00440772">
        <w:rPr>
          <w:noProof/>
          <w:lang w:eastAsia="en-GB"/>
        </w:rPr>
        <w:t>/8</w:t>
      </w:r>
      <w:r w:rsidRPr="00244D65">
        <w:rPr>
          <w:noProof/>
          <w:lang w:eastAsia="en-GB"/>
        </w:rPr>
        <w:t>) Limited scope of aviation and maritime</w:t>
      </w:r>
      <w:bookmarkEnd w:id="72"/>
    </w:p>
    <w:p w14:paraId="26A0F04C" w14:textId="12313C9E" w:rsidR="002A22FA" w:rsidRPr="00244D65" w:rsidRDefault="0070088B" w:rsidP="0085595C">
      <w:pPr>
        <w:pStyle w:val="ListParagraph"/>
        <w:numPr>
          <w:ilvl w:val="1"/>
          <w:numId w:val="7"/>
        </w:numPr>
        <w:rPr>
          <w:rFonts w:eastAsia="Times New Roman"/>
          <w:noProof/>
          <w:lang w:eastAsia="en-GB"/>
        </w:rPr>
      </w:pPr>
      <w:bookmarkStart w:id="73" w:name="_Toc211962846"/>
      <w:r w:rsidRPr="00244D65">
        <w:rPr>
          <w:noProof/>
          <w:lang w:eastAsia="en-GB"/>
        </w:rPr>
        <w:t xml:space="preserve">D2.4 (P5) No </w:t>
      </w:r>
      <w:r w:rsidR="006B59D0" w:rsidRPr="00244D65">
        <w:rPr>
          <w:noProof/>
          <w:lang w:eastAsia="en-GB"/>
        </w:rPr>
        <w:t xml:space="preserve">comprehensive </w:t>
      </w:r>
      <w:r w:rsidRPr="00244D65">
        <w:rPr>
          <w:noProof/>
          <w:lang w:eastAsia="en-GB"/>
        </w:rPr>
        <w:t>coverage of waste emissions</w:t>
      </w:r>
      <w:bookmarkEnd w:id="73"/>
    </w:p>
    <w:p w14:paraId="641273B9" w14:textId="77777777" w:rsidR="00AF0AAA" w:rsidRPr="00244D65" w:rsidRDefault="00AF0AAA" w:rsidP="0085595C">
      <w:pPr>
        <w:pStyle w:val="ListParagraph"/>
        <w:ind w:left="1440"/>
        <w:rPr>
          <w:rFonts w:eastAsia="Times New Roman"/>
          <w:noProof/>
          <w:lang w:eastAsia="en-GB"/>
        </w:rPr>
      </w:pPr>
    </w:p>
    <w:p w14:paraId="17DF2C55" w14:textId="6217611B" w:rsidR="0070088B" w:rsidRPr="00244D65" w:rsidRDefault="0070088B" w:rsidP="0085595C">
      <w:pPr>
        <w:pStyle w:val="ListParagraph"/>
        <w:numPr>
          <w:ilvl w:val="0"/>
          <w:numId w:val="7"/>
        </w:numPr>
        <w:rPr>
          <w:noProof/>
          <w:lang w:eastAsia="en-GB"/>
        </w:rPr>
      </w:pPr>
      <w:bookmarkStart w:id="74" w:name="_Toc211962848"/>
      <w:r w:rsidRPr="00244D65">
        <w:rPr>
          <w:b/>
          <w:noProof/>
          <w:lang w:eastAsia="en-GB"/>
        </w:rPr>
        <w:t>D3: International carbon pricing measures in transport.</w:t>
      </w:r>
      <w:r w:rsidRPr="00244D65">
        <w:rPr>
          <w:noProof/>
          <w:lang w:eastAsia="en-GB"/>
        </w:rPr>
        <w:t xml:space="preserve"> In terms of interaction between the implementation of the </w:t>
      </w:r>
      <w:r w:rsidR="00962BF1" w:rsidRPr="00244D65">
        <w:rPr>
          <w:noProof/>
          <w:lang w:eastAsia="en-GB"/>
        </w:rPr>
        <w:t>EU ETS</w:t>
      </w:r>
      <w:r w:rsidRPr="00244D65">
        <w:rPr>
          <w:noProof/>
          <w:lang w:eastAsia="en-GB"/>
        </w:rPr>
        <w:t xml:space="preserve"> and the implementation of global measures to reduce emissions from aviation and shipping, the following sub-drivers have been identified:</w:t>
      </w:r>
      <w:bookmarkEnd w:id="74"/>
    </w:p>
    <w:p w14:paraId="67B480BC" w14:textId="28F548D6" w:rsidR="0070088B" w:rsidRPr="00244D65" w:rsidRDefault="0070088B" w:rsidP="0085595C">
      <w:pPr>
        <w:pStyle w:val="ListParagraph"/>
        <w:numPr>
          <w:ilvl w:val="1"/>
          <w:numId w:val="7"/>
        </w:numPr>
        <w:rPr>
          <w:noProof/>
          <w:lang w:eastAsia="en-GB"/>
        </w:rPr>
      </w:pPr>
      <w:bookmarkStart w:id="75" w:name="_Toc211962849"/>
      <w:r w:rsidRPr="00244D65">
        <w:rPr>
          <w:noProof/>
          <w:lang w:eastAsia="en-GB"/>
        </w:rPr>
        <w:t>D3.1 (P6) Possible non-implementation of CORSIA by third countries</w:t>
      </w:r>
      <w:bookmarkEnd w:id="75"/>
      <w:r w:rsidR="00B54471" w:rsidRPr="00244D65">
        <w:rPr>
          <w:noProof/>
          <w:lang w:eastAsia="en-GB"/>
        </w:rPr>
        <w:t xml:space="preserve">: A wide range of quantification scenarios would be possible, as the impact of the driver depends on which countries outside the EEA implement CORSIA, and how and to what extent (if any) it is strengthened. Table </w:t>
      </w:r>
      <w:r>
        <w:rPr>
          <w:noProof/>
          <w:lang w:eastAsia="en-GB"/>
        </w:rPr>
        <w:t>5</w:t>
      </w:r>
      <w:r w:rsidR="00B54471" w:rsidRPr="00244D65">
        <w:rPr>
          <w:noProof/>
          <w:lang w:eastAsia="en-GB"/>
        </w:rPr>
        <w:t xml:space="preserve"> compares emissions coverage in two key participation scenarios</w:t>
      </w:r>
      <w:r w:rsidR="00BC5D99" w:rsidRPr="00244D65">
        <w:rPr>
          <w:noProof/>
          <w:lang w:eastAsia="en-GB"/>
        </w:rPr>
        <w:t xml:space="preserve"> (PO1 and PO2/3</w:t>
      </w:r>
      <w:r>
        <w:rPr>
          <w:noProof/>
          <w:lang w:eastAsia="en-GB"/>
        </w:rPr>
        <w:t>, where assumed participation is the same</w:t>
      </w:r>
      <w:r w:rsidR="00BC5D99" w:rsidRPr="00244D65">
        <w:rPr>
          <w:noProof/>
          <w:lang w:eastAsia="en-GB"/>
        </w:rPr>
        <w:t>)</w:t>
      </w:r>
      <w:r w:rsidR="00B54471" w:rsidRPr="00244D65">
        <w:rPr>
          <w:noProof/>
          <w:lang w:eastAsia="en-GB"/>
        </w:rPr>
        <w:t xml:space="preserve">, and Annex 10 </w:t>
      </w:r>
      <w:r w:rsidR="00C67A42" w:rsidRPr="00244D65">
        <w:rPr>
          <w:noProof/>
          <w:lang w:eastAsia="en-GB"/>
        </w:rPr>
        <w:t>S</w:t>
      </w:r>
      <w:r w:rsidR="00B54471" w:rsidRPr="00244D65">
        <w:rPr>
          <w:noProof/>
          <w:lang w:eastAsia="en-GB"/>
        </w:rPr>
        <w:t xml:space="preserve">ection </w:t>
      </w:r>
      <w:r w:rsidR="007236C7" w:rsidRPr="00244D65">
        <w:rPr>
          <w:noProof/>
          <w:lang w:eastAsia="en-GB"/>
        </w:rPr>
        <w:t>5</w:t>
      </w:r>
      <w:r w:rsidR="00B54471" w:rsidRPr="00244D65">
        <w:rPr>
          <w:noProof/>
          <w:lang w:eastAsia="en-GB"/>
        </w:rPr>
        <w:t xml:space="preserve"> provides further context, including </w:t>
      </w:r>
      <w:r>
        <w:rPr>
          <w:noProof/>
          <w:lang w:eastAsia="en-GB"/>
        </w:rPr>
        <w:t>Table</w:t>
      </w:r>
      <w:r w:rsidR="00B54471" w:rsidRPr="00244D65">
        <w:rPr>
          <w:noProof/>
          <w:lang w:eastAsia="en-GB"/>
        </w:rPr>
        <w:t xml:space="preserve"> 1</w:t>
      </w:r>
      <w:r w:rsidR="001E1ABA" w:rsidRPr="00244D65">
        <w:rPr>
          <w:noProof/>
          <w:lang w:eastAsia="en-GB"/>
        </w:rPr>
        <w:t>9</w:t>
      </w:r>
      <w:r w:rsidR="00B54471" w:rsidRPr="00244D65">
        <w:rPr>
          <w:noProof/>
          <w:lang w:eastAsia="en-GB"/>
        </w:rPr>
        <w:t xml:space="preserve"> which examines six participation scenarios.</w:t>
      </w:r>
    </w:p>
    <w:p w14:paraId="012AE0A9" w14:textId="14280280" w:rsidR="009C0A85" w:rsidRPr="00244D65" w:rsidRDefault="009C0A85" w:rsidP="0085595C">
      <w:pPr>
        <w:pStyle w:val="ListParagraph"/>
        <w:numPr>
          <w:ilvl w:val="1"/>
          <w:numId w:val="7"/>
        </w:numPr>
        <w:rPr>
          <w:noProof/>
          <w:lang w:eastAsia="en-GB"/>
        </w:rPr>
      </w:pPr>
      <w:r w:rsidRPr="00244D65">
        <w:rPr>
          <w:noProof/>
          <w:lang w:eastAsia="en-GB"/>
        </w:rPr>
        <w:t>D3.2 (P</w:t>
      </w:r>
      <w:r w:rsidRPr="00244D65">
        <w:rPr>
          <w:rFonts w:eastAsia="MS PGothic"/>
          <w:noProof/>
          <w:lang w:eastAsia="en-GB"/>
        </w:rPr>
        <w:t xml:space="preserve">7) </w:t>
      </w:r>
      <w:r w:rsidRPr="00244D65">
        <w:rPr>
          <w:noProof/>
          <w:lang w:eastAsia="en-GB"/>
        </w:rPr>
        <w:t>Potential lack of coherence between ETS implementation and the implementation of</w:t>
      </w:r>
      <w:r w:rsidR="008C20D2" w:rsidRPr="00244D65">
        <w:rPr>
          <w:noProof/>
          <w:lang w:eastAsia="en-GB"/>
        </w:rPr>
        <w:t xml:space="preserve"> possible</w:t>
      </w:r>
      <w:r w:rsidRPr="00244D65">
        <w:rPr>
          <w:noProof/>
          <w:lang w:eastAsia="en-GB"/>
        </w:rPr>
        <w:t xml:space="preserve"> IMO </w:t>
      </w:r>
      <w:r w:rsidRPr="00244D65">
        <w:rPr>
          <w:noProof/>
        </w:rPr>
        <w:t>mid-term measures in the future</w:t>
      </w:r>
    </w:p>
    <w:p w14:paraId="5E89B38A" w14:textId="77777777" w:rsidR="0070088B" w:rsidRPr="00244D65" w:rsidRDefault="0070088B" w:rsidP="0085595C">
      <w:pPr>
        <w:rPr>
          <w:noProof/>
          <w:lang w:eastAsia="en-GB"/>
        </w:rPr>
      </w:pPr>
      <w:bookmarkStart w:id="76" w:name="_Toc211962855"/>
      <w:r w:rsidRPr="00244D65">
        <w:rPr>
          <w:noProof/>
          <w:lang w:eastAsia="en-GB"/>
        </w:rPr>
        <w:t>Associated with Problem 2:</w:t>
      </w:r>
      <w:bookmarkEnd w:id="76"/>
    </w:p>
    <w:p w14:paraId="63B9A599" w14:textId="5AEC3163" w:rsidR="0070088B" w:rsidRPr="00244D65" w:rsidRDefault="0070088B" w:rsidP="0085595C">
      <w:pPr>
        <w:pStyle w:val="ListParagraph"/>
        <w:numPr>
          <w:ilvl w:val="0"/>
          <w:numId w:val="7"/>
        </w:numPr>
        <w:rPr>
          <w:noProof/>
          <w:lang w:eastAsia="en-GB"/>
        </w:rPr>
      </w:pPr>
      <w:bookmarkStart w:id="77" w:name="_Toc211962856"/>
      <w:r w:rsidRPr="00244D65">
        <w:rPr>
          <w:b/>
          <w:noProof/>
          <w:lang w:eastAsia="en-GB"/>
        </w:rPr>
        <w:t>D4: Decreasing market size.</w:t>
      </w:r>
      <w:r w:rsidRPr="00244D65">
        <w:rPr>
          <w:noProof/>
          <w:lang w:eastAsia="en-GB"/>
        </w:rPr>
        <w:t xml:space="preserve"> The decreasing market size can have a negative impact on trading. This is because a low market size entails the risk of thin or illiquid trading</w:t>
      </w:r>
      <w:r w:rsidRPr="00244D65">
        <w:rPr>
          <w:noProof/>
          <w:vertAlign w:val="superscript"/>
          <w:lang w:eastAsia="en-GB"/>
        </w:rPr>
        <w:footnoteReference w:id="20"/>
      </w:r>
      <w:r w:rsidRPr="00244D65">
        <w:rPr>
          <w:noProof/>
          <w:lang w:eastAsia="en-GB"/>
        </w:rPr>
        <w:t>, which would in turn cause price volatility and uncertainty.</w:t>
      </w:r>
      <w:bookmarkEnd w:id="77"/>
    </w:p>
    <w:p w14:paraId="6412D112" w14:textId="162BEFA2" w:rsidR="0070088B" w:rsidRPr="00244D65" w:rsidRDefault="0070088B" w:rsidP="0085595C">
      <w:pPr>
        <w:rPr>
          <w:noProof/>
          <w:lang w:eastAsia="en-GB"/>
        </w:rPr>
      </w:pPr>
      <w:bookmarkStart w:id="78" w:name="_Toc211962857"/>
      <w:r w:rsidRPr="00244D65">
        <w:rPr>
          <w:noProof/>
          <w:lang w:eastAsia="en-GB"/>
        </w:rPr>
        <w:t>The following sub-driver ha</w:t>
      </w:r>
      <w:r w:rsidR="007F10A8" w:rsidRPr="00244D65">
        <w:rPr>
          <w:noProof/>
          <w:lang w:eastAsia="en-GB"/>
        </w:rPr>
        <w:t>s</w:t>
      </w:r>
      <w:r w:rsidRPr="00244D65">
        <w:rPr>
          <w:noProof/>
          <w:lang w:eastAsia="en-GB"/>
        </w:rPr>
        <w:t xml:space="preserve"> been identified:</w:t>
      </w:r>
      <w:bookmarkEnd w:id="78"/>
    </w:p>
    <w:p w14:paraId="3B6C36D1" w14:textId="4D31B1F8" w:rsidR="006C6DA0" w:rsidRPr="00244D65" w:rsidRDefault="0070088B" w:rsidP="0085595C">
      <w:pPr>
        <w:pStyle w:val="ListParagraph"/>
        <w:numPr>
          <w:ilvl w:val="1"/>
          <w:numId w:val="7"/>
        </w:numPr>
        <w:rPr>
          <w:noProof/>
          <w:lang w:eastAsia="en-GB"/>
        </w:rPr>
      </w:pPr>
      <w:bookmarkStart w:id="79" w:name="_Toc211962858"/>
      <w:r w:rsidRPr="00244D65">
        <w:rPr>
          <w:noProof/>
          <w:lang w:eastAsia="en-GB"/>
        </w:rPr>
        <w:t xml:space="preserve">D4.1 (P10/11) Intrinsic functioning of the EU </w:t>
      </w:r>
      <w:bookmarkEnd w:id="79"/>
      <w:r w:rsidR="00681B38" w:rsidRPr="00244D65">
        <w:rPr>
          <w:noProof/>
          <w:lang w:eastAsia="en-GB"/>
        </w:rPr>
        <w:t>ETS</w:t>
      </w:r>
      <w:r w:rsidR="000510A8" w:rsidRPr="00244D65">
        <w:rPr>
          <w:noProof/>
          <w:lang w:eastAsia="en-GB"/>
        </w:rPr>
        <w:t xml:space="preserve"> (as the cap reduces over time so will the size of the market)</w:t>
      </w:r>
      <w:r w:rsidR="00F23F5A" w:rsidRPr="00244D65">
        <w:rPr>
          <w:noProof/>
          <w:lang w:eastAsia="en-GB"/>
        </w:rPr>
        <w:t>, which</w:t>
      </w:r>
      <w:r w:rsidR="00B31B24" w:rsidRPr="00244D65">
        <w:rPr>
          <w:noProof/>
          <w:lang w:eastAsia="en-GB"/>
        </w:rPr>
        <w:t>, under certain circumstances, can lead to market failure.</w:t>
      </w:r>
    </w:p>
    <w:p w14:paraId="4EC3DBA5" w14:textId="66A810EA" w:rsidR="00A37F48" w:rsidRPr="00244D65" w:rsidRDefault="00A37F48" w:rsidP="0085595C">
      <w:pPr>
        <w:rPr>
          <w:rFonts w:eastAsia="Times New Roman"/>
          <w:noProof/>
          <w:lang w:eastAsia="en-GB"/>
        </w:rPr>
      </w:pPr>
      <w:r w:rsidRPr="00244D65">
        <w:rPr>
          <w:noProof/>
        </w:rPr>
        <w:t>The individual sub</w:t>
      </w:r>
      <w:r w:rsidR="006B5392" w:rsidRPr="00244D65">
        <w:rPr>
          <w:noProof/>
        </w:rPr>
        <w:t>-</w:t>
      </w:r>
      <w:r w:rsidRPr="00244D65">
        <w:rPr>
          <w:noProof/>
        </w:rPr>
        <w:t>drivers are further developed in Annex 7.</w:t>
      </w:r>
    </w:p>
    <w:p w14:paraId="1A1FDE26" w14:textId="77777777" w:rsidR="006B087E" w:rsidRPr="00244D65" w:rsidRDefault="006B087E" w:rsidP="0085595C">
      <w:pPr>
        <w:pStyle w:val="Heading2"/>
        <w:rPr>
          <w:noProof/>
        </w:rPr>
      </w:pPr>
      <w:bookmarkStart w:id="80" w:name="_Toc234949732"/>
      <w:bookmarkStart w:id="81" w:name="_Toc232752488"/>
      <w:r w:rsidRPr="00244D65">
        <w:rPr>
          <w:noProof/>
        </w:rPr>
        <w:t xml:space="preserve">How </w:t>
      </w:r>
      <w:r w:rsidR="00CC3AAC" w:rsidRPr="00244D65">
        <w:rPr>
          <w:noProof/>
        </w:rPr>
        <w:t>likely is the problem to persist?</w:t>
      </w:r>
      <w:bookmarkEnd w:id="80"/>
      <w:bookmarkEnd w:id="81"/>
    </w:p>
    <w:p w14:paraId="3EB458B7" w14:textId="4AAF2917" w:rsidR="007D4BDF" w:rsidRPr="00244D65" w:rsidRDefault="00816844" w:rsidP="0085595C">
      <w:pPr>
        <w:rPr>
          <w:noProof/>
        </w:rPr>
      </w:pPr>
      <w:bookmarkStart w:id="82" w:name="_Toc211962859"/>
      <w:r w:rsidRPr="00244D65">
        <w:rPr>
          <w:noProof/>
        </w:rPr>
        <w:t xml:space="preserve">The risk that the </w:t>
      </w:r>
      <w:r w:rsidR="00962BF1" w:rsidRPr="00244D65">
        <w:rPr>
          <w:noProof/>
        </w:rPr>
        <w:t>EU ETS</w:t>
      </w:r>
      <w:r w:rsidRPr="00244D65">
        <w:rPr>
          <w:noProof/>
        </w:rPr>
        <w:t xml:space="preserve"> does not contribute cost-effectively to the EU emissions reduction target in line with </w:t>
      </w:r>
      <w:r w:rsidR="00A6532F" w:rsidRPr="00244D65">
        <w:rPr>
          <w:noProof/>
        </w:rPr>
        <w:t xml:space="preserve">2050 economy-wide </w:t>
      </w:r>
      <w:r w:rsidRPr="00244D65">
        <w:rPr>
          <w:noProof/>
        </w:rPr>
        <w:t xml:space="preserve">climate neutrality and the 2040 target and </w:t>
      </w:r>
      <w:r w:rsidR="0059010A" w:rsidRPr="00244D65">
        <w:rPr>
          <w:noProof/>
        </w:rPr>
        <w:t xml:space="preserve">fails to </w:t>
      </w:r>
      <w:r w:rsidRPr="00244D65">
        <w:rPr>
          <w:noProof/>
        </w:rPr>
        <w:t>address the</w:t>
      </w:r>
      <w:r w:rsidR="00EE395B" w:rsidRPr="00244D65">
        <w:rPr>
          <w:noProof/>
        </w:rPr>
        <w:t xml:space="preserve"> </w:t>
      </w:r>
      <w:r w:rsidRPr="00244D65" w:rsidDel="00EE395B">
        <w:rPr>
          <w:noProof/>
        </w:rPr>
        <w:t>E</w:t>
      </w:r>
      <w:r w:rsidRPr="00244D65" w:rsidDel="00483B5A">
        <w:rPr>
          <w:noProof/>
        </w:rPr>
        <w:t>U</w:t>
      </w:r>
      <w:r w:rsidRPr="00244D65" w:rsidDel="00EE395B">
        <w:rPr>
          <w:noProof/>
        </w:rPr>
        <w:t>’s</w:t>
      </w:r>
      <w:r w:rsidRPr="00244D65">
        <w:rPr>
          <w:noProof/>
        </w:rPr>
        <w:t xml:space="preserve"> fair share of international emissions</w:t>
      </w:r>
      <w:r w:rsidR="007D4BDF" w:rsidRPr="00244D65">
        <w:rPr>
          <w:noProof/>
        </w:rPr>
        <w:t xml:space="preserve">, is likely to persist because </w:t>
      </w:r>
      <w:r w:rsidR="004912E1" w:rsidRPr="00244D65">
        <w:rPr>
          <w:noProof/>
        </w:rPr>
        <w:t>the</w:t>
      </w:r>
      <w:r w:rsidR="000C653C" w:rsidRPr="00244D65">
        <w:rPr>
          <w:noProof/>
        </w:rPr>
        <w:t xml:space="preserve"> </w:t>
      </w:r>
      <w:r w:rsidRPr="00244D65">
        <w:rPr>
          <w:noProof/>
        </w:rPr>
        <w:t xml:space="preserve">current legislative framework was designed </w:t>
      </w:r>
      <w:r w:rsidR="00090BA8" w:rsidRPr="00244D65">
        <w:rPr>
          <w:noProof/>
        </w:rPr>
        <w:t>to achieve</w:t>
      </w:r>
      <w:r w:rsidRPr="00244D65">
        <w:rPr>
          <w:noProof/>
        </w:rPr>
        <w:t xml:space="preserve"> the 2030 climate target</w:t>
      </w:r>
      <w:r w:rsidR="00453D27" w:rsidRPr="00244D65">
        <w:rPr>
          <w:noProof/>
        </w:rPr>
        <w:t xml:space="preserve"> for the sectors covered</w:t>
      </w:r>
      <w:r w:rsidR="007D4BDF" w:rsidRPr="00244D65">
        <w:rPr>
          <w:noProof/>
        </w:rPr>
        <w:t>. T</w:t>
      </w:r>
      <w:r w:rsidR="00097AE5" w:rsidRPr="00244D65">
        <w:rPr>
          <w:noProof/>
        </w:rPr>
        <w:t>he continuation of the current pr</w:t>
      </w:r>
      <w:r w:rsidR="002D5C63" w:rsidRPr="00244D65">
        <w:rPr>
          <w:noProof/>
        </w:rPr>
        <w:t>ovisions post-2030</w:t>
      </w:r>
      <w:r w:rsidR="00C2673C" w:rsidRPr="00244D65">
        <w:rPr>
          <w:noProof/>
        </w:rPr>
        <w:t>, in particular the cap trajectory,</w:t>
      </w:r>
      <w:r w:rsidR="002D5C63" w:rsidRPr="00244D65">
        <w:rPr>
          <w:noProof/>
        </w:rPr>
        <w:t xml:space="preserve"> without </w:t>
      </w:r>
      <w:r w:rsidR="00C2673C" w:rsidRPr="00244D65">
        <w:rPr>
          <w:noProof/>
        </w:rPr>
        <w:t>adjustments risk market inefficiencies (e.g. trading frictions, price volatility) and excessive costs</w:t>
      </w:r>
      <w:r w:rsidRPr="00244D65">
        <w:rPr>
          <w:noProof/>
        </w:rPr>
        <w:t xml:space="preserve">. These effects can be seen in the analysis of the baseline in </w:t>
      </w:r>
      <w:r w:rsidR="00C67A42" w:rsidRPr="00244D65">
        <w:rPr>
          <w:noProof/>
        </w:rPr>
        <w:t>S</w:t>
      </w:r>
      <w:r w:rsidRPr="00244D65">
        <w:rPr>
          <w:noProof/>
        </w:rPr>
        <w:t xml:space="preserve">ection </w:t>
      </w:r>
      <w:r w:rsidR="003702B4" w:rsidRPr="00244D65">
        <w:rPr>
          <w:noProof/>
        </w:rPr>
        <w:t>5.1</w:t>
      </w:r>
      <w:r w:rsidRPr="00244D65">
        <w:rPr>
          <w:noProof/>
        </w:rPr>
        <w:t xml:space="preserve">. </w:t>
      </w:r>
      <w:bookmarkEnd w:id="82"/>
    </w:p>
    <w:p w14:paraId="59140ACA" w14:textId="77777777" w:rsidR="006B087E" w:rsidRPr="00244D65" w:rsidRDefault="006B087E" w:rsidP="0085595C">
      <w:pPr>
        <w:pStyle w:val="Heading1"/>
        <w:spacing w:before="120" w:after="120"/>
        <w:rPr>
          <w:noProof/>
        </w:rPr>
      </w:pPr>
      <w:bookmarkStart w:id="83" w:name="_Toc211962860"/>
      <w:bookmarkStart w:id="84" w:name="_Toc234949733"/>
      <w:bookmarkStart w:id="85" w:name="_Toc232752489"/>
      <w:r w:rsidRPr="00244D65">
        <w:rPr>
          <w:noProof/>
        </w:rPr>
        <w:t>Why should the EU act?</w:t>
      </w:r>
      <w:bookmarkEnd w:id="83"/>
      <w:bookmarkEnd w:id="84"/>
      <w:bookmarkEnd w:id="85"/>
    </w:p>
    <w:p w14:paraId="70EEDAD8" w14:textId="77777777" w:rsidR="006B087E" w:rsidRPr="00244D65" w:rsidRDefault="006B087E" w:rsidP="0085595C">
      <w:pPr>
        <w:pStyle w:val="Heading2"/>
        <w:rPr>
          <w:noProof/>
        </w:rPr>
      </w:pPr>
      <w:bookmarkStart w:id="86" w:name="_Toc234949734"/>
      <w:bookmarkStart w:id="87" w:name="_Toc232752490"/>
      <w:r w:rsidRPr="00244D65">
        <w:rPr>
          <w:noProof/>
        </w:rPr>
        <w:t>Legal basis</w:t>
      </w:r>
      <w:bookmarkEnd w:id="86"/>
      <w:bookmarkEnd w:id="87"/>
    </w:p>
    <w:p w14:paraId="164E8D27" w14:textId="57CB08E7" w:rsidR="006B087E" w:rsidRPr="00244D65" w:rsidRDefault="00AC3E01" w:rsidP="0085595C">
      <w:pPr>
        <w:rPr>
          <w:noProof/>
        </w:rPr>
      </w:pPr>
      <w:bookmarkStart w:id="88" w:name="_Toc211962861"/>
      <w:r w:rsidRPr="00244D65">
        <w:rPr>
          <w:noProof/>
        </w:rPr>
        <w:t xml:space="preserve">Articles 191, 192 and 193 of the Treaty on the Functioning of the European Union empower the EU to act to preserve, protect, and improve the quality of the environment; protect human health; and promote measures at the international level to deal with regional or worldwide environmental problems. The legal basis of this </w:t>
      </w:r>
      <w:r w:rsidR="00115204" w:rsidRPr="00244D65">
        <w:rPr>
          <w:noProof/>
        </w:rPr>
        <w:t xml:space="preserve">impact assessment </w:t>
      </w:r>
      <w:r w:rsidRPr="00244D65">
        <w:rPr>
          <w:noProof/>
        </w:rPr>
        <w:t xml:space="preserve">is in Article 192(1), as this </w:t>
      </w:r>
      <w:r w:rsidR="00F26166" w:rsidRPr="00244D65">
        <w:rPr>
          <w:noProof/>
        </w:rPr>
        <w:t xml:space="preserve">impact assessment </w:t>
      </w:r>
      <w:r w:rsidRPr="00244D65">
        <w:rPr>
          <w:noProof/>
        </w:rPr>
        <w:t>is action being taken to combat climate change and to serve the other environmental objectives specified in Article 191. The ETS has been operating on this legal basis since 2003. The European Parliament and Council adopted all amendments to the ETS Directive on this legal basis.</w:t>
      </w:r>
      <w:bookmarkEnd w:id="88"/>
    </w:p>
    <w:p w14:paraId="5E89CE3C" w14:textId="77777777" w:rsidR="006B087E" w:rsidRPr="00244D65" w:rsidRDefault="006B087E" w:rsidP="0085595C">
      <w:pPr>
        <w:pStyle w:val="Heading2"/>
        <w:rPr>
          <w:noProof/>
        </w:rPr>
      </w:pPr>
      <w:bookmarkStart w:id="89" w:name="_Toc234949735"/>
      <w:bookmarkStart w:id="90" w:name="_Toc232752491"/>
      <w:r w:rsidRPr="00244D65">
        <w:rPr>
          <w:noProof/>
        </w:rPr>
        <w:t>Subsidiarity: Necessity of EU action</w:t>
      </w:r>
      <w:bookmarkEnd w:id="89"/>
      <w:bookmarkEnd w:id="90"/>
    </w:p>
    <w:p w14:paraId="67B9AF0F" w14:textId="548ED27F" w:rsidR="006B087E" w:rsidRPr="00244D65" w:rsidRDefault="00CB1155" w:rsidP="0085595C">
      <w:pPr>
        <w:rPr>
          <w:noProof/>
        </w:rPr>
      </w:pPr>
      <w:r w:rsidRPr="00244D65">
        <w:rPr>
          <w:noProof/>
        </w:rPr>
        <w:t xml:space="preserve">Climate change is a trans-boundary problem and both international and EU action can effectively complement and reinforce regional, national and local action. Adjusting the ETS to the 2040 target for EU GHG reductions will affect many sectors across the EU economy and coordinated action at the EU level is therefore indispensable and has a much bigger chance of leading to the necessary transformation, acting as a strong driver for cost-effective change and upward convergence. Furthermore, many of the policy elements assessed in this </w:t>
      </w:r>
      <w:r w:rsidR="005600A3" w:rsidRPr="00244D65">
        <w:rPr>
          <w:noProof/>
        </w:rPr>
        <w:t xml:space="preserve">impact assessment </w:t>
      </w:r>
      <w:r w:rsidRPr="00244D65">
        <w:rPr>
          <w:noProof/>
        </w:rPr>
        <w:t>have an important internal market dimension, in particular the options related to the carbon leakage protection and the low-carbon funding mechanisms. EU action can also inspire and p</w:t>
      </w:r>
      <w:r w:rsidR="000956D3" w:rsidRPr="00244D65">
        <w:rPr>
          <w:noProof/>
        </w:rPr>
        <w:t>romot</w:t>
      </w:r>
      <w:r w:rsidRPr="00244D65">
        <w:rPr>
          <w:noProof/>
        </w:rPr>
        <w:t xml:space="preserve">e the </w:t>
      </w:r>
      <w:r w:rsidR="001F5D99" w:rsidRPr="00244D65" w:rsidDel="00415A9D">
        <w:rPr>
          <w:noProof/>
        </w:rPr>
        <w:t>deve</w:t>
      </w:r>
      <w:r w:rsidR="001F5D99" w:rsidRPr="00244D65">
        <w:rPr>
          <w:noProof/>
        </w:rPr>
        <w:t>lo</w:t>
      </w:r>
      <w:r w:rsidR="001F5D99" w:rsidRPr="00244D65" w:rsidDel="00415A9D">
        <w:rPr>
          <w:noProof/>
        </w:rPr>
        <w:t>pme</w:t>
      </w:r>
      <w:r w:rsidR="001F5D99" w:rsidRPr="00244D65">
        <w:rPr>
          <w:noProof/>
        </w:rPr>
        <w:t>n</w:t>
      </w:r>
      <w:r w:rsidR="001F5D99" w:rsidRPr="00244D65" w:rsidDel="00415A9D">
        <w:rPr>
          <w:noProof/>
        </w:rPr>
        <w:t>t</w:t>
      </w:r>
      <w:r w:rsidRPr="00244D65">
        <w:rPr>
          <w:noProof/>
        </w:rPr>
        <w:t xml:space="preserve"> of </w:t>
      </w:r>
      <w:r w:rsidR="005C505B" w:rsidRPr="00244D65">
        <w:rPr>
          <w:noProof/>
        </w:rPr>
        <w:t xml:space="preserve">other </w:t>
      </w:r>
      <w:r w:rsidRPr="00244D65">
        <w:rPr>
          <w:noProof/>
        </w:rPr>
        <w:t>market-based measures</w:t>
      </w:r>
      <w:r w:rsidR="00AA01A1" w:rsidRPr="00244D65">
        <w:rPr>
          <w:noProof/>
        </w:rPr>
        <w:t>,</w:t>
      </w:r>
      <w:r w:rsidR="00EF7435" w:rsidRPr="00244D65">
        <w:rPr>
          <w:noProof/>
        </w:rPr>
        <w:t xml:space="preserve"> </w:t>
      </w:r>
      <w:r w:rsidR="00984FFC" w:rsidRPr="00244D65">
        <w:rPr>
          <w:noProof/>
        </w:rPr>
        <w:t>including at global level</w:t>
      </w:r>
      <w:r w:rsidRPr="00244D65">
        <w:rPr>
          <w:noProof/>
        </w:rPr>
        <w:t>.</w:t>
      </w:r>
    </w:p>
    <w:p w14:paraId="597DB56E" w14:textId="77777777" w:rsidR="006B087E" w:rsidRPr="00244D65" w:rsidRDefault="006B087E" w:rsidP="0085595C">
      <w:pPr>
        <w:pStyle w:val="Heading2"/>
        <w:rPr>
          <w:noProof/>
        </w:rPr>
      </w:pPr>
      <w:bookmarkStart w:id="91" w:name="_Toc234949736"/>
      <w:bookmarkStart w:id="92" w:name="_Toc232752492"/>
      <w:r w:rsidRPr="00244D65">
        <w:rPr>
          <w:noProof/>
        </w:rPr>
        <w:t>Subsidiarity: Added value of EU action</w:t>
      </w:r>
      <w:bookmarkEnd w:id="91"/>
      <w:bookmarkEnd w:id="92"/>
    </w:p>
    <w:p w14:paraId="2BC7AA37" w14:textId="33BF95B4" w:rsidR="00CB1155" w:rsidRPr="00244D65" w:rsidRDefault="00CB1155" w:rsidP="0085595C">
      <w:pPr>
        <w:rPr>
          <w:noProof/>
        </w:rPr>
      </w:pPr>
      <w:r w:rsidRPr="00244D65">
        <w:rPr>
          <w:noProof/>
        </w:rPr>
        <w:t>As a carbon market, the ETS incentivises emission reductions made by cost-effective solutions first across the activities it covers, achieving greater efficiency by virtue of its scale. Implementing a similar measure nationally would result in smaller, fragmented carbon markets, risking distortions of competition and likely lead to higher overall abatement costs. The same logic holds for the extension of carbon pricing to new sectors</w:t>
      </w:r>
      <w:r w:rsidR="241D7A34" w:rsidRPr="00244D65">
        <w:rPr>
          <w:noProof/>
        </w:rPr>
        <w:t xml:space="preserve">. </w:t>
      </w:r>
    </w:p>
    <w:p w14:paraId="4F97A1C8" w14:textId="41962328" w:rsidR="006B087E" w:rsidRPr="00244D65" w:rsidRDefault="006B087E" w:rsidP="0085595C">
      <w:pPr>
        <w:pStyle w:val="Heading1"/>
        <w:spacing w:before="120" w:after="120"/>
        <w:rPr>
          <w:noProof/>
        </w:rPr>
      </w:pPr>
      <w:bookmarkStart w:id="93" w:name="_Toc211962863"/>
      <w:bookmarkStart w:id="94" w:name="_Toc234949737"/>
      <w:bookmarkStart w:id="95" w:name="_Toc232752493"/>
      <w:r w:rsidRPr="00244D65">
        <w:rPr>
          <w:noProof/>
        </w:rPr>
        <w:t>Objectives: What is to be achieved?</w:t>
      </w:r>
      <w:bookmarkEnd w:id="93"/>
      <w:bookmarkEnd w:id="94"/>
      <w:bookmarkEnd w:id="95"/>
    </w:p>
    <w:p w14:paraId="5827D493" w14:textId="7D19CE88" w:rsidR="009D2F7E" w:rsidRPr="00244D65" w:rsidRDefault="00093275" w:rsidP="0085595C">
      <w:pPr>
        <w:rPr>
          <w:noProof/>
        </w:rPr>
      </w:pPr>
      <w:bookmarkStart w:id="96" w:name="_Toc211962864"/>
      <w:r w:rsidRPr="00244D65">
        <w:rPr>
          <w:noProof/>
        </w:rPr>
        <w:t>To</w:t>
      </w:r>
      <w:r w:rsidR="00B8502D" w:rsidRPr="00244D65">
        <w:rPr>
          <w:noProof/>
        </w:rPr>
        <w:t xml:space="preserve"> address the problems identified, the revision of the </w:t>
      </w:r>
      <w:r w:rsidR="00F83E57" w:rsidRPr="00244D65">
        <w:rPr>
          <w:noProof/>
        </w:rPr>
        <w:t>ETS Directive</w:t>
      </w:r>
      <w:r w:rsidR="00B8502D" w:rsidRPr="00244D65">
        <w:rPr>
          <w:noProof/>
        </w:rPr>
        <w:t xml:space="preserve"> and the MSR Decision </w:t>
      </w:r>
      <w:r w:rsidR="00BA02CD" w:rsidRPr="00244D65">
        <w:rPr>
          <w:noProof/>
        </w:rPr>
        <w:t>has</w:t>
      </w:r>
      <w:r w:rsidR="00B8502D" w:rsidRPr="00244D65">
        <w:rPr>
          <w:noProof/>
        </w:rPr>
        <w:t xml:space="preserve"> a number of general objectives</w:t>
      </w:r>
      <w:r w:rsidR="009D2F7E" w:rsidRPr="00244D65">
        <w:rPr>
          <w:noProof/>
        </w:rPr>
        <w:t>.</w:t>
      </w:r>
      <w:bookmarkStart w:id="97" w:name="_Toc211962865"/>
      <w:bookmarkEnd w:id="96"/>
      <w:r w:rsidR="009D2F7E" w:rsidRPr="00244D65">
        <w:rPr>
          <w:noProof/>
        </w:rPr>
        <w:t xml:space="preserve"> </w:t>
      </w:r>
    </w:p>
    <w:p w14:paraId="131BD3C8" w14:textId="65B0EC42" w:rsidR="007F6419" w:rsidRPr="00244D65" w:rsidRDefault="007F6419" w:rsidP="0085595C">
      <w:pPr>
        <w:rPr>
          <w:noProof/>
        </w:rPr>
      </w:pPr>
      <w:r w:rsidRPr="00244D65">
        <w:rPr>
          <w:noProof/>
        </w:rPr>
        <w:t xml:space="preserve">As regards the </w:t>
      </w:r>
      <w:r w:rsidRPr="00244D65">
        <w:rPr>
          <w:b/>
          <w:bCs/>
          <w:noProof/>
        </w:rPr>
        <w:t xml:space="preserve">risk of not contributing cost-effectively to the EU emissions reduction target in line with climate neutrality </w:t>
      </w:r>
      <w:r w:rsidR="009B54F5" w:rsidRPr="00244D65">
        <w:rPr>
          <w:b/>
          <w:bCs/>
          <w:noProof/>
        </w:rPr>
        <w:t>and the 2040 climate target</w:t>
      </w:r>
      <w:r w:rsidRPr="00244D65">
        <w:rPr>
          <w:b/>
          <w:bCs/>
          <w:noProof/>
        </w:rPr>
        <w:t xml:space="preserve"> </w:t>
      </w:r>
      <w:r w:rsidR="00773418" w:rsidRPr="00244D65">
        <w:rPr>
          <w:b/>
          <w:bCs/>
          <w:noProof/>
        </w:rPr>
        <w:t>inclu</w:t>
      </w:r>
      <w:r w:rsidRPr="00244D65">
        <w:rPr>
          <w:b/>
          <w:bCs/>
          <w:noProof/>
        </w:rPr>
        <w:t>d</w:t>
      </w:r>
      <w:r w:rsidR="00773418" w:rsidRPr="00244D65">
        <w:rPr>
          <w:b/>
          <w:bCs/>
          <w:noProof/>
        </w:rPr>
        <w:t>ing</w:t>
      </w:r>
      <w:r w:rsidRPr="00244D65">
        <w:rPr>
          <w:b/>
          <w:bCs/>
          <w:noProof/>
        </w:rPr>
        <w:t xml:space="preserve"> addressing the EU’s fair share of emissions (problem 1)</w:t>
      </w:r>
      <w:r w:rsidRPr="00244D65">
        <w:rPr>
          <w:noProof/>
        </w:rPr>
        <w:t xml:space="preserve">, the </w:t>
      </w:r>
      <w:bookmarkEnd w:id="97"/>
      <w:r w:rsidR="005600A3" w:rsidRPr="00244D65">
        <w:rPr>
          <w:noProof/>
        </w:rPr>
        <w:t xml:space="preserve">impact assessment </w:t>
      </w:r>
      <w:r w:rsidR="0069604B" w:rsidRPr="00244D65">
        <w:rPr>
          <w:noProof/>
        </w:rPr>
        <w:t>aims to:</w:t>
      </w:r>
    </w:p>
    <w:p w14:paraId="659FC29B" w14:textId="4F64885A" w:rsidR="00350586" w:rsidRPr="00244D65" w:rsidRDefault="007F6419" w:rsidP="0085595C">
      <w:pPr>
        <w:pStyle w:val="ListParagraph"/>
        <w:numPr>
          <w:ilvl w:val="0"/>
          <w:numId w:val="7"/>
        </w:numPr>
        <w:contextualSpacing w:val="0"/>
        <w:rPr>
          <w:noProof/>
        </w:rPr>
      </w:pPr>
      <w:bookmarkStart w:id="98" w:name="_Toc211962866"/>
      <w:r w:rsidRPr="00244D65">
        <w:rPr>
          <w:noProof/>
        </w:rPr>
        <w:t xml:space="preserve">O1.1 Incentivise further emission reductions: to ensure the </w:t>
      </w:r>
      <w:r w:rsidR="00962BF1" w:rsidRPr="00244D65">
        <w:rPr>
          <w:noProof/>
        </w:rPr>
        <w:t>EU ETS</w:t>
      </w:r>
      <w:r w:rsidR="00F03D0A" w:rsidRPr="00244D65">
        <w:rPr>
          <w:noProof/>
        </w:rPr>
        <w:t xml:space="preserve"> </w:t>
      </w:r>
      <w:r w:rsidRPr="00244D65">
        <w:rPr>
          <w:noProof/>
        </w:rPr>
        <w:t xml:space="preserve">contributes cost-effectively to economy-wide efforts (including transport) of achieving emission reductions of the EU in line with climate neutrality and to contribute cost-effectively to the EU’s fair share of </w:t>
      </w:r>
      <w:r w:rsidR="00BB66C0" w:rsidRPr="00244D65">
        <w:rPr>
          <w:noProof/>
        </w:rPr>
        <w:t xml:space="preserve">economy-wide </w:t>
      </w:r>
      <w:r w:rsidRPr="00244D65">
        <w:rPr>
          <w:noProof/>
        </w:rPr>
        <w:t>emissions reductions.</w:t>
      </w:r>
      <w:bookmarkEnd w:id="98"/>
      <w:r w:rsidRPr="00244D65">
        <w:rPr>
          <w:noProof/>
        </w:rPr>
        <w:t xml:space="preserve"> </w:t>
      </w:r>
      <w:r w:rsidR="00350586" w:rsidRPr="00244D65">
        <w:rPr>
          <w:noProof/>
        </w:rPr>
        <w:t>The following specific objectives have been identified for O1.1:</w:t>
      </w:r>
    </w:p>
    <w:p w14:paraId="3CF99E68" w14:textId="6F04A349" w:rsidR="00350586" w:rsidRPr="00244D65" w:rsidRDefault="00350586" w:rsidP="0085595C">
      <w:pPr>
        <w:pStyle w:val="ListParagraph"/>
        <w:numPr>
          <w:ilvl w:val="1"/>
          <w:numId w:val="7"/>
        </w:numPr>
        <w:contextualSpacing w:val="0"/>
        <w:rPr>
          <w:noProof/>
        </w:rPr>
      </w:pPr>
      <w:r w:rsidRPr="00244D65">
        <w:rPr>
          <w:noProof/>
        </w:rPr>
        <w:t xml:space="preserve">SO1.1.1 </w:t>
      </w:r>
      <w:r w:rsidRPr="00244D65" w:rsidDel="003F2D6D">
        <w:rPr>
          <w:noProof/>
        </w:rPr>
        <w:t xml:space="preserve">Enable </w:t>
      </w:r>
      <w:r w:rsidRPr="00244D65">
        <w:rPr>
          <w:noProof/>
        </w:rPr>
        <w:t xml:space="preserve">investments in </w:t>
      </w:r>
      <w:r w:rsidR="0020706D" w:rsidRPr="00244D65">
        <w:rPr>
          <w:noProof/>
        </w:rPr>
        <w:t>decarbonisation technologies</w:t>
      </w:r>
      <w:r w:rsidR="009026EA" w:rsidRPr="00244D65">
        <w:rPr>
          <w:noProof/>
        </w:rPr>
        <w:t xml:space="preserve"> (both innovative ones and those ready for scale-up/roll-out)</w:t>
      </w:r>
      <w:r w:rsidR="0020706D" w:rsidRPr="00244D65">
        <w:rPr>
          <w:noProof/>
        </w:rPr>
        <w:t xml:space="preserve"> that currently do not yet have the business case</w:t>
      </w:r>
      <w:r w:rsidR="17D8DD62" w:rsidRPr="00244D65">
        <w:rPr>
          <w:noProof/>
        </w:rPr>
        <w:t>s</w:t>
      </w:r>
      <w:r w:rsidR="00B10B71" w:rsidRPr="00244D65">
        <w:rPr>
          <w:noProof/>
        </w:rPr>
        <w:t>.</w:t>
      </w:r>
      <w:r w:rsidR="00105788" w:rsidRPr="00244D65">
        <w:rPr>
          <w:noProof/>
        </w:rPr>
        <w:t xml:space="preserve"> </w:t>
      </w:r>
    </w:p>
    <w:p w14:paraId="4F3EDD6A" w14:textId="2D79884C" w:rsidR="00350586" w:rsidRPr="00244D65" w:rsidRDefault="00350586" w:rsidP="0085595C">
      <w:pPr>
        <w:pStyle w:val="ListParagraph"/>
        <w:numPr>
          <w:ilvl w:val="1"/>
          <w:numId w:val="7"/>
        </w:numPr>
        <w:contextualSpacing w:val="0"/>
        <w:rPr>
          <w:noProof/>
        </w:rPr>
      </w:pPr>
      <w:r w:rsidRPr="00244D65">
        <w:rPr>
          <w:noProof/>
        </w:rPr>
        <w:t>SO1.1.2 Ensure full carbon price signal is applied to emissions sources which are currently not in the scope of the EU ETS but would be well suited for its coverage, and to sectors where currently dampened.</w:t>
      </w:r>
    </w:p>
    <w:p w14:paraId="2D986065" w14:textId="02940C1B" w:rsidR="007F6419" w:rsidRPr="00244D65" w:rsidRDefault="00350586" w:rsidP="0085595C">
      <w:pPr>
        <w:pStyle w:val="ListParagraph"/>
        <w:numPr>
          <w:ilvl w:val="1"/>
          <w:numId w:val="7"/>
        </w:numPr>
        <w:contextualSpacing w:val="0"/>
        <w:rPr>
          <w:noProof/>
        </w:rPr>
      </w:pPr>
      <w:r w:rsidRPr="00244D65">
        <w:rPr>
          <w:noProof/>
        </w:rPr>
        <w:t xml:space="preserve">SO1.1.3 Address risk of carbon leakage. </w:t>
      </w:r>
    </w:p>
    <w:p w14:paraId="367560C3" w14:textId="58BF8AFE" w:rsidR="00350586" w:rsidRPr="00244D65" w:rsidRDefault="007F6419" w:rsidP="0085595C">
      <w:pPr>
        <w:pStyle w:val="ListParagraph"/>
        <w:numPr>
          <w:ilvl w:val="0"/>
          <w:numId w:val="7"/>
        </w:numPr>
        <w:contextualSpacing w:val="0"/>
        <w:rPr>
          <w:noProof/>
        </w:rPr>
      </w:pPr>
      <w:bookmarkStart w:id="99" w:name="_Toc211962867"/>
      <w:r w:rsidRPr="00244D65">
        <w:rPr>
          <w:noProof/>
        </w:rPr>
        <w:t>O1.2 Reach a pre-set emissions reduction target</w:t>
      </w:r>
      <w:r w:rsidR="008377F5" w:rsidRPr="00244D65">
        <w:rPr>
          <w:noProof/>
        </w:rPr>
        <w:t xml:space="preserve"> </w:t>
      </w:r>
      <w:r w:rsidRPr="00244D65">
        <w:rPr>
          <w:noProof/>
        </w:rPr>
        <w:t>provided by the 2040 policy package and with a net emissions calculation: exploring if the EU ETS gross emissions could be increased without compromising the sectors’ contribution to economy-wide net emission reductions in line with climate neutrality, including exploring if the emission reduction efforts could be complemented with carbon removals.</w:t>
      </w:r>
      <w:bookmarkEnd w:id="99"/>
      <w:r w:rsidR="00350586" w:rsidRPr="00244D65">
        <w:rPr>
          <w:noProof/>
        </w:rPr>
        <w:t xml:space="preserve"> </w:t>
      </w:r>
      <w:r w:rsidR="00477A0A" w:rsidRPr="00244D65">
        <w:rPr>
          <w:noProof/>
        </w:rPr>
        <w:t>T</w:t>
      </w:r>
      <w:r w:rsidR="00350586" w:rsidRPr="00244D65">
        <w:rPr>
          <w:noProof/>
        </w:rPr>
        <w:t>he following specific objectives have been identified for O1.2:</w:t>
      </w:r>
    </w:p>
    <w:p w14:paraId="500DE8A3" w14:textId="54A67327" w:rsidR="00350586" w:rsidRPr="00244D65" w:rsidRDefault="00350586" w:rsidP="0085595C">
      <w:pPr>
        <w:pStyle w:val="ListParagraph"/>
        <w:numPr>
          <w:ilvl w:val="1"/>
          <w:numId w:val="7"/>
        </w:numPr>
        <w:contextualSpacing w:val="0"/>
        <w:rPr>
          <w:noProof/>
        </w:rPr>
      </w:pPr>
      <w:r w:rsidRPr="00244D65">
        <w:rPr>
          <w:noProof/>
        </w:rPr>
        <w:t xml:space="preserve">SO1.2.1 Consider </w:t>
      </w:r>
      <w:r w:rsidR="00A704AC" w:rsidRPr="00244D65">
        <w:rPr>
          <w:noProof/>
        </w:rPr>
        <w:t xml:space="preserve">how </w:t>
      </w:r>
      <w:r w:rsidRPr="00244D65">
        <w:rPr>
          <w:noProof/>
        </w:rPr>
        <w:t xml:space="preserve">carbon removals can be integrated in the </w:t>
      </w:r>
      <w:r w:rsidR="00F06D31" w:rsidRPr="00244D65">
        <w:rPr>
          <w:noProof/>
        </w:rPr>
        <w:t xml:space="preserve">EU </w:t>
      </w:r>
      <w:r w:rsidRPr="00244D65">
        <w:rPr>
          <w:noProof/>
        </w:rPr>
        <w:t>ETS with sufficient environmental safeguards</w:t>
      </w:r>
      <w:r w:rsidR="002213B6" w:rsidRPr="00244D65">
        <w:rPr>
          <w:noProof/>
        </w:rPr>
        <w:t xml:space="preserve"> while preserving cost efficiency in achieving the ETS/EU climate objectives</w:t>
      </w:r>
      <w:r w:rsidR="00DD2B33" w:rsidRPr="00244D65">
        <w:rPr>
          <w:noProof/>
        </w:rPr>
        <w:t xml:space="preserve"> before 2040</w:t>
      </w:r>
      <w:r w:rsidRPr="00244D65">
        <w:rPr>
          <w:noProof/>
        </w:rPr>
        <w:t>.</w:t>
      </w:r>
    </w:p>
    <w:p w14:paraId="49B6DA22" w14:textId="513DE50E" w:rsidR="007F6419" w:rsidRPr="00244D65" w:rsidRDefault="00350586" w:rsidP="0085595C">
      <w:pPr>
        <w:pStyle w:val="ListParagraph"/>
        <w:numPr>
          <w:ilvl w:val="1"/>
          <w:numId w:val="7"/>
        </w:numPr>
        <w:contextualSpacing w:val="0"/>
        <w:rPr>
          <w:noProof/>
        </w:rPr>
      </w:pPr>
      <w:r w:rsidRPr="00244D65">
        <w:rPr>
          <w:noProof/>
        </w:rPr>
        <w:t xml:space="preserve">SO1.2.2 Adjust </w:t>
      </w:r>
      <w:r w:rsidR="00F06D31" w:rsidRPr="00244D65">
        <w:rPr>
          <w:noProof/>
        </w:rPr>
        <w:t xml:space="preserve">EU </w:t>
      </w:r>
      <w:r w:rsidRPr="00244D65">
        <w:rPr>
          <w:noProof/>
        </w:rPr>
        <w:t>ETS cap in line with pre-set</w:t>
      </w:r>
      <w:r w:rsidR="00336709" w:rsidRPr="00244D65">
        <w:rPr>
          <w:noProof/>
        </w:rPr>
        <w:t xml:space="preserve"> climate</w:t>
      </w:r>
      <w:r w:rsidRPr="00244D65">
        <w:rPr>
          <w:noProof/>
        </w:rPr>
        <w:t xml:space="preserve"> target</w:t>
      </w:r>
      <w:r w:rsidR="00CA65A1" w:rsidRPr="00244D65">
        <w:rPr>
          <w:noProof/>
        </w:rPr>
        <w:t xml:space="preserve"> for 2040</w:t>
      </w:r>
      <w:r w:rsidRPr="00244D65">
        <w:rPr>
          <w:noProof/>
        </w:rPr>
        <w:t xml:space="preserve">. </w:t>
      </w:r>
    </w:p>
    <w:p w14:paraId="40729B11" w14:textId="0F9C9D2F" w:rsidR="006B48BF" w:rsidRPr="00244D65" w:rsidRDefault="007F6419" w:rsidP="0085595C">
      <w:pPr>
        <w:pStyle w:val="ListParagraph"/>
        <w:numPr>
          <w:ilvl w:val="0"/>
          <w:numId w:val="7"/>
        </w:numPr>
        <w:contextualSpacing w:val="0"/>
        <w:rPr>
          <w:noProof/>
          <w:lang w:val="fr-BE"/>
        </w:rPr>
      </w:pPr>
      <w:bookmarkStart w:id="100" w:name="_Toc211962868"/>
      <w:r w:rsidRPr="00244D65">
        <w:rPr>
          <w:noProof/>
          <w:lang w:val="fr-BE"/>
        </w:rPr>
        <w:t>O1.3 Ensure effective EU climate action on</w:t>
      </w:r>
      <w:r w:rsidR="00B279BC" w:rsidRPr="00244D65">
        <w:rPr>
          <w:noProof/>
          <w:lang w:val="fr-BE"/>
        </w:rPr>
        <w:t xml:space="preserve"> </w:t>
      </w:r>
      <w:r w:rsidRPr="00244D65">
        <w:rPr>
          <w:noProof/>
          <w:lang w:val="fr-BE"/>
        </w:rPr>
        <w:t>transport</w:t>
      </w:r>
      <w:bookmarkEnd w:id="100"/>
      <w:r w:rsidRPr="00244D65">
        <w:rPr>
          <w:noProof/>
          <w:lang w:val="fr-BE"/>
        </w:rPr>
        <w:t xml:space="preserve"> </w:t>
      </w:r>
      <w:r w:rsidR="00BC3061" w:rsidRPr="00244D65">
        <w:rPr>
          <w:noProof/>
          <w:lang w:val="fr-BE"/>
        </w:rPr>
        <w:t>emissions.</w:t>
      </w:r>
      <w:r w:rsidRPr="00244D65">
        <w:rPr>
          <w:noProof/>
          <w:lang w:val="fr-BE"/>
        </w:rPr>
        <w:t xml:space="preserve"> </w:t>
      </w:r>
      <w:bookmarkStart w:id="101" w:name="_Toc211962869"/>
    </w:p>
    <w:p w14:paraId="1FE2DF28" w14:textId="4E0567F9" w:rsidR="007F6419" w:rsidRPr="00244D65" w:rsidRDefault="007F6419" w:rsidP="0085595C">
      <w:pPr>
        <w:pStyle w:val="ListParagraph"/>
        <w:contextualSpacing w:val="0"/>
        <w:rPr>
          <w:noProof/>
          <w:lang w:val="en-IE"/>
        </w:rPr>
      </w:pPr>
      <w:r w:rsidRPr="00244D65">
        <w:rPr>
          <w:noProof/>
        </w:rPr>
        <w:t xml:space="preserve">To ensure effective EU climate action means to ensure that there is a meaningful carbon price on the EU’s fair share of </w:t>
      </w:r>
      <w:r w:rsidR="00140901" w:rsidRPr="00244D65">
        <w:rPr>
          <w:noProof/>
        </w:rPr>
        <w:t xml:space="preserve">international </w:t>
      </w:r>
      <w:r w:rsidR="00A32B7C" w:rsidRPr="00244D65">
        <w:rPr>
          <w:noProof/>
        </w:rPr>
        <w:t xml:space="preserve">transport </w:t>
      </w:r>
      <w:bookmarkEnd w:id="101"/>
      <w:r w:rsidR="00A32B7C" w:rsidRPr="00244D65">
        <w:rPr>
          <w:noProof/>
        </w:rPr>
        <w:t>emissions.</w:t>
      </w:r>
      <w:r w:rsidRPr="00244D65">
        <w:rPr>
          <w:noProof/>
        </w:rPr>
        <w:t xml:space="preserve"> </w:t>
      </w:r>
    </w:p>
    <w:p w14:paraId="5D97C3C4" w14:textId="434A83FC" w:rsidR="007F6419" w:rsidRPr="00244D65" w:rsidRDefault="007F6419" w:rsidP="0085595C">
      <w:pPr>
        <w:pStyle w:val="ListParagraph"/>
        <w:numPr>
          <w:ilvl w:val="2"/>
          <w:numId w:val="7"/>
        </w:numPr>
        <w:contextualSpacing w:val="0"/>
        <w:rPr>
          <w:noProof/>
        </w:rPr>
      </w:pPr>
      <w:bookmarkStart w:id="102" w:name="_Toc211962870"/>
      <w:r w:rsidRPr="00244D65">
        <w:rPr>
          <w:noProof/>
        </w:rPr>
        <w:t xml:space="preserve">For aviation, the objective is to ensure </w:t>
      </w:r>
      <w:bookmarkStart w:id="103" w:name="_Hlk230082562"/>
      <w:r w:rsidRPr="00244D65">
        <w:rPr>
          <w:noProof/>
        </w:rPr>
        <w:t>a meaningful carbon price on the EU’s fair share of international aviation emissions, which c</w:t>
      </w:r>
      <w:r w:rsidR="009B6DAA" w:rsidRPr="00244D65">
        <w:rPr>
          <w:noProof/>
        </w:rPr>
        <w:t>an</w:t>
      </w:r>
      <w:r w:rsidRPr="00244D65">
        <w:rPr>
          <w:noProof/>
        </w:rPr>
        <w:t xml:space="preserve"> be a complement to CORSIA.</w:t>
      </w:r>
      <w:bookmarkEnd w:id="102"/>
    </w:p>
    <w:bookmarkEnd w:id="103"/>
    <w:p w14:paraId="1517363B" w14:textId="718197E6" w:rsidR="001A2016" w:rsidRPr="00244D65" w:rsidRDefault="003663D1" w:rsidP="0085595C">
      <w:pPr>
        <w:pStyle w:val="ListParagraph"/>
        <w:numPr>
          <w:ilvl w:val="2"/>
          <w:numId w:val="7"/>
        </w:numPr>
        <w:contextualSpacing w:val="0"/>
        <w:rPr>
          <w:noProof/>
        </w:rPr>
      </w:pPr>
      <w:r w:rsidRPr="00244D65">
        <w:rPr>
          <w:noProof/>
        </w:rPr>
        <w:t xml:space="preserve">For maritime, the objective is to ensure coherence between </w:t>
      </w:r>
      <w:r w:rsidR="00E6649A" w:rsidRPr="00244D65">
        <w:rPr>
          <w:noProof/>
        </w:rPr>
        <w:t xml:space="preserve">any </w:t>
      </w:r>
      <w:r w:rsidRPr="00244D65">
        <w:rPr>
          <w:noProof/>
        </w:rPr>
        <w:t xml:space="preserve">IMO mid-term measures and the EU ETS while addressing possible risk of significant double </w:t>
      </w:r>
      <w:r w:rsidR="681B44B4" w:rsidRPr="00244D65">
        <w:rPr>
          <w:noProof/>
        </w:rPr>
        <w:t>burden</w:t>
      </w:r>
      <w:r w:rsidRPr="00244D65">
        <w:rPr>
          <w:noProof/>
        </w:rPr>
        <w:t xml:space="preserve"> when (and if) payments are made due to IMO regulations in relation to emissions already priced under the EU ETS maritime, </w:t>
      </w:r>
      <w:r w:rsidR="68C8F813" w:rsidRPr="00244D65">
        <w:rPr>
          <w:noProof/>
        </w:rPr>
        <w:t>in a way that</w:t>
      </w:r>
      <w:r w:rsidRPr="00244D65">
        <w:rPr>
          <w:noProof/>
        </w:rPr>
        <w:t xml:space="preserve"> prevent</w:t>
      </w:r>
      <w:r w:rsidR="0064421B" w:rsidRPr="00244D65">
        <w:rPr>
          <w:noProof/>
        </w:rPr>
        <w:t>s</w:t>
      </w:r>
      <w:r w:rsidRPr="00244D65">
        <w:rPr>
          <w:noProof/>
        </w:rPr>
        <w:t xml:space="preserve"> environmental backsliding.</w:t>
      </w:r>
    </w:p>
    <w:p w14:paraId="0C4D8BD8" w14:textId="4705D308" w:rsidR="00350586" w:rsidRPr="00244D65" w:rsidRDefault="00350586" w:rsidP="0085595C">
      <w:pPr>
        <w:ind w:firstLine="720"/>
        <w:rPr>
          <w:noProof/>
        </w:rPr>
      </w:pPr>
      <w:r w:rsidRPr="00244D65">
        <w:rPr>
          <w:noProof/>
        </w:rPr>
        <w:t>The following specific objectives have been identified for O1.3:</w:t>
      </w:r>
    </w:p>
    <w:p w14:paraId="15FA899B" w14:textId="015D8908" w:rsidR="00350586" w:rsidRPr="00244D65" w:rsidRDefault="00350586" w:rsidP="0085595C">
      <w:pPr>
        <w:pStyle w:val="ListParagraph"/>
        <w:numPr>
          <w:ilvl w:val="1"/>
          <w:numId w:val="7"/>
        </w:numPr>
        <w:contextualSpacing w:val="0"/>
        <w:rPr>
          <w:noProof/>
        </w:rPr>
      </w:pPr>
      <w:r w:rsidRPr="00244D65">
        <w:rPr>
          <w:noProof/>
        </w:rPr>
        <w:t>SO1.3.1 Ensure effective action on EU’s fair share of aviation emissions</w:t>
      </w:r>
      <w:r w:rsidR="003A0E93" w:rsidRPr="00244D65">
        <w:rPr>
          <w:noProof/>
        </w:rPr>
        <w:t xml:space="preserve"> in the period 2031-2040</w:t>
      </w:r>
    </w:p>
    <w:p w14:paraId="0D475B93" w14:textId="7B922A94" w:rsidR="00350586" w:rsidRPr="00244D65" w:rsidRDefault="00350586" w:rsidP="0085595C">
      <w:pPr>
        <w:pStyle w:val="ListParagraph"/>
        <w:numPr>
          <w:ilvl w:val="1"/>
          <w:numId w:val="7"/>
        </w:numPr>
        <w:contextualSpacing w:val="0"/>
        <w:rPr>
          <w:noProof/>
        </w:rPr>
      </w:pPr>
      <w:r w:rsidRPr="00244D65">
        <w:rPr>
          <w:noProof/>
        </w:rPr>
        <w:t>SO1.3.2 Preserve the effectiveness of the implementation of the EU ETS extension to maritime</w:t>
      </w:r>
      <w:r w:rsidR="3E1BCF8E" w:rsidRPr="00244D65">
        <w:rPr>
          <w:noProof/>
        </w:rPr>
        <w:t>.</w:t>
      </w:r>
      <w:r w:rsidRPr="00244D65">
        <w:rPr>
          <w:noProof/>
        </w:rPr>
        <w:t xml:space="preserve"> </w:t>
      </w:r>
    </w:p>
    <w:p w14:paraId="7FDCD176" w14:textId="5FE9EB3A" w:rsidR="00DD3E3C" w:rsidRPr="00244D65" w:rsidRDefault="007F6419" w:rsidP="0085595C">
      <w:pPr>
        <w:rPr>
          <w:noProof/>
        </w:rPr>
      </w:pPr>
      <w:bookmarkStart w:id="104" w:name="_Toc211962872"/>
      <w:r w:rsidRPr="00244D65">
        <w:rPr>
          <w:noProof/>
        </w:rPr>
        <w:t xml:space="preserve">As regards the </w:t>
      </w:r>
      <w:r w:rsidRPr="00244D65">
        <w:rPr>
          <w:b/>
          <w:bCs/>
          <w:noProof/>
        </w:rPr>
        <w:t>risk of market inefficiencies (problem 2)</w:t>
      </w:r>
      <w:r w:rsidRPr="00244D65">
        <w:rPr>
          <w:noProof/>
        </w:rPr>
        <w:t xml:space="preserve">, the </w:t>
      </w:r>
      <w:r w:rsidR="00330F3D" w:rsidRPr="00244D65">
        <w:rPr>
          <w:noProof/>
        </w:rPr>
        <w:t xml:space="preserve">impact assessment </w:t>
      </w:r>
      <w:r w:rsidRPr="00244D65">
        <w:rPr>
          <w:noProof/>
        </w:rPr>
        <w:t>aims to:</w:t>
      </w:r>
      <w:bookmarkEnd w:id="104"/>
    </w:p>
    <w:p w14:paraId="0C6FA6FE" w14:textId="71BD08AF" w:rsidR="00350586" w:rsidRPr="00244D65" w:rsidRDefault="007F6419" w:rsidP="0085595C">
      <w:pPr>
        <w:pStyle w:val="ListParagraph"/>
        <w:numPr>
          <w:ilvl w:val="0"/>
          <w:numId w:val="7"/>
        </w:numPr>
        <w:contextualSpacing w:val="0"/>
        <w:rPr>
          <w:noProof/>
        </w:rPr>
      </w:pPr>
      <w:bookmarkStart w:id="105" w:name="_Toc211962873"/>
      <w:r w:rsidRPr="00244D65">
        <w:rPr>
          <w:noProof/>
        </w:rPr>
        <w:t xml:space="preserve">O2.1 Ensure efficient market functioning: this means ensuring that, in spite of </w:t>
      </w:r>
      <w:r w:rsidR="6545CD9D" w:rsidRPr="00244D65">
        <w:rPr>
          <w:noProof/>
        </w:rPr>
        <w:t xml:space="preserve">a </w:t>
      </w:r>
      <w:r w:rsidRPr="00244D65">
        <w:rPr>
          <w:noProof/>
        </w:rPr>
        <w:t>decreasing market, there is sufficient liquidity in the market so as to prevent trading frictions and excessive price volatility.</w:t>
      </w:r>
      <w:bookmarkEnd w:id="105"/>
      <w:r w:rsidR="00350586" w:rsidRPr="00244D65">
        <w:rPr>
          <w:noProof/>
        </w:rPr>
        <w:t xml:space="preserve"> The following specific objectives have been identified for O2.1:</w:t>
      </w:r>
    </w:p>
    <w:p w14:paraId="326610ED" w14:textId="4FF92D7D" w:rsidR="00350586" w:rsidRPr="00244D65" w:rsidRDefault="00350586" w:rsidP="0085595C">
      <w:pPr>
        <w:pStyle w:val="ListParagraph"/>
        <w:numPr>
          <w:ilvl w:val="1"/>
          <w:numId w:val="7"/>
        </w:numPr>
        <w:contextualSpacing w:val="0"/>
        <w:rPr>
          <w:noProof/>
        </w:rPr>
      </w:pPr>
      <w:r w:rsidRPr="00244D65">
        <w:rPr>
          <w:noProof/>
        </w:rPr>
        <w:t>SO2.1.1 Increase size of the market</w:t>
      </w:r>
      <w:r w:rsidR="001B31A3" w:rsidRPr="00244D65">
        <w:rPr>
          <w:noProof/>
        </w:rPr>
        <w:t xml:space="preserve"> until 2040</w:t>
      </w:r>
      <w:r w:rsidRPr="00244D65">
        <w:rPr>
          <w:noProof/>
        </w:rPr>
        <w:t xml:space="preserve">. </w:t>
      </w:r>
    </w:p>
    <w:p w14:paraId="10A425D9" w14:textId="64F7F323" w:rsidR="00350586" w:rsidRPr="00244D65" w:rsidRDefault="00350586" w:rsidP="0085595C">
      <w:pPr>
        <w:pStyle w:val="ListParagraph"/>
        <w:numPr>
          <w:ilvl w:val="1"/>
          <w:numId w:val="7"/>
        </w:numPr>
        <w:contextualSpacing w:val="0"/>
        <w:rPr>
          <w:noProof/>
        </w:rPr>
      </w:pPr>
      <w:r w:rsidRPr="00244D65">
        <w:rPr>
          <w:noProof/>
        </w:rPr>
        <w:t xml:space="preserve">SO2.1.2 </w:t>
      </w:r>
      <w:r w:rsidR="00090009" w:rsidRPr="00244D65">
        <w:rPr>
          <w:noProof/>
        </w:rPr>
        <w:t xml:space="preserve">Adjust MSR parameters to ensure a healthy supply-demand </w:t>
      </w:r>
      <w:r w:rsidR="52E3341D" w:rsidRPr="00244D65">
        <w:rPr>
          <w:noProof/>
        </w:rPr>
        <w:t>balance until</w:t>
      </w:r>
      <w:r w:rsidR="00090009" w:rsidRPr="00244D65">
        <w:rPr>
          <w:noProof/>
        </w:rPr>
        <w:t xml:space="preserve"> 2040</w:t>
      </w:r>
      <w:r w:rsidRPr="00244D65">
        <w:rPr>
          <w:noProof/>
        </w:rPr>
        <w:t>.</w:t>
      </w:r>
    </w:p>
    <w:p w14:paraId="0C6C486F" w14:textId="1C087913" w:rsidR="007F6419" w:rsidRPr="00244D65" w:rsidRDefault="00350586" w:rsidP="0085595C">
      <w:pPr>
        <w:rPr>
          <w:noProof/>
        </w:rPr>
      </w:pPr>
      <w:r w:rsidRPr="00244D65">
        <w:rPr>
          <w:noProof/>
        </w:rPr>
        <w:t>The specific objectives are</w:t>
      </w:r>
      <w:r w:rsidR="008D344D" w:rsidRPr="00244D65">
        <w:rPr>
          <w:noProof/>
        </w:rPr>
        <w:t xml:space="preserve"> </w:t>
      </w:r>
      <w:r w:rsidRPr="00244D65">
        <w:rPr>
          <w:noProof/>
        </w:rPr>
        <w:t>further developed in Annex 7.</w:t>
      </w:r>
    </w:p>
    <w:p w14:paraId="3F015C9F" w14:textId="39FCAE0D" w:rsidR="006B087E" w:rsidRPr="00244D65" w:rsidRDefault="006B087E" w:rsidP="0085595C">
      <w:pPr>
        <w:pStyle w:val="Heading1"/>
        <w:spacing w:before="120" w:after="120"/>
        <w:rPr>
          <w:noProof/>
        </w:rPr>
      </w:pPr>
      <w:bookmarkStart w:id="106" w:name="_Toc211962890"/>
      <w:bookmarkStart w:id="107" w:name="_Toc234949738"/>
      <w:bookmarkStart w:id="108" w:name="_Toc232752494"/>
      <w:r w:rsidRPr="00244D65">
        <w:rPr>
          <w:noProof/>
        </w:rPr>
        <w:t>What are the available policy options?</w:t>
      </w:r>
      <w:bookmarkEnd w:id="106"/>
      <w:bookmarkEnd w:id="107"/>
      <w:bookmarkEnd w:id="108"/>
    </w:p>
    <w:p w14:paraId="324B1E3F" w14:textId="77777777" w:rsidR="006B087E" w:rsidRPr="00244D65" w:rsidRDefault="006B087E" w:rsidP="0085595C">
      <w:pPr>
        <w:pStyle w:val="Heading2"/>
        <w:rPr>
          <w:noProof/>
        </w:rPr>
      </w:pPr>
      <w:bookmarkStart w:id="109" w:name="_Toc234949739"/>
      <w:bookmarkStart w:id="110" w:name="_Toc232752495"/>
      <w:r w:rsidRPr="00244D65">
        <w:rPr>
          <w:noProof/>
        </w:rPr>
        <w:t>What is the baseline from which options are assessed?</w:t>
      </w:r>
      <w:bookmarkEnd w:id="109"/>
      <w:bookmarkEnd w:id="110"/>
    </w:p>
    <w:p w14:paraId="34BE79D4" w14:textId="48AB200F" w:rsidR="00B2091F" w:rsidRPr="00244D65" w:rsidRDefault="00B2091F" w:rsidP="0085595C">
      <w:pPr>
        <w:rPr>
          <w:noProof/>
        </w:rPr>
      </w:pPr>
      <w:bookmarkStart w:id="111" w:name="_Toc211962892"/>
      <w:r w:rsidRPr="00244D65">
        <w:rPr>
          <w:noProof/>
        </w:rPr>
        <w:t xml:space="preserve">The baseline of this impact assessment assumes the continuation of the ETS Directive as currently in </w:t>
      </w:r>
      <w:r w:rsidR="00571CAB" w:rsidRPr="00244D65">
        <w:rPr>
          <w:noProof/>
        </w:rPr>
        <w:t>legislation</w:t>
      </w:r>
      <w:r w:rsidRPr="00244D65">
        <w:rPr>
          <w:noProof/>
        </w:rPr>
        <w:t xml:space="preserve">, and the continuation of all other relevant legislation, most notably </w:t>
      </w:r>
      <w:r w:rsidR="00E4160D" w:rsidRPr="00244D65">
        <w:rPr>
          <w:noProof/>
        </w:rPr>
        <w:t>Renewable Energy Directive</w:t>
      </w:r>
      <w:r w:rsidR="00E4160D" w:rsidRPr="00244D65">
        <w:rPr>
          <w:rStyle w:val="FootnoteReference"/>
          <w:noProof/>
        </w:rPr>
        <w:footnoteReference w:id="21"/>
      </w:r>
      <w:r w:rsidR="00E4160D" w:rsidRPr="00244D65">
        <w:rPr>
          <w:noProof/>
        </w:rPr>
        <w:t>, the Effort Sharing Regulation</w:t>
      </w:r>
      <w:r w:rsidR="00E4160D" w:rsidRPr="00244D65">
        <w:rPr>
          <w:rStyle w:val="FootnoteReference"/>
          <w:noProof/>
        </w:rPr>
        <w:footnoteReference w:id="22"/>
      </w:r>
      <w:r w:rsidR="00800142" w:rsidRPr="00244D65">
        <w:rPr>
          <w:noProof/>
        </w:rPr>
        <w:t xml:space="preserve"> (until 2030)</w:t>
      </w:r>
      <w:r w:rsidR="00E4160D" w:rsidRPr="00244D65">
        <w:rPr>
          <w:noProof/>
        </w:rPr>
        <w:t>, the Waste Framework Directive</w:t>
      </w:r>
      <w:r w:rsidR="00E4160D" w:rsidRPr="00244D65">
        <w:rPr>
          <w:rStyle w:val="FootnoteReference"/>
          <w:noProof/>
        </w:rPr>
        <w:footnoteReference w:id="23"/>
      </w:r>
      <w:r w:rsidR="00740C21" w:rsidRPr="00244D65">
        <w:rPr>
          <w:noProof/>
        </w:rPr>
        <w:t>, the Landfill Directive</w:t>
      </w:r>
      <w:r w:rsidR="000131DD" w:rsidRPr="00244D65">
        <w:rPr>
          <w:rStyle w:val="FootnoteReference"/>
          <w:noProof/>
        </w:rPr>
        <w:footnoteReference w:id="24"/>
      </w:r>
      <w:r w:rsidR="00AE4533" w:rsidRPr="00244D65">
        <w:rPr>
          <w:noProof/>
        </w:rPr>
        <w:t>, Re</w:t>
      </w:r>
      <w:r w:rsidR="49DC81A6" w:rsidRPr="00244D65">
        <w:rPr>
          <w:noProof/>
        </w:rPr>
        <w:t>F</w:t>
      </w:r>
      <w:r w:rsidR="00AE4533" w:rsidRPr="00244D65">
        <w:rPr>
          <w:noProof/>
        </w:rPr>
        <w:t>uelEU</w:t>
      </w:r>
      <w:r w:rsidR="00CE7A4A" w:rsidRPr="00244D65">
        <w:rPr>
          <w:noProof/>
        </w:rPr>
        <w:t xml:space="preserve"> Aviation</w:t>
      </w:r>
      <w:r w:rsidR="00CE7A4A" w:rsidRPr="00244D65">
        <w:rPr>
          <w:rStyle w:val="FootnoteReference"/>
          <w:noProof/>
        </w:rPr>
        <w:footnoteReference w:id="25"/>
      </w:r>
      <w:r w:rsidR="00321383" w:rsidRPr="00244D65">
        <w:rPr>
          <w:noProof/>
        </w:rPr>
        <w:t xml:space="preserve">, FuelEU </w:t>
      </w:r>
      <w:r w:rsidR="00512ECA" w:rsidRPr="00244D65">
        <w:rPr>
          <w:noProof/>
        </w:rPr>
        <w:t>Maritime</w:t>
      </w:r>
      <w:r w:rsidR="00512ECA" w:rsidRPr="00244D65">
        <w:rPr>
          <w:rStyle w:val="FootnoteReference"/>
          <w:noProof/>
        </w:rPr>
        <w:footnoteReference w:id="26"/>
      </w:r>
      <w:bookmarkEnd w:id="111"/>
      <w:r w:rsidR="2797291E" w:rsidRPr="00244D65">
        <w:rPr>
          <w:noProof/>
        </w:rPr>
        <w:t xml:space="preserve"> R</w:t>
      </w:r>
      <w:r w:rsidR="03B95FF5" w:rsidRPr="00244D65">
        <w:rPr>
          <w:noProof/>
        </w:rPr>
        <w:t>e</w:t>
      </w:r>
      <w:r w:rsidR="2797291E" w:rsidRPr="00244D65">
        <w:rPr>
          <w:noProof/>
        </w:rPr>
        <w:t>gulations.</w:t>
      </w:r>
    </w:p>
    <w:p w14:paraId="34E8658C" w14:textId="173764CD" w:rsidR="00BF72F9" w:rsidRPr="00244D65" w:rsidDel="00BF72F9" w:rsidRDefault="00E550A8" w:rsidP="0085595C">
      <w:pPr>
        <w:rPr>
          <w:noProof/>
        </w:rPr>
      </w:pPr>
      <w:r w:rsidRPr="00244D65">
        <w:rPr>
          <w:noProof/>
        </w:rPr>
        <w:t xml:space="preserve">This means, most notably, a continuation of the legislated linear reduction factor </w:t>
      </w:r>
      <w:r w:rsidRPr="00244D65">
        <w:rPr>
          <w:iCs/>
          <w:noProof/>
        </w:rPr>
        <w:t>of 4</w:t>
      </w:r>
      <w:r w:rsidR="00316868" w:rsidRPr="00244D65">
        <w:rPr>
          <w:iCs/>
          <w:noProof/>
        </w:rPr>
        <w:t>.</w:t>
      </w:r>
      <w:r w:rsidRPr="00244D65">
        <w:rPr>
          <w:iCs/>
          <w:noProof/>
        </w:rPr>
        <w:t>4 % from 2028 onwards</w:t>
      </w:r>
      <w:r w:rsidR="00F86D89" w:rsidRPr="00244D65">
        <w:rPr>
          <w:iCs/>
          <w:noProof/>
        </w:rPr>
        <w:t>, leading to a 2040 cap of</w:t>
      </w:r>
      <w:r w:rsidR="000F0A40" w:rsidRPr="00244D65">
        <w:rPr>
          <w:iCs/>
          <w:noProof/>
        </w:rPr>
        <w:t xml:space="preserve"> </w:t>
      </w:r>
      <w:r>
        <w:rPr>
          <w:iCs/>
          <w:noProof/>
        </w:rPr>
        <w:t>69</w:t>
      </w:r>
      <w:r w:rsidR="00AC4200" w:rsidRPr="00244D65">
        <w:rPr>
          <w:iCs/>
          <w:noProof/>
        </w:rPr>
        <w:t xml:space="preserve"> </w:t>
      </w:r>
      <w:r w:rsidR="000F0A40" w:rsidRPr="00244D65">
        <w:rPr>
          <w:iCs/>
          <w:noProof/>
        </w:rPr>
        <w:t>Mt</w:t>
      </w:r>
      <w:r w:rsidR="0015623D" w:rsidRPr="00244D65">
        <w:rPr>
          <w:iCs/>
          <w:noProof/>
        </w:rPr>
        <w:t>;</w:t>
      </w:r>
      <w:r w:rsidRPr="00244D65">
        <w:rPr>
          <w:iCs/>
          <w:noProof/>
        </w:rPr>
        <w:t xml:space="preserve"> the continuation of the current MSR parameters</w:t>
      </w:r>
      <w:r w:rsidR="0015623D" w:rsidRPr="00244D65">
        <w:rPr>
          <w:iCs/>
          <w:noProof/>
        </w:rPr>
        <w:t xml:space="preserve">; </w:t>
      </w:r>
      <w:r w:rsidR="0015623D" w:rsidRPr="00244D65">
        <w:rPr>
          <w:noProof/>
        </w:rPr>
        <w:t>appl</w:t>
      </w:r>
      <w:r w:rsidR="00C6750C" w:rsidRPr="00244D65">
        <w:rPr>
          <w:noProof/>
        </w:rPr>
        <w:t xml:space="preserve">ication of </w:t>
      </w:r>
      <w:r w:rsidR="00962BF1" w:rsidRPr="00244D65">
        <w:rPr>
          <w:noProof/>
        </w:rPr>
        <w:t>EU ETS</w:t>
      </w:r>
      <w:r w:rsidR="0015623D" w:rsidRPr="00244D65">
        <w:rPr>
          <w:noProof/>
        </w:rPr>
        <w:t xml:space="preserve"> to departing and arriving flights from the EEA</w:t>
      </w:r>
      <w:r w:rsidR="000C653C" w:rsidRPr="00244D65">
        <w:rPr>
          <w:noProof/>
        </w:rPr>
        <w:t xml:space="preserve"> </w:t>
      </w:r>
      <w:r w:rsidR="0015623D" w:rsidRPr="00244D65">
        <w:rPr>
          <w:noProof/>
        </w:rPr>
        <w:t>from the start of 2027</w:t>
      </w:r>
      <w:r w:rsidR="00C6750C" w:rsidRPr="00244D65">
        <w:rPr>
          <w:noProof/>
        </w:rPr>
        <w:t xml:space="preserve"> and ending of </w:t>
      </w:r>
      <w:r w:rsidR="00F9422A" w:rsidRPr="00244D65">
        <w:rPr>
          <w:noProof/>
        </w:rPr>
        <w:t xml:space="preserve">ETS </w:t>
      </w:r>
      <w:r w:rsidR="00C6750C" w:rsidRPr="00244D65">
        <w:rPr>
          <w:noProof/>
        </w:rPr>
        <w:t>SAF support in 2030</w:t>
      </w:r>
      <w:r w:rsidR="0015623D" w:rsidRPr="00244D65">
        <w:rPr>
          <w:noProof/>
        </w:rPr>
        <w:t xml:space="preserve">; the Modernisation Fund </w:t>
      </w:r>
      <w:r w:rsidR="00AE691E" w:rsidRPr="00244D65">
        <w:rPr>
          <w:noProof/>
        </w:rPr>
        <w:t>run</w:t>
      </w:r>
      <w:r w:rsidR="006E63AE" w:rsidRPr="00244D65">
        <w:rPr>
          <w:noProof/>
        </w:rPr>
        <w:t>s</w:t>
      </w:r>
      <w:r w:rsidR="0015623D" w:rsidRPr="00244D65">
        <w:rPr>
          <w:noProof/>
        </w:rPr>
        <w:t xml:space="preserve"> up to 2030, and Member States receive all the allowances that are not issued for free, placed in the MSR or established as own resources</w:t>
      </w:r>
      <w:r w:rsidR="00C6750C" w:rsidRPr="00244D65">
        <w:rPr>
          <w:noProof/>
        </w:rPr>
        <w:t>; the</w:t>
      </w:r>
      <w:r w:rsidR="00280F88" w:rsidRPr="00244D65">
        <w:rPr>
          <w:noProof/>
        </w:rPr>
        <w:t xml:space="preserve"> maritime scope remains as legislated</w:t>
      </w:r>
      <w:r w:rsidR="000F0A40" w:rsidRPr="00244D65">
        <w:rPr>
          <w:rStyle w:val="FootnoteReference"/>
          <w:noProof/>
        </w:rPr>
        <w:footnoteReference w:id="27"/>
      </w:r>
      <w:r w:rsidR="00280F88" w:rsidRPr="00244D65">
        <w:rPr>
          <w:noProof/>
        </w:rPr>
        <w:t xml:space="preserve"> </w:t>
      </w:r>
      <w:r w:rsidR="00FA06C1" w:rsidRPr="00244D65">
        <w:rPr>
          <w:noProof/>
        </w:rPr>
        <w:t>with</w:t>
      </w:r>
      <w:r w:rsidR="00280F88" w:rsidRPr="00244D65">
        <w:rPr>
          <w:noProof/>
        </w:rPr>
        <w:t xml:space="preserve"> temporary derogations end</w:t>
      </w:r>
      <w:r w:rsidR="00FA06C1" w:rsidRPr="00244D65">
        <w:rPr>
          <w:noProof/>
        </w:rPr>
        <w:t>ing</w:t>
      </w:r>
      <w:r w:rsidR="00280F88" w:rsidRPr="00244D65">
        <w:rPr>
          <w:noProof/>
        </w:rPr>
        <w:t xml:space="preserve"> in 2030</w:t>
      </w:r>
      <w:r w:rsidR="009534A4" w:rsidRPr="00244D65">
        <w:rPr>
          <w:noProof/>
        </w:rPr>
        <w:t>, while</w:t>
      </w:r>
      <w:r w:rsidR="002647C6" w:rsidRPr="00244D65">
        <w:rPr>
          <w:noProof/>
        </w:rPr>
        <w:t xml:space="preserve"> taking into account the effect of </w:t>
      </w:r>
      <w:r w:rsidR="00173681" w:rsidRPr="00244D65">
        <w:rPr>
          <w:noProof/>
        </w:rPr>
        <w:t>global policies and strategies at IMO</w:t>
      </w:r>
      <w:r w:rsidR="00280F88" w:rsidRPr="00244D65">
        <w:rPr>
          <w:noProof/>
        </w:rPr>
        <w:t>;</w:t>
      </w:r>
      <w:r w:rsidR="000F0A40" w:rsidRPr="00244D65">
        <w:rPr>
          <w:noProof/>
        </w:rPr>
        <w:t xml:space="preserve"> </w:t>
      </w:r>
      <w:r w:rsidR="00C6750C" w:rsidRPr="00244D65">
        <w:rPr>
          <w:noProof/>
        </w:rPr>
        <w:t>a</w:t>
      </w:r>
      <w:r w:rsidR="000F0A40" w:rsidRPr="00244D65">
        <w:rPr>
          <w:noProof/>
        </w:rPr>
        <w:t>ccounting of emissions</w:t>
      </w:r>
      <w:r w:rsidR="000F0A40" w:rsidRPr="00244D65">
        <w:rPr>
          <w:iCs/>
          <w:noProof/>
        </w:rPr>
        <w:t xml:space="preserve"> that are captured in the </w:t>
      </w:r>
      <w:r w:rsidR="00962BF1" w:rsidRPr="00244D65">
        <w:rPr>
          <w:noProof/>
        </w:rPr>
        <w:t>EU ETS</w:t>
      </w:r>
      <w:r w:rsidR="000F0A40" w:rsidRPr="00244D65">
        <w:rPr>
          <w:iCs/>
          <w:noProof/>
        </w:rPr>
        <w:t xml:space="preserve"> installations for utilisation in products</w:t>
      </w:r>
      <w:r w:rsidR="00C6750C" w:rsidRPr="00244D65">
        <w:rPr>
          <w:iCs/>
          <w:noProof/>
        </w:rPr>
        <w:t xml:space="preserve"> (</w:t>
      </w:r>
      <w:r w:rsidR="000F0A40" w:rsidRPr="00244D65">
        <w:rPr>
          <w:noProof/>
        </w:rPr>
        <w:t>CCU</w:t>
      </w:r>
      <w:r w:rsidR="00C6750C" w:rsidRPr="00244D65">
        <w:rPr>
          <w:noProof/>
        </w:rPr>
        <w:t>)</w:t>
      </w:r>
      <w:r w:rsidR="000F0A40" w:rsidRPr="00244D65">
        <w:rPr>
          <w:noProof/>
        </w:rPr>
        <w:t xml:space="preserve"> takes place upstream</w:t>
      </w:r>
      <w:r w:rsidR="00C6750C" w:rsidRPr="00244D65">
        <w:rPr>
          <w:noProof/>
        </w:rPr>
        <w:t>;</w:t>
      </w:r>
      <w:r w:rsidR="000F0A40" w:rsidRPr="00244D65">
        <w:rPr>
          <w:noProof/>
        </w:rPr>
        <w:t xml:space="preserve"> the 20</w:t>
      </w:r>
      <w:r w:rsidR="00AC4200" w:rsidRPr="00244D65">
        <w:rPr>
          <w:noProof/>
        </w:rPr>
        <w:t xml:space="preserve"> </w:t>
      </w:r>
      <w:r w:rsidR="000F0A40" w:rsidRPr="00244D65">
        <w:rPr>
          <w:noProof/>
        </w:rPr>
        <w:t xml:space="preserve">MW </w:t>
      </w:r>
      <w:r w:rsidR="00C6750C" w:rsidRPr="00244D65">
        <w:rPr>
          <w:noProof/>
        </w:rPr>
        <w:t>threshold</w:t>
      </w:r>
      <w:r w:rsidR="000F0A40" w:rsidRPr="00244D65">
        <w:rPr>
          <w:noProof/>
        </w:rPr>
        <w:t xml:space="preserve"> continues to apply</w:t>
      </w:r>
      <w:r w:rsidR="00C6750C" w:rsidRPr="00244D65">
        <w:rPr>
          <w:noProof/>
        </w:rPr>
        <w:t xml:space="preserve">; the incineration of municipal </w:t>
      </w:r>
      <w:r w:rsidR="00CA3E43" w:rsidRPr="00244D65">
        <w:rPr>
          <w:noProof/>
        </w:rPr>
        <w:t xml:space="preserve">or hazardous or </w:t>
      </w:r>
      <w:r w:rsidR="00C6750C" w:rsidRPr="00244D65">
        <w:rPr>
          <w:noProof/>
        </w:rPr>
        <w:t>waste</w:t>
      </w:r>
      <w:r w:rsidR="00C6750C" w:rsidRPr="00244D65">
        <w:rPr>
          <w:iCs/>
          <w:noProof/>
        </w:rPr>
        <w:t xml:space="preserve"> </w:t>
      </w:r>
      <w:r w:rsidR="00C6750C" w:rsidRPr="00244D65">
        <w:rPr>
          <w:noProof/>
        </w:rPr>
        <w:t>are</w:t>
      </w:r>
      <w:r w:rsidR="00C6750C" w:rsidRPr="00244D65">
        <w:rPr>
          <w:iCs/>
          <w:noProof/>
        </w:rPr>
        <w:t xml:space="preserve"> </w:t>
      </w:r>
      <w:r w:rsidR="00C6750C" w:rsidRPr="00244D65">
        <w:rPr>
          <w:noProof/>
        </w:rPr>
        <w:t>generally excluded from the full scope of the EU ETS</w:t>
      </w:r>
      <w:r w:rsidR="00C6750C" w:rsidRPr="00244D65">
        <w:rPr>
          <w:iCs/>
          <w:noProof/>
        </w:rPr>
        <w:t xml:space="preserve"> (</w:t>
      </w:r>
      <w:r w:rsidR="00C6750C" w:rsidRPr="00244D65">
        <w:rPr>
          <w:noProof/>
        </w:rPr>
        <w:t>with co-incineration, however, fully covered)</w:t>
      </w:r>
      <w:r w:rsidR="000F0A40" w:rsidRPr="00244D65">
        <w:rPr>
          <w:noProof/>
        </w:rPr>
        <w:t>.</w:t>
      </w:r>
    </w:p>
    <w:p w14:paraId="4CC8D16B" w14:textId="54001135" w:rsidR="00BF72F9" w:rsidRPr="00244D65" w:rsidRDefault="00BF72F9" w:rsidP="0085595C">
      <w:pPr>
        <w:rPr>
          <w:noProof/>
        </w:rPr>
      </w:pPr>
      <w:r w:rsidRPr="00244D65">
        <w:rPr>
          <w:noProof/>
        </w:rPr>
        <w:t xml:space="preserve">As an exception, </w:t>
      </w:r>
      <w:r w:rsidRPr="00244D65">
        <w:rPr>
          <w:iCs/>
          <w:noProof/>
        </w:rPr>
        <w:t xml:space="preserve">the baseline for </w:t>
      </w:r>
      <w:r w:rsidRPr="00244D65">
        <w:rPr>
          <w:b/>
          <w:noProof/>
        </w:rPr>
        <w:t>free allocation</w:t>
      </w:r>
      <w:r w:rsidRPr="00244D65">
        <w:rPr>
          <w:noProof/>
        </w:rPr>
        <w:t xml:space="preserve"> for sectors not covered by CBAM </w:t>
      </w:r>
      <w:r w:rsidRPr="00244D65">
        <w:rPr>
          <w:iCs/>
          <w:noProof/>
        </w:rPr>
        <w:t xml:space="preserve">results from the continuation of the current rules </w:t>
      </w:r>
      <w:r w:rsidRPr="00244D65">
        <w:rPr>
          <w:noProof/>
        </w:rPr>
        <w:t>post-2030</w:t>
      </w:r>
      <w:r w:rsidRPr="00244D65">
        <w:rPr>
          <w:iCs/>
          <w:noProof/>
        </w:rPr>
        <w:t>,</w:t>
      </w:r>
      <w:r w:rsidRPr="00244D65">
        <w:rPr>
          <w:noProof/>
        </w:rPr>
        <w:t xml:space="preserve"> based on the </w:t>
      </w:r>
      <w:r w:rsidRPr="00244D65">
        <w:rPr>
          <w:iCs/>
          <w:noProof/>
        </w:rPr>
        <w:t xml:space="preserve">provisions </w:t>
      </w:r>
      <w:r w:rsidRPr="00244D65">
        <w:rPr>
          <w:noProof/>
        </w:rPr>
        <w:t xml:space="preserve">set </w:t>
      </w:r>
      <w:r w:rsidRPr="00244D65">
        <w:rPr>
          <w:iCs/>
          <w:noProof/>
        </w:rPr>
        <w:t>out</w:t>
      </w:r>
      <w:r w:rsidRPr="00244D65">
        <w:rPr>
          <w:noProof/>
        </w:rPr>
        <w:t xml:space="preserve"> in Article 10a of the ETS Directive.</w:t>
      </w:r>
      <w:r w:rsidRPr="00244D65">
        <w:rPr>
          <w:iCs/>
          <w:noProof/>
        </w:rPr>
        <w:t xml:space="preserve"> This does not correspond to the legal default, as the provisions of Article 10a of the ETS Directive apply only until 2030. However, assuming a baseline of continued free allocation post</w:t>
      </w:r>
      <w:r w:rsidRPr="00244D65">
        <w:rPr>
          <w:noProof/>
        </w:rPr>
        <w:t>-</w:t>
      </w:r>
      <w:r w:rsidRPr="00244D65">
        <w:rPr>
          <w:iCs/>
          <w:noProof/>
        </w:rPr>
        <w:t>2030 allows for a more meani</w:t>
      </w:r>
      <w:r w:rsidRPr="00244D65">
        <w:rPr>
          <w:noProof/>
        </w:rPr>
        <w:t>n</w:t>
      </w:r>
      <w:r w:rsidRPr="00244D65">
        <w:rPr>
          <w:iCs/>
          <w:noProof/>
        </w:rPr>
        <w:t>gful analysis of the proposed measures</w:t>
      </w:r>
      <w:r w:rsidR="002E001E" w:rsidRPr="00244D65">
        <w:rPr>
          <w:iCs/>
          <w:noProof/>
        </w:rPr>
        <w:t xml:space="preserve"> based on comparable s</w:t>
      </w:r>
      <w:r w:rsidR="00FC5E63" w:rsidRPr="00244D65">
        <w:rPr>
          <w:iCs/>
          <w:noProof/>
        </w:rPr>
        <w:t>cenarios</w:t>
      </w:r>
      <w:r w:rsidR="00AE691E" w:rsidRPr="00244D65">
        <w:rPr>
          <w:iCs/>
          <w:noProof/>
        </w:rPr>
        <w:t>.</w:t>
      </w:r>
      <w:r w:rsidRPr="00244D65">
        <w:rPr>
          <w:noProof/>
        </w:rPr>
        <w:t xml:space="preserve"> </w:t>
      </w:r>
      <w:r w:rsidRPr="00244D65">
        <w:rPr>
          <w:iCs/>
          <w:noProof/>
        </w:rPr>
        <w:t xml:space="preserve">For the </w:t>
      </w:r>
      <w:r w:rsidRPr="00244D65">
        <w:rPr>
          <w:noProof/>
        </w:rPr>
        <w:t>sectors</w:t>
      </w:r>
      <w:r w:rsidRPr="00244D65">
        <w:rPr>
          <w:iCs/>
          <w:noProof/>
        </w:rPr>
        <w:t xml:space="preserve"> covered by CBAM, free allocation</w:t>
      </w:r>
      <w:r w:rsidRPr="00244D65">
        <w:rPr>
          <w:noProof/>
        </w:rPr>
        <w:t xml:space="preserve"> </w:t>
      </w:r>
      <w:r w:rsidRPr="00244D65">
        <w:rPr>
          <w:iCs/>
          <w:noProof/>
        </w:rPr>
        <w:t xml:space="preserve">is phased out up to 2034 in parallel </w:t>
      </w:r>
      <w:r w:rsidRPr="00244D65">
        <w:rPr>
          <w:noProof/>
        </w:rPr>
        <w:t>with the</w:t>
      </w:r>
      <w:r w:rsidRPr="00244D65">
        <w:rPr>
          <w:iCs/>
          <w:noProof/>
        </w:rPr>
        <w:t xml:space="preserve"> gradual </w:t>
      </w:r>
      <w:r w:rsidRPr="00244D65">
        <w:rPr>
          <w:noProof/>
        </w:rPr>
        <w:t>phase-on of</w:t>
      </w:r>
      <w:r w:rsidRPr="00244D65">
        <w:rPr>
          <w:iCs/>
          <w:noProof/>
        </w:rPr>
        <w:t xml:space="preserve"> CBAM. The quantity of allowances available for free allocation is based on 43% share of the baseline cap trajectory, resulting from the provision in Article 10 of the ETS Directive that 57% will be allocated via auctioning.</w:t>
      </w:r>
    </w:p>
    <w:p w14:paraId="2BE0E1EB" w14:textId="4322D335" w:rsidR="004A1883" w:rsidRPr="00244D65" w:rsidRDefault="00DA02A5" w:rsidP="0085595C">
      <w:pPr>
        <w:rPr>
          <w:noProof/>
        </w:rPr>
      </w:pPr>
      <w:r w:rsidRPr="00244D65">
        <w:rPr>
          <w:noProof/>
        </w:rPr>
        <w:t>Equally, t</w:t>
      </w:r>
      <w:r w:rsidR="774604B5" w:rsidRPr="00244D65">
        <w:rPr>
          <w:noProof/>
        </w:rPr>
        <w:t xml:space="preserve">he baseline </w:t>
      </w:r>
      <w:r w:rsidR="7D566FAF" w:rsidRPr="00244D65">
        <w:rPr>
          <w:noProof/>
        </w:rPr>
        <w:t xml:space="preserve">on </w:t>
      </w:r>
      <w:r w:rsidR="7D566FAF" w:rsidRPr="00244D65">
        <w:rPr>
          <w:b/>
          <w:bCs/>
          <w:noProof/>
        </w:rPr>
        <w:t>instruments to support inves</w:t>
      </w:r>
      <w:r w:rsidR="4C419083" w:rsidRPr="00244D65">
        <w:rPr>
          <w:b/>
          <w:bCs/>
          <w:noProof/>
        </w:rPr>
        <w:t>t</w:t>
      </w:r>
      <w:r w:rsidR="7D566FAF" w:rsidRPr="00244D65">
        <w:rPr>
          <w:b/>
          <w:bCs/>
          <w:noProof/>
        </w:rPr>
        <w:t>ments</w:t>
      </w:r>
      <w:r w:rsidR="7D566FAF" w:rsidRPr="00244D65">
        <w:rPr>
          <w:noProof/>
        </w:rPr>
        <w:t xml:space="preserve"> </w:t>
      </w:r>
      <w:r w:rsidR="774604B5" w:rsidRPr="00244D65">
        <w:rPr>
          <w:noProof/>
        </w:rPr>
        <w:t xml:space="preserve">assumes continuation of the Innovation Fund (IF) </w:t>
      </w:r>
      <w:r w:rsidR="71C2E2C9" w:rsidRPr="00244D65">
        <w:rPr>
          <w:noProof/>
        </w:rPr>
        <w:t xml:space="preserve">as defined </w:t>
      </w:r>
      <w:r w:rsidR="00B462E3" w:rsidRPr="00244D65">
        <w:rPr>
          <w:noProof/>
        </w:rPr>
        <w:t>in the ETS Directive</w:t>
      </w:r>
      <w:r w:rsidR="00C7299E" w:rsidRPr="00244D65">
        <w:rPr>
          <w:noProof/>
        </w:rPr>
        <w:t xml:space="preserve"> </w:t>
      </w:r>
      <w:r w:rsidR="774604B5" w:rsidRPr="00244D65">
        <w:rPr>
          <w:noProof/>
        </w:rPr>
        <w:t>using existing instruments (‘regular’ grants</w:t>
      </w:r>
      <w:r w:rsidR="00CA45EA" w:rsidRPr="00244D65">
        <w:rPr>
          <w:noProof/>
        </w:rPr>
        <w:t xml:space="preserve"> and, to lesser extent,</w:t>
      </w:r>
      <w:r w:rsidR="774604B5" w:rsidRPr="00244D65">
        <w:rPr>
          <w:noProof/>
        </w:rPr>
        <w:t xml:space="preserve"> auctions and financial instruments) to address technology and </w:t>
      </w:r>
      <w:r w:rsidR="004741EC" w:rsidRPr="00244D65">
        <w:rPr>
          <w:noProof/>
        </w:rPr>
        <w:t xml:space="preserve">early commercialisation </w:t>
      </w:r>
      <w:r w:rsidR="774604B5" w:rsidRPr="00244D65">
        <w:rPr>
          <w:noProof/>
        </w:rPr>
        <w:t xml:space="preserve">risks across innovative decarbonisation technologies </w:t>
      </w:r>
      <w:r w:rsidR="48FAF962" w:rsidRPr="00244D65">
        <w:rPr>
          <w:noProof/>
        </w:rPr>
        <w:t xml:space="preserve">in </w:t>
      </w:r>
      <w:r w:rsidR="00BF6A93" w:rsidRPr="00244D65">
        <w:rPr>
          <w:noProof/>
        </w:rPr>
        <w:t xml:space="preserve">the </w:t>
      </w:r>
      <w:r w:rsidR="48FAF962" w:rsidRPr="00244D65">
        <w:rPr>
          <w:noProof/>
        </w:rPr>
        <w:t>ETS covered sectors</w:t>
      </w:r>
      <w:r w:rsidR="0085067F" w:rsidRPr="00244D65">
        <w:rPr>
          <w:noProof/>
        </w:rPr>
        <w:t xml:space="preserve">. The baseline </w:t>
      </w:r>
      <w:r w:rsidR="005029AD" w:rsidRPr="00244D65">
        <w:rPr>
          <w:noProof/>
        </w:rPr>
        <w:t xml:space="preserve">also </w:t>
      </w:r>
      <w:r w:rsidR="005F51BD" w:rsidRPr="00244D65">
        <w:rPr>
          <w:noProof/>
        </w:rPr>
        <w:t>assumes</w:t>
      </w:r>
      <w:r w:rsidR="774604B5" w:rsidRPr="00244D65">
        <w:rPr>
          <w:noProof/>
        </w:rPr>
        <w:t xml:space="preserve"> </w:t>
      </w:r>
      <w:r w:rsidR="78BD230D" w:rsidRPr="00244D65">
        <w:rPr>
          <w:noProof/>
        </w:rPr>
        <w:t>the</w:t>
      </w:r>
      <w:r w:rsidR="774604B5" w:rsidRPr="00244D65">
        <w:rPr>
          <w:noProof/>
        </w:rPr>
        <w:t xml:space="preserve"> establishment of the Industrial Decarbonisation Bank (IDB) with a </w:t>
      </w:r>
      <w:r w:rsidR="0087049D" w:rsidRPr="00244D65">
        <w:rPr>
          <w:noProof/>
        </w:rPr>
        <w:t xml:space="preserve">EUR </w:t>
      </w:r>
      <w:r w:rsidR="774604B5" w:rsidRPr="00244D65">
        <w:rPr>
          <w:noProof/>
        </w:rPr>
        <w:t xml:space="preserve">100 billion envelope as announced under the Clean Industrial Deal to focus </w:t>
      </w:r>
      <w:r w:rsidR="00AC73C5" w:rsidRPr="00244D65">
        <w:rPr>
          <w:noProof/>
        </w:rPr>
        <w:t xml:space="preserve">addressing </w:t>
      </w:r>
      <w:r w:rsidR="774604B5" w:rsidRPr="00244D65">
        <w:rPr>
          <w:noProof/>
        </w:rPr>
        <w:t xml:space="preserve">market risks </w:t>
      </w:r>
      <w:r w:rsidR="00AC73C5" w:rsidRPr="00244D65">
        <w:rPr>
          <w:noProof/>
        </w:rPr>
        <w:t>for scale-up and</w:t>
      </w:r>
      <w:r w:rsidR="774604B5" w:rsidRPr="00244D65">
        <w:rPr>
          <w:noProof/>
        </w:rPr>
        <w:t xml:space="preserve"> roll-out </w:t>
      </w:r>
      <w:r w:rsidR="00AC73C5" w:rsidRPr="00244D65">
        <w:rPr>
          <w:noProof/>
        </w:rPr>
        <w:t xml:space="preserve">of decarbonisation technologies </w:t>
      </w:r>
      <w:r w:rsidR="774604B5" w:rsidRPr="00244D65">
        <w:rPr>
          <w:noProof/>
        </w:rPr>
        <w:t xml:space="preserve">in </w:t>
      </w:r>
      <w:r w:rsidR="4A17DAF7" w:rsidRPr="00244D65">
        <w:rPr>
          <w:noProof/>
        </w:rPr>
        <w:t>Energy Intensive Industries</w:t>
      </w:r>
      <w:r w:rsidR="774604B5" w:rsidRPr="00244D65">
        <w:rPr>
          <w:noProof/>
        </w:rPr>
        <w:t xml:space="preserve">. </w:t>
      </w:r>
      <w:r w:rsidR="004308E6" w:rsidRPr="00244D65">
        <w:rPr>
          <w:noProof/>
        </w:rPr>
        <w:t xml:space="preserve">The </w:t>
      </w:r>
      <w:r w:rsidR="00A81739" w:rsidRPr="00244D65">
        <w:rPr>
          <w:noProof/>
        </w:rPr>
        <w:t xml:space="preserve">current </w:t>
      </w:r>
      <w:r w:rsidR="00FF0E32" w:rsidRPr="00244D65">
        <w:rPr>
          <w:noProof/>
        </w:rPr>
        <w:t xml:space="preserve">ETS </w:t>
      </w:r>
      <w:r w:rsidR="00B21B45" w:rsidRPr="00244D65">
        <w:rPr>
          <w:noProof/>
        </w:rPr>
        <w:t>Directive foresees</w:t>
      </w:r>
      <w:r w:rsidR="00C50D2F" w:rsidRPr="00244D65">
        <w:rPr>
          <w:noProof/>
        </w:rPr>
        <w:t xml:space="preserve"> </w:t>
      </w:r>
      <w:r w:rsidR="6DE77B35" w:rsidRPr="00244D65">
        <w:rPr>
          <w:noProof/>
        </w:rPr>
        <w:t xml:space="preserve">the </w:t>
      </w:r>
      <w:r w:rsidR="007D6C41" w:rsidRPr="00244D65">
        <w:rPr>
          <w:noProof/>
        </w:rPr>
        <w:t xml:space="preserve">ETS revenues </w:t>
      </w:r>
      <w:r w:rsidR="004C1D47" w:rsidRPr="00244D65">
        <w:rPr>
          <w:noProof/>
        </w:rPr>
        <w:t xml:space="preserve">to be </w:t>
      </w:r>
      <w:r w:rsidR="007D6C41" w:rsidRPr="00244D65">
        <w:rPr>
          <w:noProof/>
        </w:rPr>
        <w:t xml:space="preserve">set aside for the IF </w:t>
      </w:r>
      <w:r w:rsidR="29F279E9" w:rsidRPr="00244D65">
        <w:rPr>
          <w:noProof/>
        </w:rPr>
        <w:t>for the period 2031-40</w:t>
      </w:r>
      <w:r w:rsidR="00AB1F8F" w:rsidRPr="00244D65">
        <w:rPr>
          <w:noProof/>
        </w:rPr>
        <w:t xml:space="preserve"> </w:t>
      </w:r>
      <w:r w:rsidR="007E7452" w:rsidRPr="00244D65">
        <w:rPr>
          <w:noProof/>
        </w:rPr>
        <w:t xml:space="preserve">that </w:t>
      </w:r>
      <w:r w:rsidR="00983455" w:rsidRPr="00244D65">
        <w:rPr>
          <w:noProof/>
        </w:rPr>
        <w:t xml:space="preserve">are sufficient serve </w:t>
      </w:r>
      <w:r w:rsidR="004C1D47" w:rsidRPr="00244D65">
        <w:rPr>
          <w:noProof/>
        </w:rPr>
        <w:t xml:space="preserve">both </w:t>
      </w:r>
      <w:r w:rsidR="00983455" w:rsidRPr="00244D65">
        <w:rPr>
          <w:noProof/>
        </w:rPr>
        <w:t>the IDB endowment</w:t>
      </w:r>
      <w:r w:rsidR="00A47314" w:rsidRPr="00244D65">
        <w:rPr>
          <w:noProof/>
        </w:rPr>
        <w:t xml:space="preserve"> and the IF continuation</w:t>
      </w:r>
      <w:r w:rsidR="00744EBE" w:rsidRPr="00244D65">
        <w:rPr>
          <w:noProof/>
        </w:rPr>
        <w:t xml:space="preserve">. In line with </w:t>
      </w:r>
      <w:r w:rsidR="00D0738B" w:rsidRPr="00244D65">
        <w:rPr>
          <w:noProof/>
        </w:rPr>
        <w:t>necessary</w:t>
      </w:r>
      <w:r w:rsidR="00744EBE" w:rsidRPr="00244D65">
        <w:rPr>
          <w:noProof/>
        </w:rPr>
        <w:t xml:space="preserve"> </w:t>
      </w:r>
      <w:r w:rsidR="00380FAA" w:rsidRPr="00244D65">
        <w:rPr>
          <w:noProof/>
        </w:rPr>
        <w:t xml:space="preserve">specialisations of the two instruments </w:t>
      </w:r>
      <w:r w:rsidR="00F81AF9" w:rsidRPr="00244D65">
        <w:rPr>
          <w:noProof/>
        </w:rPr>
        <w:t>–</w:t>
      </w:r>
      <w:r w:rsidR="5989FDFE" w:rsidRPr="00244D65">
        <w:rPr>
          <w:noProof/>
        </w:rPr>
        <w:t xml:space="preserve"> with</w:t>
      </w:r>
      <w:r w:rsidR="00F81AF9" w:rsidRPr="00244D65">
        <w:rPr>
          <w:noProof/>
        </w:rPr>
        <w:t xml:space="preserve"> </w:t>
      </w:r>
      <w:r w:rsidR="00D0738B" w:rsidRPr="00244D65">
        <w:rPr>
          <w:noProof/>
        </w:rPr>
        <w:t xml:space="preserve">the </w:t>
      </w:r>
      <w:r w:rsidR="00380FAA" w:rsidRPr="00244D65">
        <w:rPr>
          <w:noProof/>
        </w:rPr>
        <w:t xml:space="preserve">IF </w:t>
      </w:r>
      <w:r w:rsidR="373697E8" w:rsidRPr="00244D65">
        <w:rPr>
          <w:noProof/>
        </w:rPr>
        <w:t xml:space="preserve">serving as the </w:t>
      </w:r>
      <w:r w:rsidR="00380FAA" w:rsidRPr="00244D65">
        <w:rPr>
          <w:noProof/>
        </w:rPr>
        <w:t xml:space="preserve">‘innovation pillar’ and </w:t>
      </w:r>
      <w:r w:rsidR="00D0738B" w:rsidRPr="00244D65">
        <w:rPr>
          <w:noProof/>
        </w:rPr>
        <w:t xml:space="preserve">the </w:t>
      </w:r>
      <w:r w:rsidR="00380FAA" w:rsidRPr="00244D65">
        <w:rPr>
          <w:noProof/>
        </w:rPr>
        <w:t>IDB becoming</w:t>
      </w:r>
      <w:r w:rsidR="000C653C" w:rsidRPr="00244D65">
        <w:rPr>
          <w:noProof/>
        </w:rPr>
        <w:t xml:space="preserve"> </w:t>
      </w:r>
      <w:r w:rsidR="48B31D5B" w:rsidRPr="00244D65">
        <w:rPr>
          <w:noProof/>
        </w:rPr>
        <w:t xml:space="preserve">the </w:t>
      </w:r>
      <w:r w:rsidR="00380FAA" w:rsidRPr="00244D65">
        <w:rPr>
          <w:noProof/>
        </w:rPr>
        <w:t>‘roll-out pillar</w:t>
      </w:r>
      <w:r w:rsidR="00F805E6" w:rsidRPr="00244D65">
        <w:rPr>
          <w:noProof/>
        </w:rPr>
        <w:t>’</w:t>
      </w:r>
      <w:r w:rsidR="424AFA32" w:rsidRPr="00244D65">
        <w:rPr>
          <w:noProof/>
        </w:rPr>
        <w:t xml:space="preserve"> -</w:t>
      </w:r>
      <w:r w:rsidR="00380FAA" w:rsidRPr="00244D65">
        <w:rPr>
          <w:noProof/>
        </w:rPr>
        <w:t xml:space="preserve"> </w:t>
      </w:r>
      <w:r w:rsidR="00DF37D5" w:rsidRPr="00244D65">
        <w:rPr>
          <w:noProof/>
        </w:rPr>
        <w:t xml:space="preserve">and </w:t>
      </w:r>
      <w:r w:rsidR="31B151E7" w:rsidRPr="00244D65">
        <w:rPr>
          <w:noProof/>
        </w:rPr>
        <w:t>reflecting the</w:t>
      </w:r>
      <w:r w:rsidR="00DF37D5" w:rsidRPr="00244D65">
        <w:rPr>
          <w:noProof/>
        </w:rPr>
        <w:t xml:space="preserve"> expected technology </w:t>
      </w:r>
      <w:r w:rsidR="60767301" w:rsidRPr="00244D65">
        <w:rPr>
          <w:noProof/>
        </w:rPr>
        <w:t xml:space="preserve">deployment needs after </w:t>
      </w:r>
      <w:r w:rsidR="00B24702" w:rsidRPr="00244D65">
        <w:rPr>
          <w:noProof/>
        </w:rPr>
        <w:t>2030</w:t>
      </w:r>
      <w:r w:rsidR="00DF37D5" w:rsidRPr="00244D65">
        <w:rPr>
          <w:noProof/>
        </w:rPr>
        <w:t xml:space="preserve">, </w:t>
      </w:r>
      <w:r w:rsidR="00380FAA" w:rsidRPr="00244D65">
        <w:rPr>
          <w:noProof/>
        </w:rPr>
        <w:t xml:space="preserve">the </w:t>
      </w:r>
      <w:r w:rsidR="00DF37D5" w:rsidRPr="00244D65">
        <w:rPr>
          <w:noProof/>
        </w:rPr>
        <w:t xml:space="preserve">ETS revenues </w:t>
      </w:r>
      <w:r w:rsidR="00392971" w:rsidRPr="00244D65">
        <w:rPr>
          <w:noProof/>
        </w:rPr>
        <w:t xml:space="preserve">will be </w:t>
      </w:r>
      <w:r w:rsidR="3D277CD6" w:rsidRPr="00244D65">
        <w:rPr>
          <w:noProof/>
        </w:rPr>
        <w:t xml:space="preserve">allocated </w:t>
      </w:r>
      <w:r w:rsidR="00DF37D5" w:rsidRPr="00244D65">
        <w:rPr>
          <w:noProof/>
        </w:rPr>
        <w:t>between the two instruments.</w:t>
      </w:r>
      <w:r w:rsidR="006D0A7B" w:rsidRPr="00244D65">
        <w:rPr>
          <w:noProof/>
        </w:rPr>
        <w:t xml:space="preserve"> </w:t>
      </w:r>
    </w:p>
    <w:p w14:paraId="216C22D8" w14:textId="468413CB" w:rsidR="009E5917" w:rsidRPr="00244D65" w:rsidRDefault="009E5917" w:rsidP="0085595C">
      <w:pPr>
        <w:rPr>
          <w:noProof/>
        </w:rPr>
      </w:pPr>
      <w:r w:rsidRPr="00244D65">
        <w:rPr>
          <w:noProof/>
        </w:rPr>
        <w:t xml:space="preserve">The Baseline described above needs to be distinguished from </w:t>
      </w:r>
      <w:r w:rsidR="00620CD7" w:rsidRPr="00244D65">
        <w:rPr>
          <w:noProof/>
        </w:rPr>
        <w:t>modelled 85%</w:t>
      </w:r>
      <w:r w:rsidR="001126C6" w:rsidRPr="00244D65">
        <w:rPr>
          <w:noProof/>
        </w:rPr>
        <w:t xml:space="preserve"> target</w:t>
      </w:r>
      <w:r w:rsidR="00620CD7" w:rsidRPr="00244D65">
        <w:rPr>
          <w:noProof/>
        </w:rPr>
        <w:t xml:space="preserve"> scenarios which will be used in the quantitative sections of the impact assessment</w:t>
      </w:r>
      <w:r w:rsidR="006A02DC" w:rsidRPr="00244D65">
        <w:rPr>
          <w:noProof/>
        </w:rPr>
        <w:t xml:space="preserve"> focused on economic impacts</w:t>
      </w:r>
      <w:r w:rsidR="00620CD7" w:rsidRPr="00244D65">
        <w:rPr>
          <w:noProof/>
        </w:rPr>
        <w:t>. These are model</w:t>
      </w:r>
      <w:r w:rsidR="00397DBB" w:rsidRPr="00244D65">
        <w:rPr>
          <w:noProof/>
        </w:rPr>
        <w:t xml:space="preserve">-based scenarios </w:t>
      </w:r>
      <w:r w:rsidR="001F61B0" w:rsidRPr="00244D65">
        <w:rPr>
          <w:noProof/>
        </w:rPr>
        <w:t>which optimise the techno</w:t>
      </w:r>
      <w:r w:rsidR="00D41EBF" w:rsidRPr="00244D65">
        <w:rPr>
          <w:noProof/>
        </w:rPr>
        <w:t>logical</w:t>
      </w:r>
      <w:r w:rsidR="001F61B0" w:rsidRPr="00244D65">
        <w:rPr>
          <w:noProof/>
        </w:rPr>
        <w:t xml:space="preserve"> investments required to hit an 85% </w:t>
      </w:r>
      <w:r w:rsidR="00AF2425" w:rsidRPr="00244D65">
        <w:rPr>
          <w:noProof/>
        </w:rPr>
        <w:t xml:space="preserve">net emissions reduction target by 2040 compared to 1990, and climate neutrality in 2050. </w:t>
      </w:r>
      <w:r w:rsidR="006205E1" w:rsidRPr="00244D65">
        <w:rPr>
          <w:noProof/>
        </w:rPr>
        <w:t>However, this economy-wide optimisation does not provide sufficient information about detailed policies to achieve the necessary technology deployments.</w:t>
      </w:r>
      <w:r w:rsidR="008F22D2" w:rsidRPr="00244D65">
        <w:rPr>
          <w:noProof/>
        </w:rPr>
        <w:t xml:space="preserve"> The reason </w:t>
      </w:r>
      <w:r w:rsidR="002C1552" w:rsidRPr="00244D65">
        <w:rPr>
          <w:noProof/>
        </w:rPr>
        <w:t xml:space="preserve">to use these scenarios for further analysis is that they allow us to abstract out the economic impact of the change in the LRF, which would otherwise dominate all </w:t>
      </w:r>
      <w:r w:rsidR="00782AF7" w:rsidRPr="00244D65">
        <w:rPr>
          <w:noProof/>
        </w:rPr>
        <w:t xml:space="preserve">other </w:t>
      </w:r>
      <w:r w:rsidR="002C1552" w:rsidRPr="00244D65">
        <w:rPr>
          <w:noProof/>
        </w:rPr>
        <w:t xml:space="preserve">policy </w:t>
      </w:r>
      <w:r w:rsidR="00782AF7" w:rsidRPr="00244D65">
        <w:rPr>
          <w:noProof/>
        </w:rPr>
        <w:t>measures</w:t>
      </w:r>
      <w:r w:rsidR="002C1552" w:rsidRPr="00244D65">
        <w:rPr>
          <w:noProof/>
        </w:rPr>
        <w:t xml:space="preserve">. </w:t>
      </w:r>
      <w:r w:rsidR="00782AF7" w:rsidRPr="00244D65">
        <w:rPr>
          <w:noProof/>
        </w:rPr>
        <w:t>Furthermore, the</w:t>
      </w:r>
      <w:r w:rsidR="00FA3E8B" w:rsidRPr="00244D65">
        <w:rPr>
          <w:noProof/>
        </w:rPr>
        <w:t xml:space="preserve"> key purpose of this impact assessment is</w:t>
      </w:r>
      <w:r w:rsidR="00782AF7" w:rsidRPr="00244D65">
        <w:rPr>
          <w:noProof/>
        </w:rPr>
        <w:t xml:space="preserve"> not </w:t>
      </w:r>
      <w:r w:rsidR="00E01F03" w:rsidRPr="00244D65">
        <w:rPr>
          <w:noProof/>
        </w:rPr>
        <w:t xml:space="preserve">to assess the overall economy-wide ambition level, but to </w:t>
      </w:r>
      <w:r w:rsidR="008B58C9" w:rsidRPr="00244D65">
        <w:rPr>
          <w:noProof/>
        </w:rPr>
        <w:t xml:space="preserve">assess the policy measures through which the EU ETS could best contribute to attaining it. The ambition level as a whole was assessed in the impact assessment of the </w:t>
      </w:r>
      <w:r w:rsidR="00F3450D" w:rsidRPr="00244D65">
        <w:rPr>
          <w:noProof/>
        </w:rPr>
        <w:t xml:space="preserve">2040 </w:t>
      </w:r>
      <w:r w:rsidR="008B58C9" w:rsidRPr="00244D65">
        <w:rPr>
          <w:noProof/>
        </w:rPr>
        <w:t>Climate Target</w:t>
      </w:r>
      <w:r w:rsidR="008B58C9" w:rsidRPr="00244D65">
        <w:rPr>
          <w:rStyle w:val="FootnoteReference"/>
          <w:noProof/>
        </w:rPr>
        <w:footnoteReference w:id="28"/>
      </w:r>
      <w:r w:rsidR="008B58C9" w:rsidRPr="00244D65">
        <w:rPr>
          <w:noProof/>
        </w:rPr>
        <w:t>.</w:t>
      </w:r>
    </w:p>
    <w:p w14:paraId="3540BBE4" w14:textId="659CC9A8" w:rsidR="00853044" w:rsidRPr="00244D65" w:rsidRDefault="008F4AF5" w:rsidP="0085595C">
      <w:pPr>
        <w:pStyle w:val="Heading2"/>
        <w:rPr>
          <w:noProof/>
        </w:rPr>
      </w:pPr>
      <w:bookmarkStart w:id="112" w:name="_Toc234949740"/>
      <w:bookmarkStart w:id="113" w:name="_Toc232752496"/>
      <w:r w:rsidRPr="00244D65">
        <w:rPr>
          <w:noProof/>
        </w:rPr>
        <w:t>Policy options</w:t>
      </w:r>
      <w:bookmarkEnd w:id="112"/>
      <w:bookmarkEnd w:id="113"/>
    </w:p>
    <w:p w14:paraId="0F74EAE7" w14:textId="27E43E20" w:rsidR="00853044" w:rsidRPr="00244D65" w:rsidRDefault="00853044" w:rsidP="0085595C">
      <w:pPr>
        <w:rPr>
          <w:noProof/>
        </w:rPr>
      </w:pPr>
      <w:r w:rsidRPr="00244D65">
        <w:rPr>
          <w:noProof/>
        </w:rPr>
        <w:t xml:space="preserve">Three policy options have been developed that ensure that the ETS contributes cost-effectively to the EU emissions reduction target in line with climate neutrality and the 2040 target and to addressing the EU’s fair share of international emissions. The options differ in the degree of change that they entail to the current system. </w:t>
      </w:r>
      <w:r w:rsidRPr="00244D65">
        <w:rPr>
          <w:i/>
          <w:noProof/>
        </w:rPr>
        <w:t xml:space="preserve">Policy option 1 </w:t>
      </w:r>
      <w:r w:rsidR="00B43DA3" w:rsidRPr="00244D65">
        <w:rPr>
          <w:i/>
          <w:noProof/>
        </w:rPr>
        <w:t>Aligning ambition and improving incentives</w:t>
      </w:r>
      <w:r w:rsidR="003C02F2" w:rsidRPr="00244D65">
        <w:rPr>
          <w:i/>
          <w:noProof/>
        </w:rPr>
        <w:t xml:space="preserve"> </w:t>
      </w:r>
      <w:r w:rsidRPr="00244D65">
        <w:rPr>
          <w:noProof/>
        </w:rPr>
        <w:t xml:space="preserve">includes the measures that, overall, lead to least change compared to policies in place in 2026. </w:t>
      </w:r>
      <w:r w:rsidRPr="00244D65">
        <w:rPr>
          <w:i/>
          <w:noProof/>
        </w:rPr>
        <w:t xml:space="preserve">Policy option 2 </w:t>
      </w:r>
      <w:r w:rsidR="00627010" w:rsidRPr="00244D65">
        <w:rPr>
          <w:i/>
          <w:noProof/>
        </w:rPr>
        <w:t>Aligning ambition and extending scope and corresponding incentives</w:t>
      </w:r>
      <w:r w:rsidR="008756E3" w:rsidRPr="00244D65">
        <w:rPr>
          <w:i/>
          <w:noProof/>
        </w:rPr>
        <w:t xml:space="preserve"> </w:t>
      </w:r>
      <w:r w:rsidRPr="00244D65">
        <w:rPr>
          <w:noProof/>
        </w:rPr>
        <w:t xml:space="preserve">includes measures that introduce moderate innovations or changes to the system. </w:t>
      </w:r>
      <w:r w:rsidRPr="00244D65">
        <w:rPr>
          <w:i/>
          <w:noProof/>
        </w:rPr>
        <w:t xml:space="preserve">Policy option 3 </w:t>
      </w:r>
      <w:r w:rsidR="00627010" w:rsidRPr="00244D65">
        <w:rPr>
          <w:i/>
          <w:noProof/>
        </w:rPr>
        <w:t>Aligning ambition and extending scope and incentives comprehensively</w:t>
      </w:r>
      <w:r w:rsidR="00E445D2" w:rsidRPr="00244D65">
        <w:rPr>
          <w:i/>
          <w:noProof/>
        </w:rPr>
        <w:t xml:space="preserve"> </w:t>
      </w:r>
      <w:r w:rsidRPr="00244D65">
        <w:rPr>
          <w:noProof/>
        </w:rPr>
        <w:t>alters most substantially how the system works.</w:t>
      </w:r>
      <w:r w:rsidR="002F5EF4" w:rsidRPr="00244D65">
        <w:rPr>
          <w:noProof/>
        </w:rPr>
        <w:t xml:space="preserve"> Annex 7 </w:t>
      </w:r>
      <w:r w:rsidR="0067055D" w:rsidRPr="00244D65">
        <w:rPr>
          <w:noProof/>
        </w:rPr>
        <w:t>explains why each measure was included in the relevant policy option. In addition, t</w:t>
      </w:r>
      <w:r w:rsidR="002F5EF4" w:rsidRPr="00244D65">
        <w:rPr>
          <w:noProof/>
        </w:rPr>
        <w:t>he concluding sections of Annexes</w:t>
      </w:r>
      <w:r w:rsidR="000A160F" w:rsidRPr="00244D65">
        <w:rPr>
          <w:noProof/>
        </w:rPr>
        <w:t xml:space="preserve"> </w:t>
      </w:r>
      <w:r w:rsidR="002F5EF4" w:rsidRPr="00244D65">
        <w:rPr>
          <w:noProof/>
        </w:rPr>
        <w:t xml:space="preserve">8 to 13 </w:t>
      </w:r>
      <w:r w:rsidR="0067055D" w:rsidRPr="00244D65">
        <w:rPr>
          <w:noProof/>
        </w:rPr>
        <w:t>summarise the assessment of each measure.</w:t>
      </w:r>
      <w:r w:rsidR="00283D5C" w:rsidRPr="00244D65">
        <w:rPr>
          <w:noProof/>
        </w:rPr>
        <w:t xml:space="preserve"> Not all the measures analysed for each topic</w:t>
      </w:r>
      <w:r w:rsidR="007D4D43" w:rsidRPr="00244D65">
        <w:rPr>
          <w:noProof/>
        </w:rPr>
        <w:t xml:space="preserve"> in the annexes</w:t>
      </w:r>
      <w:r w:rsidR="00283D5C" w:rsidRPr="00244D65">
        <w:rPr>
          <w:noProof/>
        </w:rPr>
        <w:t xml:space="preserve"> were included in the policy options.</w:t>
      </w:r>
    </w:p>
    <w:p w14:paraId="37239DBA" w14:textId="228C7B18" w:rsidR="00774A89" w:rsidRPr="00244D65" w:rsidRDefault="001A10A6" w:rsidP="0085595C">
      <w:pPr>
        <w:rPr>
          <w:noProof/>
        </w:rPr>
      </w:pPr>
      <w:r w:rsidRPr="00244D65">
        <w:rPr>
          <w:noProof/>
        </w:rPr>
        <w:t>The most impactful measures in the policy options are those related to scope</w:t>
      </w:r>
      <w:r w:rsidR="00085078" w:rsidRPr="00244D65">
        <w:rPr>
          <w:noProof/>
        </w:rPr>
        <w:t xml:space="preserve"> (aviation and waste)</w:t>
      </w:r>
      <w:r w:rsidRPr="00244D65">
        <w:rPr>
          <w:noProof/>
        </w:rPr>
        <w:t xml:space="preserve">, </w:t>
      </w:r>
      <w:r w:rsidR="00085078" w:rsidRPr="00244D65">
        <w:rPr>
          <w:noProof/>
        </w:rPr>
        <w:t xml:space="preserve">ambition (cap, removals and MSR), and </w:t>
      </w:r>
      <w:r w:rsidR="003C67D1" w:rsidRPr="00244D65">
        <w:rPr>
          <w:noProof/>
        </w:rPr>
        <w:t>use</w:t>
      </w:r>
      <w:r w:rsidR="00085078" w:rsidRPr="00244D65">
        <w:rPr>
          <w:noProof/>
        </w:rPr>
        <w:t xml:space="preserve"> of allowances (</w:t>
      </w:r>
      <w:r w:rsidR="003C67D1" w:rsidRPr="00244D65">
        <w:rPr>
          <w:noProof/>
        </w:rPr>
        <w:t xml:space="preserve">in particular, for the </w:t>
      </w:r>
      <w:r w:rsidR="00CB0FE6" w:rsidRPr="00244D65">
        <w:rPr>
          <w:noProof/>
        </w:rPr>
        <w:t>IDB</w:t>
      </w:r>
      <w:r w:rsidR="003C67D1" w:rsidRPr="00244D65">
        <w:rPr>
          <w:noProof/>
        </w:rPr>
        <w:t xml:space="preserve"> and</w:t>
      </w:r>
      <w:r w:rsidR="00CB0FE6" w:rsidRPr="00244D65">
        <w:rPr>
          <w:noProof/>
        </w:rPr>
        <w:t xml:space="preserve"> free allocation)</w:t>
      </w:r>
      <w:r w:rsidR="002C2FD6" w:rsidRPr="00244D65">
        <w:rPr>
          <w:noProof/>
        </w:rPr>
        <w:t xml:space="preserve">, impacting for example costs of production or the </w:t>
      </w:r>
      <w:r w:rsidR="00192CA6" w:rsidRPr="00244D65">
        <w:rPr>
          <w:noProof/>
        </w:rPr>
        <w:t>business case for investments in emissions reductions</w:t>
      </w:r>
      <w:r w:rsidR="00CB0FE6" w:rsidRPr="00244D65">
        <w:rPr>
          <w:noProof/>
        </w:rPr>
        <w:t xml:space="preserve">. </w:t>
      </w:r>
      <w:r w:rsidR="00014465" w:rsidRPr="00244D65">
        <w:rPr>
          <w:noProof/>
        </w:rPr>
        <w:t xml:space="preserve">Regarding the scope, </w:t>
      </w:r>
      <w:r w:rsidR="00375CBB" w:rsidRPr="00244D65">
        <w:rPr>
          <w:noProof/>
        </w:rPr>
        <w:t xml:space="preserve">the combined extension of </w:t>
      </w:r>
      <w:r w:rsidR="003C67D1" w:rsidRPr="00244D65">
        <w:rPr>
          <w:noProof/>
        </w:rPr>
        <w:t xml:space="preserve">the </w:t>
      </w:r>
      <w:r w:rsidR="00375CBB" w:rsidRPr="00244D65">
        <w:rPr>
          <w:noProof/>
        </w:rPr>
        <w:t>system to</w:t>
      </w:r>
      <w:r w:rsidR="00716078" w:rsidRPr="00244D65">
        <w:rPr>
          <w:noProof/>
        </w:rPr>
        <w:t xml:space="preserve"> departing flights and</w:t>
      </w:r>
      <w:r w:rsidR="009B3F74" w:rsidRPr="00244D65">
        <w:rPr>
          <w:noProof/>
        </w:rPr>
        <w:t xml:space="preserve"> all waste incineration installations and landfills of non-hazardous waste (PO3</w:t>
      </w:r>
      <w:r w:rsidR="00E65062" w:rsidRPr="00244D65">
        <w:rPr>
          <w:noProof/>
        </w:rPr>
        <w:t xml:space="preserve"> </w:t>
      </w:r>
      <w:r w:rsidR="00262DBE" w:rsidRPr="00244D65">
        <w:rPr>
          <w:noProof/>
        </w:rPr>
        <w:t>–</w:t>
      </w:r>
      <w:r w:rsidR="009B3F74" w:rsidRPr="00244D65">
        <w:rPr>
          <w:noProof/>
        </w:rPr>
        <w:t xml:space="preserve"> </w:t>
      </w:r>
      <w:r w:rsidR="00262DBE" w:rsidRPr="00244D65">
        <w:rPr>
          <w:noProof/>
        </w:rPr>
        <w:t>largest scope extension</w:t>
      </w:r>
      <w:r w:rsidR="009B3F74" w:rsidRPr="00244D65">
        <w:rPr>
          <w:noProof/>
        </w:rPr>
        <w:t>)</w:t>
      </w:r>
      <w:r w:rsidR="00375CBB" w:rsidRPr="00244D65">
        <w:rPr>
          <w:noProof/>
        </w:rPr>
        <w:t xml:space="preserve"> </w:t>
      </w:r>
      <w:r w:rsidR="008D350E" w:rsidRPr="00244D65">
        <w:rPr>
          <w:noProof/>
        </w:rPr>
        <w:t>could increase the size of the ETS by</w:t>
      </w:r>
      <w:r w:rsidR="00FE32E2" w:rsidRPr="00244D65">
        <w:rPr>
          <w:noProof/>
        </w:rPr>
        <w:t xml:space="preserve"> </w:t>
      </w:r>
      <w:r w:rsidR="00BB76B7" w:rsidRPr="00244D65">
        <w:rPr>
          <w:noProof/>
        </w:rPr>
        <w:t xml:space="preserve">around </w:t>
      </w:r>
      <w:r w:rsidR="00FE32E2" w:rsidRPr="00244D65">
        <w:rPr>
          <w:noProof/>
        </w:rPr>
        <w:t xml:space="preserve">30% compared to </w:t>
      </w:r>
      <w:r w:rsidR="003B0BFA" w:rsidRPr="00244D65">
        <w:rPr>
          <w:noProof/>
        </w:rPr>
        <w:t>PO1 in terms of cumulative budget over 2031-2040</w:t>
      </w:r>
      <w:r w:rsidR="008D350E" w:rsidRPr="00244D65">
        <w:rPr>
          <w:noProof/>
        </w:rPr>
        <w:t>.</w:t>
      </w:r>
    </w:p>
    <w:p w14:paraId="032EDD6E" w14:textId="2371B389" w:rsidR="006A3977" w:rsidRPr="00244D65" w:rsidRDefault="008D350E" w:rsidP="0085595C">
      <w:pPr>
        <w:rPr>
          <w:noProof/>
        </w:rPr>
      </w:pPr>
      <w:r w:rsidRPr="00244D65">
        <w:rPr>
          <w:noProof/>
        </w:rPr>
        <w:t xml:space="preserve">Regarding the ambition, all policy options include the same measure for the cap, meaning that the impact is driven by the integration of carbon removals and the MSR. </w:t>
      </w:r>
      <w:r w:rsidR="00774A89" w:rsidRPr="00244D65">
        <w:rPr>
          <w:noProof/>
        </w:rPr>
        <w:t>This choice has been made for the pragmatic reason that</w:t>
      </w:r>
      <w:r w:rsidR="00EA3704" w:rsidRPr="00244D65">
        <w:rPr>
          <w:noProof/>
        </w:rPr>
        <w:t xml:space="preserve"> the other measures, not related to the cap, need to be assessed </w:t>
      </w:r>
      <w:r w:rsidR="00056FE5" w:rsidRPr="00244D65">
        <w:rPr>
          <w:noProof/>
        </w:rPr>
        <w:t xml:space="preserve">without this assessment being affected by </w:t>
      </w:r>
      <w:r w:rsidR="00F66AAD" w:rsidRPr="00244D65">
        <w:rPr>
          <w:noProof/>
        </w:rPr>
        <w:t xml:space="preserve">changes in overall ambition level. The </w:t>
      </w:r>
      <w:r w:rsidR="0048642B" w:rsidRPr="00244D65">
        <w:rPr>
          <w:noProof/>
        </w:rPr>
        <w:t>cap</w:t>
      </w:r>
      <w:r w:rsidR="00295DC2" w:rsidRPr="00244D65">
        <w:rPr>
          <w:noProof/>
        </w:rPr>
        <w:t xml:space="preserve"> section</w:t>
      </w:r>
      <w:r w:rsidR="00F66AAD" w:rsidRPr="00244D65">
        <w:rPr>
          <w:noProof/>
        </w:rPr>
        <w:t xml:space="preserve"> </w:t>
      </w:r>
      <w:r w:rsidR="00C67A42" w:rsidRPr="00244D65">
        <w:rPr>
          <w:noProof/>
        </w:rPr>
        <w:t xml:space="preserve">of </w:t>
      </w:r>
      <w:r w:rsidR="00F66AAD" w:rsidRPr="00244D65">
        <w:rPr>
          <w:noProof/>
        </w:rPr>
        <w:t>Annex</w:t>
      </w:r>
      <w:r w:rsidR="00295DC2" w:rsidRPr="00244D65">
        <w:rPr>
          <w:noProof/>
        </w:rPr>
        <w:t xml:space="preserve"> 8</w:t>
      </w:r>
      <w:r w:rsidR="00F66AAD" w:rsidRPr="00244D65">
        <w:rPr>
          <w:noProof/>
        </w:rPr>
        <w:t xml:space="preserve"> and </w:t>
      </w:r>
      <w:r w:rsidR="003C2D53" w:rsidRPr="00244D65">
        <w:rPr>
          <w:noProof/>
        </w:rPr>
        <w:t>chapter 6 of this</w:t>
      </w:r>
      <w:r w:rsidR="002430A4" w:rsidRPr="00244D65">
        <w:rPr>
          <w:noProof/>
        </w:rPr>
        <w:t xml:space="preserve"> impact assessment will nevertheless </w:t>
      </w:r>
      <w:r w:rsidR="00696A08" w:rsidRPr="00244D65">
        <w:rPr>
          <w:noProof/>
        </w:rPr>
        <w:t xml:space="preserve">show environmental and economic </w:t>
      </w:r>
      <w:r w:rsidR="00AF15CC" w:rsidRPr="00244D65">
        <w:rPr>
          <w:noProof/>
        </w:rPr>
        <w:t xml:space="preserve">impacts of </w:t>
      </w:r>
      <w:r w:rsidR="00AB4629" w:rsidRPr="00244D65">
        <w:rPr>
          <w:noProof/>
        </w:rPr>
        <w:t>comparing</w:t>
      </w:r>
      <w:r w:rsidR="00AF15CC" w:rsidRPr="00244D65">
        <w:rPr>
          <w:noProof/>
        </w:rPr>
        <w:t xml:space="preserve"> C</w:t>
      </w:r>
      <w:r w:rsidR="00295DC2" w:rsidRPr="00244D65">
        <w:rPr>
          <w:noProof/>
        </w:rPr>
        <w:t>AP</w:t>
      </w:r>
      <w:r w:rsidR="008D60AC" w:rsidRPr="00244D65">
        <w:rPr>
          <w:noProof/>
        </w:rPr>
        <w:t>2 and CAP4 to</w:t>
      </w:r>
      <w:r w:rsidR="00AF15CC" w:rsidRPr="00244D65">
        <w:rPr>
          <w:noProof/>
        </w:rPr>
        <w:t xml:space="preserve"> C</w:t>
      </w:r>
      <w:r w:rsidR="00410919" w:rsidRPr="00244D65">
        <w:rPr>
          <w:noProof/>
        </w:rPr>
        <w:t>AP</w:t>
      </w:r>
      <w:r w:rsidR="008D60AC" w:rsidRPr="00244D65">
        <w:rPr>
          <w:noProof/>
        </w:rPr>
        <w:t>3</w:t>
      </w:r>
      <w:r w:rsidR="00AF15CC" w:rsidRPr="00244D65">
        <w:rPr>
          <w:noProof/>
        </w:rPr>
        <w:t>.</w:t>
      </w:r>
      <w:r w:rsidR="00B95340" w:rsidRPr="00244D65">
        <w:rPr>
          <w:noProof/>
        </w:rPr>
        <w:t>Various other caps and targets are also illustrated in the Annex.</w:t>
      </w:r>
      <w:r w:rsidR="00AF15CC" w:rsidRPr="00244D65">
        <w:rPr>
          <w:noProof/>
        </w:rPr>
        <w:t xml:space="preserve"> </w:t>
      </w:r>
      <w:r w:rsidR="006C5091" w:rsidRPr="00244D65">
        <w:rPr>
          <w:noProof/>
        </w:rPr>
        <w:t xml:space="preserve">The </w:t>
      </w:r>
      <w:r w:rsidR="00042CE5" w:rsidRPr="00244D65">
        <w:rPr>
          <w:i/>
          <w:iCs/>
          <w:noProof/>
        </w:rPr>
        <w:t>relative</w:t>
      </w:r>
      <w:r w:rsidR="00042CE5" w:rsidRPr="00244D65">
        <w:rPr>
          <w:noProof/>
        </w:rPr>
        <w:t xml:space="preserve"> impacts of the other measures, such as those on removals, carbon leakage or CCU, will not be </w:t>
      </w:r>
      <w:r w:rsidR="006F7174" w:rsidRPr="00244D65">
        <w:rPr>
          <w:noProof/>
        </w:rPr>
        <w:t>affected by changes in cap traje</w:t>
      </w:r>
      <w:r w:rsidR="00FF30C5" w:rsidRPr="00244D65">
        <w:rPr>
          <w:noProof/>
        </w:rPr>
        <w:t xml:space="preserve">ctory: </w:t>
      </w:r>
      <w:r w:rsidR="00615E8C" w:rsidRPr="00244D65">
        <w:rPr>
          <w:noProof/>
        </w:rPr>
        <w:t xml:space="preserve">if a </w:t>
      </w:r>
      <w:r w:rsidR="00295DC2" w:rsidRPr="00244D65">
        <w:rPr>
          <w:noProof/>
        </w:rPr>
        <w:t xml:space="preserve">policy </w:t>
      </w:r>
      <w:r w:rsidR="00615E8C" w:rsidRPr="00244D65">
        <w:rPr>
          <w:noProof/>
        </w:rPr>
        <w:t xml:space="preserve">measure </w:t>
      </w:r>
      <w:r w:rsidR="002F37FF" w:rsidRPr="00244D65">
        <w:rPr>
          <w:noProof/>
        </w:rPr>
        <w:t>perfo</w:t>
      </w:r>
      <w:r w:rsidR="002F2761" w:rsidRPr="00244D65">
        <w:rPr>
          <w:noProof/>
        </w:rPr>
        <w:t xml:space="preserve">rms better under </w:t>
      </w:r>
      <w:r w:rsidR="00295DC2" w:rsidRPr="00244D65">
        <w:rPr>
          <w:noProof/>
        </w:rPr>
        <w:t xml:space="preserve">certain criteria than an alternative measure under CAP1, </w:t>
      </w:r>
      <w:r w:rsidR="003C2D53" w:rsidRPr="00244D65">
        <w:rPr>
          <w:noProof/>
        </w:rPr>
        <w:t xml:space="preserve">it can be expected to perform better under CAP3 as well. By keeping the same </w:t>
      </w:r>
      <w:r w:rsidR="00410919" w:rsidRPr="00244D65">
        <w:rPr>
          <w:noProof/>
        </w:rPr>
        <w:t xml:space="preserve">CAP measure under all </w:t>
      </w:r>
      <w:r w:rsidR="00AC0259" w:rsidRPr="00244D65">
        <w:rPr>
          <w:noProof/>
        </w:rPr>
        <w:t xml:space="preserve">POs, </w:t>
      </w:r>
      <w:r w:rsidR="00902FD2" w:rsidRPr="00244D65">
        <w:rPr>
          <w:noProof/>
        </w:rPr>
        <w:t xml:space="preserve">such relative performance can be isolated, without </w:t>
      </w:r>
      <w:r w:rsidR="00883592" w:rsidRPr="00244D65">
        <w:rPr>
          <w:noProof/>
        </w:rPr>
        <w:t xml:space="preserve">being </w:t>
      </w:r>
      <w:r w:rsidR="00331CFD" w:rsidRPr="00244D65">
        <w:rPr>
          <w:noProof/>
        </w:rPr>
        <w:t xml:space="preserve">dominated by the environmental and economic impacts of changing the cap. </w:t>
      </w:r>
    </w:p>
    <w:p w14:paraId="7D94BA2C" w14:textId="2A0D5DB7" w:rsidR="008D350E" w:rsidRPr="00244D65" w:rsidRDefault="00693FBA" w:rsidP="0085595C">
      <w:pPr>
        <w:rPr>
          <w:noProof/>
        </w:rPr>
      </w:pPr>
      <w:r w:rsidRPr="00244D65">
        <w:rPr>
          <w:noProof/>
        </w:rPr>
        <w:t>For removals</w:t>
      </w:r>
      <w:r w:rsidR="008D350E" w:rsidRPr="00244D65">
        <w:rPr>
          <w:noProof/>
        </w:rPr>
        <w:t xml:space="preserve">, the </w:t>
      </w:r>
      <w:r w:rsidR="00EA5206" w:rsidRPr="00244D65">
        <w:rPr>
          <w:noProof/>
        </w:rPr>
        <w:t>differences i</w:t>
      </w:r>
      <w:r w:rsidR="00D60CD5" w:rsidRPr="00244D65">
        <w:rPr>
          <w:noProof/>
        </w:rPr>
        <w:t>n</w:t>
      </w:r>
      <w:r w:rsidR="00EA5206" w:rsidRPr="00244D65">
        <w:rPr>
          <w:noProof/>
        </w:rPr>
        <w:t xml:space="preserve"> the</w:t>
      </w:r>
      <w:r w:rsidR="00E65062" w:rsidRPr="00244D65">
        <w:rPr>
          <w:noProof/>
        </w:rPr>
        <w:t xml:space="preserve"> degree of change among the</w:t>
      </w:r>
      <w:r w:rsidR="00EA5206" w:rsidRPr="00244D65">
        <w:rPr>
          <w:noProof/>
        </w:rPr>
        <w:t xml:space="preserve"> policy options </w:t>
      </w:r>
      <w:r w:rsidR="00E65062" w:rsidRPr="00244D65">
        <w:rPr>
          <w:noProof/>
        </w:rPr>
        <w:t xml:space="preserve">are not based on the </w:t>
      </w:r>
      <w:r w:rsidR="00D93526" w:rsidRPr="00244D65">
        <w:rPr>
          <w:noProof/>
        </w:rPr>
        <w:t>level of the increase of the</w:t>
      </w:r>
      <w:r w:rsidR="008C2AB0" w:rsidRPr="00244D65">
        <w:rPr>
          <w:noProof/>
        </w:rPr>
        <w:t xml:space="preserve"> emissions space (</w:t>
      </w:r>
      <w:r w:rsidR="00E65062" w:rsidRPr="00244D65">
        <w:rPr>
          <w:noProof/>
        </w:rPr>
        <w:t>all POs count o</w:t>
      </w:r>
      <w:r w:rsidR="0051028D" w:rsidRPr="00244D65">
        <w:rPr>
          <w:noProof/>
        </w:rPr>
        <w:t>n</w:t>
      </w:r>
      <w:r w:rsidR="00E65062" w:rsidRPr="00244D65">
        <w:rPr>
          <w:noProof/>
        </w:rPr>
        <w:t xml:space="preserve"> the same amount of removals being eligible for integration</w:t>
      </w:r>
      <w:r w:rsidR="00EA5206" w:rsidRPr="00244D65">
        <w:rPr>
          <w:noProof/>
        </w:rPr>
        <w:t xml:space="preserve">) but </w:t>
      </w:r>
      <w:r w:rsidR="00E65062" w:rsidRPr="00244D65">
        <w:rPr>
          <w:noProof/>
        </w:rPr>
        <w:t>rather on</w:t>
      </w:r>
      <w:r w:rsidR="00286B48" w:rsidRPr="00244D65">
        <w:rPr>
          <w:noProof/>
        </w:rPr>
        <w:t xml:space="preserve"> the</w:t>
      </w:r>
      <w:r w:rsidR="00EA5206" w:rsidRPr="00244D65">
        <w:rPr>
          <w:noProof/>
        </w:rPr>
        <w:t xml:space="preserve"> certainty on </w:t>
      </w:r>
      <w:r w:rsidR="008C24E2" w:rsidRPr="00244D65">
        <w:rPr>
          <w:noProof/>
        </w:rPr>
        <w:t>the net and gross emissions</w:t>
      </w:r>
      <w:r w:rsidR="008C24E2" w:rsidRPr="00244D65">
        <w:rPr>
          <w:rStyle w:val="FootnoteReference"/>
          <w:noProof/>
        </w:rPr>
        <w:footnoteReference w:id="29"/>
      </w:r>
      <w:r w:rsidR="008C24E2" w:rsidRPr="00244D65">
        <w:rPr>
          <w:noProof/>
        </w:rPr>
        <w:t>.</w:t>
      </w:r>
      <w:r w:rsidR="00FE75FB" w:rsidRPr="00244D65">
        <w:rPr>
          <w:noProof/>
        </w:rPr>
        <w:t xml:space="preserve"> </w:t>
      </w:r>
      <w:r w:rsidR="00D93526" w:rsidRPr="00244D65">
        <w:rPr>
          <w:noProof/>
        </w:rPr>
        <w:t>For t</w:t>
      </w:r>
      <w:r w:rsidR="00FE75FB" w:rsidRPr="00244D65">
        <w:rPr>
          <w:noProof/>
        </w:rPr>
        <w:t>he MSR</w:t>
      </w:r>
      <w:r w:rsidR="00D65FD1" w:rsidRPr="00244D65">
        <w:rPr>
          <w:noProof/>
        </w:rPr>
        <w:t xml:space="preserve">, </w:t>
      </w:r>
      <w:r w:rsidRPr="00244D65">
        <w:rPr>
          <w:noProof/>
        </w:rPr>
        <w:t>the</w:t>
      </w:r>
      <w:r w:rsidR="00D65FD1" w:rsidRPr="00244D65">
        <w:rPr>
          <w:noProof/>
        </w:rPr>
        <w:t xml:space="preserve"> difference</w:t>
      </w:r>
      <w:r w:rsidRPr="00244D65">
        <w:rPr>
          <w:noProof/>
        </w:rPr>
        <w:t xml:space="preserve">s between the policy options stem from </w:t>
      </w:r>
      <w:r w:rsidR="007B232E" w:rsidRPr="00244D65">
        <w:rPr>
          <w:noProof/>
        </w:rPr>
        <w:t>changing from static parameters</w:t>
      </w:r>
      <w:r w:rsidRPr="00244D65">
        <w:rPr>
          <w:noProof/>
        </w:rPr>
        <w:t xml:space="preserve"> (PO1)</w:t>
      </w:r>
      <w:r w:rsidR="007B232E" w:rsidRPr="00244D65">
        <w:rPr>
          <w:noProof/>
        </w:rPr>
        <w:t xml:space="preserve"> to dynamic</w:t>
      </w:r>
      <w:r w:rsidRPr="00244D65">
        <w:rPr>
          <w:noProof/>
        </w:rPr>
        <w:t xml:space="preserve"> parameters (PO2-PO3)</w:t>
      </w:r>
      <w:r w:rsidR="00035B45" w:rsidRPr="00244D65">
        <w:rPr>
          <w:noProof/>
        </w:rPr>
        <w:t>, in which</w:t>
      </w:r>
      <w:r w:rsidR="00EE6235" w:rsidRPr="00244D65">
        <w:rPr>
          <w:noProof/>
        </w:rPr>
        <w:t xml:space="preserve"> </w:t>
      </w:r>
      <w:r w:rsidR="008553A8" w:rsidRPr="00244D65">
        <w:rPr>
          <w:noProof/>
        </w:rPr>
        <w:t xml:space="preserve">MSR parameters </w:t>
      </w:r>
      <w:r w:rsidR="00B4542B" w:rsidRPr="00244D65">
        <w:rPr>
          <w:noProof/>
        </w:rPr>
        <w:t>decline at a fixed proportional rate from 2028 onwards</w:t>
      </w:r>
      <w:r w:rsidR="008553A8" w:rsidRPr="00244D65">
        <w:rPr>
          <w:noProof/>
        </w:rPr>
        <w:t>. This</w:t>
      </w:r>
      <w:r w:rsidR="00A146F2" w:rsidRPr="00244D65">
        <w:rPr>
          <w:noProof/>
        </w:rPr>
        <w:t xml:space="preserve"> </w:t>
      </w:r>
      <w:r w:rsidR="0041453A" w:rsidRPr="00244D65">
        <w:rPr>
          <w:noProof/>
        </w:rPr>
        <w:t>ensur</w:t>
      </w:r>
      <w:r w:rsidR="008553A8" w:rsidRPr="00244D65">
        <w:rPr>
          <w:noProof/>
        </w:rPr>
        <w:t>es</w:t>
      </w:r>
      <w:r w:rsidR="0041453A" w:rsidRPr="00244D65">
        <w:rPr>
          <w:noProof/>
        </w:rPr>
        <w:t xml:space="preserve"> </w:t>
      </w:r>
      <w:r w:rsidR="00AC2DCB" w:rsidRPr="00244D65">
        <w:rPr>
          <w:noProof/>
        </w:rPr>
        <w:t>a MSR design that</w:t>
      </w:r>
      <w:r w:rsidR="0041453A" w:rsidRPr="00244D65">
        <w:rPr>
          <w:noProof/>
        </w:rPr>
        <w:t xml:space="preserve"> </w:t>
      </w:r>
      <w:r w:rsidR="00135111" w:rsidRPr="00244D65">
        <w:rPr>
          <w:noProof/>
        </w:rPr>
        <w:t xml:space="preserve">dynamically </w:t>
      </w:r>
      <w:r w:rsidR="00AC2DCB" w:rsidRPr="00244D65">
        <w:rPr>
          <w:noProof/>
        </w:rPr>
        <w:t>accompanies</w:t>
      </w:r>
      <w:r w:rsidR="00A146F2" w:rsidRPr="00244D65">
        <w:rPr>
          <w:noProof/>
        </w:rPr>
        <w:t xml:space="preserve"> the overall decreasing market of allowances. </w:t>
      </w:r>
      <w:r w:rsidR="00A51A78" w:rsidRPr="00244D65">
        <w:rPr>
          <w:noProof/>
        </w:rPr>
        <w:t>Regarding</w:t>
      </w:r>
      <w:r w:rsidRPr="00244D65">
        <w:rPr>
          <w:noProof/>
        </w:rPr>
        <w:t xml:space="preserve"> the</w:t>
      </w:r>
      <w:r w:rsidR="00A51A78" w:rsidRPr="00244D65">
        <w:rPr>
          <w:noProof/>
        </w:rPr>
        <w:t xml:space="preserve"> use of allowances, the</w:t>
      </w:r>
      <w:r w:rsidR="000524DF" w:rsidRPr="00244D65">
        <w:rPr>
          <w:noProof/>
        </w:rPr>
        <w:t xml:space="preserve"> most impactful changes relate to </w:t>
      </w:r>
      <w:r w:rsidR="005C77C0" w:rsidRPr="00244D65">
        <w:rPr>
          <w:noProof/>
        </w:rPr>
        <w:t xml:space="preserve">the deployment of </w:t>
      </w:r>
      <w:r w:rsidR="00D93526" w:rsidRPr="00244D65">
        <w:rPr>
          <w:noProof/>
        </w:rPr>
        <w:t>the</w:t>
      </w:r>
      <w:r w:rsidR="00A51A78" w:rsidRPr="00244D65">
        <w:rPr>
          <w:noProof/>
        </w:rPr>
        <w:t xml:space="preserve"> 100 </w:t>
      </w:r>
      <w:r>
        <w:rPr>
          <w:noProof/>
        </w:rPr>
        <w:t>billion</w:t>
      </w:r>
      <w:r w:rsidR="00A51A78" w:rsidRPr="00244D65">
        <w:rPr>
          <w:noProof/>
        </w:rPr>
        <w:t xml:space="preserve"> </w:t>
      </w:r>
      <w:r w:rsidR="001A4F85" w:rsidRPr="00244D65">
        <w:rPr>
          <w:noProof/>
        </w:rPr>
        <w:t>of the IDB</w:t>
      </w:r>
      <w:r w:rsidR="002469CA" w:rsidRPr="00244D65">
        <w:rPr>
          <w:noProof/>
        </w:rPr>
        <w:t xml:space="preserve"> (already in the </w:t>
      </w:r>
      <w:r w:rsidR="004B0BAE" w:rsidRPr="00244D65">
        <w:rPr>
          <w:noProof/>
        </w:rPr>
        <w:t>b</w:t>
      </w:r>
      <w:r w:rsidR="00BD559D" w:rsidRPr="00244D65">
        <w:rPr>
          <w:noProof/>
        </w:rPr>
        <w:t>a</w:t>
      </w:r>
      <w:r w:rsidR="002469CA" w:rsidRPr="00244D65">
        <w:rPr>
          <w:noProof/>
        </w:rPr>
        <w:t>seline)</w:t>
      </w:r>
      <w:r w:rsidR="00D93526" w:rsidRPr="00244D65">
        <w:rPr>
          <w:noProof/>
        </w:rPr>
        <w:t xml:space="preserve">, </w:t>
      </w:r>
      <w:r w:rsidR="000524DF" w:rsidRPr="00244D65">
        <w:rPr>
          <w:noProof/>
        </w:rPr>
        <w:t>and</w:t>
      </w:r>
      <w:r w:rsidR="007243BD" w:rsidRPr="00244D65">
        <w:rPr>
          <w:noProof/>
        </w:rPr>
        <w:t xml:space="preserve"> the changes to rules on free allo</w:t>
      </w:r>
      <w:r w:rsidR="004E6643" w:rsidRPr="00244D65">
        <w:rPr>
          <w:noProof/>
        </w:rPr>
        <w:t>wances</w:t>
      </w:r>
      <w:r w:rsidR="007243BD" w:rsidRPr="00244D65">
        <w:rPr>
          <w:noProof/>
        </w:rPr>
        <w:t xml:space="preserve"> </w:t>
      </w:r>
      <w:r w:rsidR="000A256B" w:rsidRPr="00244D65">
        <w:rPr>
          <w:noProof/>
        </w:rPr>
        <w:t>–</w:t>
      </w:r>
      <w:r w:rsidR="001A4F85" w:rsidRPr="00244D65">
        <w:rPr>
          <w:noProof/>
        </w:rPr>
        <w:t xml:space="preserve"> </w:t>
      </w:r>
      <w:r w:rsidR="000A256B" w:rsidRPr="00244D65">
        <w:rPr>
          <w:noProof/>
        </w:rPr>
        <w:t>ranging from targeted improvements (PO1</w:t>
      </w:r>
      <w:r w:rsidR="002C2E0E" w:rsidRPr="00244D65">
        <w:rPr>
          <w:noProof/>
        </w:rPr>
        <w:t>)</w:t>
      </w:r>
      <w:r w:rsidR="000A256B" w:rsidRPr="00244D65">
        <w:rPr>
          <w:noProof/>
        </w:rPr>
        <w:t>, to introducing</w:t>
      </w:r>
      <w:r w:rsidR="004E6643" w:rsidRPr="00244D65">
        <w:rPr>
          <w:noProof/>
        </w:rPr>
        <w:t xml:space="preserve"> their </w:t>
      </w:r>
      <w:r w:rsidR="001A4F85" w:rsidRPr="00244D65">
        <w:rPr>
          <w:noProof/>
        </w:rPr>
        <w:t xml:space="preserve">conditional use (PO2) </w:t>
      </w:r>
      <w:r w:rsidR="004E6643" w:rsidRPr="00244D65">
        <w:rPr>
          <w:noProof/>
        </w:rPr>
        <w:t xml:space="preserve">and </w:t>
      </w:r>
      <w:r w:rsidR="001A4F85" w:rsidRPr="00244D65">
        <w:rPr>
          <w:noProof/>
        </w:rPr>
        <w:t>their phase-out (PO3).</w:t>
      </w:r>
      <w:r w:rsidR="00854A89" w:rsidRPr="00244D65">
        <w:rPr>
          <w:noProof/>
        </w:rPr>
        <w:t xml:space="preserve"> More in-depth analysis of options is provided in Annex 9.</w:t>
      </w:r>
    </w:p>
    <w:p w14:paraId="76BC3290" w14:textId="532C6C55" w:rsidR="00264977" w:rsidRPr="00244D65" w:rsidRDefault="00733A1A" w:rsidP="0085595C">
      <w:pPr>
        <w:rPr>
          <w:noProof/>
        </w:rPr>
      </w:pPr>
      <w:r w:rsidRPr="00244D65">
        <w:rPr>
          <w:noProof/>
        </w:rPr>
        <w:t xml:space="preserve">The policy options all address the main risk that the ETS does not contribute cost-effectively to the EU emissions reduction target – </w:t>
      </w:r>
      <w:r w:rsidR="008D2C47" w:rsidRPr="00244D65">
        <w:rPr>
          <w:noProof/>
        </w:rPr>
        <w:t xml:space="preserve">this is because </w:t>
      </w:r>
      <w:r w:rsidRPr="00244D65">
        <w:rPr>
          <w:noProof/>
        </w:rPr>
        <w:t>all options align the cap trajectory with the 2040 climate ambition of the EU. In all cap options, the reduction rate can continue at a slower pace than the currently legislated LRF. This means more allowances can be issued each year and new allowances will continue to be issued well beyond 2040.</w:t>
      </w:r>
      <w:r w:rsidR="00DD129C" w:rsidRPr="00244D65">
        <w:rPr>
          <w:noProof/>
        </w:rPr>
        <w:t xml:space="preserve"> The integration of removals and adjustments to the MSR can also improve the cost-effectiveness of the ETS contribution to the EU’s climate ambition, by increasing the emissions space in the system through removals and adjusting the MSR </w:t>
      </w:r>
      <w:r w:rsidR="00420930" w:rsidRPr="00244D65">
        <w:rPr>
          <w:noProof/>
        </w:rPr>
        <w:t>so it can maintain a</w:t>
      </w:r>
      <w:r w:rsidR="00DD129C" w:rsidRPr="00244D65">
        <w:rPr>
          <w:noProof/>
        </w:rPr>
        <w:t xml:space="preserve"> healthy supply and demand balance</w:t>
      </w:r>
      <w:r w:rsidR="00716BE1" w:rsidRPr="00244D65">
        <w:rPr>
          <w:noProof/>
        </w:rPr>
        <w:t>. T</w:t>
      </w:r>
      <w:r w:rsidR="004A00CA" w:rsidRPr="00244D65">
        <w:rPr>
          <w:noProof/>
        </w:rPr>
        <w:t xml:space="preserve">he </w:t>
      </w:r>
      <w:r w:rsidR="00DD129C" w:rsidRPr="00244D65">
        <w:rPr>
          <w:noProof/>
        </w:rPr>
        <w:t>stability of the system and its environmental integrity</w:t>
      </w:r>
      <w:r w:rsidR="004A00CA" w:rsidRPr="00244D65">
        <w:rPr>
          <w:noProof/>
        </w:rPr>
        <w:t xml:space="preserve"> </w:t>
      </w:r>
      <w:r w:rsidR="00716BE1" w:rsidRPr="00244D65">
        <w:rPr>
          <w:noProof/>
        </w:rPr>
        <w:t xml:space="preserve">act </w:t>
      </w:r>
      <w:r w:rsidR="004A00CA" w:rsidRPr="00244D65">
        <w:rPr>
          <w:noProof/>
        </w:rPr>
        <w:t xml:space="preserve">as </w:t>
      </w:r>
      <w:r w:rsidR="0002479E" w:rsidRPr="00244D65">
        <w:rPr>
          <w:noProof/>
        </w:rPr>
        <w:t>constraints</w:t>
      </w:r>
      <w:r w:rsidR="00420930" w:rsidRPr="00244D65">
        <w:rPr>
          <w:noProof/>
        </w:rPr>
        <w:t xml:space="preserve"> to any changes</w:t>
      </w:r>
      <w:r w:rsidR="00716BE1" w:rsidRPr="00244D65">
        <w:rPr>
          <w:noProof/>
        </w:rPr>
        <w:t xml:space="preserve"> on either topic</w:t>
      </w:r>
      <w:r w:rsidR="00DD129C" w:rsidRPr="00244D65">
        <w:rPr>
          <w:noProof/>
        </w:rPr>
        <w:t>.</w:t>
      </w:r>
      <w:r w:rsidRPr="00244D65">
        <w:rPr>
          <w:noProof/>
        </w:rPr>
        <w:t xml:space="preserve"> Beyond that, differences in achieving a cost-effective contribution depend mainly on the scope extensions and use of allowances. Broader scope extensions allow the system to contribute to more emissions reductions and increase market efficiency by making it larger, but this needs to be measured against the efficiency of the extension (emission reduction potential and implementation costs). Introduction conditions on free allocation or reducing free allowances can improve incentives to decarbonise and lead to greater emissions reductions, as long as it does not lead to carbon leakage. This carbon leakage risk is in turn mitigated in part by the financing support provided through the IDB. Regarding the risk of not contributing cost-effectively</w:t>
      </w:r>
      <w:r w:rsidR="002D64E1" w:rsidRPr="00244D65">
        <w:rPr>
          <w:noProof/>
        </w:rPr>
        <w:t xml:space="preserve"> </w:t>
      </w:r>
      <w:r w:rsidR="002748EA" w:rsidRPr="00244D65">
        <w:rPr>
          <w:noProof/>
        </w:rPr>
        <w:t>on</w:t>
      </w:r>
      <w:r w:rsidRPr="00244D65">
        <w:rPr>
          <w:noProof/>
        </w:rPr>
        <w:t xml:space="preserve"> the EU’s fair share of international emissions</w:t>
      </w:r>
      <w:r w:rsidR="00DA05BF" w:rsidRPr="00244D65">
        <w:rPr>
          <w:noProof/>
        </w:rPr>
        <w:t xml:space="preserve">, </w:t>
      </w:r>
      <w:r w:rsidR="00D83E4B" w:rsidRPr="00244D65">
        <w:rPr>
          <w:noProof/>
        </w:rPr>
        <w:t xml:space="preserve">it is assessed whether the </w:t>
      </w:r>
      <w:r w:rsidR="002B2450" w:rsidRPr="00244D65">
        <w:rPr>
          <w:noProof/>
        </w:rPr>
        <w:t xml:space="preserve">international scheme CORSIA </w:t>
      </w:r>
      <w:r w:rsidR="00306B66" w:rsidRPr="00244D65">
        <w:rPr>
          <w:noProof/>
        </w:rPr>
        <w:t xml:space="preserve">is providing this contribution, or </w:t>
      </w:r>
      <w:r w:rsidR="00BB177B" w:rsidRPr="00244D65">
        <w:rPr>
          <w:noProof/>
        </w:rPr>
        <w:t xml:space="preserve">whether a complement </w:t>
      </w:r>
      <w:r w:rsidR="00ED4C10" w:rsidRPr="00244D65">
        <w:rPr>
          <w:noProof/>
        </w:rPr>
        <w:t>through application of the ETS carbon price</w:t>
      </w:r>
      <w:r w:rsidR="00EC629D" w:rsidRPr="00244D65">
        <w:rPr>
          <w:noProof/>
        </w:rPr>
        <w:t xml:space="preserve"> is required</w:t>
      </w:r>
      <w:r w:rsidR="006C5BEC" w:rsidRPr="00244D65">
        <w:rPr>
          <w:noProof/>
        </w:rPr>
        <w:t>.</w:t>
      </w:r>
      <w:r w:rsidR="00E34352" w:rsidRPr="00244D65">
        <w:rPr>
          <w:noProof/>
        </w:rPr>
        <w:t xml:space="preserve"> Cost effectiveness is preserved </w:t>
      </w:r>
      <w:r w:rsidR="00F50853" w:rsidRPr="00244D65">
        <w:rPr>
          <w:noProof/>
        </w:rPr>
        <w:t xml:space="preserve">through </w:t>
      </w:r>
      <w:r w:rsidR="005D197F" w:rsidRPr="00244D65">
        <w:rPr>
          <w:noProof/>
        </w:rPr>
        <w:t xml:space="preserve">a deduction of CORSIA offsetting costs </w:t>
      </w:r>
      <w:r w:rsidR="00E90398" w:rsidRPr="00244D65">
        <w:rPr>
          <w:noProof/>
        </w:rPr>
        <w:t xml:space="preserve">in case a complementary ETS price is applied, and additional financial </w:t>
      </w:r>
      <w:r w:rsidR="008446BF" w:rsidRPr="00244D65">
        <w:rPr>
          <w:noProof/>
        </w:rPr>
        <w:t xml:space="preserve">support for aviation decarbonisation is provided. </w:t>
      </w:r>
    </w:p>
    <w:p w14:paraId="3110ADC0" w14:textId="7A30211F" w:rsidR="00F10FD5" w:rsidRPr="00244D65" w:rsidRDefault="0026063C" w:rsidP="005E4778">
      <w:pPr>
        <w:pStyle w:val="Tabletitle"/>
        <w:rPr>
          <w:noProof/>
        </w:rPr>
      </w:pPr>
      <w:bookmarkStart w:id="114" w:name="_Toc234496381"/>
      <w:bookmarkStart w:id="115" w:name="_Toc232754562"/>
      <w:r w:rsidRPr="00244D65">
        <w:rPr>
          <w:noProof/>
        </w:rPr>
        <w:t>Overview of policy measures and policy options</w:t>
      </w:r>
      <w:bookmarkEnd w:id="114"/>
      <w:bookmarkEnd w:id="115"/>
    </w:p>
    <w:tbl>
      <w:tblPr>
        <w:tblW w:w="8741"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CellMar>
          <w:left w:w="0" w:type="dxa"/>
          <w:right w:w="0" w:type="dxa"/>
        </w:tblCellMar>
        <w:tblLook w:val="04A0" w:firstRow="1" w:lastRow="0" w:firstColumn="1" w:lastColumn="0" w:noHBand="0" w:noVBand="1"/>
      </w:tblPr>
      <w:tblGrid>
        <w:gridCol w:w="1975"/>
        <w:gridCol w:w="4630"/>
        <w:gridCol w:w="675"/>
        <w:gridCol w:w="705"/>
        <w:gridCol w:w="756"/>
      </w:tblGrid>
      <w:tr w:rsidR="00FF6AA6" w:rsidRPr="00244D65" w14:paraId="79A2C40E" w14:textId="77777777" w:rsidTr="1CF5063F">
        <w:trPr>
          <w:cantSplit/>
          <w:trHeight w:val="144"/>
          <w:tblHeader/>
        </w:trPr>
        <w:tc>
          <w:tcPr>
            <w:tcW w:w="1975" w:type="dxa"/>
            <w:vAlign w:val="center"/>
          </w:tcPr>
          <w:p w14:paraId="512BE686" w14:textId="654432F3" w:rsidR="008A29AF" w:rsidRPr="00244D65" w:rsidRDefault="008A29AF" w:rsidP="0085595C">
            <w:pPr>
              <w:jc w:val="center"/>
              <w:rPr>
                <w:b/>
                <w:noProof/>
                <w:sz w:val="22"/>
                <w:szCs w:val="22"/>
                <w:lang w:eastAsia="en-IE"/>
              </w:rPr>
            </w:pPr>
            <w:r w:rsidRPr="00244D65">
              <w:rPr>
                <w:b/>
                <w:noProof/>
                <w:sz w:val="22"/>
                <w:szCs w:val="22"/>
                <w:lang w:eastAsia="en-IE"/>
              </w:rPr>
              <w:t>Topic</w:t>
            </w:r>
          </w:p>
        </w:tc>
        <w:tc>
          <w:tcPr>
            <w:tcW w:w="4630" w:type="dxa"/>
            <w:vAlign w:val="center"/>
            <w:hideMark/>
          </w:tcPr>
          <w:p w14:paraId="1C3788A9" w14:textId="77777777" w:rsidR="008A29AF" w:rsidRPr="00244D65" w:rsidRDefault="008A29AF" w:rsidP="0085595C">
            <w:pPr>
              <w:jc w:val="center"/>
              <w:rPr>
                <w:b/>
                <w:noProof/>
                <w:sz w:val="22"/>
                <w:szCs w:val="22"/>
                <w:lang w:eastAsia="en-IE"/>
              </w:rPr>
            </w:pPr>
            <w:r w:rsidRPr="00244D65">
              <w:rPr>
                <w:b/>
                <w:noProof/>
                <w:sz w:val="22"/>
                <w:szCs w:val="22"/>
                <w:lang w:eastAsia="en-IE"/>
              </w:rPr>
              <w:t>Policy measure</w:t>
            </w:r>
          </w:p>
        </w:tc>
        <w:tc>
          <w:tcPr>
            <w:tcW w:w="675" w:type="dxa"/>
            <w:vAlign w:val="center"/>
            <w:hideMark/>
          </w:tcPr>
          <w:p w14:paraId="1982770A" w14:textId="455A5C19" w:rsidR="008A29AF" w:rsidRPr="00244D65" w:rsidRDefault="008A29AF" w:rsidP="0085595C">
            <w:pPr>
              <w:jc w:val="center"/>
              <w:rPr>
                <w:b/>
                <w:noProof/>
                <w:sz w:val="22"/>
                <w:szCs w:val="22"/>
                <w:lang w:eastAsia="en-IE"/>
              </w:rPr>
            </w:pPr>
            <w:r w:rsidRPr="00244D65">
              <w:rPr>
                <w:b/>
                <w:bCs/>
                <w:noProof/>
                <w:sz w:val="22"/>
                <w:szCs w:val="22"/>
                <w:lang w:eastAsia="en-IE"/>
              </w:rPr>
              <w:t>PO1</w:t>
            </w:r>
          </w:p>
        </w:tc>
        <w:tc>
          <w:tcPr>
            <w:tcW w:w="705" w:type="dxa"/>
            <w:vAlign w:val="center"/>
            <w:hideMark/>
          </w:tcPr>
          <w:p w14:paraId="3D1D8496" w14:textId="368BF3EA" w:rsidR="008A29AF" w:rsidRPr="00244D65" w:rsidRDefault="008A29AF" w:rsidP="0085595C">
            <w:pPr>
              <w:jc w:val="center"/>
              <w:rPr>
                <w:b/>
                <w:noProof/>
                <w:sz w:val="22"/>
                <w:szCs w:val="22"/>
                <w:lang w:eastAsia="en-IE"/>
              </w:rPr>
            </w:pPr>
            <w:r w:rsidRPr="00244D65">
              <w:rPr>
                <w:b/>
                <w:bCs/>
                <w:noProof/>
                <w:sz w:val="22"/>
                <w:szCs w:val="22"/>
                <w:lang w:eastAsia="en-IE"/>
              </w:rPr>
              <w:t>PO2</w:t>
            </w:r>
          </w:p>
        </w:tc>
        <w:tc>
          <w:tcPr>
            <w:tcW w:w="756" w:type="dxa"/>
            <w:vAlign w:val="center"/>
            <w:hideMark/>
          </w:tcPr>
          <w:p w14:paraId="3074530C" w14:textId="07C98D66" w:rsidR="008A29AF" w:rsidRPr="00244D65" w:rsidRDefault="008A29AF" w:rsidP="0085595C">
            <w:pPr>
              <w:jc w:val="center"/>
              <w:rPr>
                <w:b/>
                <w:noProof/>
                <w:sz w:val="22"/>
                <w:szCs w:val="22"/>
                <w:lang w:eastAsia="en-IE"/>
              </w:rPr>
            </w:pPr>
            <w:r w:rsidRPr="00244D65">
              <w:rPr>
                <w:b/>
                <w:bCs/>
                <w:noProof/>
                <w:sz w:val="22"/>
                <w:szCs w:val="22"/>
                <w:lang w:eastAsia="en-IE"/>
              </w:rPr>
              <w:t>PO3</w:t>
            </w:r>
          </w:p>
        </w:tc>
      </w:tr>
      <w:tr w:rsidR="006B6EF2" w:rsidRPr="00244D65" w14:paraId="6E5A3F95" w14:textId="77777777" w:rsidTr="1CF5063F">
        <w:trPr>
          <w:cantSplit/>
          <w:trHeight w:val="314"/>
        </w:trPr>
        <w:tc>
          <w:tcPr>
            <w:tcW w:w="1975" w:type="dxa"/>
            <w:vMerge w:val="restart"/>
            <w:vAlign w:val="center"/>
          </w:tcPr>
          <w:p w14:paraId="74483EF9" w14:textId="25C51708" w:rsidR="006B6EF2" w:rsidRPr="00244D65" w:rsidRDefault="006B6EF2" w:rsidP="029CBA91">
            <w:pPr>
              <w:jc w:val="center"/>
              <w:rPr>
                <w:b/>
                <w:bCs/>
                <w:noProof/>
                <w:sz w:val="22"/>
                <w:szCs w:val="22"/>
                <w:lang w:eastAsia="en-IE"/>
              </w:rPr>
            </w:pPr>
            <w:r w:rsidRPr="00244D65">
              <w:rPr>
                <w:b/>
                <w:bCs/>
                <w:noProof/>
                <w:sz w:val="22"/>
                <w:szCs w:val="22"/>
                <w:lang w:eastAsia="en-IE"/>
              </w:rPr>
              <w:t>Cap</w:t>
            </w:r>
          </w:p>
        </w:tc>
        <w:tc>
          <w:tcPr>
            <w:tcW w:w="4630" w:type="dxa"/>
            <w:vAlign w:val="center"/>
          </w:tcPr>
          <w:p w14:paraId="12A4DA42" w14:textId="5DD0F791" w:rsidR="006B6EF2" w:rsidRPr="00244D65" w:rsidRDefault="006B6EF2" w:rsidP="0085595C">
            <w:pPr>
              <w:rPr>
                <w:noProof/>
                <w:sz w:val="22"/>
                <w:szCs w:val="22"/>
                <w:lang w:eastAsia="en-IE"/>
              </w:rPr>
            </w:pPr>
            <w:r w:rsidRPr="00244D65">
              <w:rPr>
                <w:noProof/>
                <w:sz w:val="22"/>
                <w:szCs w:val="22"/>
                <w:lang w:eastAsia="en-IE"/>
              </w:rPr>
              <w:t xml:space="preserve">CAP1: “Linear” measure - it follows a linear trajectory from 2030 to 2040 towards and </w:t>
            </w:r>
            <w:r>
              <w:rPr>
                <w:noProof/>
                <w:sz w:val="22"/>
                <w:szCs w:val="22"/>
                <w:lang w:eastAsia="en-IE"/>
              </w:rPr>
              <w:t>85%</w:t>
            </w:r>
            <w:r w:rsidRPr="00244D65">
              <w:rPr>
                <w:noProof/>
                <w:sz w:val="22"/>
                <w:szCs w:val="22"/>
                <w:lang w:eastAsia="en-IE"/>
              </w:rPr>
              <w:t xml:space="preserve"> consistent target in 2040</w:t>
            </w:r>
          </w:p>
        </w:tc>
        <w:tc>
          <w:tcPr>
            <w:tcW w:w="675" w:type="dxa"/>
            <w:vAlign w:val="center"/>
          </w:tcPr>
          <w:p w14:paraId="5955DCEF" w14:textId="5C3B8CA2" w:rsidR="006B6EF2" w:rsidRPr="00244D65" w:rsidRDefault="006B6EF2" w:rsidP="0085595C">
            <w:pPr>
              <w:jc w:val="center"/>
              <w:rPr>
                <w:noProof/>
                <w:sz w:val="22"/>
                <w:szCs w:val="22"/>
                <w:lang w:eastAsia="en-IE"/>
              </w:rPr>
            </w:pPr>
          </w:p>
        </w:tc>
        <w:tc>
          <w:tcPr>
            <w:tcW w:w="705" w:type="dxa"/>
            <w:vAlign w:val="center"/>
          </w:tcPr>
          <w:p w14:paraId="4E099730" w14:textId="738F1471" w:rsidR="006B6EF2" w:rsidRPr="00244D65" w:rsidRDefault="006B6EF2" w:rsidP="0085595C">
            <w:pPr>
              <w:jc w:val="center"/>
              <w:rPr>
                <w:noProof/>
                <w:sz w:val="22"/>
                <w:szCs w:val="22"/>
                <w:lang w:eastAsia="en-IE"/>
              </w:rPr>
            </w:pPr>
          </w:p>
        </w:tc>
        <w:tc>
          <w:tcPr>
            <w:tcW w:w="756" w:type="dxa"/>
            <w:vAlign w:val="center"/>
          </w:tcPr>
          <w:p w14:paraId="60F9E886" w14:textId="53101AFA" w:rsidR="006B6EF2" w:rsidRPr="00244D65" w:rsidRDefault="006B6EF2" w:rsidP="0085595C">
            <w:pPr>
              <w:jc w:val="center"/>
              <w:rPr>
                <w:noProof/>
                <w:sz w:val="22"/>
                <w:szCs w:val="22"/>
                <w:lang w:eastAsia="en-IE"/>
              </w:rPr>
            </w:pPr>
          </w:p>
        </w:tc>
      </w:tr>
      <w:tr w:rsidR="006B6EF2" w:rsidRPr="00244D65" w14:paraId="3410B5B8" w14:textId="77777777" w:rsidTr="1CF5063F">
        <w:trPr>
          <w:cantSplit/>
          <w:trHeight w:val="314"/>
        </w:trPr>
        <w:tc>
          <w:tcPr>
            <w:tcW w:w="1975" w:type="dxa"/>
            <w:vMerge/>
            <w:vAlign w:val="center"/>
          </w:tcPr>
          <w:p w14:paraId="3803A1C9" w14:textId="77777777" w:rsidR="006B6EF2" w:rsidRPr="00244D65" w:rsidRDefault="006B6EF2" w:rsidP="0085595C">
            <w:pPr>
              <w:jc w:val="center"/>
              <w:rPr>
                <w:b/>
                <w:noProof/>
                <w:sz w:val="22"/>
                <w:szCs w:val="22"/>
                <w:lang w:eastAsia="en-IE"/>
              </w:rPr>
            </w:pPr>
          </w:p>
        </w:tc>
        <w:tc>
          <w:tcPr>
            <w:tcW w:w="4630" w:type="dxa"/>
            <w:vAlign w:val="center"/>
          </w:tcPr>
          <w:p w14:paraId="0DBA14C3" w14:textId="5245FEEA" w:rsidR="006B6EF2" w:rsidRPr="00244D65" w:rsidRDefault="006B6EF2" w:rsidP="0085595C">
            <w:pPr>
              <w:rPr>
                <w:noProof/>
                <w:sz w:val="22"/>
                <w:szCs w:val="22"/>
                <w:lang w:eastAsia="en-IE"/>
              </w:rPr>
            </w:pPr>
            <w:r w:rsidRPr="00244D65">
              <w:rPr>
                <w:noProof/>
                <w:sz w:val="22"/>
                <w:szCs w:val="22"/>
                <w:lang w:eastAsia="en-IE"/>
              </w:rPr>
              <w:t xml:space="preserve">CAP2: Default modelled trajectory to </w:t>
            </w:r>
            <w:r>
              <w:rPr>
                <w:noProof/>
                <w:sz w:val="22"/>
                <w:szCs w:val="22"/>
                <w:lang w:eastAsia="en-IE"/>
              </w:rPr>
              <w:t>85%:</w:t>
            </w:r>
            <w:r w:rsidRPr="00244D65">
              <w:rPr>
                <w:noProof/>
                <w:sz w:val="22"/>
                <w:szCs w:val="22"/>
                <w:lang w:eastAsia="en-IE"/>
              </w:rPr>
              <w:t xml:space="preserve"> it follows the 2031-2040 trajectory of GHGs currently under ETS towards the estimated cost-effective contribution of the EU ETS to a reduction of economy-wide net GHGs by </w:t>
            </w:r>
            <w:r>
              <w:rPr>
                <w:noProof/>
                <w:sz w:val="22"/>
                <w:szCs w:val="22"/>
                <w:lang w:eastAsia="en-IE"/>
              </w:rPr>
              <w:t>85%</w:t>
            </w:r>
            <w:r w:rsidRPr="00244D65">
              <w:rPr>
                <w:noProof/>
                <w:sz w:val="22"/>
                <w:szCs w:val="22"/>
                <w:lang w:eastAsia="en-IE"/>
              </w:rPr>
              <w:t xml:space="preserve"> in 2040. </w:t>
            </w:r>
          </w:p>
          <w:p w14:paraId="7E6267C5" w14:textId="625147EC" w:rsidR="006B6EF2" w:rsidRPr="00244D65" w:rsidDel="00DB2B40" w:rsidRDefault="006B6EF2" w:rsidP="0085595C">
            <w:pPr>
              <w:rPr>
                <w:noProof/>
                <w:sz w:val="22"/>
                <w:szCs w:val="22"/>
                <w:lang w:eastAsia="en-IE"/>
              </w:rPr>
            </w:pPr>
            <w:r w:rsidRPr="00244D65">
              <w:rPr>
                <w:noProof/>
                <w:sz w:val="22"/>
                <w:szCs w:val="22"/>
                <w:lang w:eastAsia="en-IE"/>
              </w:rPr>
              <w:t xml:space="preserve">This option is illustrated by the scenario </w:t>
            </w:r>
            <w:r>
              <w:rPr>
                <w:noProof/>
                <w:sz w:val="22"/>
                <w:szCs w:val="22"/>
                <w:lang w:eastAsia="en-IE"/>
              </w:rPr>
              <w:t>“85%”.</w:t>
            </w:r>
          </w:p>
        </w:tc>
        <w:tc>
          <w:tcPr>
            <w:tcW w:w="675" w:type="dxa"/>
            <w:vAlign w:val="center"/>
          </w:tcPr>
          <w:p w14:paraId="2033E2E9" w14:textId="7AC7D4F0" w:rsidR="006B6EF2" w:rsidRPr="00244D65" w:rsidRDefault="006B6EF2" w:rsidP="0085595C">
            <w:pPr>
              <w:jc w:val="center"/>
              <w:rPr>
                <w:noProof/>
                <w:sz w:val="22"/>
                <w:szCs w:val="22"/>
                <w:lang w:eastAsia="en-IE"/>
              </w:rPr>
            </w:pPr>
            <w:r w:rsidRPr="00244D65">
              <w:rPr>
                <w:noProof/>
                <w:sz w:val="22"/>
                <w:szCs w:val="22"/>
                <w:lang w:eastAsia="en-IE"/>
              </w:rPr>
              <w:t>X</w:t>
            </w:r>
          </w:p>
        </w:tc>
        <w:tc>
          <w:tcPr>
            <w:tcW w:w="705" w:type="dxa"/>
            <w:vAlign w:val="center"/>
          </w:tcPr>
          <w:p w14:paraId="0194BF51" w14:textId="5F40F099" w:rsidR="006B6EF2" w:rsidRPr="00244D65" w:rsidRDefault="006B6EF2" w:rsidP="0085595C">
            <w:pPr>
              <w:jc w:val="center"/>
              <w:rPr>
                <w:noProof/>
                <w:sz w:val="22"/>
                <w:szCs w:val="22"/>
                <w:lang w:eastAsia="en-IE"/>
              </w:rPr>
            </w:pPr>
            <w:r w:rsidRPr="00244D65">
              <w:rPr>
                <w:noProof/>
                <w:sz w:val="22"/>
                <w:szCs w:val="22"/>
                <w:lang w:eastAsia="en-IE"/>
              </w:rPr>
              <w:t>X</w:t>
            </w:r>
          </w:p>
        </w:tc>
        <w:tc>
          <w:tcPr>
            <w:tcW w:w="756" w:type="dxa"/>
            <w:vAlign w:val="center"/>
          </w:tcPr>
          <w:p w14:paraId="427C4285" w14:textId="595B0FB2" w:rsidR="006B6EF2" w:rsidRPr="00244D65" w:rsidRDefault="006B6EF2" w:rsidP="0085595C">
            <w:pPr>
              <w:jc w:val="center"/>
              <w:rPr>
                <w:noProof/>
                <w:sz w:val="22"/>
                <w:szCs w:val="22"/>
                <w:lang w:eastAsia="en-IE"/>
              </w:rPr>
            </w:pPr>
            <w:r w:rsidRPr="00244D65">
              <w:rPr>
                <w:noProof/>
                <w:sz w:val="22"/>
                <w:szCs w:val="22"/>
                <w:lang w:eastAsia="en-IE"/>
              </w:rPr>
              <w:t>X</w:t>
            </w:r>
          </w:p>
        </w:tc>
      </w:tr>
      <w:tr w:rsidR="006B6EF2" w:rsidRPr="00244D65" w14:paraId="62778446" w14:textId="77777777" w:rsidTr="1CF5063F">
        <w:trPr>
          <w:cantSplit/>
          <w:trHeight w:val="314"/>
        </w:trPr>
        <w:tc>
          <w:tcPr>
            <w:tcW w:w="1975" w:type="dxa"/>
            <w:vMerge/>
            <w:vAlign w:val="center"/>
          </w:tcPr>
          <w:p w14:paraId="25E2316E" w14:textId="77777777" w:rsidR="006B6EF2" w:rsidRPr="00244D65" w:rsidRDefault="006B6EF2" w:rsidP="0085595C">
            <w:pPr>
              <w:jc w:val="center"/>
              <w:rPr>
                <w:b/>
                <w:noProof/>
                <w:sz w:val="22"/>
                <w:szCs w:val="22"/>
                <w:lang w:eastAsia="en-IE"/>
              </w:rPr>
            </w:pPr>
          </w:p>
        </w:tc>
        <w:tc>
          <w:tcPr>
            <w:tcW w:w="4630" w:type="dxa"/>
            <w:vAlign w:val="center"/>
          </w:tcPr>
          <w:p w14:paraId="69710119" w14:textId="54428293" w:rsidR="006B6EF2" w:rsidRPr="00244D65" w:rsidRDefault="5000F82B" w:rsidP="0085595C">
            <w:pPr>
              <w:rPr>
                <w:noProof/>
                <w:sz w:val="22"/>
                <w:szCs w:val="22"/>
                <w:lang w:eastAsia="en-IE"/>
              </w:rPr>
            </w:pPr>
            <w:r w:rsidRPr="00244D65">
              <w:rPr>
                <w:noProof/>
                <w:sz w:val="22"/>
                <w:szCs w:val="22"/>
                <w:lang w:eastAsia="en-IE"/>
              </w:rPr>
              <w:t xml:space="preserve">CAP3: Until 2035 it follows the trajectory of GHGs currently under ETS towards the estimated cost-effective contribution of the EU ETS to a reduction pathway for economy-wide net GHGs moving linearly </w:t>
            </w:r>
            <w:r w:rsidR="26035F70" w:rsidRPr="00244D65">
              <w:rPr>
                <w:noProof/>
                <w:sz w:val="22"/>
                <w:szCs w:val="22"/>
                <w:lang w:eastAsia="en-IE"/>
              </w:rPr>
              <w:t xml:space="preserve">towards </w:t>
            </w:r>
            <w:r>
              <w:rPr>
                <w:noProof/>
                <w:sz w:val="22"/>
                <w:szCs w:val="22"/>
                <w:lang w:eastAsia="en-IE"/>
              </w:rPr>
              <w:t>90%</w:t>
            </w:r>
            <w:r w:rsidRPr="00244D65">
              <w:rPr>
                <w:noProof/>
                <w:sz w:val="22"/>
                <w:szCs w:val="22"/>
                <w:lang w:eastAsia="en-IE"/>
              </w:rPr>
              <w:t xml:space="preserve"> in 2040, but in the second half of the decade the trajectory flattens to move towards the estimated cost-effective contribution of the EU ETS to a reduction of economy-wide net GHGs by </w:t>
            </w:r>
            <w:r>
              <w:rPr>
                <w:noProof/>
                <w:sz w:val="22"/>
                <w:szCs w:val="22"/>
                <w:lang w:eastAsia="en-IE"/>
              </w:rPr>
              <w:t>85%</w:t>
            </w:r>
            <w:r w:rsidRPr="00244D65">
              <w:rPr>
                <w:noProof/>
                <w:sz w:val="22"/>
                <w:szCs w:val="22"/>
                <w:lang w:eastAsia="en-IE"/>
              </w:rPr>
              <w:t xml:space="preserve"> in 2040.</w:t>
            </w:r>
          </w:p>
          <w:p w14:paraId="718F1D2D" w14:textId="1698364B" w:rsidR="006B6EF2" w:rsidRPr="00244D65" w:rsidDel="00DB2B40" w:rsidRDefault="006B6EF2" w:rsidP="0085595C">
            <w:pPr>
              <w:rPr>
                <w:noProof/>
                <w:sz w:val="22"/>
                <w:szCs w:val="22"/>
                <w:lang w:eastAsia="en-IE"/>
              </w:rPr>
            </w:pPr>
            <w:r w:rsidRPr="00244D65">
              <w:rPr>
                <w:noProof/>
                <w:sz w:val="22"/>
                <w:szCs w:val="22"/>
                <w:lang w:eastAsia="en-IE"/>
              </w:rPr>
              <w:t xml:space="preserve">This option is illustrated by the scenarios labelled </w:t>
            </w:r>
            <w:r>
              <w:rPr>
                <w:noProof/>
                <w:sz w:val="22"/>
                <w:szCs w:val="22"/>
                <w:lang w:eastAsia="en-IE"/>
              </w:rPr>
              <w:t>“9085”.</w:t>
            </w:r>
          </w:p>
        </w:tc>
        <w:tc>
          <w:tcPr>
            <w:tcW w:w="675" w:type="dxa"/>
            <w:vAlign w:val="center"/>
          </w:tcPr>
          <w:p w14:paraId="1A5F4DD9" w14:textId="2E48C5D8" w:rsidR="006B6EF2" w:rsidRPr="00244D65" w:rsidRDefault="006B6EF2" w:rsidP="0085595C">
            <w:pPr>
              <w:jc w:val="center"/>
              <w:rPr>
                <w:noProof/>
                <w:sz w:val="22"/>
                <w:szCs w:val="22"/>
                <w:lang w:eastAsia="en-IE"/>
              </w:rPr>
            </w:pPr>
          </w:p>
        </w:tc>
        <w:tc>
          <w:tcPr>
            <w:tcW w:w="705" w:type="dxa"/>
            <w:vAlign w:val="center"/>
          </w:tcPr>
          <w:p w14:paraId="553A331B" w14:textId="77777777" w:rsidR="006B6EF2" w:rsidRPr="00244D65" w:rsidRDefault="006B6EF2" w:rsidP="0085595C">
            <w:pPr>
              <w:jc w:val="center"/>
              <w:rPr>
                <w:noProof/>
                <w:sz w:val="22"/>
                <w:szCs w:val="22"/>
                <w:lang w:eastAsia="en-IE"/>
              </w:rPr>
            </w:pPr>
          </w:p>
        </w:tc>
        <w:tc>
          <w:tcPr>
            <w:tcW w:w="756" w:type="dxa"/>
            <w:vAlign w:val="center"/>
          </w:tcPr>
          <w:p w14:paraId="34C77245" w14:textId="77777777" w:rsidR="006B6EF2" w:rsidRPr="00244D65" w:rsidRDefault="006B6EF2" w:rsidP="0085595C">
            <w:pPr>
              <w:jc w:val="center"/>
              <w:rPr>
                <w:noProof/>
                <w:sz w:val="22"/>
                <w:szCs w:val="22"/>
                <w:lang w:eastAsia="en-IE"/>
              </w:rPr>
            </w:pPr>
          </w:p>
        </w:tc>
      </w:tr>
      <w:tr w:rsidR="006B6EF2" w:rsidRPr="00244D65" w14:paraId="399636E6" w14:textId="77777777" w:rsidTr="1CF5063F">
        <w:trPr>
          <w:cantSplit/>
          <w:trHeight w:val="314"/>
        </w:trPr>
        <w:tc>
          <w:tcPr>
            <w:tcW w:w="1975" w:type="dxa"/>
            <w:vMerge/>
            <w:vAlign w:val="center"/>
          </w:tcPr>
          <w:p w14:paraId="5CDC5576" w14:textId="77777777" w:rsidR="006B6EF2" w:rsidRPr="00244D65" w:rsidRDefault="006B6EF2" w:rsidP="0085595C">
            <w:pPr>
              <w:jc w:val="center"/>
              <w:rPr>
                <w:b/>
                <w:noProof/>
                <w:sz w:val="22"/>
                <w:szCs w:val="22"/>
                <w:lang w:eastAsia="en-IE"/>
              </w:rPr>
            </w:pPr>
          </w:p>
        </w:tc>
        <w:tc>
          <w:tcPr>
            <w:tcW w:w="4630" w:type="dxa"/>
            <w:vAlign w:val="center"/>
          </w:tcPr>
          <w:p w14:paraId="0BC77BB1" w14:textId="69EC0915" w:rsidR="006B6EF2" w:rsidRPr="00244D65" w:rsidRDefault="006B6EF2" w:rsidP="0085595C">
            <w:pPr>
              <w:rPr>
                <w:noProof/>
                <w:sz w:val="22"/>
                <w:szCs w:val="22"/>
                <w:lang w:eastAsia="en-IE"/>
              </w:rPr>
            </w:pPr>
            <w:r w:rsidRPr="00244D65">
              <w:rPr>
                <w:noProof/>
                <w:sz w:val="22"/>
                <w:szCs w:val="22"/>
                <w:lang w:eastAsia="en-IE"/>
              </w:rPr>
              <w:t xml:space="preserve">CAP4: An accelerated version of CAP3, comparable to a non-linear pathway towards the </w:t>
            </w:r>
            <w:r>
              <w:rPr>
                <w:noProof/>
                <w:sz w:val="22"/>
                <w:szCs w:val="22"/>
                <w:lang w:eastAsia="en-IE"/>
              </w:rPr>
              <w:t>90%</w:t>
            </w:r>
            <w:r w:rsidRPr="00244D65">
              <w:rPr>
                <w:noProof/>
                <w:sz w:val="22"/>
                <w:szCs w:val="22"/>
                <w:lang w:eastAsia="en-IE"/>
              </w:rPr>
              <w:t xml:space="preserve"> target in the first five years, then flattening to be compatible with an </w:t>
            </w:r>
            <w:r>
              <w:rPr>
                <w:noProof/>
                <w:sz w:val="22"/>
                <w:szCs w:val="22"/>
                <w:lang w:eastAsia="en-IE"/>
              </w:rPr>
              <w:t>85%</w:t>
            </w:r>
            <w:r w:rsidRPr="00244D65">
              <w:rPr>
                <w:noProof/>
                <w:sz w:val="22"/>
                <w:szCs w:val="22"/>
                <w:lang w:eastAsia="en-IE"/>
              </w:rPr>
              <w:t xml:space="preserve"> target in 2040.</w:t>
            </w:r>
          </w:p>
        </w:tc>
        <w:tc>
          <w:tcPr>
            <w:tcW w:w="675" w:type="dxa"/>
            <w:vAlign w:val="center"/>
          </w:tcPr>
          <w:p w14:paraId="7EE0F762" w14:textId="77777777" w:rsidR="006B6EF2" w:rsidRPr="00244D65" w:rsidRDefault="006B6EF2" w:rsidP="0085595C">
            <w:pPr>
              <w:jc w:val="center"/>
              <w:rPr>
                <w:noProof/>
                <w:sz w:val="22"/>
                <w:szCs w:val="22"/>
                <w:lang w:eastAsia="en-IE"/>
              </w:rPr>
            </w:pPr>
          </w:p>
        </w:tc>
        <w:tc>
          <w:tcPr>
            <w:tcW w:w="705" w:type="dxa"/>
            <w:vAlign w:val="center"/>
          </w:tcPr>
          <w:p w14:paraId="177F72C0" w14:textId="77777777" w:rsidR="006B6EF2" w:rsidRPr="00244D65" w:rsidRDefault="006B6EF2" w:rsidP="0085595C">
            <w:pPr>
              <w:jc w:val="center"/>
              <w:rPr>
                <w:noProof/>
                <w:sz w:val="22"/>
                <w:szCs w:val="22"/>
                <w:lang w:eastAsia="en-IE"/>
              </w:rPr>
            </w:pPr>
          </w:p>
        </w:tc>
        <w:tc>
          <w:tcPr>
            <w:tcW w:w="756" w:type="dxa"/>
            <w:vAlign w:val="center"/>
          </w:tcPr>
          <w:p w14:paraId="0F61E4E1" w14:textId="77777777" w:rsidR="006B6EF2" w:rsidRPr="00244D65" w:rsidRDefault="006B6EF2" w:rsidP="0085595C">
            <w:pPr>
              <w:jc w:val="center"/>
              <w:rPr>
                <w:noProof/>
                <w:sz w:val="22"/>
                <w:szCs w:val="22"/>
                <w:lang w:eastAsia="en-IE"/>
              </w:rPr>
            </w:pPr>
          </w:p>
        </w:tc>
      </w:tr>
      <w:tr w:rsidR="006B6EF2" w:rsidRPr="00244D65" w14:paraId="764E8067" w14:textId="77777777" w:rsidTr="1CF5063F">
        <w:trPr>
          <w:cantSplit/>
          <w:trHeight w:val="314"/>
        </w:trPr>
        <w:tc>
          <w:tcPr>
            <w:tcW w:w="1975" w:type="dxa"/>
            <w:vMerge/>
            <w:vAlign w:val="center"/>
          </w:tcPr>
          <w:p w14:paraId="1ED34259" w14:textId="77777777" w:rsidR="006B6EF2" w:rsidRPr="00244D65" w:rsidRDefault="006B6EF2" w:rsidP="0085595C">
            <w:pPr>
              <w:jc w:val="center"/>
              <w:rPr>
                <w:b/>
                <w:noProof/>
                <w:sz w:val="22"/>
                <w:szCs w:val="22"/>
                <w:lang w:eastAsia="en-IE"/>
              </w:rPr>
            </w:pPr>
          </w:p>
        </w:tc>
        <w:tc>
          <w:tcPr>
            <w:tcW w:w="4630" w:type="dxa"/>
            <w:vAlign w:val="center"/>
          </w:tcPr>
          <w:p w14:paraId="29A51FC2" w14:textId="75083285" w:rsidR="006B6EF2" w:rsidRPr="00244D65" w:rsidRDefault="000C10CC" w:rsidP="0085595C">
            <w:pPr>
              <w:rPr>
                <w:noProof/>
                <w:sz w:val="22"/>
                <w:szCs w:val="22"/>
                <w:lang w:eastAsia="en-IE"/>
              </w:rPr>
            </w:pPr>
            <w:r w:rsidRPr="00244D65">
              <w:rPr>
                <w:noProof/>
                <w:sz w:val="22"/>
                <w:szCs w:val="22"/>
                <w:lang w:eastAsia="en-IE"/>
              </w:rPr>
              <w:t>CAP5: “</w:t>
            </w:r>
            <w:r>
              <w:rPr>
                <w:noProof/>
                <w:sz w:val="22"/>
                <w:szCs w:val="22"/>
                <w:lang w:val="en-US" w:eastAsia="en-IE"/>
              </w:rPr>
              <w:t>90</w:t>
            </w:r>
            <w:r w:rsidRPr="00244D65">
              <w:rPr>
                <w:noProof/>
                <w:sz w:val="22"/>
                <w:szCs w:val="22"/>
                <w:lang w:val="en-US" w:eastAsia="en-IE"/>
              </w:rPr>
              <w:t>% extended legal default</w:t>
            </w:r>
            <w:r w:rsidRPr="00244D65">
              <w:rPr>
                <w:noProof/>
                <w:sz w:val="22"/>
                <w:szCs w:val="22"/>
                <w:lang w:eastAsia="en-IE"/>
              </w:rPr>
              <w:t>”</w:t>
            </w:r>
            <w:r w:rsidR="001E0022" w:rsidRPr="00244D65">
              <w:rPr>
                <w:noProof/>
                <w:sz w:val="22"/>
                <w:szCs w:val="22"/>
                <w:lang w:eastAsia="en-IE"/>
              </w:rPr>
              <w:t xml:space="preserve">, extending the legal default LRF until 2035, followed by a lower LRF to be compatible with the </w:t>
            </w:r>
            <w:r>
              <w:rPr>
                <w:noProof/>
                <w:sz w:val="22"/>
                <w:szCs w:val="22"/>
                <w:lang w:eastAsia="en-IE"/>
              </w:rPr>
              <w:t>90%</w:t>
            </w:r>
            <w:r w:rsidR="001E0022" w:rsidRPr="00244D65">
              <w:rPr>
                <w:noProof/>
                <w:sz w:val="22"/>
                <w:szCs w:val="22"/>
                <w:lang w:eastAsia="en-IE"/>
              </w:rPr>
              <w:t xml:space="preserve"> target in 2040</w:t>
            </w:r>
          </w:p>
        </w:tc>
        <w:tc>
          <w:tcPr>
            <w:tcW w:w="675" w:type="dxa"/>
            <w:vAlign w:val="center"/>
          </w:tcPr>
          <w:p w14:paraId="3EC01DA2" w14:textId="77777777" w:rsidR="006B6EF2" w:rsidRPr="00244D65" w:rsidRDefault="006B6EF2" w:rsidP="0085595C">
            <w:pPr>
              <w:jc w:val="center"/>
              <w:rPr>
                <w:noProof/>
                <w:sz w:val="22"/>
                <w:szCs w:val="22"/>
                <w:lang w:eastAsia="en-IE"/>
              </w:rPr>
            </w:pPr>
          </w:p>
        </w:tc>
        <w:tc>
          <w:tcPr>
            <w:tcW w:w="705" w:type="dxa"/>
            <w:vAlign w:val="center"/>
          </w:tcPr>
          <w:p w14:paraId="6B3DA69E" w14:textId="77777777" w:rsidR="006B6EF2" w:rsidRPr="00244D65" w:rsidRDefault="006B6EF2" w:rsidP="0085595C">
            <w:pPr>
              <w:jc w:val="center"/>
              <w:rPr>
                <w:noProof/>
                <w:sz w:val="22"/>
                <w:szCs w:val="22"/>
                <w:lang w:eastAsia="en-IE"/>
              </w:rPr>
            </w:pPr>
          </w:p>
        </w:tc>
        <w:tc>
          <w:tcPr>
            <w:tcW w:w="756" w:type="dxa"/>
            <w:vAlign w:val="center"/>
          </w:tcPr>
          <w:p w14:paraId="372DE247" w14:textId="77777777" w:rsidR="006B6EF2" w:rsidRPr="00244D65" w:rsidRDefault="006B6EF2" w:rsidP="0085595C">
            <w:pPr>
              <w:jc w:val="center"/>
              <w:rPr>
                <w:noProof/>
                <w:sz w:val="22"/>
                <w:szCs w:val="22"/>
                <w:lang w:eastAsia="en-IE"/>
              </w:rPr>
            </w:pPr>
          </w:p>
        </w:tc>
      </w:tr>
      <w:tr w:rsidR="00FF6AA6" w:rsidRPr="00244D65" w14:paraId="1E03E913" w14:textId="77777777" w:rsidTr="1CF5063F">
        <w:trPr>
          <w:cantSplit/>
          <w:trHeight w:val="314"/>
        </w:trPr>
        <w:tc>
          <w:tcPr>
            <w:tcW w:w="1975" w:type="dxa"/>
            <w:vMerge w:val="restart"/>
            <w:vAlign w:val="center"/>
          </w:tcPr>
          <w:p w14:paraId="17462E58" w14:textId="16490923" w:rsidR="00BB66DA" w:rsidRPr="00244D65" w:rsidRDefault="6F1B9273" w:rsidP="0085595C">
            <w:pPr>
              <w:jc w:val="center"/>
              <w:rPr>
                <w:b/>
                <w:bCs/>
                <w:noProof/>
                <w:sz w:val="22"/>
                <w:szCs w:val="22"/>
                <w:lang w:eastAsia="en-IE"/>
              </w:rPr>
            </w:pPr>
            <w:r w:rsidRPr="00244D65">
              <w:rPr>
                <w:b/>
                <w:bCs/>
                <w:noProof/>
                <w:sz w:val="22"/>
                <w:szCs w:val="22"/>
                <w:lang w:eastAsia="en-IE"/>
              </w:rPr>
              <w:t>Removals</w:t>
            </w:r>
            <w:r w:rsidR="00BB66DA" w:rsidRPr="00244D65">
              <w:rPr>
                <w:rStyle w:val="FootnoteReference"/>
                <w:b/>
                <w:bCs/>
                <w:noProof/>
                <w:lang w:eastAsia="en-IE"/>
              </w:rPr>
              <w:footnoteReference w:id="30"/>
            </w:r>
            <w:r w:rsidR="2F2231F1" w:rsidRPr="00244D65">
              <w:rPr>
                <w:b/>
                <w:bCs/>
                <w:noProof/>
                <w:sz w:val="22"/>
                <w:szCs w:val="22"/>
                <w:vertAlign w:val="superscript"/>
                <w:lang w:eastAsia="en-IE"/>
              </w:rPr>
              <w:t xml:space="preserve">, </w:t>
            </w:r>
            <w:r w:rsidR="00BB66DA" w:rsidRPr="00244D65">
              <w:rPr>
                <w:rStyle w:val="FootnoteReference"/>
                <w:b/>
                <w:bCs/>
                <w:noProof/>
                <w:lang w:eastAsia="en-IE"/>
              </w:rPr>
              <w:footnoteReference w:id="31"/>
            </w:r>
          </w:p>
        </w:tc>
        <w:tc>
          <w:tcPr>
            <w:tcW w:w="4630" w:type="dxa"/>
            <w:vAlign w:val="center"/>
            <w:hideMark/>
          </w:tcPr>
          <w:p w14:paraId="7A6C9924" w14:textId="579E23D8" w:rsidR="00BB66DA" w:rsidRPr="00244D65" w:rsidRDefault="00BB66DA" w:rsidP="0085595C">
            <w:pPr>
              <w:rPr>
                <w:noProof/>
                <w:sz w:val="22"/>
                <w:szCs w:val="22"/>
                <w:lang w:eastAsia="en-IE"/>
              </w:rPr>
            </w:pPr>
            <w:r w:rsidRPr="00244D65">
              <w:rPr>
                <w:noProof/>
                <w:sz w:val="22"/>
                <w:szCs w:val="22"/>
                <w:lang w:eastAsia="en-IE"/>
              </w:rPr>
              <w:t>CR1: Limited operator integration on top of the cap</w:t>
            </w:r>
          </w:p>
        </w:tc>
        <w:tc>
          <w:tcPr>
            <w:tcW w:w="675" w:type="dxa"/>
            <w:vAlign w:val="center"/>
            <w:hideMark/>
          </w:tcPr>
          <w:p w14:paraId="333BFC9B" w14:textId="77777777" w:rsidR="00BB66DA" w:rsidRPr="00244D65" w:rsidRDefault="00BB66DA" w:rsidP="0085595C">
            <w:pPr>
              <w:jc w:val="center"/>
              <w:rPr>
                <w:noProof/>
                <w:sz w:val="22"/>
                <w:szCs w:val="22"/>
                <w:lang w:eastAsia="en-IE"/>
              </w:rPr>
            </w:pPr>
          </w:p>
        </w:tc>
        <w:tc>
          <w:tcPr>
            <w:tcW w:w="705" w:type="dxa"/>
            <w:vAlign w:val="center"/>
            <w:hideMark/>
          </w:tcPr>
          <w:p w14:paraId="1F5689F9" w14:textId="77777777" w:rsidR="00BB66DA" w:rsidRPr="00244D65" w:rsidRDefault="00BB66DA" w:rsidP="0085595C">
            <w:pPr>
              <w:jc w:val="center"/>
              <w:rPr>
                <w:noProof/>
                <w:sz w:val="22"/>
                <w:szCs w:val="22"/>
                <w:lang w:eastAsia="en-IE"/>
              </w:rPr>
            </w:pPr>
            <w:r w:rsidRPr="00244D65">
              <w:rPr>
                <w:noProof/>
                <w:sz w:val="22"/>
                <w:szCs w:val="22"/>
                <w:lang w:eastAsia="en-IE"/>
              </w:rPr>
              <w:t>X</w:t>
            </w:r>
          </w:p>
        </w:tc>
        <w:tc>
          <w:tcPr>
            <w:tcW w:w="756" w:type="dxa"/>
            <w:vAlign w:val="center"/>
          </w:tcPr>
          <w:p w14:paraId="55F7C9C2" w14:textId="77777777" w:rsidR="00BB66DA" w:rsidRPr="00244D65" w:rsidRDefault="00BB66DA" w:rsidP="0085595C">
            <w:pPr>
              <w:jc w:val="center"/>
              <w:rPr>
                <w:noProof/>
                <w:sz w:val="22"/>
                <w:szCs w:val="22"/>
                <w:lang w:eastAsia="en-IE"/>
              </w:rPr>
            </w:pPr>
          </w:p>
        </w:tc>
      </w:tr>
      <w:tr w:rsidR="00FF6AA6" w:rsidRPr="00244D65" w14:paraId="5671D82A" w14:textId="77777777" w:rsidTr="1CF5063F">
        <w:trPr>
          <w:cantSplit/>
          <w:trHeight w:val="314"/>
        </w:trPr>
        <w:tc>
          <w:tcPr>
            <w:tcW w:w="1975" w:type="dxa"/>
            <w:vMerge/>
            <w:vAlign w:val="center"/>
          </w:tcPr>
          <w:p w14:paraId="17115054" w14:textId="77777777" w:rsidR="00BB66DA" w:rsidRPr="00244D65" w:rsidRDefault="00BB66DA" w:rsidP="0085595C">
            <w:pPr>
              <w:jc w:val="center"/>
              <w:rPr>
                <w:noProof/>
                <w:sz w:val="22"/>
                <w:szCs w:val="22"/>
                <w:lang w:eastAsia="en-IE"/>
              </w:rPr>
            </w:pPr>
          </w:p>
        </w:tc>
        <w:tc>
          <w:tcPr>
            <w:tcW w:w="4630" w:type="dxa"/>
            <w:vAlign w:val="center"/>
            <w:hideMark/>
          </w:tcPr>
          <w:p w14:paraId="0E435280" w14:textId="68D1F899" w:rsidR="00BB66DA" w:rsidRPr="00244D65" w:rsidRDefault="00BB66DA" w:rsidP="0085595C">
            <w:pPr>
              <w:rPr>
                <w:noProof/>
                <w:sz w:val="22"/>
                <w:szCs w:val="22"/>
                <w:lang w:eastAsia="en-IE"/>
              </w:rPr>
            </w:pPr>
            <w:r w:rsidRPr="00244D65">
              <w:rPr>
                <w:noProof/>
                <w:sz w:val="22"/>
                <w:szCs w:val="22"/>
                <w:lang w:eastAsia="en-IE"/>
              </w:rPr>
              <w:t>CR3: Limited operator integration under the cap (one-in-one-out)</w:t>
            </w:r>
          </w:p>
        </w:tc>
        <w:tc>
          <w:tcPr>
            <w:tcW w:w="675" w:type="dxa"/>
            <w:vAlign w:val="center"/>
            <w:hideMark/>
          </w:tcPr>
          <w:p w14:paraId="47C0C3E1" w14:textId="77777777" w:rsidR="00BB66DA" w:rsidRPr="00244D65" w:rsidRDefault="00BB66DA" w:rsidP="0085595C">
            <w:pPr>
              <w:jc w:val="center"/>
              <w:rPr>
                <w:noProof/>
                <w:sz w:val="22"/>
                <w:szCs w:val="22"/>
                <w:lang w:eastAsia="en-IE"/>
              </w:rPr>
            </w:pPr>
          </w:p>
        </w:tc>
        <w:tc>
          <w:tcPr>
            <w:tcW w:w="705" w:type="dxa"/>
            <w:vAlign w:val="center"/>
            <w:hideMark/>
          </w:tcPr>
          <w:p w14:paraId="49275E3D" w14:textId="77777777" w:rsidR="00BB66DA" w:rsidRPr="00244D65" w:rsidRDefault="00BB66DA" w:rsidP="0085595C">
            <w:pPr>
              <w:jc w:val="center"/>
              <w:rPr>
                <w:noProof/>
                <w:sz w:val="22"/>
                <w:szCs w:val="22"/>
                <w:lang w:eastAsia="en-IE"/>
              </w:rPr>
            </w:pPr>
          </w:p>
        </w:tc>
        <w:tc>
          <w:tcPr>
            <w:tcW w:w="756" w:type="dxa"/>
            <w:vAlign w:val="center"/>
          </w:tcPr>
          <w:p w14:paraId="0657194A" w14:textId="77777777" w:rsidR="00BB66DA" w:rsidRPr="00244D65" w:rsidRDefault="00BB66DA" w:rsidP="0085595C">
            <w:pPr>
              <w:jc w:val="center"/>
              <w:rPr>
                <w:noProof/>
                <w:sz w:val="22"/>
                <w:szCs w:val="22"/>
                <w:lang w:eastAsia="en-IE"/>
              </w:rPr>
            </w:pPr>
            <w:r w:rsidRPr="00244D65">
              <w:rPr>
                <w:noProof/>
                <w:sz w:val="22"/>
                <w:szCs w:val="22"/>
                <w:lang w:eastAsia="en-IE"/>
              </w:rPr>
              <w:t>X</w:t>
            </w:r>
          </w:p>
        </w:tc>
      </w:tr>
      <w:tr w:rsidR="00FF6AA6" w:rsidRPr="00244D65" w14:paraId="55708967" w14:textId="77777777" w:rsidTr="1CF5063F">
        <w:trPr>
          <w:cantSplit/>
          <w:trHeight w:val="314"/>
        </w:trPr>
        <w:tc>
          <w:tcPr>
            <w:tcW w:w="1975" w:type="dxa"/>
            <w:vMerge/>
            <w:vAlign w:val="center"/>
          </w:tcPr>
          <w:p w14:paraId="687EAA82" w14:textId="77777777" w:rsidR="00BB66DA" w:rsidRPr="00244D65" w:rsidRDefault="00BB66DA" w:rsidP="0085595C">
            <w:pPr>
              <w:jc w:val="center"/>
              <w:rPr>
                <w:noProof/>
                <w:sz w:val="22"/>
                <w:szCs w:val="22"/>
                <w:lang w:eastAsia="en-IE"/>
              </w:rPr>
            </w:pPr>
          </w:p>
        </w:tc>
        <w:tc>
          <w:tcPr>
            <w:tcW w:w="4630" w:type="dxa"/>
            <w:vAlign w:val="center"/>
            <w:hideMark/>
          </w:tcPr>
          <w:p w14:paraId="5E60229A" w14:textId="1F7D9CFF" w:rsidR="00BB66DA" w:rsidRPr="00244D65" w:rsidRDefault="00BB66DA" w:rsidP="0085595C">
            <w:pPr>
              <w:rPr>
                <w:noProof/>
                <w:sz w:val="22"/>
                <w:szCs w:val="22"/>
                <w:lang w:eastAsia="en-IE"/>
              </w:rPr>
            </w:pPr>
            <w:r w:rsidRPr="00244D65">
              <w:rPr>
                <w:noProof/>
                <w:sz w:val="22"/>
                <w:szCs w:val="22"/>
                <w:lang w:eastAsia="en-IE"/>
              </w:rPr>
              <w:t xml:space="preserve">CR4: </w:t>
            </w:r>
            <w:r w:rsidR="00333B18" w:rsidRPr="00244D65">
              <w:rPr>
                <w:noProof/>
                <w:sz w:val="22"/>
                <w:szCs w:val="22"/>
                <w:lang w:eastAsia="en-IE"/>
              </w:rPr>
              <w:t>Public authority integration through regular auctions under the cap</w:t>
            </w:r>
          </w:p>
        </w:tc>
        <w:tc>
          <w:tcPr>
            <w:tcW w:w="675" w:type="dxa"/>
            <w:vAlign w:val="center"/>
            <w:hideMark/>
          </w:tcPr>
          <w:p w14:paraId="291C64EF" w14:textId="3D4C69AE" w:rsidR="00BB66DA" w:rsidRPr="00244D65" w:rsidRDefault="00BB66DA" w:rsidP="0085595C">
            <w:pPr>
              <w:jc w:val="center"/>
              <w:rPr>
                <w:noProof/>
                <w:sz w:val="22"/>
                <w:szCs w:val="22"/>
                <w:lang w:eastAsia="en-IE"/>
              </w:rPr>
            </w:pPr>
            <w:r w:rsidRPr="00244D65">
              <w:rPr>
                <w:noProof/>
                <w:sz w:val="22"/>
                <w:szCs w:val="22"/>
                <w:lang w:eastAsia="en-IE"/>
              </w:rPr>
              <w:t>X</w:t>
            </w:r>
          </w:p>
        </w:tc>
        <w:tc>
          <w:tcPr>
            <w:tcW w:w="705" w:type="dxa"/>
            <w:vAlign w:val="center"/>
            <w:hideMark/>
          </w:tcPr>
          <w:p w14:paraId="4158E962" w14:textId="77777777" w:rsidR="00BB66DA" w:rsidRPr="00244D65" w:rsidRDefault="00BB66DA" w:rsidP="0085595C">
            <w:pPr>
              <w:jc w:val="center"/>
              <w:rPr>
                <w:noProof/>
                <w:sz w:val="22"/>
                <w:szCs w:val="22"/>
                <w:lang w:eastAsia="en-IE"/>
              </w:rPr>
            </w:pPr>
          </w:p>
        </w:tc>
        <w:tc>
          <w:tcPr>
            <w:tcW w:w="756" w:type="dxa"/>
            <w:vAlign w:val="center"/>
          </w:tcPr>
          <w:p w14:paraId="0AFE3629" w14:textId="77777777" w:rsidR="00BB66DA" w:rsidRPr="00244D65" w:rsidRDefault="00BB66DA" w:rsidP="0085595C">
            <w:pPr>
              <w:jc w:val="center"/>
              <w:rPr>
                <w:noProof/>
                <w:sz w:val="22"/>
                <w:szCs w:val="22"/>
                <w:lang w:eastAsia="en-IE"/>
              </w:rPr>
            </w:pPr>
          </w:p>
        </w:tc>
      </w:tr>
      <w:tr w:rsidR="00FF6AA6" w:rsidRPr="00244D65" w14:paraId="35ED6EC2" w14:textId="77777777" w:rsidTr="1CF5063F">
        <w:trPr>
          <w:cantSplit/>
          <w:trHeight w:val="314"/>
        </w:trPr>
        <w:tc>
          <w:tcPr>
            <w:tcW w:w="1975" w:type="dxa"/>
            <w:vMerge w:val="restart"/>
            <w:vAlign w:val="center"/>
          </w:tcPr>
          <w:p w14:paraId="59540B55" w14:textId="77777777" w:rsidR="00BB66DA" w:rsidRPr="00244D65" w:rsidRDefault="00BB66DA" w:rsidP="0085595C">
            <w:pPr>
              <w:jc w:val="center"/>
              <w:rPr>
                <w:b/>
                <w:noProof/>
                <w:sz w:val="22"/>
                <w:szCs w:val="22"/>
                <w:lang w:eastAsia="en-IE"/>
              </w:rPr>
            </w:pPr>
            <w:r w:rsidRPr="00244D65">
              <w:rPr>
                <w:b/>
                <w:noProof/>
                <w:sz w:val="22"/>
                <w:szCs w:val="22"/>
                <w:lang w:eastAsia="en-IE"/>
              </w:rPr>
              <w:t>MSR</w:t>
            </w:r>
          </w:p>
        </w:tc>
        <w:tc>
          <w:tcPr>
            <w:tcW w:w="4630" w:type="dxa"/>
            <w:vAlign w:val="center"/>
          </w:tcPr>
          <w:p w14:paraId="0843B0B2" w14:textId="29CCEC11" w:rsidR="00BB66DA" w:rsidRPr="00244D65" w:rsidRDefault="00BB66DA" w:rsidP="0085595C">
            <w:pPr>
              <w:rPr>
                <w:noProof/>
                <w:sz w:val="22"/>
                <w:szCs w:val="22"/>
                <w:lang w:eastAsia="en-IE"/>
              </w:rPr>
            </w:pPr>
            <w:r w:rsidRPr="00244D65">
              <w:rPr>
                <w:noProof/>
                <w:sz w:val="22"/>
                <w:szCs w:val="22"/>
                <w:lang w:eastAsia="en-IE"/>
              </w:rPr>
              <w:t>MSR1: Static parameters, new thresholds</w:t>
            </w:r>
            <w:r w:rsidR="00857A71" w:rsidRPr="00244D65">
              <w:rPr>
                <w:noProof/>
                <w:sz w:val="22"/>
                <w:szCs w:val="22"/>
                <w:lang w:eastAsia="en-IE"/>
              </w:rPr>
              <w:t xml:space="preserve"> (Adjust current parameter values based on updated assessments of market conditions and hedging needs (e.g. reduced upper and lower threshold, buffer also for lower threshold))</w:t>
            </w:r>
          </w:p>
        </w:tc>
        <w:tc>
          <w:tcPr>
            <w:tcW w:w="675" w:type="dxa"/>
            <w:vAlign w:val="center"/>
          </w:tcPr>
          <w:p w14:paraId="27DE56F6" w14:textId="77777777" w:rsidR="00BB66DA" w:rsidRPr="00244D65" w:rsidRDefault="00BB66DA" w:rsidP="0085595C">
            <w:pPr>
              <w:jc w:val="center"/>
              <w:rPr>
                <w:noProof/>
                <w:sz w:val="22"/>
                <w:szCs w:val="22"/>
                <w:lang w:eastAsia="en-IE"/>
              </w:rPr>
            </w:pPr>
            <w:r w:rsidRPr="00244D65">
              <w:rPr>
                <w:noProof/>
                <w:sz w:val="22"/>
                <w:szCs w:val="22"/>
                <w:lang w:eastAsia="en-IE"/>
              </w:rPr>
              <w:t>X</w:t>
            </w:r>
          </w:p>
        </w:tc>
        <w:tc>
          <w:tcPr>
            <w:tcW w:w="705" w:type="dxa"/>
            <w:vAlign w:val="center"/>
          </w:tcPr>
          <w:p w14:paraId="17BADAFC" w14:textId="77777777" w:rsidR="00BB66DA" w:rsidRPr="00244D65" w:rsidRDefault="00BB66DA" w:rsidP="0085595C">
            <w:pPr>
              <w:jc w:val="center"/>
              <w:rPr>
                <w:noProof/>
                <w:sz w:val="22"/>
                <w:szCs w:val="22"/>
                <w:lang w:eastAsia="en-IE"/>
              </w:rPr>
            </w:pPr>
          </w:p>
        </w:tc>
        <w:tc>
          <w:tcPr>
            <w:tcW w:w="756" w:type="dxa"/>
            <w:vAlign w:val="center"/>
          </w:tcPr>
          <w:p w14:paraId="766FB130" w14:textId="77777777" w:rsidR="00BB66DA" w:rsidRPr="00244D65" w:rsidRDefault="00BB66DA" w:rsidP="0085595C">
            <w:pPr>
              <w:jc w:val="center"/>
              <w:rPr>
                <w:noProof/>
                <w:sz w:val="22"/>
                <w:szCs w:val="22"/>
                <w:lang w:eastAsia="en-IE"/>
              </w:rPr>
            </w:pPr>
          </w:p>
        </w:tc>
      </w:tr>
      <w:tr w:rsidR="00FF6AA6" w:rsidRPr="00244D65" w14:paraId="43ED68D4" w14:textId="77777777" w:rsidTr="1CF5063F">
        <w:trPr>
          <w:cantSplit/>
          <w:trHeight w:val="314"/>
        </w:trPr>
        <w:tc>
          <w:tcPr>
            <w:tcW w:w="1975" w:type="dxa"/>
            <w:vMerge/>
            <w:vAlign w:val="center"/>
          </w:tcPr>
          <w:p w14:paraId="70BEC6BD" w14:textId="77777777" w:rsidR="00BB66DA" w:rsidRPr="00244D65" w:rsidRDefault="00BB66DA" w:rsidP="0085595C">
            <w:pPr>
              <w:jc w:val="center"/>
              <w:rPr>
                <w:noProof/>
                <w:sz w:val="22"/>
                <w:szCs w:val="22"/>
                <w:lang w:eastAsia="en-IE"/>
              </w:rPr>
            </w:pPr>
          </w:p>
        </w:tc>
        <w:tc>
          <w:tcPr>
            <w:tcW w:w="4630" w:type="dxa"/>
            <w:vAlign w:val="center"/>
          </w:tcPr>
          <w:p w14:paraId="61DB3EB0" w14:textId="480FD627" w:rsidR="00BB66DA" w:rsidRPr="00244D65" w:rsidRDefault="00BB66DA" w:rsidP="0085595C">
            <w:pPr>
              <w:rPr>
                <w:noProof/>
                <w:sz w:val="22"/>
                <w:szCs w:val="22"/>
                <w:lang w:eastAsia="en-IE"/>
              </w:rPr>
            </w:pPr>
            <w:r w:rsidRPr="00244D65">
              <w:rPr>
                <w:noProof/>
                <w:sz w:val="22"/>
                <w:szCs w:val="22"/>
                <w:lang w:eastAsia="en-IE"/>
              </w:rPr>
              <w:t>MSR2: Dynamic parameters</w:t>
            </w:r>
            <w:r w:rsidR="00857A71" w:rsidRPr="00244D65">
              <w:rPr>
                <w:noProof/>
                <w:sz w:val="22"/>
                <w:szCs w:val="22"/>
                <w:lang w:eastAsia="en-IE"/>
              </w:rPr>
              <w:t xml:space="preserve"> (MSR 1 + rates changing over time by </w:t>
            </w:r>
            <w:r w:rsidR="00BA7046" w:rsidRPr="00244D65">
              <w:rPr>
                <w:noProof/>
                <w:sz w:val="22"/>
                <w:szCs w:val="22"/>
                <w:lang w:eastAsia="en-IE"/>
              </w:rPr>
              <w:t xml:space="preserve">the </w:t>
            </w:r>
            <w:r w:rsidR="00857A71" w:rsidRPr="00244D65">
              <w:rPr>
                <w:noProof/>
                <w:sz w:val="22"/>
                <w:szCs w:val="22"/>
                <w:lang w:eastAsia="en-IE"/>
              </w:rPr>
              <w:t>LRF)</w:t>
            </w:r>
          </w:p>
        </w:tc>
        <w:tc>
          <w:tcPr>
            <w:tcW w:w="675" w:type="dxa"/>
            <w:vAlign w:val="center"/>
          </w:tcPr>
          <w:p w14:paraId="3300D3DC" w14:textId="77777777" w:rsidR="00BB66DA" w:rsidRPr="00244D65" w:rsidRDefault="00BB66DA" w:rsidP="0085595C">
            <w:pPr>
              <w:jc w:val="center"/>
              <w:rPr>
                <w:noProof/>
                <w:sz w:val="22"/>
                <w:szCs w:val="22"/>
                <w:lang w:eastAsia="en-IE"/>
              </w:rPr>
            </w:pPr>
          </w:p>
        </w:tc>
        <w:tc>
          <w:tcPr>
            <w:tcW w:w="705" w:type="dxa"/>
            <w:vAlign w:val="center"/>
          </w:tcPr>
          <w:p w14:paraId="41CC644E" w14:textId="65C9A2B5" w:rsidR="00BB66DA" w:rsidRPr="00244D65" w:rsidRDefault="00BB66DA" w:rsidP="0085595C">
            <w:pPr>
              <w:jc w:val="center"/>
              <w:rPr>
                <w:noProof/>
                <w:sz w:val="22"/>
                <w:szCs w:val="22"/>
                <w:lang w:eastAsia="en-IE"/>
              </w:rPr>
            </w:pPr>
          </w:p>
        </w:tc>
        <w:tc>
          <w:tcPr>
            <w:tcW w:w="756" w:type="dxa"/>
            <w:vAlign w:val="center"/>
          </w:tcPr>
          <w:p w14:paraId="5930E5D1" w14:textId="4F21FBE7" w:rsidR="00BB66DA" w:rsidRPr="00244D65" w:rsidRDefault="00BB66DA" w:rsidP="0085595C">
            <w:pPr>
              <w:jc w:val="center"/>
              <w:rPr>
                <w:noProof/>
                <w:sz w:val="22"/>
                <w:szCs w:val="22"/>
                <w:lang w:eastAsia="en-IE"/>
              </w:rPr>
            </w:pPr>
          </w:p>
        </w:tc>
      </w:tr>
      <w:tr w:rsidR="00FF6AA6" w:rsidRPr="00244D65" w14:paraId="4E628B62" w14:textId="77777777" w:rsidTr="1CF5063F">
        <w:trPr>
          <w:cantSplit/>
          <w:trHeight w:val="314"/>
        </w:trPr>
        <w:tc>
          <w:tcPr>
            <w:tcW w:w="1975" w:type="dxa"/>
            <w:vMerge/>
            <w:vAlign w:val="center"/>
          </w:tcPr>
          <w:p w14:paraId="39930D2E" w14:textId="77777777" w:rsidR="00BB66DA" w:rsidRPr="00244D65" w:rsidRDefault="00BB66DA" w:rsidP="0085595C">
            <w:pPr>
              <w:jc w:val="center"/>
              <w:rPr>
                <w:noProof/>
                <w:sz w:val="22"/>
                <w:szCs w:val="22"/>
                <w:lang w:eastAsia="en-IE"/>
              </w:rPr>
            </w:pPr>
          </w:p>
        </w:tc>
        <w:tc>
          <w:tcPr>
            <w:tcW w:w="4630" w:type="dxa"/>
            <w:vAlign w:val="center"/>
          </w:tcPr>
          <w:p w14:paraId="596D76A6" w14:textId="0AF0449B" w:rsidR="00BB66DA" w:rsidRPr="00244D65" w:rsidDel="0023328C" w:rsidRDefault="6F1B9273" w:rsidP="0085595C">
            <w:pPr>
              <w:rPr>
                <w:noProof/>
                <w:sz w:val="22"/>
                <w:szCs w:val="22"/>
                <w:lang w:eastAsia="en-IE"/>
              </w:rPr>
            </w:pPr>
            <w:r w:rsidRPr="00244D65">
              <w:rPr>
                <w:noProof/>
                <w:sz w:val="22"/>
                <w:szCs w:val="22"/>
                <w:lang w:eastAsia="en-IE"/>
              </w:rPr>
              <w:t xml:space="preserve">MSR3: </w:t>
            </w:r>
            <w:r w:rsidR="09B19263" w:rsidRPr="00244D65">
              <w:rPr>
                <w:noProof/>
                <w:sz w:val="22"/>
                <w:szCs w:val="22"/>
                <w:lang w:eastAsia="en-IE"/>
              </w:rPr>
              <w:t>D</w:t>
            </w:r>
            <w:r w:rsidRPr="00244D65">
              <w:rPr>
                <w:noProof/>
                <w:sz w:val="22"/>
                <w:szCs w:val="22"/>
                <w:lang w:eastAsia="en-IE"/>
              </w:rPr>
              <w:t>ynamic parameters</w:t>
            </w:r>
            <w:r w:rsidR="66D31152" w:rsidRPr="00244D65">
              <w:rPr>
                <w:noProof/>
                <w:sz w:val="22"/>
                <w:szCs w:val="22"/>
                <w:lang w:eastAsia="en-IE"/>
              </w:rPr>
              <w:t xml:space="preserve"> (Adjusted </w:t>
            </w:r>
            <w:r w:rsidR="1F1A3AE7" w:rsidRPr="00244D65">
              <w:rPr>
                <w:noProof/>
                <w:sz w:val="22"/>
                <w:szCs w:val="22"/>
                <w:lang w:eastAsia="en-IE"/>
              </w:rPr>
              <w:t>release</w:t>
            </w:r>
            <w:r w:rsidR="24252992" w:rsidRPr="00244D65">
              <w:rPr>
                <w:noProof/>
                <w:sz w:val="22"/>
                <w:szCs w:val="22"/>
                <w:lang w:eastAsia="en-IE"/>
              </w:rPr>
              <w:t xml:space="preserve"> rate</w:t>
            </w:r>
            <w:r w:rsidR="22DCF9E9" w:rsidRPr="00244D65">
              <w:rPr>
                <w:noProof/>
                <w:sz w:val="22"/>
                <w:szCs w:val="22"/>
                <w:lang w:eastAsia="en-IE"/>
              </w:rPr>
              <w:t xml:space="preserve">, </w:t>
            </w:r>
            <w:r w:rsidR="1F1A3AE7" w:rsidRPr="00244D65">
              <w:rPr>
                <w:noProof/>
                <w:sz w:val="22"/>
                <w:szCs w:val="22"/>
                <w:lang w:eastAsia="en-IE"/>
              </w:rPr>
              <w:t xml:space="preserve">upper and </w:t>
            </w:r>
            <w:r w:rsidR="66D31152" w:rsidRPr="00244D65">
              <w:rPr>
                <w:noProof/>
                <w:sz w:val="22"/>
                <w:szCs w:val="22"/>
                <w:lang w:eastAsia="en-IE"/>
              </w:rPr>
              <w:t xml:space="preserve">lower </w:t>
            </w:r>
            <w:r w:rsidR="1F1A3AE7" w:rsidRPr="00244D65">
              <w:rPr>
                <w:noProof/>
                <w:sz w:val="22"/>
                <w:szCs w:val="22"/>
                <w:lang w:eastAsia="en-IE"/>
              </w:rPr>
              <w:t xml:space="preserve">at declining </w:t>
            </w:r>
            <w:r w:rsidR="66D31152" w:rsidRPr="00244D65">
              <w:rPr>
                <w:noProof/>
                <w:sz w:val="22"/>
                <w:szCs w:val="22"/>
                <w:lang w:eastAsia="en-IE"/>
              </w:rPr>
              <w:t>fixed</w:t>
            </w:r>
            <w:r w:rsidR="1F1A3AE7" w:rsidRPr="00244D65">
              <w:rPr>
                <w:noProof/>
                <w:sz w:val="22"/>
                <w:szCs w:val="22"/>
                <w:lang w:eastAsia="en-IE"/>
              </w:rPr>
              <w:t xml:space="preserve"> </w:t>
            </w:r>
            <w:r w:rsidR="3B71DB94" w:rsidRPr="00244D65">
              <w:rPr>
                <w:noProof/>
                <w:sz w:val="22"/>
                <w:szCs w:val="22"/>
                <w:lang w:eastAsia="en-IE"/>
              </w:rPr>
              <w:t>rate)</w:t>
            </w:r>
          </w:p>
        </w:tc>
        <w:tc>
          <w:tcPr>
            <w:tcW w:w="675" w:type="dxa"/>
            <w:vAlign w:val="center"/>
          </w:tcPr>
          <w:p w14:paraId="576DAF72" w14:textId="77777777" w:rsidR="00BB66DA" w:rsidRPr="00244D65" w:rsidRDefault="00BB66DA" w:rsidP="0085595C">
            <w:pPr>
              <w:jc w:val="center"/>
              <w:rPr>
                <w:noProof/>
                <w:sz w:val="22"/>
                <w:szCs w:val="22"/>
                <w:lang w:eastAsia="en-IE"/>
              </w:rPr>
            </w:pPr>
          </w:p>
        </w:tc>
        <w:tc>
          <w:tcPr>
            <w:tcW w:w="705" w:type="dxa"/>
            <w:vAlign w:val="center"/>
          </w:tcPr>
          <w:p w14:paraId="25F08CE5" w14:textId="27339DA6" w:rsidR="00BB66DA" w:rsidRPr="00244D65" w:rsidRDefault="00BB66DA" w:rsidP="0085595C">
            <w:pPr>
              <w:jc w:val="center"/>
              <w:rPr>
                <w:noProof/>
                <w:sz w:val="22"/>
                <w:szCs w:val="22"/>
                <w:lang w:eastAsia="en-IE"/>
              </w:rPr>
            </w:pPr>
            <w:r w:rsidRPr="00244D65">
              <w:rPr>
                <w:noProof/>
                <w:sz w:val="22"/>
                <w:szCs w:val="22"/>
                <w:lang w:eastAsia="en-IE"/>
              </w:rPr>
              <w:t>X</w:t>
            </w:r>
          </w:p>
        </w:tc>
        <w:tc>
          <w:tcPr>
            <w:tcW w:w="756" w:type="dxa"/>
            <w:vAlign w:val="center"/>
          </w:tcPr>
          <w:p w14:paraId="1859F6EC" w14:textId="7C3E05B5" w:rsidR="00BB66DA" w:rsidRPr="00244D65" w:rsidRDefault="00BB66DA" w:rsidP="0085595C">
            <w:pPr>
              <w:jc w:val="center"/>
              <w:rPr>
                <w:noProof/>
                <w:sz w:val="22"/>
                <w:szCs w:val="22"/>
                <w:lang w:eastAsia="en-IE"/>
              </w:rPr>
            </w:pPr>
            <w:r w:rsidRPr="00244D65">
              <w:rPr>
                <w:noProof/>
                <w:sz w:val="22"/>
                <w:szCs w:val="22"/>
                <w:lang w:eastAsia="en-IE"/>
              </w:rPr>
              <w:t>X</w:t>
            </w:r>
          </w:p>
        </w:tc>
      </w:tr>
      <w:tr w:rsidR="00FF6AA6" w:rsidRPr="00244D65" w14:paraId="3D4E1B23" w14:textId="77777777" w:rsidTr="1CF5063F">
        <w:trPr>
          <w:cantSplit/>
          <w:trHeight w:val="314"/>
        </w:trPr>
        <w:tc>
          <w:tcPr>
            <w:tcW w:w="1975" w:type="dxa"/>
            <w:vMerge w:val="restart"/>
            <w:vAlign w:val="center"/>
          </w:tcPr>
          <w:p w14:paraId="7372D2D6" w14:textId="30FCACE4" w:rsidR="003206A2" w:rsidRPr="00244D65" w:rsidRDefault="00F37F0C" w:rsidP="0085595C">
            <w:pPr>
              <w:jc w:val="center"/>
              <w:rPr>
                <w:b/>
                <w:bCs/>
                <w:noProof/>
                <w:sz w:val="22"/>
                <w:szCs w:val="22"/>
                <w:lang w:eastAsia="en-IE"/>
              </w:rPr>
            </w:pPr>
            <w:r w:rsidRPr="00244D65">
              <w:rPr>
                <w:b/>
                <w:bCs/>
                <w:noProof/>
                <w:sz w:val="22"/>
                <w:szCs w:val="22"/>
                <w:lang w:eastAsia="en-IE"/>
              </w:rPr>
              <w:t>IDB</w:t>
            </w:r>
            <w:r w:rsidR="00E94C0D" w:rsidRPr="00244D65">
              <w:rPr>
                <w:b/>
                <w:bCs/>
                <w:noProof/>
                <w:sz w:val="22"/>
                <w:szCs w:val="22"/>
                <w:lang w:eastAsia="en-IE"/>
              </w:rPr>
              <w:t xml:space="preserve"> -</w:t>
            </w:r>
            <w:r w:rsidRPr="00244D65">
              <w:rPr>
                <w:b/>
                <w:bCs/>
                <w:noProof/>
                <w:sz w:val="22"/>
                <w:szCs w:val="22"/>
                <w:lang w:eastAsia="en-IE"/>
              </w:rPr>
              <w:t xml:space="preserve"> allocation mechanism</w:t>
            </w:r>
          </w:p>
        </w:tc>
        <w:tc>
          <w:tcPr>
            <w:tcW w:w="4630" w:type="dxa"/>
            <w:vAlign w:val="center"/>
          </w:tcPr>
          <w:p w14:paraId="170F3ECD" w14:textId="20E11B21" w:rsidR="003206A2" w:rsidRPr="00244D65" w:rsidRDefault="0044693E" w:rsidP="0085595C">
            <w:pPr>
              <w:jc w:val="left"/>
              <w:rPr>
                <w:noProof/>
                <w:sz w:val="22"/>
                <w:szCs w:val="22"/>
                <w:lang w:eastAsia="en-IE"/>
              </w:rPr>
            </w:pPr>
            <w:r w:rsidRPr="00244D65">
              <w:rPr>
                <w:noProof/>
                <w:sz w:val="22"/>
                <w:szCs w:val="22"/>
                <w:lang w:eastAsia="en-IE"/>
              </w:rPr>
              <w:t xml:space="preserve">AM 1: </w:t>
            </w:r>
            <w:r w:rsidR="00CA7E46" w:rsidRPr="00244D65">
              <w:rPr>
                <w:rFonts w:eastAsia="Times New Roman"/>
                <w:noProof/>
                <w:sz w:val="22"/>
                <w:szCs w:val="22"/>
              </w:rPr>
              <w:t>Multi-criteria call for proposals</w:t>
            </w:r>
          </w:p>
        </w:tc>
        <w:tc>
          <w:tcPr>
            <w:tcW w:w="675" w:type="dxa"/>
            <w:vAlign w:val="center"/>
          </w:tcPr>
          <w:p w14:paraId="3EE8F70B" w14:textId="1971B7ED" w:rsidR="003206A2" w:rsidRPr="00244D65" w:rsidRDefault="00287A53" w:rsidP="0085595C">
            <w:pPr>
              <w:jc w:val="center"/>
              <w:rPr>
                <w:rFonts w:eastAsia="Times New Roman"/>
                <w:noProof/>
                <w:sz w:val="22"/>
                <w:szCs w:val="22"/>
              </w:rPr>
            </w:pPr>
            <w:r w:rsidRPr="00244D65">
              <w:rPr>
                <w:rFonts w:eastAsia="Times New Roman"/>
                <w:noProof/>
                <w:sz w:val="22"/>
                <w:szCs w:val="22"/>
              </w:rPr>
              <w:t>X</w:t>
            </w:r>
          </w:p>
        </w:tc>
        <w:tc>
          <w:tcPr>
            <w:tcW w:w="705" w:type="dxa"/>
            <w:vAlign w:val="center"/>
          </w:tcPr>
          <w:p w14:paraId="0A5A4029" w14:textId="77777777" w:rsidR="003206A2" w:rsidRPr="00244D65" w:rsidRDefault="003206A2" w:rsidP="0085595C">
            <w:pPr>
              <w:jc w:val="center"/>
              <w:rPr>
                <w:noProof/>
                <w:sz w:val="22"/>
                <w:szCs w:val="22"/>
                <w:lang w:eastAsia="en-IE"/>
              </w:rPr>
            </w:pPr>
          </w:p>
        </w:tc>
        <w:tc>
          <w:tcPr>
            <w:tcW w:w="756" w:type="dxa"/>
            <w:vAlign w:val="center"/>
          </w:tcPr>
          <w:p w14:paraId="435C0C3B" w14:textId="77777777" w:rsidR="003206A2" w:rsidRPr="00244D65" w:rsidRDefault="003206A2" w:rsidP="0085595C">
            <w:pPr>
              <w:jc w:val="center"/>
              <w:rPr>
                <w:noProof/>
                <w:sz w:val="22"/>
                <w:szCs w:val="22"/>
                <w:lang w:eastAsia="en-IE"/>
              </w:rPr>
            </w:pPr>
          </w:p>
        </w:tc>
      </w:tr>
      <w:tr w:rsidR="00FF6AA6" w:rsidRPr="00244D65" w14:paraId="3930B110" w14:textId="77777777" w:rsidTr="1CF5063F">
        <w:trPr>
          <w:cantSplit/>
          <w:trHeight w:val="314"/>
        </w:trPr>
        <w:tc>
          <w:tcPr>
            <w:tcW w:w="1975" w:type="dxa"/>
            <w:vMerge/>
            <w:vAlign w:val="center"/>
          </w:tcPr>
          <w:p w14:paraId="7873D02C" w14:textId="77777777" w:rsidR="003206A2" w:rsidRPr="00244D65" w:rsidRDefault="003206A2" w:rsidP="0085595C">
            <w:pPr>
              <w:jc w:val="center"/>
              <w:rPr>
                <w:b/>
                <w:bCs/>
                <w:noProof/>
                <w:sz w:val="22"/>
                <w:szCs w:val="22"/>
                <w:lang w:eastAsia="en-IE"/>
              </w:rPr>
            </w:pPr>
          </w:p>
        </w:tc>
        <w:tc>
          <w:tcPr>
            <w:tcW w:w="4630" w:type="dxa"/>
            <w:vAlign w:val="center"/>
          </w:tcPr>
          <w:p w14:paraId="0E062C9C" w14:textId="78B0E01F" w:rsidR="003206A2" w:rsidRPr="00244D65" w:rsidRDefault="00CA7E46" w:rsidP="0085595C">
            <w:pPr>
              <w:jc w:val="left"/>
              <w:rPr>
                <w:noProof/>
                <w:sz w:val="22"/>
                <w:szCs w:val="22"/>
                <w:lang w:eastAsia="en-IE"/>
              </w:rPr>
            </w:pPr>
            <w:r w:rsidRPr="00244D65">
              <w:rPr>
                <w:noProof/>
                <w:sz w:val="22"/>
                <w:szCs w:val="22"/>
                <w:lang w:eastAsia="en-IE"/>
              </w:rPr>
              <w:t xml:space="preserve">AM 2: </w:t>
            </w:r>
            <w:r w:rsidR="00E170C8" w:rsidRPr="00244D65">
              <w:rPr>
                <w:rFonts w:eastAsia="Times New Roman"/>
                <w:noProof/>
                <w:sz w:val="22"/>
                <w:szCs w:val="22"/>
              </w:rPr>
              <w:t>Auctions</w:t>
            </w:r>
          </w:p>
        </w:tc>
        <w:tc>
          <w:tcPr>
            <w:tcW w:w="675" w:type="dxa"/>
            <w:vAlign w:val="center"/>
          </w:tcPr>
          <w:p w14:paraId="1DEA23A2" w14:textId="77777777" w:rsidR="003206A2" w:rsidRPr="00244D65" w:rsidRDefault="003206A2" w:rsidP="0085595C">
            <w:pPr>
              <w:jc w:val="center"/>
              <w:rPr>
                <w:rFonts w:eastAsia="Times New Roman"/>
                <w:noProof/>
                <w:sz w:val="22"/>
                <w:szCs w:val="22"/>
              </w:rPr>
            </w:pPr>
          </w:p>
        </w:tc>
        <w:tc>
          <w:tcPr>
            <w:tcW w:w="705" w:type="dxa"/>
            <w:vAlign w:val="center"/>
          </w:tcPr>
          <w:p w14:paraId="3A65B1DA" w14:textId="77777777" w:rsidR="003206A2" w:rsidRPr="00244D65" w:rsidRDefault="003206A2" w:rsidP="0085595C">
            <w:pPr>
              <w:jc w:val="center"/>
              <w:rPr>
                <w:noProof/>
                <w:sz w:val="22"/>
                <w:szCs w:val="22"/>
                <w:lang w:eastAsia="en-IE"/>
              </w:rPr>
            </w:pPr>
          </w:p>
        </w:tc>
        <w:tc>
          <w:tcPr>
            <w:tcW w:w="756" w:type="dxa"/>
            <w:vAlign w:val="center"/>
          </w:tcPr>
          <w:p w14:paraId="6A64D448" w14:textId="6D36B5E9" w:rsidR="003206A2" w:rsidRPr="00244D65" w:rsidRDefault="00287A53" w:rsidP="0085595C">
            <w:pPr>
              <w:jc w:val="center"/>
              <w:rPr>
                <w:noProof/>
                <w:sz w:val="22"/>
                <w:szCs w:val="22"/>
                <w:lang w:eastAsia="en-IE"/>
              </w:rPr>
            </w:pPr>
            <w:r w:rsidRPr="00244D65">
              <w:rPr>
                <w:noProof/>
                <w:sz w:val="22"/>
                <w:szCs w:val="22"/>
                <w:lang w:eastAsia="en-IE"/>
              </w:rPr>
              <w:t>X</w:t>
            </w:r>
          </w:p>
        </w:tc>
      </w:tr>
      <w:tr w:rsidR="00FF6AA6" w:rsidRPr="00244D65" w14:paraId="725C72E9" w14:textId="77777777" w:rsidTr="1CF5063F">
        <w:trPr>
          <w:cantSplit/>
          <w:trHeight w:val="314"/>
        </w:trPr>
        <w:tc>
          <w:tcPr>
            <w:tcW w:w="1975" w:type="dxa"/>
            <w:vMerge/>
            <w:vAlign w:val="center"/>
          </w:tcPr>
          <w:p w14:paraId="1C0583AA" w14:textId="77777777" w:rsidR="003206A2" w:rsidRPr="00244D65" w:rsidRDefault="003206A2" w:rsidP="0085595C">
            <w:pPr>
              <w:jc w:val="center"/>
              <w:rPr>
                <w:b/>
                <w:bCs/>
                <w:noProof/>
                <w:sz w:val="22"/>
                <w:szCs w:val="22"/>
                <w:lang w:eastAsia="en-IE"/>
              </w:rPr>
            </w:pPr>
          </w:p>
        </w:tc>
        <w:tc>
          <w:tcPr>
            <w:tcW w:w="4630" w:type="dxa"/>
            <w:vAlign w:val="center"/>
          </w:tcPr>
          <w:p w14:paraId="1A98C3DD" w14:textId="696BCE0A" w:rsidR="003206A2" w:rsidRPr="00244D65" w:rsidRDefault="00E170C8" w:rsidP="0085595C">
            <w:pPr>
              <w:jc w:val="left"/>
              <w:rPr>
                <w:noProof/>
                <w:sz w:val="22"/>
                <w:szCs w:val="22"/>
                <w:lang w:eastAsia="en-IE"/>
              </w:rPr>
            </w:pPr>
            <w:r w:rsidRPr="00244D65">
              <w:rPr>
                <w:noProof/>
                <w:sz w:val="22"/>
                <w:szCs w:val="22"/>
                <w:lang w:eastAsia="en-IE"/>
              </w:rPr>
              <w:t xml:space="preserve">AM 3: </w:t>
            </w:r>
            <w:r w:rsidR="00BD687F" w:rsidRPr="00244D65">
              <w:rPr>
                <w:rFonts w:eastAsia="Times New Roman"/>
                <w:noProof/>
                <w:sz w:val="22"/>
                <w:szCs w:val="22"/>
              </w:rPr>
              <w:t>First-in, first served administrative schemes</w:t>
            </w:r>
          </w:p>
        </w:tc>
        <w:tc>
          <w:tcPr>
            <w:tcW w:w="675" w:type="dxa"/>
            <w:vAlign w:val="center"/>
          </w:tcPr>
          <w:p w14:paraId="719EA41D" w14:textId="77777777" w:rsidR="003206A2" w:rsidRPr="00244D65" w:rsidRDefault="003206A2" w:rsidP="0085595C">
            <w:pPr>
              <w:jc w:val="center"/>
              <w:rPr>
                <w:rFonts w:eastAsia="Times New Roman"/>
                <w:noProof/>
                <w:sz w:val="22"/>
                <w:szCs w:val="22"/>
              </w:rPr>
            </w:pPr>
          </w:p>
        </w:tc>
        <w:tc>
          <w:tcPr>
            <w:tcW w:w="705" w:type="dxa"/>
            <w:vAlign w:val="center"/>
          </w:tcPr>
          <w:p w14:paraId="6E0ADA87" w14:textId="0A14C20D" w:rsidR="003206A2" w:rsidRPr="00244D65" w:rsidRDefault="00287A53" w:rsidP="0085595C">
            <w:pPr>
              <w:jc w:val="center"/>
              <w:rPr>
                <w:noProof/>
                <w:sz w:val="22"/>
                <w:szCs w:val="22"/>
                <w:lang w:eastAsia="en-IE"/>
              </w:rPr>
            </w:pPr>
            <w:r w:rsidRPr="00244D65">
              <w:rPr>
                <w:noProof/>
                <w:sz w:val="22"/>
                <w:szCs w:val="22"/>
                <w:lang w:eastAsia="en-IE"/>
              </w:rPr>
              <w:t>X</w:t>
            </w:r>
          </w:p>
        </w:tc>
        <w:tc>
          <w:tcPr>
            <w:tcW w:w="756" w:type="dxa"/>
            <w:vAlign w:val="center"/>
          </w:tcPr>
          <w:p w14:paraId="316E5FC2" w14:textId="77777777" w:rsidR="003206A2" w:rsidRPr="00244D65" w:rsidRDefault="003206A2" w:rsidP="0085595C">
            <w:pPr>
              <w:jc w:val="center"/>
              <w:rPr>
                <w:noProof/>
                <w:sz w:val="22"/>
                <w:szCs w:val="22"/>
                <w:lang w:eastAsia="en-IE"/>
              </w:rPr>
            </w:pPr>
          </w:p>
        </w:tc>
      </w:tr>
      <w:tr w:rsidR="00FF6AA6" w:rsidRPr="00244D65" w14:paraId="3672914D" w14:textId="77777777" w:rsidTr="1CF5063F">
        <w:trPr>
          <w:cantSplit/>
          <w:trHeight w:val="314"/>
        </w:trPr>
        <w:tc>
          <w:tcPr>
            <w:tcW w:w="1975" w:type="dxa"/>
            <w:vMerge w:val="restart"/>
            <w:vAlign w:val="center"/>
          </w:tcPr>
          <w:p w14:paraId="32ACD008" w14:textId="688180E4" w:rsidR="003206A2" w:rsidRPr="00244D65" w:rsidRDefault="00F37F0C" w:rsidP="0085595C">
            <w:pPr>
              <w:jc w:val="center"/>
              <w:rPr>
                <w:b/>
                <w:bCs/>
                <w:noProof/>
                <w:sz w:val="22"/>
                <w:szCs w:val="22"/>
                <w:lang w:eastAsia="en-IE"/>
              </w:rPr>
            </w:pPr>
            <w:r w:rsidRPr="00244D65">
              <w:rPr>
                <w:b/>
                <w:bCs/>
                <w:noProof/>
                <w:sz w:val="22"/>
                <w:szCs w:val="22"/>
                <w:lang w:eastAsia="en-IE"/>
              </w:rPr>
              <w:t>IDB</w:t>
            </w:r>
            <w:r w:rsidR="00E94C0D" w:rsidRPr="00244D65">
              <w:rPr>
                <w:b/>
                <w:bCs/>
                <w:noProof/>
                <w:sz w:val="22"/>
                <w:szCs w:val="22"/>
                <w:lang w:eastAsia="en-IE"/>
              </w:rPr>
              <w:t xml:space="preserve"> -</w:t>
            </w:r>
            <w:r w:rsidRPr="00244D65">
              <w:rPr>
                <w:b/>
                <w:bCs/>
                <w:noProof/>
                <w:sz w:val="22"/>
                <w:szCs w:val="22"/>
                <w:lang w:eastAsia="en-IE"/>
              </w:rPr>
              <w:t xml:space="preserve"> form of support</w:t>
            </w:r>
          </w:p>
        </w:tc>
        <w:tc>
          <w:tcPr>
            <w:tcW w:w="4630" w:type="dxa"/>
            <w:vAlign w:val="center"/>
          </w:tcPr>
          <w:p w14:paraId="2AB59AA6" w14:textId="23750C8A" w:rsidR="003206A2" w:rsidRPr="00244D65" w:rsidRDefault="00BD687F" w:rsidP="0085595C">
            <w:pPr>
              <w:rPr>
                <w:noProof/>
                <w:sz w:val="22"/>
                <w:szCs w:val="22"/>
                <w:lang w:eastAsia="en-IE"/>
              </w:rPr>
            </w:pPr>
            <w:r w:rsidRPr="00244D65">
              <w:rPr>
                <w:noProof/>
                <w:sz w:val="22"/>
                <w:szCs w:val="22"/>
                <w:lang w:eastAsia="en-IE"/>
              </w:rPr>
              <w:t xml:space="preserve">FS 1: </w:t>
            </w:r>
            <w:r w:rsidR="00D574A9" w:rsidRPr="00244D65">
              <w:rPr>
                <w:noProof/>
                <w:sz w:val="22"/>
                <w:szCs w:val="22"/>
                <w:lang w:eastAsia="en-IE"/>
              </w:rPr>
              <w:t>‘</w:t>
            </w:r>
            <w:r w:rsidR="00D574A9" w:rsidRPr="00244D65">
              <w:rPr>
                <w:rFonts w:eastAsia="MS Mincho"/>
                <w:noProof/>
                <w:color w:val="000000" w:themeColor="text1"/>
                <w:sz w:val="22"/>
                <w:szCs w:val="22"/>
                <w:lang w:eastAsia="en-GB"/>
              </w:rPr>
              <w:t>Regular’ grants covering the funding gap</w:t>
            </w:r>
          </w:p>
        </w:tc>
        <w:tc>
          <w:tcPr>
            <w:tcW w:w="675" w:type="dxa"/>
            <w:vAlign w:val="center"/>
          </w:tcPr>
          <w:p w14:paraId="13FAA0AF" w14:textId="22B3D087" w:rsidR="003206A2" w:rsidRPr="00244D65" w:rsidRDefault="00287A53" w:rsidP="0085595C">
            <w:pPr>
              <w:jc w:val="center"/>
              <w:rPr>
                <w:rFonts w:eastAsia="Times New Roman"/>
                <w:noProof/>
                <w:sz w:val="22"/>
                <w:szCs w:val="22"/>
              </w:rPr>
            </w:pPr>
            <w:r w:rsidRPr="00244D65">
              <w:rPr>
                <w:rFonts w:eastAsia="Times New Roman"/>
                <w:noProof/>
                <w:sz w:val="22"/>
                <w:szCs w:val="22"/>
              </w:rPr>
              <w:t>X</w:t>
            </w:r>
          </w:p>
        </w:tc>
        <w:tc>
          <w:tcPr>
            <w:tcW w:w="705" w:type="dxa"/>
            <w:vAlign w:val="center"/>
          </w:tcPr>
          <w:p w14:paraId="10F30CE7" w14:textId="77777777" w:rsidR="003206A2" w:rsidRPr="00244D65" w:rsidRDefault="003206A2" w:rsidP="0085595C">
            <w:pPr>
              <w:jc w:val="center"/>
              <w:rPr>
                <w:noProof/>
                <w:sz w:val="22"/>
                <w:szCs w:val="22"/>
                <w:lang w:eastAsia="en-IE"/>
              </w:rPr>
            </w:pPr>
          </w:p>
        </w:tc>
        <w:tc>
          <w:tcPr>
            <w:tcW w:w="756" w:type="dxa"/>
            <w:vAlign w:val="center"/>
          </w:tcPr>
          <w:p w14:paraId="5742BDA7" w14:textId="77777777" w:rsidR="003206A2" w:rsidRPr="00244D65" w:rsidRDefault="003206A2" w:rsidP="0085595C">
            <w:pPr>
              <w:jc w:val="center"/>
              <w:rPr>
                <w:noProof/>
                <w:sz w:val="22"/>
                <w:szCs w:val="22"/>
                <w:lang w:eastAsia="en-IE"/>
              </w:rPr>
            </w:pPr>
          </w:p>
        </w:tc>
      </w:tr>
      <w:tr w:rsidR="00FF6AA6" w:rsidRPr="00244D65" w14:paraId="15B42628" w14:textId="77777777" w:rsidTr="1CF5063F">
        <w:trPr>
          <w:cantSplit/>
          <w:trHeight w:val="314"/>
        </w:trPr>
        <w:tc>
          <w:tcPr>
            <w:tcW w:w="1975" w:type="dxa"/>
            <w:vMerge/>
            <w:vAlign w:val="center"/>
          </w:tcPr>
          <w:p w14:paraId="643D0472" w14:textId="77777777" w:rsidR="003206A2" w:rsidRPr="00244D65" w:rsidRDefault="003206A2" w:rsidP="0085595C">
            <w:pPr>
              <w:jc w:val="center"/>
              <w:rPr>
                <w:b/>
                <w:bCs/>
                <w:noProof/>
                <w:sz w:val="22"/>
                <w:szCs w:val="22"/>
                <w:lang w:eastAsia="en-IE"/>
              </w:rPr>
            </w:pPr>
          </w:p>
        </w:tc>
        <w:tc>
          <w:tcPr>
            <w:tcW w:w="4630" w:type="dxa"/>
            <w:vAlign w:val="center"/>
          </w:tcPr>
          <w:p w14:paraId="13E08293" w14:textId="7F55DC8E" w:rsidR="003206A2" w:rsidRPr="00244D65" w:rsidRDefault="00D574A9" w:rsidP="0085595C">
            <w:pPr>
              <w:rPr>
                <w:noProof/>
                <w:sz w:val="22"/>
                <w:szCs w:val="22"/>
                <w:lang w:eastAsia="en-IE"/>
              </w:rPr>
            </w:pPr>
            <w:r w:rsidRPr="00244D65">
              <w:rPr>
                <w:noProof/>
                <w:sz w:val="22"/>
                <w:szCs w:val="22"/>
                <w:lang w:eastAsia="en-IE"/>
              </w:rPr>
              <w:t xml:space="preserve">FS 2: </w:t>
            </w:r>
            <w:r w:rsidR="00646D1F" w:rsidRPr="00244D65">
              <w:rPr>
                <w:rFonts w:eastAsia="MS Mincho"/>
                <w:noProof/>
                <w:color w:val="000000" w:themeColor="text1"/>
                <w:sz w:val="22"/>
                <w:szCs w:val="22"/>
                <w:lang w:eastAsia="en-GB"/>
              </w:rPr>
              <w:t>Carbon Fixed Premium</w:t>
            </w:r>
          </w:p>
        </w:tc>
        <w:tc>
          <w:tcPr>
            <w:tcW w:w="675" w:type="dxa"/>
            <w:vAlign w:val="center"/>
          </w:tcPr>
          <w:p w14:paraId="26FE103B" w14:textId="77777777" w:rsidR="003206A2" w:rsidRPr="00244D65" w:rsidRDefault="003206A2" w:rsidP="0085595C">
            <w:pPr>
              <w:jc w:val="center"/>
              <w:rPr>
                <w:rFonts w:eastAsia="Times New Roman"/>
                <w:noProof/>
                <w:sz w:val="22"/>
                <w:szCs w:val="22"/>
              </w:rPr>
            </w:pPr>
          </w:p>
        </w:tc>
        <w:tc>
          <w:tcPr>
            <w:tcW w:w="705" w:type="dxa"/>
            <w:vAlign w:val="center"/>
          </w:tcPr>
          <w:p w14:paraId="7BC15E34" w14:textId="734B3E70" w:rsidR="003206A2" w:rsidRPr="00244D65" w:rsidRDefault="00287A53" w:rsidP="0085595C">
            <w:pPr>
              <w:jc w:val="center"/>
              <w:rPr>
                <w:noProof/>
                <w:sz w:val="22"/>
                <w:szCs w:val="22"/>
                <w:lang w:eastAsia="en-IE"/>
              </w:rPr>
            </w:pPr>
            <w:r w:rsidRPr="00244D65">
              <w:rPr>
                <w:noProof/>
                <w:sz w:val="22"/>
                <w:szCs w:val="22"/>
                <w:lang w:eastAsia="en-IE"/>
              </w:rPr>
              <w:t>X</w:t>
            </w:r>
          </w:p>
        </w:tc>
        <w:tc>
          <w:tcPr>
            <w:tcW w:w="756" w:type="dxa"/>
            <w:vAlign w:val="center"/>
          </w:tcPr>
          <w:p w14:paraId="4447E8A0" w14:textId="77777777" w:rsidR="003206A2" w:rsidRPr="00244D65" w:rsidRDefault="003206A2" w:rsidP="0085595C">
            <w:pPr>
              <w:jc w:val="center"/>
              <w:rPr>
                <w:noProof/>
                <w:sz w:val="22"/>
                <w:szCs w:val="22"/>
                <w:lang w:eastAsia="en-IE"/>
              </w:rPr>
            </w:pPr>
          </w:p>
        </w:tc>
      </w:tr>
      <w:tr w:rsidR="00FF6AA6" w:rsidRPr="00244D65" w14:paraId="5F7B8885" w14:textId="77777777" w:rsidTr="1CF5063F">
        <w:trPr>
          <w:cantSplit/>
          <w:trHeight w:val="314"/>
        </w:trPr>
        <w:tc>
          <w:tcPr>
            <w:tcW w:w="1975" w:type="dxa"/>
            <w:vMerge/>
            <w:vAlign w:val="center"/>
          </w:tcPr>
          <w:p w14:paraId="3B2892D1" w14:textId="77777777" w:rsidR="003206A2" w:rsidRPr="00244D65" w:rsidRDefault="003206A2" w:rsidP="0085595C">
            <w:pPr>
              <w:jc w:val="center"/>
              <w:rPr>
                <w:b/>
                <w:bCs/>
                <w:noProof/>
                <w:sz w:val="22"/>
                <w:szCs w:val="22"/>
                <w:lang w:eastAsia="en-IE"/>
              </w:rPr>
            </w:pPr>
          </w:p>
        </w:tc>
        <w:tc>
          <w:tcPr>
            <w:tcW w:w="4630" w:type="dxa"/>
            <w:vAlign w:val="center"/>
          </w:tcPr>
          <w:p w14:paraId="1E951DF1" w14:textId="6FD00962" w:rsidR="003206A2" w:rsidRPr="00244D65" w:rsidRDefault="00646D1F" w:rsidP="0085595C">
            <w:pPr>
              <w:rPr>
                <w:noProof/>
                <w:sz w:val="22"/>
                <w:szCs w:val="22"/>
                <w:lang w:eastAsia="en-IE"/>
              </w:rPr>
            </w:pPr>
            <w:r w:rsidRPr="00244D65">
              <w:rPr>
                <w:noProof/>
                <w:sz w:val="22"/>
                <w:szCs w:val="22"/>
                <w:lang w:eastAsia="en-IE"/>
              </w:rPr>
              <w:t xml:space="preserve">FS 3: </w:t>
            </w:r>
            <w:r w:rsidR="00832A96" w:rsidRPr="00244D65">
              <w:rPr>
                <w:rFonts w:eastAsia="MS Mincho"/>
                <w:noProof/>
                <w:color w:val="000000" w:themeColor="text1"/>
                <w:sz w:val="22"/>
                <w:szCs w:val="22"/>
                <w:lang w:eastAsia="en-GB"/>
              </w:rPr>
              <w:t>Carbon Contracts for Difference</w:t>
            </w:r>
          </w:p>
        </w:tc>
        <w:tc>
          <w:tcPr>
            <w:tcW w:w="675" w:type="dxa"/>
            <w:vAlign w:val="center"/>
          </w:tcPr>
          <w:p w14:paraId="59AA5B00" w14:textId="77777777" w:rsidR="003206A2" w:rsidRPr="00244D65" w:rsidRDefault="003206A2" w:rsidP="0085595C">
            <w:pPr>
              <w:jc w:val="center"/>
              <w:rPr>
                <w:rFonts w:eastAsia="Times New Roman"/>
                <w:noProof/>
                <w:sz w:val="22"/>
                <w:szCs w:val="22"/>
              </w:rPr>
            </w:pPr>
          </w:p>
        </w:tc>
        <w:tc>
          <w:tcPr>
            <w:tcW w:w="705" w:type="dxa"/>
            <w:vAlign w:val="center"/>
          </w:tcPr>
          <w:p w14:paraId="7771EE88" w14:textId="77777777" w:rsidR="003206A2" w:rsidRPr="00244D65" w:rsidRDefault="003206A2" w:rsidP="0085595C">
            <w:pPr>
              <w:jc w:val="center"/>
              <w:rPr>
                <w:noProof/>
                <w:sz w:val="22"/>
                <w:szCs w:val="22"/>
                <w:lang w:eastAsia="en-IE"/>
              </w:rPr>
            </w:pPr>
          </w:p>
        </w:tc>
        <w:tc>
          <w:tcPr>
            <w:tcW w:w="756" w:type="dxa"/>
            <w:vAlign w:val="center"/>
          </w:tcPr>
          <w:p w14:paraId="68D8C7F2" w14:textId="7399D712" w:rsidR="003206A2" w:rsidRPr="00244D65" w:rsidRDefault="00287A53" w:rsidP="0085595C">
            <w:pPr>
              <w:jc w:val="center"/>
              <w:rPr>
                <w:noProof/>
                <w:sz w:val="22"/>
                <w:szCs w:val="22"/>
                <w:lang w:eastAsia="en-IE"/>
              </w:rPr>
            </w:pPr>
            <w:r w:rsidRPr="00244D65">
              <w:rPr>
                <w:noProof/>
                <w:sz w:val="22"/>
                <w:szCs w:val="22"/>
                <w:lang w:eastAsia="en-IE"/>
              </w:rPr>
              <w:t>X</w:t>
            </w:r>
          </w:p>
        </w:tc>
      </w:tr>
      <w:tr w:rsidR="00FF6AA6" w:rsidRPr="00244D65" w14:paraId="4C5EBA2B" w14:textId="77777777" w:rsidTr="1CF5063F">
        <w:trPr>
          <w:cantSplit/>
          <w:trHeight w:val="314"/>
        </w:trPr>
        <w:tc>
          <w:tcPr>
            <w:tcW w:w="1975" w:type="dxa"/>
            <w:vMerge w:val="restart"/>
            <w:vAlign w:val="center"/>
          </w:tcPr>
          <w:p w14:paraId="36EFEAA9" w14:textId="4B3A9168" w:rsidR="003206A2" w:rsidRPr="00244D65" w:rsidRDefault="00F37F0C" w:rsidP="0085595C">
            <w:pPr>
              <w:jc w:val="center"/>
              <w:rPr>
                <w:b/>
                <w:bCs/>
                <w:noProof/>
                <w:sz w:val="22"/>
                <w:szCs w:val="22"/>
                <w:lang w:eastAsia="en-IE"/>
              </w:rPr>
            </w:pPr>
            <w:r w:rsidRPr="00244D65">
              <w:rPr>
                <w:b/>
                <w:bCs/>
                <w:noProof/>
                <w:sz w:val="22"/>
                <w:szCs w:val="22"/>
                <w:lang w:eastAsia="en-IE"/>
              </w:rPr>
              <w:t>IDB</w:t>
            </w:r>
            <w:r w:rsidR="00E94C0D" w:rsidRPr="00244D65">
              <w:rPr>
                <w:b/>
                <w:bCs/>
                <w:noProof/>
                <w:sz w:val="22"/>
                <w:szCs w:val="22"/>
                <w:lang w:eastAsia="en-IE"/>
              </w:rPr>
              <w:t xml:space="preserve"> -</w:t>
            </w:r>
            <w:r w:rsidRPr="00244D65">
              <w:rPr>
                <w:b/>
                <w:bCs/>
                <w:noProof/>
                <w:sz w:val="22"/>
                <w:szCs w:val="22"/>
                <w:lang w:eastAsia="en-IE"/>
              </w:rPr>
              <w:t xml:space="preserve"> ensuring geographical balance</w:t>
            </w:r>
          </w:p>
        </w:tc>
        <w:tc>
          <w:tcPr>
            <w:tcW w:w="4630" w:type="dxa"/>
            <w:vAlign w:val="center"/>
          </w:tcPr>
          <w:p w14:paraId="2D0A3408" w14:textId="04F50FA8" w:rsidR="003206A2" w:rsidRPr="00244D65" w:rsidRDefault="00832A96" w:rsidP="0085595C">
            <w:pPr>
              <w:rPr>
                <w:noProof/>
                <w:sz w:val="22"/>
                <w:szCs w:val="22"/>
                <w:lang w:eastAsia="en-IE"/>
              </w:rPr>
            </w:pPr>
            <w:r w:rsidRPr="00244D65">
              <w:rPr>
                <w:noProof/>
                <w:sz w:val="22"/>
                <w:szCs w:val="22"/>
                <w:lang w:eastAsia="en-IE"/>
              </w:rPr>
              <w:t xml:space="preserve">GB 1: </w:t>
            </w:r>
            <w:r w:rsidR="006153CB" w:rsidRPr="00244D65">
              <w:rPr>
                <w:rFonts w:eastAsia="MS Mincho"/>
                <w:noProof/>
                <w:color w:val="000000" w:themeColor="text1"/>
                <w:sz w:val="22"/>
                <w:szCs w:val="22"/>
                <w:lang w:eastAsia="en-GB"/>
              </w:rPr>
              <w:t>EU-level competition, no geographical balance measures</w:t>
            </w:r>
          </w:p>
        </w:tc>
        <w:tc>
          <w:tcPr>
            <w:tcW w:w="675" w:type="dxa"/>
            <w:vAlign w:val="center"/>
          </w:tcPr>
          <w:p w14:paraId="7B7ADA30" w14:textId="3FDA5A36" w:rsidR="003206A2" w:rsidRPr="00244D65" w:rsidRDefault="00287A53" w:rsidP="0085595C">
            <w:pPr>
              <w:jc w:val="center"/>
              <w:rPr>
                <w:rFonts w:eastAsia="Times New Roman"/>
                <w:noProof/>
                <w:sz w:val="22"/>
                <w:szCs w:val="22"/>
              </w:rPr>
            </w:pPr>
            <w:r w:rsidRPr="00244D65">
              <w:rPr>
                <w:rFonts w:eastAsia="Times New Roman"/>
                <w:noProof/>
                <w:sz w:val="22"/>
                <w:szCs w:val="22"/>
              </w:rPr>
              <w:t>X</w:t>
            </w:r>
          </w:p>
        </w:tc>
        <w:tc>
          <w:tcPr>
            <w:tcW w:w="705" w:type="dxa"/>
            <w:vAlign w:val="center"/>
          </w:tcPr>
          <w:p w14:paraId="331167FD" w14:textId="77777777" w:rsidR="003206A2" w:rsidRPr="00244D65" w:rsidRDefault="003206A2" w:rsidP="0085595C">
            <w:pPr>
              <w:jc w:val="center"/>
              <w:rPr>
                <w:noProof/>
                <w:sz w:val="22"/>
                <w:szCs w:val="22"/>
                <w:lang w:eastAsia="en-IE"/>
              </w:rPr>
            </w:pPr>
          </w:p>
        </w:tc>
        <w:tc>
          <w:tcPr>
            <w:tcW w:w="756" w:type="dxa"/>
            <w:vAlign w:val="center"/>
          </w:tcPr>
          <w:p w14:paraId="3DCF14D3" w14:textId="77777777" w:rsidR="003206A2" w:rsidRPr="00244D65" w:rsidRDefault="003206A2" w:rsidP="0085595C">
            <w:pPr>
              <w:jc w:val="center"/>
              <w:rPr>
                <w:noProof/>
                <w:sz w:val="22"/>
                <w:szCs w:val="22"/>
                <w:lang w:eastAsia="en-IE"/>
              </w:rPr>
            </w:pPr>
          </w:p>
        </w:tc>
      </w:tr>
      <w:tr w:rsidR="00FF6AA6" w:rsidRPr="00244D65" w14:paraId="7672F5A6" w14:textId="77777777" w:rsidTr="1CF5063F">
        <w:trPr>
          <w:cantSplit/>
          <w:trHeight w:val="314"/>
        </w:trPr>
        <w:tc>
          <w:tcPr>
            <w:tcW w:w="1975" w:type="dxa"/>
            <w:vMerge/>
            <w:vAlign w:val="center"/>
          </w:tcPr>
          <w:p w14:paraId="6918E374" w14:textId="77777777" w:rsidR="003206A2" w:rsidRPr="00244D65" w:rsidRDefault="003206A2" w:rsidP="0085595C">
            <w:pPr>
              <w:jc w:val="center"/>
              <w:rPr>
                <w:b/>
                <w:bCs/>
                <w:noProof/>
                <w:sz w:val="22"/>
                <w:szCs w:val="22"/>
                <w:lang w:eastAsia="en-IE"/>
              </w:rPr>
            </w:pPr>
          </w:p>
        </w:tc>
        <w:tc>
          <w:tcPr>
            <w:tcW w:w="4630" w:type="dxa"/>
            <w:vAlign w:val="center"/>
          </w:tcPr>
          <w:p w14:paraId="7ADABF31" w14:textId="20E90FCF" w:rsidR="003206A2" w:rsidRPr="00244D65" w:rsidRDefault="00037504" w:rsidP="0085595C">
            <w:pPr>
              <w:rPr>
                <w:noProof/>
                <w:sz w:val="22"/>
                <w:szCs w:val="22"/>
                <w:lang w:eastAsia="en-IE"/>
              </w:rPr>
            </w:pPr>
            <w:r w:rsidRPr="00244D65">
              <w:rPr>
                <w:noProof/>
                <w:sz w:val="22"/>
                <w:szCs w:val="22"/>
                <w:lang w:eastAsia="en-IE"/>
              </w:rPr>
              <w:t xml:space="preserve">GB 2: balance between EU-level competition and national </w:t>
            </w:r>
            <w:r w:rsidR="00834215" w:rsidRPr="00244D65">
              <w:rPr>
                <w:noProof/>
                <w:sz w:val="22"/>
                <w:szCs w:val="22"/>
                <w:lang w:eastAsia="en-IE"/>
              </w:rPr>
              <w:t>allocation</w:t>
            </w:r>
            <w:r w:rsidR="00C62C67" w:rsidRPr="00244D65">
              <w:rPr>
                <w:noProof/>
                <w:sz w:val="22"/>
                <w:szCs w:val="22"/>
                <w:lang w:eastAsia="en-IE"/>
              </w:rPr>
              <w:t>s</w:t>
            </w:r>
            <w:r w:rsidRPr="00244D65">
              <w:rPr>
                <w:noProof/>
                <w:sz w:val="22"/>
                <w:szCs w:val="22"/>
                <w:lang w:eastAsia="en-IE"/>
              </w:rPr>
              <w:t xml:space="preserve"> </w:t>
            </w:r>
            <w:r w:rsidR="00C62C67" w:rsidRPr="00244D65">
              <w:rPr>
                <w:noProof/>
                <w:sz w:val="22"/>
                <w:szCs w:val="22"/>
                <w:lang w:eastAsia="en-IE"/>
              </w:rPr>
              <w:t xml:space="preserve">for the </w:t>
            </w:r>
            <w:r w:rsidR="24B8132A" w:rsidRPr="00244D65">
              <w:rPr>
                <w:noProof/>
                <w:sz w:val="22"/>
                <w:szCs w:val="22"/>
                <w:lang w:eastAsia="en-IE"/>
              </w:rPr>
              <w:t>overall</w:t>
            </w:r>
            <w:r w:rsidR="00C62C67" w:rsidRPr="00244D65">
              <w:rPr>
                <w:noProof/>
                <w:sz w:val="22"/>
                <w:szCs w:val="22"/>
                <w:lang w:eastAsia="en-IE"/>
              </w:rPr>
              <w:t xml:space="preserve"> IDB spending</w:t>
            </w:r>
          </w:p>
        </w:tc>
        <w:tc>
          <w:tcPr>
            <w:tcW w:w="675" w:type="dxa"/>
            <w:vAlign w:val="center"/>
          </w:tcPr>
          <w:p w14:paraId="34E5A3C7" w14:textId="77777777" w:rsidR="003206A2" w:rsidRPr="00244D65" w:rsidRDefault="003206A2" w:rsidP="0085595C">
            <w:pPr>
              <w:jc w:val="center"/>
              <w:rPr>
                <w:rFonts w:eastAsia="Times New Roman"/>
                <w:noProof/>
                <w:sz w:val="22"/>
                <w:szCs w:val="22"/>
              </w:rPr>
            </w:pPr>
          </w:p>
        </w:tc>
        <w:tc>
          <w:tcPr>
            <w:tcW w:w="705" w:type="dxa"/>
            <w:vAlign w:val="center"/>
          </w:tcPr>
          <w:p w14:paraId="68C8CF33" w14:textId="149564FA" w:rsidR="003206A2" w:rsidRPr="00244D65" w:rsidRDefault="00287A53" w:rsidP="0085595C">
            <w:pPr>
              <w:jc w:val="center"/>
              <w:rPr>
                <w:noProof/>
                <w:sz w:val="22"/>
                <w:szCs w:val="22"/>
                <w:lang w:eastAsia="en-IE"/>
              </w:rPr>
            </w:pPr>
            <w:r w:rsidRPr="00244D65">
              <w:rPr>
                <w:noProof/>
                <w:sz w:val="22"/>
                <w:szCs w:val="22"/>
                <w:lang w:eastAsia="en-IE"/>
              </w:rPr>
              <w:t>X</w:t>
            </w:r>
          </w:p>
        </w:tc>
        <w:tc>
          <w:tcPr>
            <w:tcW w:w="756" w:type="dxa"/>
            <w:vAlign w:val="center"/>
          </w:tcPr>
          <w:p w14:paraId="7AC1C36C" w14:textId="77777777" w:rsidR="003206A2" w:rsidRPr="00244D65" w:rsidRDefault="003206A2" w:rsidP="0085595C">
            <w:pPr>
              <w:jc w:val="center"/>
              <w:rPr>
                <w:noProof/>
                <w:sz w:val="22"/>
                <w:szCs w:val="22"/>
                <w:lang w:eastAsia="en-IE"/>
              </w:rPr>
            </w:pPr>
          </w:p>
        </w:tc>
      </w:tr>
      <w:tr w:rsidR="00FF6AA6" w:rsidRPr="00244D65" w14:paraId="6758A0DC" w14:textId="77777777" w:rsidTr="1CF5063F">
        <w:trPr>
          <w:cantSplit/>
          <w:trHeight w:val="314"/>
        </w:trPr>
        <w:tc>
          <w:tcPr>
            <w:tcW w:w="1975" w:type="dxa"/>
            <w:vMerge/>
            <w:vAlign w:val="center"/>
          </w:tcPr>
          <w:p w14:paraId="3346E568" w14:textId="77777777" w:rsidR="003206A2" w:rsidRPr="00244D65" w:rsidRDefault="003206A2" w:rsidP="0085595C">
            <w:pPr>
              <w:jc w:val="center"/>
              <w:rPr>
                <w:b/>
                <w:noProof/>
                <w:sz w:val="22"/>
                <w:szCs w:val="22"/>
                <w:lang w:eastAsia="en-IE"/>
              </w:rPr>
            </w:pPr>
          </w:p>
        </w:tc>
        <w:tc>
          <w:tcPr>
            <w:tcW w:w="4630" w:type="dxa"/>
            <w:vAlign w:val="center"/>
          </w:tcPr>
          <w:p w14:paraId="41DB8340" w14:textId="2A5BD4DE" w:rsidR="003206A2" w:rsidRPr="00244D65" w:rsidRDefault="00037504" w:rsidP="0085595C">
            <w:pPr>
              <w:rPr>
                <w:noProof/>
                <w:sz w:val="22"/>
                <w:szCs w:val="22"/>
                <w:lang w:eastAsia="en-IE"/>
              </w:rPr>
            </w:pPr>
            <w:r w:rsidRPr="00244D65">
              <w:rPr>
                <w:noProof/>
                <w:sz w:val="22"/>
                <w:szCs w:val="22"/>
                <w:lang w:eastAsia="en-IE"/>
              </w:rPr>
              <w:t xml:space="preserve">GB 3: strong national </w:t>
            </w:r>
            <w:r w:rsidR="00C62C67" w:rsidRPr="00244D65">
              <w:rPr>
                <w:noProof/>
                <w:sz w:val="22"/>
                <w:szCs w:val="22"/>
                <w:lang w:eastAsia="en-IE"/>
              </w:rPr>
              <w:t>allocation</w:t>
            </w:r>
            <w:r w:rsidR="00287A53" w:rsidRPr="00244D65">
              <w:rPr>
                <w:noProof/>
                <w:sz w:val="22"/>
                <w:szCs w:val="22"/>
                <w:lang w:eastAsia="en-IE"/>
              </w:rPr>
              <w:t>s</w:t>
            </w:r>
          </w:p>
        </w:tc>
        <w:tc>
          <w:tcPr>
            <w:tcW w:w="675" w:type="dxa"/>
            <w:vAlign w:val="center"/>
          </w:tcPr>
          <w:p w14:paraId="1D46F822" w14:textId="77777777" w:rsidR="003206A2" w:rsidRPr="00244D65" w:rsidRDefault="003206A2" w:rsidP="0085595C">
            <w:pPr>
              <w:jc w:val="center"/>
              <w:rPr>
                <w:rFonts w:eastAsia="Times New Roman"/>
                <w:noProof/>
                <w:sz w:val="22"/>
                <w:szCs w:val="22"/>
              </w:rPr>
            </w:pPr>
          </w:p>
        </w:tc>
        <w:tc>
          <w:tcPr>
            <w:tcW w:w="705" w:type="dxa"/>
            <w:vAlign w:val="center"/>
          </w:tcPr>
          <w:p w14:paraId="46A9E793" w14:textId="77777777" w:rsidR="003206A2" w:rsidRPr="00244D65" w:rsidRDefault="003206A2" w:rsidP="0085595C">
            <w:pPr>
              <w:jc w:val="center"/>
              <w:rPr>
                <w:noProof/>
                <w:sz w:val="22"/>
                <w:szCs w:val="22"/>
                <w:lang w:eastAsia="en-IE"/>
              </w:rPr>
            </w:pPr>
          </w:p>
        </w:tc>
        <w:tc>
          <w:tcPr>
            <w:tcW w:w="756" w:type="dxa"/>
            <w:vAlign w:val="center"/>
          </w:tcPr>
          <w:p w14:paraId="7F25C738" w14:textId="24FB5C5B" w:rsidR="003206A2" w:rsidRPr="00244D65" w:rsidRDefault="00287A53" w:rsidP="0085595C">
            <w:pPr>
              <w:jc w:val="center"/>
              <w:rPr>
                <w:noProof/>
                <w:sz w:val="22"/>
                <w:szCs w:val="22"/>
                <w:lang w:eastAsia="en-IE"/>
              </w:rPr>
            </w:pPr>
            <w:r w:rsidRPr="00244D65">
              <w:rPr>
                <w:noProof/>
                <w:sz w:val="22"/>
                <w:szCs w:val="22"/>
                <w:lang w:eastAsia="en-IE"/>
              </w:rPr>
              <w:t>X</w:t>
            </w:r>
          </w:p>
        </w:tc>
      </w:tr>
      <w:tr w:rsidR="00FF6AA6" w:rsidRPr="00244D65" w14:paraId="69E67E4E" w14:textId="77777777" w:rsidTr="1CF5063F">
        <w:trPr>
          <w:cantSplit/>
          <w:trHeight w:val="314"/>
        </w:trPr>
        <w:tc>
          <w:tcPr>
            <w:tcW w:w="1975" w:type="dxa"/>
            <w:vMerge w:val="restart"/>
            <w:vAlign w:val="center"/>
          </w:tcPr>
          <w:p w14:paraId="3DE30549" w14:textId="2810478D" w:rsidR="00BB66DA" w:rsidRPr="00244D65" w:rsidRDefault="00BB66DA" w:rsidP="0085595C">
            <w:pPr>
              <w:jc w:val="center"/>
              <w:rPr>
                <w:b/>
                <w:bCs/>
                <w:noProof/>
                <w:sz w:val="22"/>
                <w:szCs w:val="22"/>
                <w:lang w:eastAsia="en-IE"/>
              </w:rPr>
            </w:pPr>
            <w:r w:rsidRPr="00244D65">
              <w:rPr>
                <w:b/>
                <w:bCs/>
                <w:noProof/>
                <w:sz w:val="22"/>
                <w:szCs w:val="22"/>
                <w:lang w:eastAsia="en-IE"/>
              </w:rPr>
              <w:t>Modernisation Fund</w:t>
            </w:r>
            <w:r w:rsidR="00E94C0D" w:rsidRPr="00244D65">
              <w:rPr>
                <w:b/>
                <w:bCs/>
                <w:noProof/>
                <w:sz w:val="22"/>
                <w:szCs w:val="22"/>
                <w:lang w:eastAsia="en-IE"/>
              </w:rPr>
              <w:t xml:space="preserve"> - </w:t>
            </w:r>
            <w:r w:rsidRPr="00244D65">
              <w:rPr>
                <w:b/>
                <w:bCs/>
                <w:noProof/>
                <w:sz w:val="22"/>
                <w:szCs w:val="22"/>
                <w:lang w:eastAsia="en-IE"/>
              </w:rPr>
              <w:t>Eligibility of gas/Waste- to-energy</w:t>
            </w:r>
          </w:p>
        </w:tc>
        <w:tc>
          <w:tcPr>
            <w:tcW w:w="4630" w:type="dxa"/>
            <w:vAlign w:val="center"/>
          </w:tcPr>
          <w:p w14:paraId="494E9E81" w14:textId="77777777" w:rsidR="00BB66DA" w:rsidRPr="00244D65" w:rsidRDefault="00BB66DA" w:rsidP="0085595C">
            <w:pPr>
              <w:rPr>
                <w:noProof/>
                <w:sz w:val="22"/>
                <w:szCs w:val="22"/>
                <w:lang w:val="fr-BE" w:eastAsia="en-IE"/>
              </w:rPr>
            </w:pPr>
            <w:r w:rsidRPr="00244D65">
              <w:rPr>
                <w:noProof/>
                <w:sz w:val="22"/>
                <w:szCs w:val="22"/>
                <w:lang w:val="fr-BE" w:eastAsia="en-IE"/>
              </w:rPr>
              <w:t>GAS/WtE1: PI: Exclusion. NPI: Status quo</w:t>
            </w:r>
          </w:p>
        </w:tc>
        <w:tc>
          <w:tcPr>
            <w:tcW w:w="675" w:type="dxa"/>
            <w:vAlign w:val="center"/>
          </w:tcPr>
          <w:p w14:paraId="6823A4A9" w14:textId="015F5DB3" w:rsidR="00BB66DA" w:rsidRPr="00244D65" w:rsidRDefault="00EB1CDB" w:rsidP="0085595C">
            <w:pPr>
              <w:jc w:val="center"/>
              <w:rPr>
                <w:noProof/>
                <w:sz w:val="22"/>
                <w:szCs w:val="22"/>
                <w:lang w:eastAsia="en-IE"/>
              </w:rPr>
            </w:pPr>
            <w:r w:rsidRPr="00244D65">
              <w:rPr>
                <w:noProof/>
                <w:sz w:val="22"/>
                <w:szCs w:val="22"/>
                <w:lang w:eastAsia="en-IE"/>
              </w:rPr>
              <w:t>X</w:t>
            </w:r>
          </w:p>
        </w:tc>
        <w:tc>
          <w:tcPr>
            <w:tcW w:w="705" w:type="dxa"/>
            <w:vAlign w:val="center"/>
          </w:tcPr>
          <w:p w14:paraId="3A70D384" w14:textId="3E6A942D" w:rsidR="00BB66DA" w:rsidRPr="00244D65" w:rsidRDefault="00BB66DA" w:rsidP="0085595C">
            <w:pPr>
              <w:jc w:val="center"/>
              <w:rPr>
                <w:noProof/>
                <w:sz w:val="22"/>
                <w:szCs w:val="22"/>
                <w:lang w:eastAsia="en-IE"/>
              </w:rPr>
            </w:pPr>
          </w:p>
        </w:tc>
        <w:tc>
          <w:tcPr>
            <w:tcW w:w="756" w:type="dxa"/>
            <w:vAlign w:val="center"/>
          </w:tcPr>
          <w:p w14:paraId="156F4CEB" w14:textId="77777777" w:rsidR="00BB66DA" w:rsidRPr="00244D65" w:rsidRDefault="00BB66DA" w:rsidP="0085595C">
            <w:pPr>
              <w:jc w:val="center"/>
              <w:rPr>
                <w:noProof/>
                <w:sz w:val="22"/>
                <w:szCs w:val="22"/>
                <w:lang w:eastAsia="en-IE"/>
              </w:rPr>
            </w:pPr>
          </w:p>
        </w:tc>
      </w:tr>
      <w:tr w:rsidR="00FF6AA6" w:rsidRPr="00244D65" w14:paraId="58F2C59D" w14:textId="77777777" w:rsidTr="1CF5063F">
        <w:trPr>
          <w:cantSplit/>
          <w:trHeight w:val="314"/>
        </w:trPr>
        <w:tc>
          <w:tcPr>
            <w:tcW w:w="1975" w:type="dxa"/>
            <w:vMerge/>
            <w:vAlign w:val="center"/>
          </w:tcPr>
          <w:p w14:paraId="4A88533F" w14:textId="77777777" w:rsidR="00BB66DA" w:rsidRPr="00244D65" w:rsidRDefault="00BB66DA" w:rsidP="0085595C">
            <w:pPr>
              <w:jc w:val="center"/>
              <w:rPr>
                <w:noProof/>
                <w:sz w:val="22"/>
                <w:szCs w:val="22"/>
                <w:lang w:eastAsia="en-IE"/>
              </w:rPr>
            </w:pPr>
          </w:p>
        </w:tc>
        <w:tc>
          <w:tcPr>
            <w:tcW w:w="4630" w:type="dxa"/>
            <w:vAlign w:val="center"/>
          </w:tcPr>
          <w:p w14:paraId="6AEE7AB7" w14:textId="77777777" w:rsidR="00BB66DA" w:rsidRPr="00244D65" w:rsidRDefault="00BB66DA" w:rsidP="0085595C">
            <w:pPr>
              <w:rPr>
                <w:noProof/>
                <w:sz w:val="22"/>
                <w:szCs w:val="22"/>
                <w:lang w:eastAsia="en-IE"/>
              </w:rPr>
            </w:pPr>
            <w:r w:rsidRPr="00244D65">
              <w:rPr>
                <w:noProof/>
                <w:sz w:val="22"/>
                <w:szCs w:val="22"/>
                <w:lang w:eastAsia="en-IE"/>
              </w:rPr>
              <w:t>GAS/WtE2: PI: Exclusion. NPI: Allowed under conditions.</w:t>
            </w:r>
          </w:p>
        </w:tc>
        <w:tc>
          <w:tcPr>
            <w:tcW w:w="675" w:type="dxa"/>
            <w:vAlign w:val="center"/>
          </w:tcPr>
          <w:p w14:paraId="59E6AEB9" w14:textId="77777777" w:rsidR="00BB66DA" w:rsidRPr="00244D65" w:rsidRDefault="00BB66DA" w:rsidP="0085595C">
            <w:pPr>
              <w:jc w:val="center"/>
              <w:rPr>
                <w:noProof/>
                <w:sz w:val="22"/>
                <w:szCs w:val="22"/>
                <w:lang w:eastAsia="en-IE"/>
              </w:rPr>
            </w:pPr>
          </w:p>
        </w:tc>
        <w:tc>
          <w:tcPr>
            <w:tcW w:w="705" w:type="dxa"/>
            <w:vAlign w:val="center"/>
          </w:tcPr>
          <w:p w14:paraId="01C9CCF2" w14:textId="77777777" w:rsidR="00BB66DA" w:rsidRPr="00244D65" w:rsidRDefault="00BB66DA" w:rsidP="0085595C">
            <w:pPr>
              <w:jc w:val="center"/>
              <w:rPr>
                <w:noProof/>
                <w:sz w:val="22"/>
                <w:szCs w:val="22"/>
                <w:lang w:eastAsia="en-IE"/>
              </w:rPr>
            </w:pPr>
            <w:r w:rsidRPr="00244D65">
              <w:rPr>
                <w:noProof/>
                <w:sz w:val="22"/>
                <w:szCs w:val="22"/>
                <w:lang w:eastAsia="en-IE"/>
              </w:rPr>
              <w:t>X</w:t>
            </w:r>
          </w:p>
        </w:tc>
        <w:tc>
          <w:tcPr>
            <w:tcW w:w="756" w:type="dxa"/>
            <w:vAlign w:val="center"/>
          </w:tcPr>
          <w:p w14:paraId="35C81C4F" w14:textId="77777777" w:rsidR="00BB66DA" w:rsidRPr="00244D65" w:rsidRDefault="00BB66DA" w:rsidP="0085595C">
            <w:pPr>
              <w:jc w:val="center"/>
              <w:rPr>
                <w:noProof/>
                <w:sz w:val="22"/>
                <w:szCs w:val="22"/>
                <w:lang w:eastAsia="en-IE"/>
              </w:rPr>
            </w:pPr>
          </w:p>
        </w:tc>
      </w:tr>
      <w:tr w:rsidR="00FF6AA6" w:rsidRPr="00244D65" w14:paraId="74D9DF23" w14:textId="77777777" w:rsidTr="1CF5063F">
        <w:trPr>
          <w:cantSplit/>
          <w:trHeight w:val="314"/>
        </w:trPr>
        <w:tc>
          <w:tcPr>
            <w:tcW w:w="1975" w:type="dxa"/>
            <w:vMerge/>
            <w:vAlign w:val="center"/>
          </w:tcPr>
          <w:p w14:paraId="7493EA61" w14:textId="77777777" w:rsidR="00BB66DA" w:rsidRPr="00244D65" w:rsidRDefault="00BB66DA" w:rsidP="0085595C">
            <w:pPr>
              <w:jc w:val="center"/>
              <w:rPr>
                <w:b/>
                <w:bCs/>
                <w:noProof/>
                <w:sz w:val="22"/>
                <w:szCs w:val="22"/>
                <w:lang w:eastAsia="en-IE"/>
              </w:rPr>
            </w:pPr>
          </w:p>
        </w:tc>
        <w:tc>
          <w:tcPr>
            <w:tcW w:w="4630" w:type="dxa"/>
            <w:vAlign w:val="center"/>
          </w:tcPr>
          <w:p w14:paraId="69937CFA" w14:textId="77777777" w:rsidR="00BB66DA" w:rsidRPr="00244D65" w:rsidRDefault="00BB66DA" w:rsidP="0085595C">
            <w:pPr>
              <w:rPr>
                <w:noProof/>
                <w:sz w:val="22"/>
                <w:szCs w:val="22"/>
                <w:lang w:eastAsia="en-IE"/>
              </w:rPr>
            </w:pPr>
            <w:r w:rsidRPr="00244D65">
              <w:rPr>
                <w:noProof/>
                <w:sz w:val="22"/>
                <w:szCs w:val="22"/>
                <w:lang w:eastAsia="en-IE"/>
              </w:rPr>
              <w:t>GAS/WtE3: PI/NPI: Exclusion</w:t>
            </w:r>
          </w:p>
        </w:tc>
        <w:tc>
          <w:tcPr>
            <w:tcW w:w="675" w:type="dxa"/>
            <w:vAlign w:val="center"/>
          </w:tcPr>
          <w:p w14:paraId="5A2E78D5" w14:textId="77777777" w:rsidR="00BB66DA" w:rsidRPr="00244D65" w:rsidRDefault="00BB66DA" w:rsidP="0085595C">
            <w:pPr>
              <w:jc w:val="center"/>
              <w:rPr>
                <w:noProof/>
                <w:sz w:val="22"/>
                <w:szCs w:val="22"/>
                <w:lang w:eastAsia="en-IE"/>
              </w:rPr>
            </w:pPr>
          </w:p>
        </w:tc>
        <w:tc>
          <w:tcPr>
            <w:tcW w:w="705" w:type="dxa"/>
            <w:vAlign w:val="center"/>
          </w:tcPr>
          <w:p w14:paraId="43DE6071" w14:textId="77777777" w:rsidR="00BB66DA" w:rsidRPr="00244D65" w:rsidRDefault="00BB66DA" w:rsidP="0085595C">
            <w:pPr>
              <w:jc w:val="center"/>
              <w:rPr>
                <w:noProof/>
                <w:sz w:val="22"/>
                <w:szCs w:val="22"/>
                <w:lang w:eastAsia="en-IE"/>
              </w:rPr>
            </w:pPr>
          </w:p>
        </w:tc>
        <w:tc>
          <w:tcPr>
            <w:tcW w:w="756" w:type="dxa"/>
            <w:vAlign w:val="center"/>
          </w:tcPr>
          <w:p w14:paraId="45269974" w14:textId="77777777" w:rsidR="00BB66DA" w:rsidRPr="00244D65" w:rsidRDefault="00BB66DA" w:rsidP="0085595C">
            <w:pPr>
              <w:jc w:val="center"/>
              <w:rPr>
                <w:noProof/>
                <w:sz w:val="22"/>
                <w:szCs w:val="22"/>
                <w:lang w:eastAsia="en-IE"/>
              </w:rPr>
            </w:pPr>
            <w:r w:rsidRPr="00244D65">
              <w:rPr>
                <w:noProof/>
                <w:sz w:val="22"/>
                <w:szCs w:val="22"/>
                <w:lang w:eastAsia="en-IE"/>
              </w:rPr>
              <w:t>X</w:t>
            </w:r>
          </w:p>
        </w:tc>
      </w:tr>
      <w:tr w:rsidR="00FF6AA6" w:rsidRPr="00244D65" w14:paraId="0A3E1553" w14:textId="77777777" w:rsidTr="1CF5063F">
        <w:trPr>
          <w:cantSplit/>
          <w:trHeight w:val="314"/>
        </w:trPr>
        <w:tc>
          <w:tcPr>
            <w:tcW w:w="1975" w:type="dxa"/>
            <w:vMerge w:val="restart"/>
            <w:vAlign w:val="center"/>
          </w:tcPr>
          <w:p w14:paraId="65524669" w14:textId="1395AD6A" w:rsidR="00BB66DA" w:rsidRPr="00244D65" w:rsidRDefault="00BB66DA" w:rsidP="0085595C">
            <w:pPr>
              <w:jc w:val="center"/>
              <w:rPr>
                <w:b/>
                <w:bCs/>
                <w:noProof/>
                <w:sz w:val="22"/>
                <w:szCs w:val="22"/>
                <w:lang w:eastAsia="en-IE"/>
              </w:rPr>
            </w:pPr>
            <w:r w:rsidRPr="00244D65">
              <w:rPr>
                <w:b/>
                <w:bCs/>
                <w:noProof/>
                <w:sz w:val="22"/>
                <w:szCs w:val="22"/>
                <w:lang w:eastAsia="en-IE"/>
              </w:rPr>
              <w:t>Modernisation Fund</w:t>
            </w:r>
            <w:r w:rsidR="00E94C0D" w:rsidRPr="00244D65">
              <w:rPr>
                <w:b/>
                <w:bCs/>
                <w:noProof/>
                <w:sz w:val="22"/>
                <w:szCs w:val="22"/>
                <w:lang w:eastAsia="en-IE"/>
              </w:rPr>
              <w:t xml:space="preserve"> - </w:t>
            </w:r>
            <w:r w:rsidRPr="00244D65">
              <w:rPr>
                <w:b/>
                <w:bCs/>
                <w:noProof/>
                <w:sz w:val="22"/>
                <w:szCs w:val="22"/>
                <w:lang w:eastAsia="en-IE"/>
              </w:rPr>
              <w:t>Respective shares of Priority</w:t>
            </w:r>
            <w:r w:rsidR="00CD4EFD" w:rsidRPr="00244D65">
              <w:rPr>
                <w:b/>
                <w:bCs/>
                <w:noProof/>
                <w:sz w:val="22"/>
                <w:szCs w:val="22"/>
                <w:lang w:eastAsia="en-IE"/>
              </w:rPr>
              <w:t xml:space="preserve"> (PI)</w:t>
            </w:r>
            <w:r w:rsidRPr="00244D65">
              <w:rPr>
                <w:b/>
                <w:bCs/>
                <w:noProof/>
                <w:sz w:val="22"/>
                <w:szCs w:val="22"/>
                <w:lang w:eastAsia="en-IE"/>
              </w:rPr>
              <w:t>/Non-Priority investments</w:t>
            </w:r>
            <w:r w:rsidR="00CD4EFD" w:rsidRPr="00244D65">
              <w:rPr>
                <w:b/>
                <w:bCs/>
                <w:noProof/>
                <w:sz w:val="22"/>
                <w:szCs w:val="22"/>
                <w:lang w:eastAsia="en-IE"/>
              </w:rPr>
              <w:t xml:space="preserve"> (NPI)</w:t>
            </w:r>
          </w:p>
        </w:tc>
        <w:tc>
          <w:tcPr>
            <w:tcW w:w="4630" w:type="dxa"/>
            <w:vAlign w:val="center"/>
          </w:tcPr>
          <w:p w14:paraId="20641E5C" w14:textId="77777777" w:rsidR="00BB66DA" w:rsidRPr="00244D65" w:rsidRDefault="00BB66DA" w:rsidP="0085595C">
            <w:pPr>
              <w:rPr>
                <w:noProof/>
                <w:sz w:val="22"/>
                <w:szCs w:val="22"/>
                <w:lang w:eastAsia="en-IE"/>
              </w:rPr>
            </w:pPr>
            <w:r w:rsidRPr="00244D65">
              <w:rPr>
                <w:noProof/>
                <w:sz w:val="22"/>
                <w:szCs w:val="22"/>
                <w:lang w:eastAsia="en-IE"/>
              </w:rPr>
              <w:t>PI/NPI0: NPI share = 10%</w:t>
            </w:r>
          </w:p>
        </w:tc>
        <w:tc>
          <w:tcPr>
            <w:tcW w:w="675" w:type="dxa"/>
            <w:vAlign w:val="center"/>
          </w:tcPr>
          <w:p w14:paraId="3BED7EB2" w14:textId="77777777" w:rsidR="00BB66DA" w:rsidRPr="00244D65" w:rsidRDefault="00BB66DA" w:rsidP="0085595C">
            <w:pPr>
              <w:jc w:val="center"/>
              <w:rPr>
                <w:noProof/>
                <w:sz w:val="22"/>
                <w:szCs w:val="22"/>
                <w:lang w:eastAsia="en-IE"/>
              </w:rPr>
            </w:pPr>
            <w:r w:rsidRPr="00244D65">
              <w:rPr>
                <w:noProof/>
                <w:sz w:val="22"/>
                <w:szCs w:val="22"/>
                <w:lang w:eastAsia="en-IE"/>
              </w:rPr>
              <w:t>X</w:t>
            </w:r>
          </w:p>
        </w:tc>
        <w:tc>
          <w:tcPr>
            <w:tcW w:w="705" w:type="dxa"/>
            <w:vAlign w:val="center"/>
          </w:tcPr>
          <w:p w14:paraId="21225340" w14:textId="77777777" w:rsidR="00BB66DA" w:rsidRPr="00244D65" w:rsidRDefault="00BB66DA" w:rsidP="0085595C">
            <w:pPr>
              <w:jc w:val="center"/>
              <w:rPr>
                <w:noProof/>
                <w:sz w:val="22"/>
                <w:szCs w:val="22"/>
                <w:lang w:eastAsia="en-IE"/>
              </w:rPr>
            </w:pPr>
          </w:p>
        </w:tc>
        <w:tc>
          <w:tcPr>
            <w:tcW w:w="756" w:type="dxa"/>
            <w:vAlign w:val="center"/>
          </w:tcPr>
          <w:p w14:paraId="3CE076E5" w14:textId="77777777" w:rsidR="00BB66DA" w:rsidRPr="00244D65" w:rsidRDefault="00BB66DA" w:rsidP="0085595C">
            <w:pPr>
              <w:jc w:val="center"/>
              <w:rPr>
                <w:noProof/>
                <w:sz w:val="22"/>
                <w:szCs w:val="22"/>
                <w:lang w:eastAsia="en-IE"/>
              </w:rPr>
            </w:pPr>
          </w:p>
        </w:tc>
      </w:tr>
      <w:tr w:rsidR="00FF6AA6" w:rsidRPr="00244D65" w14:paraId="7DAE633A" w14:textId="77777777" w:rsidTr="1CF5063F">
        <w:trPr>
          <w:cantSplit/>
          <w:trHeight w:val="314"/>
        </w:trPr>
        <w:tc>
          <w:tcPr>
            <w:tcW w:w="1975" w:type="dxa"/>
            <w:vMerge/>
            <w:vAlign w:val="center"/>
          </w:tcPr>
          <w:p w14:paraId="0AC4B45F" w14:textId="77777777" w:rsidR="00BB66DA" w:rsidRPr="00244D65" w:rsidRDefault="00BB66DA" w:rsidP="0085595C">
            <w:pPr>
              <w:jc w:val="center"/>
              <w:rPr>
                <w:b/>
                <w:bCs/>
                <w:noProof/>
                <w:sz w:val="22"/>
                <w:szCs w:val="22"/>
                <w:lang w:eastAsia="en-IE"/>
              </w:rPr>
            </w:pPr>
          </w:p>
        </w:tc>
        <w:tc>
          <w:tcPr>
            <w:tcW w:w="4630" w:type="dxa"/>
            <w:vAlign w:val="center"/>
          </w:tcPr>
          <w:p w14:paraId="3748623A" w14:textId="77777777" w:rsidR="00BB66DA" w:rsidRPr="00244D65" w:rsidRDefault="00BB66DA" w:rsidP="0085595C">
            <w:pPr>
              <w:rPr>
                <w:noProof/>
                <w:sz w:val="22"/>
                <w:szCs w:val="22"/>
                <w:lang w:eastAsia="en-IE"/>
              </w:rPr>
            </w:pPr>
            <w:r w:rsidRPr="00244D65">
              <w:rPr>
                <w:noProof/>
                <w:sz w:val="22"/>
                <w:szCs w:val="22"/>
                <w:lang w:eastAsia="en-IE"/>
              </w:rPr>
              <w:t>PI/NPI1: NPI share = 5%</w:t>
            </w:r>
          </w:p>
        </w:tc>
        <w:tc>
          <w:tcPr>
            <w:tcW w:w="675" w:type="dxa"/>
            <w:vAlign w:val="center"/>
          </w:tcPr>
          <w:p w14:paraId="6EED0A02" w14:textId="77777777" w:rsidR="00BB66DA" w:rsidRPr="00244D65" w:rsidRDefault="00BB66DA" w:rsidP="0085595C">
            <w:pPr>
              <w:jc w:val="center"/>
              <w:rPr>
                <w:noProof/>
                <w:sz w:val="22"/>
                <w:szCs w:val="22"/>
                <w:lang w:eastAsia="en-IE"/>
              </w:rPr>
            </w:pPr>
          </w:p>
        </w:tc>
        <w:tc>
          <w:tcPr>
            <w:tcW w:w="705" w:type="dxa"/>
            <w:vAlign w:val="center"/>
          </w:tcPr>
          <w:p w14:paraId="16A5DEBF" w14:textId="77777777" w:rsidR="00BB66DA" w:rsidRPr="00244D65" w:rsidRDefault="00BB66DA" w:rsidP="0085595C">
            <w:pPr>
              <w:jc w:val="center"/>
              <w:rPr>
                <w:noProof/>
                <w:sz w:val="22"/>
                <w:szCs w:val="22"/>
                <w:lang w:eastAsia="en-IE"/>
              </w:rPr>
            </w:pPr>
            <w:r w:rsidRPr="00244D65">
              <w:rPr>
                <w:noProof/>
                <w:sz w:val="22"/>
                <w:szCs w:val="22"/>
                <w:lang w:eastAsia="en-IE"/>
              </w:rPr>
              <w:t>X</w:t>
            </w:r>
          </w:p>
        </w:tc>
        <w:tc>
          <w:tcPr>
            <w:tcW w:w="756" w:type="dxa"/>
            <w:vAlign w:val="center"/>
          </w:tcPr>
          <w:p w14:paraId="745F0E24" w14:textId="77777777" w:rsidR="00BB66DA" w:rsidRPr="00244D65" w:rsidRDefault="00BB66DA" w:rsidP="0085595C">
            <w:pPr>
              <w:jc w:val="center"/>
              <w:rPr>
                <w:noProof/>
                <w:sz w:val="22"/>
                <w:szCs w:val="22"/>
                <w:lang w:eastAsia="en-IE"/>
              </w:rPr>
            </w:pPr>
          </w:p>
        </w:tc>
      </w:tr>
      <w:tr w:rsidR="00FF6AA6" w:rsidRPr="00244D65" w14:paraId="4164D1A9" w14:textId="77777777" w:rsidTr="1CF5063F">
        <w:trPr>
          <w:cantSplit/>
          <w:trHeight w:val="314"/>
        </w:trPr>
        <w:tc>
          <w:tcPr>
            <w:tcW w:w="1975" w:type="dxa"/>
            <w:vMerge/>
            <w:vAlign w:val="center"/>
          </w:tcPr>
          <w:p w14:paraId="2621947E" w14:textId="77777777" w:rsidR="00BB66DA" w:rsidRPr="00244D65" w:rsidRDefault="00BB66DA" w:rsidP="0085595C">
            <w:pPr>
              <w:jc w:val="center"/>
              <w:rPr>
                <w:b/>
                <w:bCs/>
                <w:noProof/>
                <w:sz w:val="22"/>
                <w:szCs w:val="22"/>
                <w:lang w:eastAsia="en-IE"/>
              </w:rPr>
            </w:pPr>
          </w:p>
        </w:tc>
        <w:tc>
          <w:tcPr>
            <w:tcW w:w="4630" w:type="dxa"/>
            <w:vAlign w:val="center"/>
          </w:tcPr>
          <w:p w14:paraId="714A7951" w14:textId="77777777" w:rsidR="00BB66DA" w:rsidRPr="00244D65" w:rsidRDefault="00BB66DA" w:rsidP="0085595C">
            <w:pPr>
              <w:rPr>
                <w:noProof/>
                <w:sz w:val="22"/>
                <w:szCs w:val="22"/>
                <w:lang w:eastAsia="en-IE"/>
              </w:rPr>
            </w:pPr>
            <w:r w:rsidRPr="00244D65">
              <w:rPr>
                <w:noProof/>
                <w:sz w:val="22"/>
                <w:szCs w:val="22"/>
                <w:lang w:eastAsia="en-IE"/>
              </w:rPr>
              <w:t>PI/NPI2: No NPI</w:t>
            </w:r>
          </w:p>
        </w:tc>
        <w:tc>
          <w:tcPr>
            <w:tcW w:w="675" w:type="dxa"/>
            <w:vAlign w:val="center"/>
          </w:tcPr>
          <w:p w14:paraId="511D0692" w14:textId="77777777" w:rsidR="00BB66DA" w:rsidRPr="00244D65" w:rsidRDefault="00BB66DA" w:rsidP="0085595C">
            <w:pPr>
              <w:jc w:val="center"/>
              <w:rPr>
                <w:noProof/>
                <w:sz w:val="22"/>
                <w:szCs w:val="22"/>
                <w:lang w:eastAsia="en-IE"/>
              </w:rPr>
            </w:pPr>
          </w:p>
        </w:tc>
        <w:tc>
          <w:tcPr>
            <w:tcW w:w="705" w:type="dxa"/>
            <w:vAlign w:val="center"/>
          </w:tcPr>
          <w:p w14:paraId="6191E97A" w14:textId="77777777" w:rsidR="00BB66DA" w:rsidRPr="00244D65" w:rsidRDefault="00BB66DA" w:rsidP="0085595C">
            <w:pPr>
              <w:jc w:val="center"/>
              <w:rPr>
                <w:noProof/>
                <w:sz w:val="22"/>
                <w:szCs w:val="22"/>
                <w:lang w:eastAsia="en-IE"/>
              </w:rPr>
            </w:pPr>
          </w:p>
        </w:tc>
        <w:tc>
          <w:tcPr>
            <w:tcW w:w="756" w:type="dxa"/>
            <w:vAlign w:val="center"/>
          </w:tcPr>
          <w:p w14:paraId="35B6D060" w14:textId="77777777" w:rsidR="00BB66DA" w:rsidRPr="00244D65" w:rsidRDefault="00BB66DA" w:rsidP="0085595C">
            <w:pPr>
              <w:jc w:val="center"/>
              <w:rPr>
                <w:noProof/>
                <w:sz w:val="22"/>
                <w:szCs w:val="22"/>
                <w:lang w:eastAsia="en-IE"/>
              </w:rPr>
            </w:pPr>
            <w:r w:rsidRPr="00244D65">
              <w:rPr>
                <w:noProof/>
                <w:sz w:val="22"/>
                <w:szCs w:val="22"/>
                <w:lang w:eastAsia="en-IE"/>
              </w:rPr>
              <w:t>X</w:t>
            </w:r>
          </w:p>
        </w:tc>
      </w:tr>
      <w:tr w:rsidR="00FF6AA6" w:rsidRPr="00244D65" w14:paraId="5F6C404F" w14:textId="77777777" w:rsidTr="1CF5063F">
        <w:trPr>
          <w:cantSplit/>
          <w:trHeight w:val="314"/>
        </w:trPr>
        <w:tc>
          <w:tcPr>
            <w:tcW w:w="1975" w:type="dxa"/>
            <w:vMerge w:val="restart"/>
            <w:vAlign w:val="center"/>
          </w:tcPr>
          <w:p w14:paraId="53CC119E" w14:textId="2718C969" w:rsidR="00BB66DA" w:rsidRPr="00244D65" w:rsidRDefault="00BB66DA" w:rsidP="0085595C">
            <w:pPr>
              <w:jc w:val="center"/>
              <w:rPr>
                <w:b/>
                <w:bCs/>
                <w:noProof/>
                <w:sz w:val="22"/>
                <w:szCs w:val="22"/>
                <w:lang w:eastAsia="en-IE"/>
              </w:rPr>
            </w:pPr>
            <w:r w:rsidRPr="00244D65">
              <w:rPr>
                <w:b/>
                <w:bCs/>
                <w:noProof/>
                <w:sz w:val="22"/>
                <w:szCs w:val="22"/>
                <w:lang w:eastAsia="en-IE"/>
              </w:rPr>
              <w:t>Modernisation Fund</w:t>
            </w:r>
            <w:r w:rsidR="00E94C0D" w:rsidRPr="00244D65">
              <w:rPr>
                <w:b/>
                <w:bCs/>
                <w:noProof/>
                <w:sz w:val="22"/>
                <w:szCs w:val="22"/>
                <w:lang w:eastAsia="en-IE"/>
              </w:rPr>
              <w:t xml:space="preserve"> - </w:t>
            </w:r>
            <w:r w:rsidRPr="00244D65">
              <w:rPr>
                <w:b/>
                <w:bCs/>
                <w:noProof/>
                <w:sz w:val="22"/>
                <w:szCs w:val="22"/>
                <w:lang w:eastAsia="en-IE"/>
              </w:rPr>
              <w:t xml:space="preserve">confirmation process of priority investments </w:t>
            </w:r>
          </w:p>
        </w:tc>
        <w:tc>
          <w:tcPr>
            <w:tcW w:w="4630" w:type="dxa"/>
            <w:vAlign w:val="center"/>
          </w:tcPr>
          <w:p w14:paraId="56CCB057" w14:textId="77777777" w:rsidR="00BB66DA" w:rsidRPr="00244D65" w:rsidRDefault="00BB66DA" w:rsidP="0085595C">
            <w:pPr>
              <w:rPr>
                <w:noProof/>
                <w:sz w:val="22"/>
                <w:szCs w:val="22"/>
                <w:lang w:eastAsia="en-IE"/>
              </w:rPr>
            </w:pPr>
            <w:r w:rsidRPr="00244D65">
              <w:rPr>
                <w:noProof/>
                <w:sz w:val="22"/>
                <w:szCs w:val="22"/>
                <w:lang w:eastAsia="en-IE"/>
              </w:rPr>
              <w:t>GOV0: on rolling basis</w:t>
            </w:r>
          </w:p>
        </w:tc>
        <w:tc>
          <w:tcPr>
            <w:tcW w:w="675" w:type="dxa"/>
            <w:vAlign w:val="center"/>
          </w:tcPr>
          <w:p w14:paraId="0595E090" w14:textId="77777777" w:rsidR="00BB66DA" w:rsidRPr="00244D65" w:rsidRDefault="00BB66DA" w:rsidP="0085595C">
            <w:pPr>
              <w:jc w:val="center"/>
              <w:rPr>
                <w:noProof/>
                <w:sz w:val="22"/>
                <w:szCs w:val="22"/>
                <w:lang w:eastAsia="en-IE"/>
              </w:rPr>
            </w:pPr>
            <w:r w:rsidRPr="00244D65">
              <w:rPr>
                <w:noProof/>
                <w:sz w:val="22"/>
                <w:szCs w:val="22"/>
                <w:lang w:eastAsia="en-IE"/>
              </w:rPr>
              <w:t>X</w:t>
            </w:r>
          </w:p>
        </w:tc>
        <w:tc>
          <w:tcPr>
            <w:tcW w:w="705" w:type="dxa"/>
            <w:vAlign w:val="center"/>
          </w:tcPr>
          <w:p w14:paraId="61D49774" w14:textId="77777777" w:rsidR="00BB66DA" w:rsidRPr="00244D65" w:rsidRDefault="00BB66DA" w:rsidP="0085595C">
            <w:pPr>
              <w:jc w:val="center"/>
              <w:rPr>
                <w:noProof/>
                <w:sz w:val="22"/>
                <w:szCs w:val="22"/>
                <w:lang w:eastAsia="en-IE"/>
              </w:rPr>
            </w:pPr>
          </w:p>
        </w:tc>
        <w:tc>
          <w:tcPr>
            <w:tcW w:w="756" w:type="dxa"/>
            <w:vAlign w:val="center"/>
          </w:tcPr>
          <w:p w14:paraId="33C31E40" w14:textId="77777777" w:rsidR="00BB66DA" w:rsidRPr="00244D65" w:rsidRDefault="00BB66DA" w:rsidP="0085595C">
            <w:pPr>
              <w:jc w:val="center"/>
              <w:rPr>
                <w:noProof/>
                <w:sz w:val="22"/>
                <w:szCs w:val="22"/>
                <w:lang w:eastAsia="en-IE"/>
              </w:rPr>
            </w:pPr>
          </w:p>
        </w:tc>
      </w:tr>
      <w:tr w:rsidR="00FF6AA6" w:rsidRPr="00244D65" w14:paraId="6E790A89" w14:textId="77777777" w:rsidTr="1CF5063F">
        <w:trPr>
          <w:cantSplit/>
          <w:trHeight w:val="314"/>
        </w:trPr>
        <w:tc>
          <w:tcPr>
            <w:tcW w:w="1975" w:type="dxa"/>
            <w:vMerge/>
            <w:vAlign w:val="center"/>
          </w:tcPr>
          <w:p w14:paraId="56EC0657" w14:textId="11905A3F" w:rsidR="00BB66DA" w:rsidRPr="00244D65" w:rsidRDefault="00BB66DA" w:rsidP="0085595C">
            <w:pPr>
              <w:jc w:val="center"/>
              <w:rPr>
                <w:b/>
                <w:bCs/>
                <w:noProof/>
                <w:sz w:val="22"/>
                <w:szCs w:val="22"/>
                <w:lang w:eastAsia="en-IE"/>
              </w:rPr>
            </w:pPr>
          </w:p>
        </w:tc>
        <w:tc>
          <w:tcPr>
            <w:tcW w:w="4630" w:type="dxa"/>
            <w:vAlign w:val="center"/>
          </w:tcPr>
          <w:p w14:paraId="37BC2A2C" w14:textId="77777777" w:rsidR="00BB66DA" w:rsidRPr="00244D65" w:rsidRDefault="00BB66DA" w:rsidP="0085595C">
            <w:pPr>
              <w:rPr>
                <w:noProof/>
                <w:sz w:val="22"/>
                <w:szCs w:val="22"/>
                <w:lang w:eastAsia="en-IE"/>
              </w:rPr>
            </w:pPr>
            <w:r w:rsidRPr="00244D65">
              <w:rPr>
                <w:noProof/>
                <w:sz w:val="22"/>
                <w:szCs w:val="22"/>
                <w:lang w:eastAsia="en-IE"/>
              </w:rPr>
              <w:t>GOV1: Status quo (as in current MF)</w:t>
            </w:r>
          </w:p>
        </w:tc>
        <w:tc>
          <w:tcPr>
            <w:tcW w:w="675" w:type="dxa"/>
            <w:vAlign w:val="center"/>
          </w:tcPr>
          <w:p w14:paraId="48AAA968" w14:textId="77777777" w:rsidR="00BB66DA" w:rsidRPr="00244D65" w:rsidRDefault="00BB66DA" w:rsidP="0085595C">
            <w:pPr>
              <w:jc w:val="center"/>
              <w:rPr>
                <w:noProof/>
                <w:sz w:val="22"/>
                <w:szCs w:val="22"/>
                <w:lang w:eastAsia="en-IE"/>
              </w:rPr>
            </w:pPr>
          </w:p>
        </w:tc>
        <w:tc>
          <w:tcPr>
            <w:tcW w:w="705" w:type="dxa"/>
            <w:vAlign w:val="center"/>
          </w:tcPr>
          <w:p w14:paraId="5631E94D" w14:textId="77777777" w:rsidR="00BB66DA" w:rsidRPr="00244D65" w:rsidRDefault="00BB66DA" w:rsidP="0085595C">
            <w:pPr>
              <w:jc w:val="center"/>
              <w:rPr>
                <w:noProof/>
                <w:sz w:val="22"/>
                <w:szCs w:val="22"/>
                <w:lang w:eastAsia="en-IE"/>
              </w:rPr>
            </w:pPr>
            <w:r w:rsidRPr="00244D65">
              <w:rPr>
                <w:noProof/>
                <w:sz w:val="22"/>
                <w:szCs w:val="22"/>
                <w:lang w:eastAsia="en-IE"/>
              </w:rPr>
              <w:t>X</w:t>
            </w:r>
          </w:p>
        </w:tc>
        <w:tc>
          <w:tcPr>
            <w:tcW w:w="756" w:type="dxa"/>
            <w:vAlign w:val="center"/>
          </w:tcPr>
          <w:p w14:paraId="53D005BD" w14:textId="77777777" w:rsidR="00BB66DA" w:rsidRPr="00244D65" w:rsidRDefault="00BB66DA" w:rsidP="0085595C">
            <w:pPr>
              <w:jc w:val="center"/>
              <w:rPr>
                <w:noProof/>
                <w:sz w:val="22"/>
                <w:szCs w:val="22"/>
                <w:lang w:eastAsia="en-IE"/>
              </w:rPr>
            </w:pPr>
          </w:p>
        </w:tc>
      </w:tr>
      <w:tr w:rsidR="00FF6AA6" w:rsidRPr="00244D65" w14:paraId="7BC3388D" w14:textId="77777777" w:rsidTr="1CF5063F">
        <w:trPr>
          <w:cantSplit/>
          <w:trHeight w:val="314"/>
        </w:trPr>
        <w:tc>
          <w:tcPr>
            <w:tcW w:w="1975" w:type="dxa"/>
            <w:vMerge/>
            <w:vAlign w:val="center"/>
          </w:tcPr>
          <w:p w14:paraId="349612AC" w14:textId="77777777" w:rsidR="00BB66DA" w:rsidRPr="00244D65" w:rsidRDefault="00BB66DA" w:rsidP="0085595C">
            <w:pPr>
              <w:jc w:val="center"/>
              <w:rPr>
                <w:noProof/>
                <w:sz w:val="22"/>
                <w:szCs w:val="22"/>
                <w:lang w:eastAsia="en-IE"/>
              </w:rPr>
            </w:pPr>
          </w:p>
        </w:tc>
        <w:tc>
          <w:tcPr>
            <w:tcW w:w="4630" w:type="dxa"/>
            <w:vAlign w:val="center"/>
          </w:tcPr>
          <w:p w14:paraId="7C570F59" w14:textId="77777777" w:rsidR="00BB66DA" w:rsidRPr="00244D65" w:rsidRDefault="00BB66DA" w:rsidP="0085595C">
            <w:pPr>
              <w:rPr>
                <w:noProof/>
                <w:sz w:val="22"/>
                <w:szCs w:val="22"/>
                <w:lang w:eastAsia="en-IE"/>
              </w:rPr>
            </w:pPr>
            <w:r w:rsidRPr="00244D65">
              <w:rPr>
                <w:noProof/>
                <w:sz w:val="22"/>
                <w:szCs w:val="22"/>
                <w:lang w:eastAsia="en-IE"/>
              </w:rPr>
              <w:t>GOV2: vetting by Investment Committee</w:t>
            </w:r>
          </w:p>
        </w:tc>
        <w:tc>
          <w:tcPr>
            <w:tcW w:w="675" w:type="dxa"/>
            <w:vAlign w:val="center"/>
          </w:tcPr>
          <w:p w14:paraId="32F4B262" w14:textId="77777777" w:rsidR="00BB66DA" w:rsidRPr="00244D65" w:rsidRDefault="00BB66DA" w:rsidP="0085595C">
            <w:pPr>
              <w:jc w:val="center"/>
              <w:rPr>
                <w:noProof/>
                <w:sz w:val="22"/>
                <w:szCs w:val="22"/>
                <w:lang w:eastAsia="en-IE"/>
              </w:rPr>
            </w:pPr>
          </w:p>
        </w:tc>
        <w:tc>
          <w:tcPr>
            <w:tcW w:w="705" w:type="dxa"/>
            <w:vAlign w:val="center"/>
          </w:tcPr>
          <w:p w14:paraId="706C268D" w14:textId="77777777" w:rsidR="00BB66DA" w:rsidRPr="00244D65" w:rsidRDefault="00BB66DA" w:rsidP="0085595C">
            <w:pPr>
              <w:jc w:val="center"/>
              <w:rPr>
                <w:noProof/>
                <w:sz w:val="22"/>
                <w:szCs w:val="22"/>
                <w:lang w:eastAsia="en-IE"/>
              </w:rPr>
            </w:pPr>
          </w:p>
        </w:tc>
        <w:tc>
          <w:tcPr>
            <w:tcW w:w="756" w:type="dxa"/>
            <w:vAlign w:val="center"/>
          </w:tcPr>
          <w:p w14:paraId="000FDDF9" w14:textId="290D319E" w:rsidR="00BB66DA" w:rsidRPr="00244D65" w:rsidRDefault="00BB66DA" w:rsidP="0085595C">
            <w:pPr>
              <w:jc w:val="center"/>
              <w:rPr>
                <w:noProof/>
                <w:sz w:val="22"/>
                <w:szCs w:val="22"/>
                <w:lang w:eastAsia="en-IE"/>
              </w:rPr>
            </w:pPr>
            <w:r w:rsidRPr="00244D65">
              <w:rPr>
                <w:noProof/>
                <w:sz w:val="22"/>
                <w:szCs w:val="22"/>
                <w:lang w:eastAsia="en-IE"/>
              </w:rPr>
              <w:t>X</w:t>
            </w:r>
          </w:p>
        </w:tc>
      </w:tr>
      <w:tr w:rsidR="00FF6AA6" w:rsidRPr="00244D65" w14:paraId="5A243D6A" w14:textId="77777777" w:rsidTr="1CF5063F">
        <w:trPr>
          <w:cantSplit/>
          <w:trHeight w:val="314"/>
        </w:trPr>
        <w:tc>
          <w:tcPr>
            <w:tcW w:w="1975" w:type="dxa"/>
            <w:vMerge w:val="restart"/>
            <w:vAlign w:val="center"/>
          </w:tcPr>
          <w:p w14:paraId="0B5D61AD" w14:textId="77777777" w:rsidR="00BB66DA" w:rsidRPr="00244D65" w:rsidRDefault="00BB66DA" w:rsidP="0085595C">
            <w:pPr>
              <w:jc w:val="center"/>
              <w:rPr>
                <w:b/>
                <w:bCs/>
                <w:noProof/>
                <w:sz w:val="22"/>
                <w:szCs w:val="22"/>
                <w:lang w:eastAsia="en-IE"/>
              </w:rPr>
            </w:pPr>
            <w:r w:rsidRPr="00244D65">
              <w:rPr>
                <w:b/>
                <w:bCs/>
                <w:noProof/>
                <w:sz w:val="22"/>
                <w:szCs w:val="22"/>
                <w:lang w:eastAsia="en-IE"/>
              </w:rPr>
              <w:t>Aviation - Geographic Scope</w:t>
            </w:r>
          </w:p>
        </w:tc>
        <w:tc>
          <w:tcPr>
            <w:tcW w:w="4630" w:type="dxa"/>
            <w:vAlign w:val="center"/>
          </w:tcPr>
          <w:p w14:paraId="1878F30E" w14:textId="272CE52B" w:rsidR="00BB66DA" w:rsidRPr="00244D65" w:rsidRDefault="00BB66DA" w:rsidP="0085595C">
            <w:pPr>
              <w:rPr>
                <w:noProof/>
                <w:sz w:val="22"/>
                <w:szCs w:val="22"/>
                <w:lang w:eastAsia="en-IE"/>
              </w:rPr>
            </w:pPr>
            <w:r w:rsidRPr="00244D65">
              <w:rPr>
                <w:noProof/>
                <w:sz w:val="22"/>
                <w:szCs w:val="22"/>
                <w:lang w:eastAsia="en-IE"/>
              </w:rPr>
              <w:t>AS1: clean cut</w:t>
            </w:r>
            <w:r w:rsidR="006820FE" w:rsidRPr="00244D65">
              <w:rPr>
                <w:noProof/>
                <w:sz w:val="22"/>
                <w:szCs w:val="22"/>
                <w:lang w:eastAsia="en-IE"/>
              </w:rPr>
              <w:t xml:space="preserve"> – intra-EEA </w:t>
            </w:r>
            <w:r w:rsidR="00371D60" w:rsidRPr="00244D65">
              <w:rPr>
                <w:noProof/>
                <w:sz w:val="22"/>
                <w:szCs w:val="22"/>
                <w:lang w:eastAsia="en-IE"/>
              </w:rPr>
              <w:t>flights and departing flights to Switzerland and the UK</w:t>
            </w:r>
          </w:p>
        </w:tc>
        <w:tc>
          <w:tcPr>
            <w:tcW w:w="675" w:type="dxa"/>
            <w:vAlign w:val="center"/>
          </w:tcPr>
          <w:p w14:paraId="73112551" w14:textId="77777777" w:rsidR="00BB66DA" w:rsidRPr="00244D65" w:rsidRDefault="00BB66DA" w:rsidP="0085595C">
            <w:pPr>
              <w:jc w:val="center"/>
              <w:rPr>
                <w:noProof/>
                <w:sz w:val="22"/>
                <w:szCs w:val="22"/>
                <w:lang w:eastAsia="en-IE"/>
              </w:rPr>
            </w:pPr>
            <w:r w:rsidRPr="00244D65">
              <w:rPr>
                <w:noProof/>
                <w:sz w:val="22"/>
                <w:szCs w:val="22"/>
                <w:lang w:eastAsia="en-IE"/>
              </w:rPr>
              <w:t>X</w:t>
            </w:r>
          </w:p>
        </w:tc>
        <w:tc>
          <w:tcPr>
            <w:tcW w:w="705" w:type="dxa"/>
            <w:vAlign w:val="center"/>
          </w:tcPr>
          <w:p w14:paraId="73D18E55" w14:textId="77777777" w:rsidR="00BB66DA" w:rsidRPr="00244D65" w:rsidRDefault="00BB66DA" w:rsidP="0085595C">
            <w:pPr>
              <w:jc w:val="center"/>
              <w:rPr>
                <w:noProof/>
                <w:sz w:val="22"/>
                <w:szCs w:val="22"/>
                <w:lang w:eastAsia="en-IE"/>
              </w:rPr>
            </w:pPr>
          </w:p>
        </w:tc>
        <w:tc>
          <w:tcPr>
            <w:tcW w:w="756" w:type="dxa"/>
            <w:vAlign w:val="center"/>
          </w:tcPr>
          <w:p w14:paraId="494E4119" w14:textId="77777777" w:rsidR="00BB66DA" w:rsidRPr="00244D65" w:rsidRDefault="00BB66DA" w:rsidP="0085595C">
            <w:pPr>
              <w:jc w:val="center"/>
              <w:rPr>
                <w:noProof/>
                <w:sz w:val="22"/>
                <w:szCs w:val="22"/>
                <w:lang w:eastAsia="en-IE"/>
              </w:rPr>
            </w:pPr>
          </w:p>
        </w:tc>
      </w:tr>
      <w:tr w:rsidR="00FF6AA6" w:rsidRPr="00244D65" w14:paraId="0CE31BBE" w14:textId="77777777" w:rsidTr="1CF5063F">
        <w:trPr>
          <w:cantSplit/>
          <w:trHeight w:val="314"/>
        </w:trPr>
        <w:tc>
          <w:tcPr>
            <w:tcW w:w="1975" w:type="dxa"/>
            <w:vMerge/>
            <w:vAlign w:val="center"/>
          </w:tcPr>
          <w:p w14:paraId="3B54E379" w14:textId="77777777" w:rsidR="00BB66DA" w:rsidRPr="00244D65" w:rsidRDefault="00BB66DA" w:rsidP="0085595C">
            <w:pPr>
              <w:jc w:val="center"/>
              <w:rPr>
                <w:noProof/>
                <w:sz w:val="22"/>
                <w:szCs w:val="22"/>
                <w:lang w:eastAsia="en-IE"/>
              </w:rPr>
            </w:pPr>
          </w:p>
        </w:tc>
        <w:tc>
          <w:tcPr>
            <w:tcW w:w="4630" w:type="dxa"/>
            <w:vAlign w:val="center"/>
          </w:tcPr>
          <w:p w14:paraId="42A77C3D" w14:textId="77777777" w:rsidR="00BB66DA" w:rsidRPr="00244D65" w:rsidRDefault="00BB66DA" w:rsidP="0085595C">
            <w:pPr>
              <w:rPr>
                <w:noProof/>
                <w:sz w:val="22"/>
                <w:szCs w:val="22"/>
                <w:lang w:eastAsia="en-IE"/>
              </w:rPr>
            </w:pPr>
            <w:r w:rsidRPr="00244D65">
              <w:rPr>
                <w:noProof/>
                <w:sz w:val="22"/>
                <w:szCs w:val="22"/>
                <w:lang w:eastAsia="en-IE"/>
              </w:rPr>
              <w:t>AS2: departing flights</w:t>
            </w:r>
          </w:p>
        </w:tc>
        <w:tc>
          <w:tcPr>
            <w:tcW w:w="675" w:type="dxa"/>
            <w:vAlign w:val="center"/>
          </w:tcPr>
          <w:p w14:paraId="2E55FD7D" w14:textId="77777777" w:rsidR="00BB66DA" w:rsidRPr="00244D65" w:rsidRDefault="00BB66DA" w:rsidP="0085595C">
            <w:pPr>
              <w:jc w:val="center"/>
              <w:rPr>
                <w:noProof/>
                <w:sz w:val="22"/>
                <w:szCs w:val="22"/>
                <w:lang w:eastAsia="en-IE"/>
              </w:rPr>
            </w:pPr>
          </w:p>
        </w:tc>
        <w:tc>
          <w:tcPr>
            <w:tcW w:w="705" w:type="dxa"/>
            <w:vAlign w:val="center"/>
          </w:tcPr>
          <w:p w14:paraId="33EA6945" w14:textId="77777777" w:rsidR="00BB66DA" w:rsidRPr="00244D65" w:rsidRDefault="00BB66DA" w:rsidP="0085595C">
            <w:pPr>
              <w:jc w:val="center"/>
              <w:rPr>
                <w:noProof/>
                <w:sz w:val="22"/>
                <w:szCs w:val="22"/>
                <w:lang w:eastAsia="en-IE"/>
              </w:rPr>
            </w:pPr>
            <w:r w:rsidRPr="00244D65">
              <w:rPr>
                <w:noProof/>
                <w:sz w:val="22"/>
                <w:szCs w:val="22"/>
                <w:lang w:eastAsia="en-IE"/>
              </w:rPr>
              <w:t>X</w:t>
            </w:r>
          </w:p>
        </w:tc>
        <w:tc>
          <w:tcPr>
            <w:tcW w:w="756" w:type="dxa"/>
            <w:vAlign w:val="center"/>
          </w:tcPr>
          <w:p w14:paraId="42D55322" w14:textId="77777777" w:rsidR="00BB66DA" w:rsidRPr="00244D65" w:rsidRDefault="00BB66DA" w:rsidP="0085595C">
            <w:pPr>
              <w:jc w:val="center"/>
              <w:rPr>
                <w:noProof/>
                <w:sz w:val="22"/>
                <w:szCs w:val="22"/>
                <w:lang w:eastAsia="en-IE"/>
              </w:rPr>
            </w:pPr>
            <w:r w:rsidRPr="00244D65">
              <w:rPr>
                <w:noProof/>
                <w:sz w:val="22"/>
                <w:szCs w:val="22"/>
                <w:lang w:eastAsia="en-IE"/>
              </w:rPr>
              <w:t>X</w:t>
            </w:r>
          </w:p>
        </w:tc>
      </w:tr>
      <w:tr w:rsidR="00FF6AA6" w:rsidRPr="00244D65" w14:paraId="70FB3A7C" w14:textId="77777777" w:rsidTr="1CF5063F">
        <w:trPr>
          <w:cantSplit/>
          <w:trHeight w:val="314"/>
        </w:trPr>
        <w:tc>
          <w:tcPr>
            <w:tcW w:w="1975" w:type="dxa"/>
            <w:vMerge w:val="restart"/>
            <w:vAlign w:val="center"/>
          </w:tcPr>
          <w:p w14:paraId="7FABFA12" w14:textId="40FBB67B" w:rsidR="00BB66DA" w:rsidRPr="00244D65" w:rsidRDefault="00BB66DA" w:rsidP="0085595C">
            <w:pPr>
              <w:jc w:val="center"/>
              <w:rPr>
                <w:b/>
                <w:bCs/>
                <w:noProof/>
                <w:sz w:val="22"/>
                <w:szCs w:val="22"/>
                <w:lang w:eastAsia="en-IE"/>
              </w:rPr>
            </w:pPr>
            <w:r w:rsidRPr="00244D65">
              <w:rPr>
                <w:b/>
                <w:bCs/>
                <w:noProof/>
                <w:sz w:val="22"/>
                <w:szCs w:val="22"/>
                <w:lang w:eastAsia="en-IE"/>
              </w:rPr>
              <w:t>Aviation - SAF support</w:t>
            </w:r>
          </w:p>
        </w:tc>
        <w:tc>
          <w:tcPr>
            <w:tcW w:w="4630" w:type="dxa"/>
            <w:vAlign w:val="center"/>
          </w:tcPr>
          <w:p w14:paraId="03A591A2" w14:textId="388D5A87" w:rsidR="00BB66DA" w:rsidRPr="00244D65" w:rsidRDefault="00BB66DA" w:rsidP="0085595C">
            <w:pPr>
              <w:rPr>
                <w:noProof/>
                <w:sz w:val="22"/>
                <w:szCs w:val="22"/>
                <w:lang w:eastAsia="en-IE"/>
              </w:rPr>
            </w:pPr>
            <w:r w:rsidRPr="00244D65">
              <w:rPr>
                <w:noProof/>
                <w:sz w:val="22"/>
                <w:szCs w:val="22"/>
                <w:lang w:eastAsia="en-IE"/>
              </w:rPr>
              <w:t>SAF0: status quo</w:t>
            </w:r>
          </w:p>
        </w:tc>
        <w:tc>
          <w:tcPr>
            <w:tcW w:w="675" w:type="dxa"/>
            <w:vAlign w:val="center"/>
          </w:tcPr>
          <w:p w14:paraId="01D0A888" w14:textId="77777777" w:rsidR="00BB66DA" w:rsidRPr="00244D65" w:rsidRDefault="00BB66DA" w:rsidP="0085595C">
            <w:pPr>
              <w:jc w:val="center"/>
              <w:rPr>
                <w:noProof/>
                <w:sz w:val="22"/>
                <w:szCs w:val="22"/>
                <w:lang w:eastAsia="en-IE"/>
              </w:rPr>
            </w:pPr>
            <w:r w:rsidRPr="00244D65">
              <w:rPr>
                <w:noProof/>
                <w:sz w:val="22"/>
                <w:szCs w:val="22"/>
                <w:lang w:eastAsia="en-IE"/>
              </w:rPr>
              <w:t>X</w:t>
            </w:r>
          </w:p>
        </w:tc>
        <w:tc>
          <w:tcPr>
            <w:tcW w:w="705" w:type="dxa"/>
            <w:vAlign w:val="center"/>
          </w:tcPr>
          <w:p w14:paraId="3CDE111E" w14:textId="77777777" w:rsidR="00BB66DA" w:rsidRPr="00244D65" w:rsidRDefault="00BB66DA" w:rsidP="0085595C">
            <w:pPr>
              <w:jc w:val="center"/>
              <w:rPr>
                <w:noProof/>
                <w:sz w:val="22"/>
                <w:szCs w:val="22"/>
                <w:lang w:eastAsia="en-IE"/>
              </w:rPr>
            </w:pPr>
          </w:p>
        </w:tc>
        <w:tc>
          <w:tcPr>
            <w:tcW w:w="756" w:type="dxa"/>
            <w:vAlign w:val="center"/>
          </w:tcPr>
          <w:p w14:paraId="2E439015" w14:textId="77777777" w:rsidR="00BB66DA" w:rsidRPr="00244D65" w:rsidRDefault="00BB66DA" w:rsidP="0085595C">
            <w:pPr>
              <w:jc w:val="center"/>
              <w:rPr>
                <w:noProof/>
                <w:sz w:val="22"/>
                <w:szCs w:val="22"/>
                <w:lang w:eastAsia="en-IE"/>
              </w:rPr>
            </w:pPr>
          </w:p>
        </w:tc>
      </w:tr>
      <w:tr w:rsidR="00FF6AA6" w:rsidRPr="00244D65" w14:paraId="40231EA9" w14:textId="77777777" w:rsidTr="1CF5063F">
        <w:trPr>
          <w:cantSplit/>
          <w:trHeight w:val="314"/>
        </w:trPr>
        <w:tc>
          <w:tcPr>
            <w:tcW w:w="1975" w:type="dxa"/>
            <w:vMerge/>
            <w:vAlign w:val="center"/>
          </w:tcPr>
          <w:p w14:paraId="70FFA479" w14:textId="77777777" w:rsidR="00BB66DA" w:rsidRPr="00244D65" w:rsidRDefault="00BB66DA" w:rsidP="0085595C">
            <w:pPr>
              <w:jc w:val="center"/>
              <w:rPr>
                <w:noProof/>
                <w:sz w:val="22"/>
                <w:szCs w:val="22"/>
                <w:lang w:eastAsia="en-IE"/>
              </w:rPr>
            </w:pPr>
          </w:p>
        </w:tc>
        <w:tc>
          <w:tcPr>
            <w:tcW w:w="4630" w:type="dxa"/>
            <w:vAlign w:val="center"/>
          </w:tcPr>
          <w:p w14:paraId="1A55B8DC" w14:textId="44D57D96" w:rsidR="00BB66DA" w:rsidRPr="00244D65" w:rsidRDefault="00BB66DA" w:rsidP="0085595C">
            <w:pPr>
              <w:rPr>
                <w:noProof/>
                <w:sz w:val="22"/>
                <w:szCs w:val="22"/>
                <w:lang w:eastAsia="en-IE"/>
              </w:rPr>
            </w:pPr>
            <w:r w:rsidRPr="00244D65">
              <w:rPr>
                <w:noProof/>
                <w:sz w:val="22"/>
                <w:szCs w:val="22"/>
                <w:lang w:eastAsia="en-IE"/>
              </w:rPr>
              <w:t>SAF1: medium extension</w:t>
            </w:r>
          </w:p>
        </w:tc>
        <w:tc>
          <w:tcPr>
            <w:tcW w:w="675" w:type="dxa"/>
            <w:vAlign w:val="center"/>
          </w:tcPr>
          <w:p w14:paraId="65A18FFC" w14:textId="77777777" w:rsidR="00BB66DA" w:rsidRPr="00244D65" w:rsidRDefault="00BB66DA" w:rsidP="0085595C">
            <w:pPr>
              <w:jc w:val="center"/>
              <w:rPr>
                <w:noProof/>
                <w:sz w:val="22"/>
                <w:szCs w:val="22"/>
                <w:lang w:eastAsia="en-IE"/>
              </w:rPr>
            </w:pPr>
          </w:p>
        </w:tc>
        <w:tc>
          <w:tcPr>
            <w:tcW w:w="705" w:type="dxa"/>
            <w:vAlign w:val="center"/>
          </w:tcPr>
          <w:p w14:paraId="021D9C01" w14:textId="77777777" w:rsidR="00BB66DA" w:rsidRPr="00244D65" w:rsidRDefault="00BB66DA" w:rsidP="0085595C">
            <w:pPr>
              <w:jc w:val="center"/>
              <w:rPr>
                <w:noProof/>
                <w:sz w:val="22"/>
                <w:szCs w:val="22"/>
                <w:lang w:eastAsia="en-IE"/>
              </w:rPr>
            </w:pPr>
            <w:r w:rsidRPr="00244D65">
              <w:rPr>
                <w:noProof/>
                <w:sz w:val="22"/>
                <w:szCs w:val="22"/>
                <w:lang w:eastAsia="en-IE"/>
              </w:rPr>
              <w:t>X</w:t>
            </w:r>
          </w:p>
        </w:tc>
        <w:tc>
          <w:tcPr>
            <w:tcW w:w="756" w:type="dxa"/>
            <w:vAlign w:val="center"/>
          </w:tcPr>
          <w:p w14:paraId="44F68397" w14:textId="77777777" w:rsidR="00BB66DA" w:rsidRPr="00244D65" w:rsidRDefault="00BB66DA" w:rsidP="0085595C">
            <w:pPr>
              <w:jc w:val="center"/>
              <w:rPr>
                <w:noProof/>
                <w:sz w:val="22"/>
                <w:szCs w:val="22"/>
                <w:lang w:eastAsia="en-IE"/>
              </w:rPr>
            </w:pPr>
          </w:p>
        </w:tc>
      </w:tr>
      <w:tr w:rsidR="00FF6AA6" w:rsidRPr="00244D65" w14:paraId="76C279A0" w14:textId="77777777" w:rsidTr="1CF5063F">
        <w:trPr>
          <w:cantSplit/>
          <w:trHeight w:val="314"/>
        </w:trPr>
        <w:tc>
          <w:tcPr>
            <w:tcW w:w="1975" w:type="dxa"/>
            <w:vMerge/>
            <w:vAlign w:val="center"/>
          </w:tcPr>
          <w:p w14:paraId="1E5C0BF8" w14:textId="77777777" w:rsidR="00BB66DA" w:rsidRPr="00244D65" w:rsidRDefault="00BB66DA" w:rsidP="0085595C">
            <w:pPr>
              <w:jc w:val="center"/>
              <w:rPr>
                <w:noProof/>
                <w:sz w:val="22"/>
                <w:szCs w:val="22"/>
                <w:lang w:eastAsia="en-IE"/>
              </w:rPr>
            </w:pPr>
          </w:p>
        </w:tc>
        <w:tc>
          <w:tcPr>
            <w:tcW w:w="4630" w:type="dxa"/>
            <w:vAlign w:val="center"/>
          </w:tcPr>
          <w:p w14:paraId="4C43E303" w14:textId="4D3FCD37" w:rsidR="00BB66DA" w:rsidRPr="00244D65" w:rsidRDefault="00BB66DA" w:rsidP="0085595C">
            <w:pPr>
              <w:rPr>
                <w:noProof/>
                <w:sz w:val="22"/>
                <w:szCs w:val="22"/>
                <w:lang w:eastAsia="en-IE"/>
              </w:rPr>
            </w:pPr>
            <w:r w:rsidRPr="00244D65">
              <w:rPr>
                <w:noProof/>
                <w:sz w:val="22"/>
                <w:szCs w:val="22"/>
                <w:lang w:eastAsia="en-IE"/>
              </w:rPr>
              <w:t>SAF2: larger extension</w:t>
            </w:r>
          </w:p>
        </w:tc>
        <w:tc>
          <w:tcPr>
            <w:tcW w:w="675" w:type="dxa"/>
            <w:vAlign w:val="center"/>
          </w:tcPr>
          <w:p w14:paraId="6368D396" w14:textId="77777777" w:rsidR="00BB66DA" w:rsidRPr="00244D65" w:rsidRDefault="00BB66DA" w:rsidP="0085595C">
            <w:pPr>
              <w:jc w:val="center"/>
              <w:rPr>
                <w:noProof/>
                <w:sz w:val="22"/>
                <w:szCs w:val="22"/>
                <w:lang w:eastAsia="en-IE"/>
              </w:rPr>
            </w:pPr>
          </w:p>
        </w:tc>
        <w:tc>
          <w:tcPr>
            <w:tcW w:w="705" w:type="dxa"/>
            <w:vAlign w:val="center"/>
          </w:tcPr>
          <w:p w14:paraId="478A181B" w14:textId="77777777" w:rsidR="00BB66DA" w:rsidRPr="00244D65" w:rsidRDefault="00BB66DA" w:rsidP="0085595C">
            <w:pPr>
              <w:jc w:val="center"/>
              <w:rPr>
                <w:noProof/>
                <w:sz w:val="22"/>
                <w:szCs w:val="22"/>
                <w:lang w:eastAsia="en-IE"/>
              </w:rPr>
            </w:pPr>
          </w:p>
        </w:tc>
        <w:tc>
          <w:tcPr>
            <w:tcW w:w="756" w:type="dxa"/>
            <w:vAlign w:val="center"/>
          </w:tcPr>
          <w:p w14:paraId="17CB8BE4" w14:textId="77777777" w:rsidR="00BB66DA" w:rsidRPr="00244D65" w:rsidRDefault="00BB66DA" w:rsidP="0085595C">
            <w:pPr>
              <w:jc w:val="center"/>
              <w:rPr>
                <w:noProof/>
                <w:sz w:val="22"/>
                <w:szCs w:val="22"/>
                <w:lang w:eastAsia="en-IE"/>
              </w:rPr>
            </w:pPr>
            <w:r w:rsidRPr="00244D65">
              <w:rPr>
                <w:noProof/>
                <w:sz w:val="22"/>
                <w:szCs w:val="22"/>
                <w:lang w:eastAsia="en-IE"/>
              </w:rPr>
              <w:t>X</w:t>
            </w:r>
          </w:p>
        </w:tc>
      </w:tr>
      <w:tr w:rsidR="00FF6AA6" w:rsidRPr="00244D65" w14:paraId="53F2CC5A" w14:textId="77777777" w:rsidTr="1CF5063F">
        <w:trPr>
          <w:cantSplit/>
          <w:trHeight w:val="314"/>
        </w:trPr>
        <w:tc>
          <w:tcPr>
            <w:tcW w:w="1975" w:type="dxa"/>
            <w:vMerge w:val="restart"/>
            <w:vAlign w:val="center"/>
          </w:tcPr>
          <w:p w14:paraId="2A255623" w14:textId="742DA017" w:rsidR="00E35964" w:rsidRPr="00244D65" w:rsidRDefault="00270F3F" w:rsidP="0085595C">
            <w:pPr>
              <w:jc w:val="center"/>
              <w:rPr>
                <w:b/>
                <w:bCs/>
                <w:noProof/>
                <w:sz w:val="22"/>
                <w:szCs w:val="22"/>
                <w:lang w:eastAsia="en-IE"/>
              </w:rPr>
            </w:pPr>
            <w:r w:rsidRPr="00244D65">
              <w:rPr>
                <w:b/>
                <w:bCs/>
                <w:noProof/>
                <w:sz w:val="22"/>
                <w:szCs w:val="22"/>
                <w:lang w:eastAsia="en-IE"/>
              </w:rPr>
              <w:t>Maritime -</w:t>
            </w:r>
            <w:r w:rsidR="00E35964" w:rsidRPr="00244D65">
              <w:rPr>
                <w:b/>
                <w:bCs/>
                <w:noProof/>
                <w:sz w:val="22"/>
                <w:szCs w:val="22"/>
                <w:lang w:eastAsia="en-IE"/>
              </w:rPr>
              <w:t>Support for emission</w:t>
            </w:r>
            <w:r w:rsidR="007A1701" w:rsidRPr="00244D65">
              <w:rPr>
                <w:b/>
                <w:bCs/>
                <w:noProof/>
                <w:sz w:val="22"/>
                <w:szCs w:val="22"/>
                <w:lang w:eastAsia="en-IE"/>
              </w:rPr>
              <w:t>s</w:t>
            </w:r>
            <w:r w:rsidR="00E35964" w:rsidRPr="00244D65">
              <w:rPr>
                <w:b/>
                <w:bCs/>
                <w:noProof/>
                <w:sz w:val="22"/>
                <w:szCs w:val="22"/>
                <w:lang w:eastAsia="en-IE"/>
              </w:rPr>
              <w:t xml:space="preserve"> reduction in the shipping sector</w:t>
            </w:r>
          </w:p>
        </w:tc>
        <w:tc>
          <w:tcPr>
            <w:tcW w:w="4630" w:type="dxa"/>
            <w:vAlign w:val="center"/>
          </w:tcPr>
          <w:p w14:paraId="75663642" w14:textId="4BDF5EA7" w:rsidR="00E35964" w:rsidRPr="00244D65" w:rsidRDefault="00E35964" w:rsidP="0085595C">
            <w:pPr>
              <w:rPr>
                <w:noProof/>
                <w:sz w:val="22"/>
                <w:szCs w:val="22"/>
                <w:lang w:eastAsia="en-IE"/>
              </w:rPr>
            </w:pPr>
            <w:r w:rsidRPr="00244D65">
              <w:rPr>
                <w:noProof/>
                <w:sz w:val="22"/>
                <w:szCs w:val="22"/>
                <w:lang w:eastAsia="en-IE"/>
              </w:rPr>
              <w:t>LCF0: No dedicated ETS support mechanism</w:t>
            </w:r>
          </w:p>
        </w:tc>
        <w:tc>
          <w:tcPr>
            <w:tcW w:w="675" w:type="dxa"/>
            <w:vAlign w:val="center"/>
          </w:tcPr>
          <w:p w14:paraId="6D3C6EFF" w14:textId="76EBBE26" w:rsidR="00E35964" w:rsidRPr="00244D65" w:rsidRDefault="00E35964" w:rsidP="0085595C">
            <w:pPr>
              <w:jc w:val="center"/>
              <w:rPr>
                <w:noProof/>
                <w:sz w:val="22"/>
                <w:szCs w:val="22"/>
                <w:lang w:eastAsia="en-IE"/>
              </w:rPr>
            </w:pPr>
            <w:r w:rsidRPr="00244D65">
              <w:rPr>
                <w:noProof/>
                <w:sz w:val="22"/>
                <w:szCs w:val="22"/>
                <w:lang w:eastAsia="en-IE"/>
              </w:rPr>
              <w:t>X</w:t>
            </w:r>
          </w:p>
        </w:tc>
        <w:tc>
          <w:tcPr>
            <w:tcW w:w="705" w:type="dxa"/>
            <w:vAlign w:val="center"/>
          </w:tcPr>
          <w:p w14:paraId="427B1191" w14:textId="77777777" w:rsidR="00E35964" w:rsidRPr="00244D65" w:rsidRDefault="00E35964" w:rsidP="0085595C">
            <w:pPr>
              <w:jc w:val="center"/>
              <w:rPr>
                <w:noProof/>
                <w:sz w:val="22"/>
                <w:szCs w:val="22"/>
                <w:lang w:eastAsia="en-IE"/>
              </w:rPr>
            </w:pPr>
          </w:p>
        </w:tc>
        <w:tc>
          <w:tcPr>
            <w:tcW w:w="756" w:type="dxa"/>
            <w:vAlign w:val="center"/>
          </w:tcPr>
          <w:p w14:paraId="065DB4EE" w14:textId="77777777" w:rsidR="00E35964" w:rsidRPr="00244D65" w:rsidRDefault="00E35964" w:rsidP="0085595C">
            <w:pPr>
              <w:jc w:val="center"/>
              <w:rPr>
                <w:noProof/>
                <w:sz w:val="22"/>
                <w:szCs w:val="22"/>
                <w:lang w:eastAsia="en-IE"/>
              </w:rPr>
            </w:pPr>
          </w:p>
        </w:tc>
      </w:tr>
      <w:tr w:rsidR="00FF6AA6" w:rsidRPr="00244D65" w14:paraId="720F4E26" w14:textId="77777777" w:rsidTr="1CF5063F">
        <w:trPr>
          <w:cantSplit/>
          <w:trHeight w:val="314"/>
        </w:trPr>
        <w:tc>
          <w:tcPr>
            <w:tcW w:w="1975" w:type="dxa"/>
            <w:vMerge/>
            <w:vAlign w:val="center"/>
          </w:tcPr>
          <w:p w14:paraId="249673E3" w14:textId="77777777" w:rsidR="00E35964" w:rsidRPr="00244D65" w:rsidRDefault="00E35964" w:rsidP="0085595C">
            <w:pPr>
              <w:jc w:val="center"/>
              <w:rPr>
                <w:b/>
                <w:bCs/>
                <w:noProof/>
                <w:sz w:val="22"/>
                <w:szCs w:val="22"/>
                <w:lang w:eastAsia="en-IE"/>
              </w:rPr>
            </w:pPr>
          </w:p>
        </w:tc>
        <w:tc>
          <w:tcPr>
            <w:tcW w:w="4630" w:type="dxa"/>
            <w:vAlign w:val="center"/>
          </w:tcPr>
          <w:p w14:paraId="3AE8811D" w14:textId="0C767ECA" w:rsidR="00E35964" w:rsidRPr="00244D65" w:rsidRDefault="00E35964" w:rsidP="0085595C">
            <w:pPr>
              <w:rPr>
                <w:noProof/>
                <w:sz w:val="22"/>
                <w:szCs w:val="22"/>
                <w:lang w:eastAsia="en-IE"/>
              </w:rPr>
            </w:pPr>
            <w:r w:rsidRPr="00244D65">
              <w:rPr>
                <w:noProof/>
                <w:sz w:val="22"/>
                <w:szCs w:val="22"/>
                <w:lang w:eastAsia="en-IE"/>
              </w:rPr>
              <w:t>LCF1: EU ETS support mechanism for Sustainable M</w:t>
            </w:r>
            <w:r w:rsidR="01056847" w:rsidRPr="00244D65">
              <w:rPr>
                <w:noProof/>
                <w:sz w:val="22"/>
                <w:szCs w:val="22"/>
                <w:lang w:eastAsia="en-IE"/>
              </w:rPr>
              <w:t>a</w:t>
            </w:r>
            <w:r w:rsidRPr="00244D65">
              <w:rPr>
                <w:noProof/>
                <w:sz w:val="22"/>
                <w:szCs w:val="22"/>
                <w:lang w:eastAsia="en-IE"/>
              </w:rPr>
              <w:t xml:space="preserve">ritime </w:t>
            </w:r>
            <w:r>
              <w:rPr>
                <w:noProof/>
                <w:sz w:val="22"/>
                <w:szCs w:val="22"/>
                <w:lang w:eastAsia="en-IE"/>
              </w:rPr>
              <w:t xml:space="preserve">Alternative </w:t>
            </w:r>
            <w:r w:rsidRPr="00244D65">
              <w:rPr>
                <w:noProof/>
                <w:sz w:val="22"/>
                <w:szCs w:val="22"/>
                <w:lang w:eastAsia="en-IE"/>
              </w:rPr>
              <w:t>Propulsion (SMAP)</w:t>
            </w:r>
          </w:p>
        </w:tc>
        <w:tc>
          <w:tcPr>
            <w:tcW w:w="675" w:type="dxa"/>
            <w:vAlign w:val="center"/>
          </w:tcPr>
          <w:p w14:paraId="04AE117A" w14:textId="77777777" w:rsidR="00E35964" w:rsidRPr="00244D65" w:rsidRDefault="00E35964" w:rsidP="0085595C">
            <w:pPr>
              <w:jc w:val="center"/>
              <w:rPr>
                <w:noProof/>
                <w:sz w:val="22"/>
                <w:szCs w:val="22"/>
                <w:lang w:eastAsia="en-IE"/>
              </w:rPr>
            </w:pPr>
          </w:p>
        </w:tc>
        <w:tc>
          <w:tcPr>
            <w:tcW w:w="705" w:type="dxa"/>
            <w:vAlign w:val="center"/>
          </w:tcPr>
          <w:p w14:paraId="24E123ED" w14:textId="464921D4" w:rsidR="00E35964" w:rsidRPr="00244D65" w:rsidRDefault="00E35964" w:rsidP="0085595C">
            <w:pPr>
              <w:jc w:val="center"/>
              <w:rPr>
                <w:noProof/>
                <w:sz w:val="22"/>
                <w:szCs w:val="22"/>
                <w:lang w:eastAsia="en-IE"/>
              </w:rPr>
            </w:pPr>
            <w:r w:rsidRPr="00244D65">
              <w:rPr>
                <w:noProof/>
                <w:sz w:val="22"/>
                <w:szCs w:val="22"/>
                <w:lang w:eastAsia="en-IE"/>
              </w:rPr>
              <w:t>X</w:t>
            </w:r>
          </w:p>
        </w:tc>
        <w:tc>
          <w:tcPr>
            <w:tcW w:w="756" w:type="dxa"/>
            <w:vAlign w:val="center"/>
          </w:tcPr>
          <w:p w14:paraId="6C2C142F" w14:textId="7EA395EF" w:rsidR="00E35964" w:rsidRPr="00244D65" w:rsidRDefault="00E35964" w:rsidP="0085595C">
            <w:pPr>
              <w:jc w:val="center"/>
              <w:rPr>
                <w:noProof/>
                <w:sz w:val="22"/>
                <w:szCs w:val="22"/>
                <w:lang w:eastAsia="en-IE"/>
              </w:rPr>
            </w:pPr>
            <w:r w:rsidRPr="00244D65">
              <w:rPr>
                <w:noProof/>
                <w:sz w:val="22"/>
                <w:szCs w:val="22"/>
                <w:lang w:eastAsia="en-IE"/>
              </w:rPr>
              <w:t>X</w:t>
            </w:r>
          </w:p>
        </w:tc>
      </w:tr>
      <w:tr w:rsidR="00FF6AA6" w:rsidRPr="00244D65" w14:paraId="4A29ACF2" w14:textId="77777777" w:rsidTr="1CF5063F">
        <w:trPr>
          <w:cantSplit/>
          <w:trHeight w:val="314"/>
        </w:trPr>
        <w:tc>
          <w:tcPr>
            <w:tcW w:w="1975" w:type="dxa"/>
            <w:vMerge w:val="restart"/>
            <w:vAlign w:val="center"/>
          </w:tcPr>
          <w:p w14:paraId="3C35E108" w14:textId="1FEC15C0" w:rsidR="00A66416" w:rsidRPr="00244D65" w:rsidRDefault="00A66416" w:rsidP="0085595C">
            <w:pPr>
              <w:jc w:val="center"/>
              <w:rPr>
                <w:b/>
                <w:bCs/>
                <w:noProof/>
                <w:sz w:val="22"/>
                <w:szCs w:val="22"/>
                <w:lang w:eastAsia="en-IE"/>
              </w:rPr>
            </w:pPr>
            <w:r w:rsidRPr="00244D65">
              <w:rPr>
                <w:b/>
                <w:bCs/>
                <w:noProof/>
                <w:sz w:val="22"/>
                <w:szCs w:val="22"/>
                <w:lang w:eastAsia="en-IE"/>
              </w:rPr>
              <w:t>Maritime -Evasion Risk</w:t>
            </w:r>
          </w:p>
        </w:tc>
        <w:tc>
          <w:tcPr>
            <w:tcW w:w="4630" w:type="dxa"/>
            <w:vAlign w:val="center"/>
          </w:tcPr>
          <w:p w14:paraId="7A06CDF0" w14:textId="22147C81" w:rsidR="00A66416" w:rsidRPr="00244D65" w:rsidRDefault="00A66416" w:rsidP="0085595C">
            <w:pPr>
              <w:rPr>
                <w:noProof/>
                <w:sz w:val="22"/>
                <w:szCs w:val="22"/>
                <w:lang w:eastAsia="en-IE"/>
              </w:rPr>
            </w:pPr>
            <w:r w:rsidRPr="00244D65">
              <w:rPr>
                <w:noProof/>
                <w:sz w:val="22"/>
                <w:szCs w:val="22"/>
                <w:lang w:eastAsia="en-IE"/>
              </w:rPr>
              <w:t>RΕ0: Current measures on evasion</w:t>
            </w:r>
            <w:r w:rsidR="000C653C" w:rsidRPr="00244D65">
              <w:rPr>
                <w:noProof/>
                <w:sz w:val="22"/>
                <w:szCs w:val="22"/>
                <w:lang w:eastAsia="en-IE"/>
              </w:rPr>
              <w:t xml:space="preserve"> </w:t>
            </w:r>
          </w:p>
        </w:tc>
        <w:tc>
          <w:tcPr>
            <w:tcW w:w="675" w:type="dxa"/>
            <w:vAlign w:val="center"/>
          </w:tcPr>
          <w:p w14:paraId="72176ED0" w14:textId="77777777" w:rsidR="00A66416" w:rsidRPr="00244D65" w:rsidRDefault="00A66416" w:rsidP="0085595C">
            <w:pPr>
              <w:jc w:val="center"/>
              <w:rPr>
                <w:noProof/>
                <w:sz w:val="22"/>
                <w:szCs w:val="22"/>
                <w:lang w:eastAsia="en-IE"/>
              </w:rPr>
            </w:pPr>
            <w:r w:rsidRPr="00244D65">
              <w:rPr>
                <w:noProof/>
                <w:sz w:val="22"/>
                <w:szCs w:val="22"/>
                <w:lang w:eastAsia="en-IE"/>
              </w:rPr>
              <w:t>X</w:t>
            </w:r>
          </w:p>
        </w:tc>
        <w:tc>
          <w:tcPr>
            <w:tcW w:w="705" w:type="dxa"/>
            <w:vAlign w:val="center"/>
          </w:tcPr>
          <w:p w14:paraId="080320DF" w14:textId="77777777" w:rsidR="00A66416" w:rsidRPr="00244D65" w:rsidRDefault="00A66416" w:rsidP="0085595C">
            <w:pPr>
              <w:jc w:val="center"/>
              <w:rPr>
                <w:noProof/>
                <w:sz w:val="22"/>
                <w:szCs w:val="22"/>
                <w:lang w:eastAsia="en-IE"/>
              </w:rPr>
            </w:pPr>
          </w:p>
        </w:tc>
        <w:tc>
          <w:tcPr>
            <w:tcW w:w="756" w:type="dxa"/>
            <w:vAlign w:val="center"/>
          </w:tcPr>
          <w:p w14:paraId="7B10AF80" w14:textId="77777777" w:rsidR="00A66416" w:rsidRPr="00244D65" w:rsidRDefault="00A66416" w:rsidP="0085595C">
            <w:pPr>
              <w:jc w:val="center"/>
              <w:rPr>
                <w:noProof/>
                <w:sz w:val="22"/>
                <w:szCs w:val="22"/>
                <w:lang w:eastAsia="en-IE"/>
              </w:rPr>
            </w:pPr>
          </w:p>
        </w:tc>
      </w:tr>
      <w:tr w:rsidR="00FF6AA6" w:rsidRPr="00244D65" w14:paraId="4D25CDDA" w14:textId="77777777" w:rsidTr="1CF5063F">
        <w:trPr>
          <w:cantSplit/>
          <w:trHeight w:val="314"/>
        </w:trPr>
        <w:tc>
          <w:tcPr>
            <w:tcW w:w="1975" w:type="dxa"/>
            <w:vMerge/>
            <w:vAlign w:val="center"/>
          </w:tcPr>
          <w:p w14:paraId="3BDCAC09" w14:textId="77777777" w:rsidR="00A66416" w:rsidRPr="00244D65" w:rsidRDefault="00A66416" w:rsidP="0085595C">
            <w:pPr>
              <w:jc w:val="center"/>
              <w:rPr>
                <w:noProof/>
                <w:sz w:val="22"/>
                <w:szCs w:val="22"/>
                <w:lang w:eastAsia="en-IE"/>
              </w:rPr>
            </w:pPr>
          </w:p>
        </w:tc>
        <w:tc>
          <w:tcPr>
            <w:tcW w:w="4630" w:type="dxa"/>
            <w:vAlign w:val="center"/>
          </w:tcPr>
          <w:p w14:paraId="1BC0B33B" w14:textId="1EFDE337" w:rsidR="00A66416" w:rsidRPr="00244D65" w:rsidRDefault="00A66416" w:rsidP="0085595C">
            <w:pPr>
              <w:rPr>
                <w:noProof/>
                <w:sz w:val="22"/>
                <w:szCs w:val="22"/>
                <w:lang w:eastAsia="en-IE"/>
              </w:rPr>
            </w:pPr>
            <w:r w:rsidRPr="00244D65">
              <w:rPr>
                <w:noProof/>
                <w:sz w:val="22"/>
                <w:szCs w:val="22"/>
                <w:lang w:eastAsia="en-IE"/>
              </w:rPr>
              <w:t>RE1: Revise the list of neighbouring container transhipment ports</w:t>
            </w:r>
            <w:r w:rsidR="000C653C" w:rsidRPr="00244D65">
              <w:rPr>
                <w:noProof/>
                <w:sz w:val="22"/>
                <w:szCs w:val="22"/>
                <w:lang w:eastAsia="en-IE"/>
              </w:rPr>
              <w:t xml:space="preserve"> </w:t>
            </w:r>
          </w:p>
        </w:tc>
        <w:tc>
          <w:tcPr>
            <w:tcW w:w="675" w:type="dxa"/>
            <w:vAlign w:val="center"/>
          </w:tcPr>
          <w:p w14:paraId="4AA8AFBB" w14:textId="77777777" w:rsidR="00A66416" w:rsidRPr="00244D65" w:rsidRDefault="00A66416" w:rsidP="0085595C">
            <w:pPr>
              <w:jc w:val="center"/>
              <w:rPr>
                <w:noProof/>
                <w:sz w:val="22"/>
                <w:szCs w:val="22"/>
                <w:lang w:eastAsia="en-IE"/>
              </w:rPr>
            </w:pPr>
          </w:p>
        </w:tc>
        <w:tc>
          <w:tcPr>
            <w:tcW w:w="705" w:type="dxa"/>
            <w:vAlign w:val="center"/>
          </w:tcPr>
          <w:p w14:paraId="446A75D8" w14:textId="77777777" w:rsidR="00A66416" w:rsidRPr="00244D65" w:rsidRDefault="00A66416" w:rsidP="0085595C">
            <w:pPr>
              <w:jc w:val="center"/>
              <w:rPr>
                <w:noProof/>
                <w:sz w:val="22"/>
                <w:szCs w:val="22"/>
                <w:lang w:eastAsia="en-IE"/>
              </w:rPr>
            </w:pPr>
            <w:r w:rsidRPr="00244D65">
              <w:rPr>
                <w:noProof/>
                <w:sz w:val="22"/>
                <w:szCs w:val="22"/>
                <w:lang w:eastAsia="en-IE"/>
              </w:rPr>
              <w:t>X</w:t>
            </w:r>
          </w:p>
        </w:tc>
        <w:tc>
          <w:tcPr>
            <w:tcW w:w="756" w:type="dxa"/>
            <w:vAlign w:val="center"/>
          </w:tcPr>
          <w:p w14:paraId="4337C24D" w14:textId="77777777" w:rsidR="00A66416" w:rsidRPr="00244D65" w:rsidRDefault="00A66416" w:rsidP="0085595C">
            <w:pPr>
              <w:jc w:val="center"/>
              <w:rPr>
                <w:noProof/>
                <w:sz w:val="22"/>
                <w:szCs w:val="22"/>
                <w:lang w:eastAsia="en-IE"/>
              </w:rPr>
            </w:pPr>
            <w:r w:rsidRPr="00244D65">
              <w:rPr>
                <w:noProof/>
                <w:sz w:val="22"/>
                <w:szCs w:val="22"/>
                <w:lang w:eastAsia="en-IE"/>
              </w:rPr>
              <w:t>X</w:t>
            </w:r>
          </w:p>
        </w:tc>
      </w:tr>
      <w:tr w:rsidR="00FF6AA6" w:rsidRPr="00244D65" w14:paraId="0D8AD0BD" w14:textId="77777777" w:rsidTr="1CF5063F">
        <w:trPr>
          <w:cantSplit/>
          <w:trHeight w:val="314"/>
        </w:trPr>
        <w:tc>
          <w:tcPr>
            <w:tcW w:w="1975" w:type="dxa"/>
            <w:vMerge/>
            <w:vAlign w:val="center"/>
          </w:tcPr>
          <w:p w14:paraId="3E5701C8" w14:textId="77777777" w:rsidR="00A66416" w:rsidRPr="00244D65" w:rsidRDefault="00A66416" w:rsidP="0085595C">
            <w:pPr>
              <w:jc w:val="center"/>
              <w:rPr>
                <w:noProof/>
                <w:sz w:val="22"/>
                <w:szCs w:val="22"/>
                <w:lang w:eastAsia="en-IE"/>
              </w:rPr>
            </w:pPr>
          </w:p>
        </w:tc>
        <w:tc>
          <w:tcPr>
            <w:tcW w:w="4630" w:type="dxa"/>
            <w:vAlign w:val="center"/>
          </w:tcPr>
          <w:p w14:paraId="2AEC2A7A" w14:textId="211F2169" w:rsidR="00A66416" w:rsidRPr="00244D65" w:rsidRDefault="00A66416" w:rsidP="0085595C">
            <w:pPr>
              <w:rPr>
                <w:noProof/>
                <w:sz w:val="22"/>
                <w:szCs w:val="22"/>
                <w:lang w:eastAsia="en-IE"/>
              </w:rPr>
            </w:pPr>
            <w:r w:rsidRPr="00244D65">
              <w:rPr>
                <w:noProof/>
                <w:sz w:val="22"/>
                <w:szCs w:val="22"/>
                <w:lang w:eastAsia="en-IE"/>
              </w:rPr>
              <w:t xml:space="preserve">RE2: Ensure that offshore activities </w:t>
            </w:r>
            <w:r w:rsidR="3C604D6F" w:rsidRPr="00244D65">
              <w:rPr>
                <w:noProof/>
                <w:sz w:val="22"/>
                <w:szCs w:val="22"/>
                <w:lang w:eastAsia="en-IE"/>
              </w:rPr>
              <w:t>by</w:t>
            </w:r>
            <w:r w:rsidRPr="00244D65">
              <w:rPr>
                <w:noProof/>
                <w:sz w:val="22"/>
                <w:szCs w:val="22"/>
                <w:lang w:eastAsia="en-IE"/>
              </w:rPr>
              <w:t xml:space="preserve"> ships operating in EU waters are covered, independently from their port of origin</w:t>
            </w:r>
          </w:p>
        </w:tc>
        <w:tc>
          <w:tcPr>
            <w:tcW w:w="675" w:type="dxa"/>
            <w:vAlign w:val="center"/>
          </w:tcPr>
          <w:p w14:paraId="41265579" w14:textId="77777777" w:rsidR="00A66416" w:rsidRPr="00244D65" w:rsidRDefault="00A66416" w:rsidP="0085595C">
            <w:pPr>
              <w:jc w:val="center"/>
              <w:rPr>
                <w:noProof/>
                <w:sz w:val="22"/>
                <w:szCs w:val="22"/>
                <w:lang w:eastAsia="en-IE"/>
              </w:rPr>
            </w:pPr>
          </w:p>
        </w:tc>
        <w:tc>
          <w:tcPr>
            <w:tcW w:w="705" w:type="dxa"/>
            <w:vAlign w:val="center"/>
          </w:tcPr>
          <w:p w14:paraId="76A9E3E9" w14:textId="77777777" w:rsidR="00A66416" w:rsidRPr="00244D65" w:rsidRDefault="00A66416" w:rsidP="0085595C">
            <w:pPr>
              <w:jc w:val="center"/>
              <w:rPr>
                <w:noProof/>
                <w:sz w:val="22"/>
                <w:szCs w:val="22"/>
                <w:lang w:eastAsia="en-IE"/>
              </w:rPr>
            </w:pPr>
            <w:r w:rsidRPr="00244D65">
              <w:rPr>
                <w:noProof/>
                <w:sz w:val="22"/>
                <w:szCs w:val="22"/>
                <w:lang w:eastAsia="en-IE"/>
              </w:rPr>
              <w:t>X</w:t>
            </w:r>
          </w:p>
        </w:tc>
        <w:tc>
          <w:tcPr>
            <w:tcW w:w="756" w:type="dxa"/>
            <w:vAlign w:val="center"/>
          </w:tcPr>
          <w:p w14:paraId="6E99637E" w14:textId="77777777" w:rsidR="00A66416" w:rsidRPr="00244D65" w:rsidRDefault="00A66416" w:rsidP="0085595C">
            <w:pPr>
              <w:jc w:val="center"/>
              <w:rPr>
                <w:noProof/>
                <w:sz w:val="22"/>
                <w:szCs w:val="22"/>
                <w:lang w:eastAsia="en-IE"/>
              </w:rPr>
            </w:pPr>
            <w:r w:rsidRPr="00244D65">
              <w:rPr>
                <w:noProof/>
                <w:sz w:val="22"/>
                <w:szCs w:val="22"/>
                <w:lang w:eastAsia="en-IE"/>
              </w:rPr>
              <w:t>X</w:t>
            </w:r>
          </w:p>
        </w:tc>
      </w:tr>
      <w:tr w:rsidR="00FF6AA6" w:rsidRPr="00244D65" w14:paraId="5A98A73C" w14:textId="77777777" w:rsidTr="1CF5063F">
        <w:trPr>
          <w:cantSplit/>
          <w:trHeight w:val="314"/>
        </w:trPr>
        <w:tc>
          <w:tcPr>
            <w:tcW w:w="1975" w:type="dxa"/>
            <w:vAlign w:val="center"/>
          </w:tcPr>
          <w:p w14:paraId="36C2F787" w14:textId="4961DA31" w:rsidR="000E09DE" w:rsidRPr="00244D65" w:rsidRDefault="003E3D9F" w:rsidP="0085595C">
            <w:pPr>
              <w:jc w:val="center"/>
              <w:rPr>
                <w:noProof/>
                <w:sz w:val="22"/>
                <w:szCs w:val="22"/>
                <w:lang w:eastAsia="en-IE"/>
              </w:rPr>
            </w:pPr>
            <w:r w:rsidRPr="00244D65">
              <w:rPr>
                <w:b/>
                <w:bCs/>
                <w:noProof/>
                <w:sz w:val="22"/>
                <w:szCs w:val="22"/>
                <w:lang w:eastAsia="en-IE"/>
              </w:rPr>
              <w:t xml:space="preserve">Maritime - </w:t>
            </w:r>
            <w:r w:rsidR="000E09DE" w:rsidRPr="00244D65">
              <w:rPr>
                <w:b/>
                <w:bCs/>
                <w:noProof/>
                <w:sz w:val="22"/>
                <w:szCs w:val="22"/>
                <w:lang w:eastAsia="en-IE"/>
              </w:rPr>
              <w:t xml:space="preserve">Simplification </w:t>
            </w:r>
          </w:p>
        </w:tc>
        <w:tc>
          <w:tcPr>
            <w:tcW w:w="4630" w:type="dxa"/>
            <w:vAlign w:val="center"/>
          </w:tcPr>
          <w:p w14:paraId="709EC863" w14:textId="77777777" w:rsidR="000E09DE" w:rsidRPr="00244D65" w:rsidRDefault="000E09DE" w:rsidP="0085595C">
            <w:pPr>
              <w:rPr>
                <w:noProof/>
                <w:sz w:val="22"/>
                <w:szCs w:val="22"/>
                <w:lang w:eastAsia="en-IE"/>
              </w:rPr>
            </w:pPr>
            <w:r w:rsidRPr="00244D65">
              <w:rPr>
                <w:noProof/>
                <w:sz w:val="22"/>
                <w:szCs w:val="22"/>
                <w:lang w:eastAsia="en-IE"/>
              </w:rPr>
              <w:t>SI1: Simplification, and targeted enhancement measures</w:t>
            </w:r>
          </w:p>
        </w:tc>
        <w:tc>
          <w:tcPr>
            <w:tcW w:w="675" w:type="dxa"/>
            <w:vAlign w:val="center"/>
          </w:tcPr>
          <w:p w14:paraId="167A6FB5" w14:textId="77777777" w:rsidR="000E09DE" w:rsidRPr="00244D65" w:rsidRDefault="000E09DE" w:rsidP="0085595C">
            <w:pPr>
              <w:jc w:val="center"/>
              <w:rPr>
                <w:noProof/>
                <w:sz w:val="22"/>
                <w:szCs w:val="22"/>
                <w:lang w:eastAsia="en-IE"/>
              </w:rPr>
            </w:pPr>
            <w:r w:rsidRPr="00244D65">
              <w:rPr>
                <w:noProof/>
                <w:sz w:val="22"/>
                <w:szCs w:val="22"/>
                <w:lang w:eastAsia="en-IE"/>
              </w:rPr>
              <w:t>X</w:t>
            </w:r>
          </w:p>
        </w:tc>
        <w:tc>
          <w:tcPr>
            <w:tcW w:w="705" w:type="dxa"/>
            <w:vAlign w:val="center"/>
          </w:tcPr>
          <w:p w14:paraId="721C4266" w14:textId="77777777" w:rsidR="000E09DE" w:rsidRPr="00244D65" w:rsidRDefault="000E09DE" w:rsidP="0085595C">
            <w:pPr>
              <w:jc w:val="center"/>
              <w:rPr>
                <w:noProof/>
                <w:sz w:val="22"/>
                <w:szCs w:val="22"/>
                <w:lang w:eastAsia="en-IE"/>
              </w:rPr>
            </w:pPr>
            <w:r w:rsidRPr="00244D65">
              <w:rPr>
                <w:noProof/>
                <w:sz w:val="22"/>
                <w:szCs w:val="22"/>
                <w:lang w:eastAsia="en-IE"/>
              </w:rPr>
              <w:t>X</w:t>
            </w:r>
          </w:p>
        </w:tc>
        <w:tc>
          <w:tcPr>
            <w:tcW w:w="756" w:type="dxa"/>
            <w:vAlign w:val="center"/>
          </w:tcPr>
          <w:p w14:paraId="412C467B" w14:textId="77777777" w:rsidR="000E09DE" w:rsidRPr="00244D65" w:rsidRDefault="000E09DE" w:rsidP="0085595C">
            <w:pPr>
              <w:jc w:val="center"/>
              <w:rPr>
                <w:noProof/>
                <w:sz w:val="22"/>
                <w:szCs w:val="22"/>
                <w:lang w:eastAsia="en-IE"/>
              </w:rPr>
            </w:pPr>
            <w:r w:rsidRPr="00244D65">
              <w:rPr>
                <w:noProof/>
                <w:sz w:val="22"/>
                <w:szCs w:val="22"/>
                <w:lang w:eastAsia="en-IE"/>
              </w:rPr>
              <w:t>X</w:t>
            </w:r>
          </w:p>
        </w:tc>
      </w:tr>
      <w:tr w:rsidR="00FF6AA6" w:rsidRPr="00244D65" w14:paraId="4ED591DF" w14:textId="77777777" w:rsidTr="1CF5063F">
        <w:trPr>
          <w:cantSplit/>
          <w:trHeight w:val="314"/>
        </w:trPr>
        <w:tc>
          <w:tcPr>
            <w:tcW w:w="1975" w:type="dxa"/>
            <w:vMerge w:val="restart"/>
            <w:vAlign w:val="center"/>
          </w:tcPr>
          <w:p w14:paraId="326F6B39" w14:textId="77777777" w:rsidR="000E09DE" w:rsidRPr="00244D65" w:rsidRDefault="000E09DE" w:rsidP="0085595C">
            <w:pPr>
              <w:jc w:val="center"/>
              <w:rPr>
                <w:b/>
                <w:bCs/>
                <w:noProof/>
                <w:sz w:val="22"/>
                <w:szCs w:val="22"/>
                <w:lang w:eastAsia="en-IE"/>
              </w:rPr>
            </w:pPr>
            <w:r w:rsidRPr="00244D65">
              <w:rPr>
                <w:b/>
                <w:bCs/>
                <w:noProof/>
                <w:sz w:val="22"/>
                <w:szCs w:val="22"/>
                <w:lang w:eastAsia="en-IE"/>
              </w:rPr>
              <w:t>Maritime - Derogations</w:t>
            </w:r>
          </w:p>
        </w:tc>
        <w:tc>
          <w:tcPr>
            <w:tcW w:w="4630" w:type="dxa"/>
            <w:vAlign w:val="center"/>
          </w:tcPr>
          <w:p w14:paraId="77712619" w14:textId="3453954D" w:rsidR="000E09DE" w:rsidRPr="00244D65" w:rsidRDefault="000E09DE" w:rsidP="0085595C">
            <w:pPr>
              <w:rPr>
                <w:noProof/>
                <w:sz w:val="22"/>
                <w:szCs w:val="22"/>
                <w:lang w:eastAsia="en-IE"/>
              </w:rPr>
            </w:pPr>
            <w:r w:rsidRPr="00244D65">
              <w:rPr>
                <w:noProof/>
                <w:sz w:val="22"/>
                <w:szCs w:val="22"/>
                <w:lang w:eastAsia="en-IE"/>
              </w:rPr>
              <w:t>DE0: no extension of derogations</w:t>
            </w:r>
            <w:r w:rsidR="000C653C" w:rsidRPr="00244D65">
              <w:rPr>
                <w:noProof/>
                <w:sz w:val="22"/>
                <w:szCs w:val="22"/>
                <w:lang w:eastAsia="en-IE"/>
              </w:rPr>
              <w:t xml:space="preserve"> </w:t>
            </w:r>
          </w:p>
        </w:tc>
        <w:tc>
          <w:tcPr>
            <w:tcW w:w="675" w:type="dxa"/>
            <w:vAlign w:val="center"/>
          </w:tcPr>
          <w:p w14:paraId="4ACF765B" w14:textId="77777777" w:rsidR="000E09DE" w:rsidRPr="00244D65" w:rsidRDefault="000E09DE" w:rsidP="0085595C">
            <w:pPr>
              <w:jc w:val="center"/>
              <w:rPr>
                <w:noProof/>
                <w:sz w:val="22"/>
                <w:szCs w:val="22"/>
                <w:lang w:eastAsia="en-IE"/>
              </w:rPr>
            </w:pPr>
            <w:r w:rsidRPr="00244D65" w:rsidDel="00057FE2">
              <w:rPr>
                <w:noProof/>
                <w:sz w:val="22"/>
                <w:szCs w:val="22"/>
                <w:lang w:eastAsia="en-IE"/>
              </w:rPr>
              <w:t>X</w:t>
            </w:r>
          </w:p>
        </w:tc>
        <w:tc>
          <w:tcPr>
            <w:tcW w:w="705" w:type="dxa"/>
            <w:vAlign w:val="center"/>
          </w:tcPr>
          <w:p w14:paraId="13FC62D8" w14:textId="77777777" w:rsidR="000E09DE" w:rsidRPr="00244D65" w:rsidRDefault="000E09DE" w:rsidP="0085595C">
            <w:pPr>
              <w:jc w:val="center"/>
              <w:rPr>
                <w:noProof/>
                <w:sz w:val="22"/>
                <w:szCs w:val="22"/>
                <w:lang w:eastAsia="en-IE"/>
              </w:rPr>
            </w:pPr>
          </w:p>
        </w:tc>
        <w:tc>
          <w:tcPr>
            <w:tcW w:w="756" w:type="dxa"/>
            <w:vAlign w:val="center"/>
          </w:tcPr>
          <w:p w14:paraId="5468AD84" w14:textId="77777777" w:rsidR="000E09DE" w:rsidRPr="00244D65" w:rsidRDefault="000E09DE" w:rsidP="0085595C">
            <w:pPr>
              <w:jc w:val="center"/>
              <w:rPr>
                <w:noProof/>
                <w:sz w:val="22"/>
                <w:szCs w:val="22"/>
                <w:lang w:eastAsia="en-IE"/>
              </w:rPr>
            </w:pPr>
          </w:p>
        </w:tc>
      </w:tr>
      <w:tr w:rsidR="00FF6AA6" w:rsidRPr="00244D65" w14:paraId="7A2B75D8" w14:textId="77777777" w:rsidTr="1CF5063F">
        <w:trPr>
          <w:cantSplit/>
          <w:trHeight w:val="314"/>
        </w:trPr>
        <w:tc>
          <w:tcPr>
            <w:tcW w:w="1975" w:type="dxa"/>
            <w:vMerge/>
            <w:vAlign w:val="center"/>
          </w:tcPr>
          <w:p w14:paraId="7249E795" w14:textId="77777777" w:rsidR="000E09DE" w:rsidRPr="00244D65" w:rsidRDefault="000E09DE" w:rsidP="0085595C">
            <w:pPr>
              <w:jc w:val="center"/>
              <w:rPr>
                <w:b/>
                <w:bCs/>
                <w:noProof/>
                <w:sz w:val="22"/>
                <w:szCs w:val="22"/>
                <w:lang w:eastAsia="en-IE"/>
              </w:rPr>
            </w:pPr>
          </w:p>
        </w:tc>
        <w:tc>
          <w:tcPr>
            <w:tcW w:w="4630" w:type="dxa"/>
            <w:vAlign w:val="center"/>
          </w:tcPr>
          <w:p w14:paraId="18463B96" w14:textId="77777777" w:rsidR="000E09DE" w:rsidRPr="00244D65" w:rsidRDefault="000E09DE" w:rsidP="0085595C">
            <w:pPr>
              <w:rPr>
                <w:noProof/>
                <w:sz w:val="22"/>
                <w:szCs w:val="22"/>
                <w:lang w:eastAsia="en-IE"/>
              </w:rPr>
            </w:pPr>
            <w:r w:rsidRPr="00244D65">
              <w:rPr>
                <w:noProof/>
                <w:sz w:val="22"/>
                <w:szCs w:val="22"/>
                <w:lang w:eastAsia="en-IE"/>
              </w:rPr>
              <w:t xml:space="preserve">DE1: </w:t>
            </w:r>
            <w:r w:rsidRPr="00244D65" w:rsidDel="00057FE2">
              <w:rPr>
                <w:noProof/>
                <w:sz w:val="22"/>
                <w:szCs w:val="22"/>
                <w:lang w:eastAsia="en-IE"/>
              </w:rPr>
              <w:t>Extension of derogations for limited time </w:t>
            </w:r>
          </w:p>
        </w:tc>
        <w:tc>
          <w:tcPr>
            <w:tcW w:w="675" w:type="dxa"/>
            <w:vAlign w:val="center"/>
          </w:tcPr>
          <w:p w14:paraId="5968B817" w14:textId="77777777" w:rsidR="000E09DE" w:rsidRPr="00244D65" w:rsidRDefault="000E09DE" w:rsidP="0085595C">
            <w:pPr>
              <w:jc w:val="center"/>
              <w:rPr>
                <w:noProof/>
                <w:sz w:val="22"/>
                <w:szCs w:val="22"/>
                <w:lang w:eastAsia="en-IE"/>
              </w:rPr>
            </w:pPr>
          </w:p>
        </w:tc>
        <w:tc>
          <w:tcPr>
            <w:tcW w:w="705" w:type="dxa"/>
            <w:vAlign w:val="center"/>
          </w:tcPr>
          <w:p w14:paraId="216B38F4" w14:textId="77777777" w:rsidR="000E09DE" w:rsidRPr="00244D65" w:rsidRDefault="000E09DE" w:rsidP="0085595C">
            <w:pPr>
              <w:jc w:val="center"/>
              <w:rPr>
                <w:noProof/>
                <w:sz w:val="22"/>
                <w:szCs w:val="22"/>
                <w:lang w:eastAsia="en-IE"/>
              </w:rPr>
            </w:pPr>
            <w:r w:rsidRPr="00244D65">
              <w:rPr>
                <w:noProof/>
                <w:sz w:val="22"/>
                <w:szCs w:val="22"/>
                <w:lang w:eastAsia="en-IE"/>
              </w:rPr>
              <w:t>X</w:t>
            </w:r>
          </w:p>
        </w:tc>
        <w:tc>
          <w:tcPr>
            <w:tcW w:w="756" w:type="dxa"/>
            <w:vAlign w:val="center"/>
          </w:tcPr>
          <w:p w14:paraId="2974A004" w14:textId="77777777" w:rsidR="000E09DE" w:rsidRPr="00244D65" w:rsidRDefault="000E09DE" w:rsidP="0085595C">
            <w:pPr>
              <w:jc w:val="center"/>
              <w:rPr>
                <w:noProof/>
                <w:sz w:val="22"/>
                <w:szCs w:val="22"/>
                <w:lang w:eastAsia="en-IE"/>
              </w:rPr>
            </w:pPr>
            <w:r w:rsidRPr="00244D65">
              <w:rPr>
                <w:noProof/>
                <w:sz w:val="22"/>
                <w:szCs w:val="22"/>
                <w:lang w:eastAsia="en-IE"/>
              </w:rPr>
              <w:t>X</w:t>
            </w:r>
          </w:p>
        </w:tc>
      </w:tr>
      <w:tr w:rsidR="004D24F8" w:rsidRPr="00244D65" w14:paraId="5EBBC5EE" w14:textId="77777777" w:rsidTr="1CF5063F">
        <w:trPr>
          <w:cantSplit/>
          <w:trHeight w:val="314"/>
        </w:trPr>
        <w:tc>
          <w:tcPr>
            <w:tcW w:w="1975" w:type="dxa"/>
            <w:vMerge w:val="restart"/>
            <w:tcBorders>
              <w:top w:val="single" w:sz="8" w:space="0" w:color="000000" w:themeColor="text1"/>
              <w:left w:val="single" w:sz="8" w:space="0" w:color="000000" w:themeColor="text1"/>
              <w:right w:val="single" w:sz="8" w:space="0" w:color="000000" w:themeColor="text1"/>
            </w:tcBorders>
            <w:vAlign w:val="center"/>
          </w:tcPr>
          <w:p w14:paraId="57EA372A" w14:textId="31406F89" w:rsidR="00A66416" w:rsidRPr="00244D65" w:rsidRDefault="00A66416" w:rsidP="0085595C">
            <w:pPr>
              <w:jc w:val="center"/>
              <w:rPr>
                <w:b/>
                <w:noProof/>
                <w:sz w:val="22"/>
                <w:szCs w:val="22"/>
                <w:lang w:eastAsia="en-IE"/>
              </w:rPr>
            </w:pPr>
            <w:r w:rsidRPr="00244D65">
              <w:rPr>
                <w:b/>
                <w:noProof/>
                <w:sz w:val="22"/>
                <w:szCs w:val="22"/>
                <w:lang w:eastAsia="en-IE"/>
              </w:rPr>
              <w:t>Maritime – IMO adjustments</w:t>
            </w:r>
          </w:p>
        </w:tc>
        <w:tc>
          <w:tcPr>
            <w:tcW w:w="463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F531AC7" w14:textId="541006BE" w:rsidR="00A66416" w:rsidRPr="00244D65" w:rsidRDefault="00A66416" w:rsidP="0085595C">
            <w:pPr>
              <w:rPr>
                <w:noProof/>
                <w:sz w:val="22"/>
                <w:szCs w:val="22"/>
                <w:lang w:eastAsia="en-IE"/>
              </w:rPr>
            </w:pPr>
            <w:r w:rsidRPr="00244D65">
              <w:rPr>
                <w:noProof/>
                <w:sz w:val="22"/>
                <w:szCs w:val="22"/>
                <w:lang w:eastAsia="en-IE"/>
              </w:rPr>
              <w:t>IMO0: No adjustment</w:t>
            </w:r>
          </w:p>
        </w:tc>
        <w:tc>
          <w:tcPr>
            <w:tcW w:w="67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2372566" w14:textId="018402E6" w:rsidR="00A66416" w:rsidRPr="00244D65" w:rsidRDefault="00A66416" w:rsidP="0085595C">
            <w:pPr>
              <w:jc w:val="center"/>
              <w:rPr>
                <w:noProof/>
                <w:sz w:val="22"/>
                <w:szCs w:val="22"/>
                <w:lang w:eastAsia="en-IE"/>
              </w:rPr>
            </w:pPr>
            <w:r w:rsidRPr="00244D65">
              <w:rPr>
                <w:noProof/>
                <w:sz w:val="22"/>
                <w:szCs w:val="22"/>
                <w:lang w:eastAsia="en-IE"/>
              </w:rPr>
              <w:t>X</w:t>
            </w:r>
          </w:p>
        </w:tc>
        <w:tc>
          <w:tcPr>
            <w:tcW w:w="70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8A2A37A" w14:textId="77777777" w:rsidR="00A66416" w:rsidRPr="00244D65" w:rsidRDefault="00A66416" w:rsidP="0085595C">
            <w:pPr>
              <w:jc w:val="center"/>
              <w:rPr>
                <w:noProof/>
                <w:sz w:val="22"/>
                <w:szCs w:val="22"/>
                <w:lang w:eastAsia="en-IE"/>
              </w:rPr>
            </w:pPr>
          </w:p>
        </w:tc>
        <w:tc>
          <w:tcPr>
            <w:tcW w:w="75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2666EF6" w14:textId="77777777" w:rsidR="00A66416" w:rsidRPr="00244D65" w:rsidRDefault="00A66416" w:rsidP="0085595C">
            <w:pPr>
              <w:jc w:val="center"/>
              <w:rPr>
                <w:noProof/>
                <w:sz w:val="22"/>
                <w:szCs w:val="22"/>
                <w:lang w:eastAsia="en-IE"/>
              </w:rPr>
            </w:pPr>
          </w:p>
        </w:tc>
      </w:tr>
      <w:tr w:rsidR="0038101F" w:rsidRPr="00244D65" w14:paraId="0C4D54CE" w14:textId="77777777" w:rsidTr="1CF5063F">
        <w:trPr>
          <w:cantSplit/>
          <w:trHeight w:val="648"/>
        </w:trPr>
        <w:tc>
          <w:tcPr>
            <w:tcW w:w="1975" w:type="dxa"/>
            <w:vMerge/>
            <w:vAlign w:val="bottom"/>
          </w:tcPr>
          <w:p w14:paraId="64A53152" w14:textId="77777777" w:rsidR="00A66416" w:rsidRPr="00244D65" w:rsidRDefault="00A66416" w:rsidP="0085595C">
            <w:pPr>
              <w:jc w:val="center"/>
              <w:rPr>
                <w:b/>
                <w:noProof/>
                <w:sz w:val="22"/>
                <w:szCs w:val="22"/>
                <w:lang w:eastAsia="en-IE"/>
              </w:rPr>
            </w:pPr>
          </w:p>
        </w:tc>
        <w:tc>
          <w:tcPr>
            <w:tcW w:w="4630" w:type="dxa"/>
            <w:tcBorders>
              <w:top w:val="single" w:sz="8" w:space="0" w:color="000000" w:themeColor="text1"/>
              <w:left w:val="single" w:sz="8" w:space="0" w:color="000000" w:themeColor="text1"/>
              <w:right w:val="single" w:sz="8" w:space="0" w:color="000000" w:themeColor="text1"/>
            </w:tcBorders>
            <w:vAlign w:val="center"/>
          </w:tcPr>
          <w:p w14:paraId="30620C47" w14:textId="32CBD14D" w:rsidR="00A66416" w:rsidRPr="00244D65" w:rsidRDefault="00A66416" w:rsidP="0085595C">
            <w:pPr>
              <w:rPr>
                <w:noProof/>
                <w:sz w:val="22"/>
                <w:szCs w:val="22"/>
                <w:lang w:eastAsia="en-IE"/>
              </w:rPr>
            </w:pPr>
            <w:r w:rsidRPr="00244D65">
              <w:rPr>
                <w:noProof/>
                <w:sz w:val="22"/>
                <w:szCs w:val="22"/>
                <w:lang w:eastAsia="en-IE"/>
              </w:rPr>
              <w:t xml:space="preserve">IMO1: Deduction </w:t>
            </w:r>
            <w:r w:rsidRPr="00244D65">
              <w:rPr>
                <w:rFonts w:eastAsia="Times New Roman"/>
                <w:noProof/>
                <w:sz w:val="22"/>
                <w:szCs w:val="22"/>
              </w:rPr>
              <w:t xml:space="preserve">from the </w:t>
            </w:r>
            <w:r w:rsidR="00C344BF" w:rsidRPr="00244D65">
              <w:rPr>
                <w:rFonts w:eastAsia="Times New Roman"/>
                <w:noProof/>
                <w:sz w:val="22"/>
                <w:szCs w:val="22"/>
              </w:rPr>
              <w:t>ETS</w:t>
            </w:r>
            <w:r w:rsidRPr="00244D65">
              <w:rPr>
                <w:rFonts w:eastAsia="Times New Roman"/>
                <w:noProof/>
                <w:sz w:val="22"/>
                <w:szCs w:val="22"/>
              </w:rPr>
              <w:t xml:space="preserve"> surrendering obligations of </w:t>
            </w:r>
            <w:r w:rsidRPr="00244D65">
              <w:rPr>
                <w:noProof/>
                <w:sz w:val="22"/>
                <w:szCs w:val="22"/>
                <w:lang w:eastAsia="en-IE"/>
              </w:rPr>
              <w:t>emissions </w:t>
            </w:r>
            <w:r w:rsidR="000D0948" w:rsidRPr="00244D65">
              <w:rPr>
                <w:noProof/>
                <w:sz w:val="22"/>
                <w:szCs w:val="22"/>
                <w:lang w:eastAsia="en-IE"/>
              </w:rPr>
              <w:t xml:space="preserve">subject to </w:t>
            </w:r>
            <w:r w:rsidR="00C344BF" w:rsidRPr="00244D65">
              <w:rPr>
                <w:noProof/>
                <w:sz w:val="22"/>
                <w:szCs w:val="22"/>
                <w:lang w:eastAsia="en-IE"/>
              </w:rPr>
              <w:t>pricing</w:t>
            </w:r>
            <w:r w:rsidRPr="00244D65">
              <w:rPr>
                <w:noProof/>
                <w:sz w:val="22"/>
                <w:szCs w:val="22"/>
                <w:lang w:eastAsia="en-IE"/>
              </w:rPr>
              <w:t xml:space="preserve"> by IMO.</w:t>
            </w:r>
          </w:p>
        </w:tc>
        <w:tc>
          <w:tcPr>
            <w:tcW w:w="675" w:type="dxa"/>
            <w:tcBorders>
              <w:top w:val="single" w:sz="8" w:space="0" w:color="000000" w:themeColor="text1"/>
              <w:left w:val="single" w:sz="8" w:space="0" w:color="000000" w:themeColor="text1"/>
              <w:right w:val="single" w:sz="8" w:space="0" w:color="000000" w:themeColor="text1"/>
            </w:tcBorders>
            <w:vAlign w:val="center"/>
          </w:tcPr>
          <w:p w14:paraId="3C7DD270" w14:textId="77777777" w:rsidR="00A66416" w:rsidRPr="00244D65" w:rsidRDefault="00A66416" w:rsidP="0085595C">
            <w:pPr>
              <w:jc w:val="center"/>
              <w:rPr>
                <w:noProof/>
                <w:sz w:val="22"/>
                <w:szCs w:val="22"/>
                <w:lang w:eastAsia="en-IE"/>
              </w:rPr>
            </w:pPr>
          </w:p>
        </w:tc>
        <w:tc>
          <w:tcPr>
            <w:tcW w:w="705" w:type="dxa"/>
            <w:tcBorders>
              <w:top w:val="single" w:sz="8" w:space="0" w:color="000000" w:themeColor="text1"/>
              <w:left w:val="single" w:sz="8" w:space="0" w:color="000000" w:themeColor="text1"/>
              <w:right w:val="single" w:sz="8" w:space="0" w:color="000000" w:themeColor="text1"/>
            </w:tcBorders>
            <w:vAlign w:val="center"/>
          </w:tcPr>
          <w:p w14:paraId="41FEF9F0" w14:textId="0F4C913C" w:rsidR="00A66416" w:rsidRPr="00244D65" w:rsidRDefault="00A66416" w:rsidP="0085595C">
            <w:pPr>
              <w:jc w:val="center"/>
              <w:rPr>
                <w:noProof/>
                <w:sz w:val="22"/>
                <w:szCs w:val="22"/>
                <w:lang w:eastAsia="en-IE"/>
              </w:rPr>
            </w:pPr>
            <w:r w:rsidRPr="00244D65">
              <w:rPr>
                <w:noProof/>
                <w:sz w:val="22"/>
                <w:szCs w:val="22"/>
                <w:lang w:eastAsia="en-IE"/>
              </w:rPr>
              <w:t>X</w:t>
            </w:r>
          </w:p>
        </w:tc>
        <w:tc>
          <w:tcPr>
            <w:tcW w:w="756" w:type="dxa"/>
            <w:tcBorders>
              <w:top w:val="single" w:sz="8" w:space="0" w:color="000000" w:themeColor="text1"/>
              <w:left w:val="single" w:sz="8" w:space="0" w:color="000000" w:themeColor="text1"/>
              <w:right w:val="single" w:sz="8" w:space="0" w:color="000000" w:themeColor="text1"/>
            </w:tcBorders>
            <w:vAlign w:val="center"/>
          </w:tcPr>
          <w:p w14:paraId="6DC75190" w14:textId="5D4FBFE9" w:rsidR="00A66416" w:rsidRPr="00244D65" w:rsidRDefault="00A66416" w:rsidP="0085595C">
            <w:pPr>
              <w:jc w:val="center"/>
              <w:rPr>
                <w:noProof/>
                <w:sz w:val="22"/>
                <w:szCs w:val="22"/>
                <w:lang w:eastAsia="en-IE"/>
              </w:rPr>
            </w:pPr>
            <w:r w:rsidRPr="00244D65">
              <w:rPr>
                <w:noProof/>
                <w:sz w:val="22"/>
                <w:szCs w:val="22"/>
                <w:lang w:eastAsia="en-IE"/>
              </w:rPr>
              <w:t>X</w:t>
            </w:r>
          </w:p>
        </w:tc>
      </w:tr>
      <w:tr w:rsidR="0038101F" w:rsidRPr="00244D65" w14:paraId="260B0A94" w14:textId="77777777" w:rsidTr="1CF5063F">
        <w:trPr>
          <w:cantSplit/>
          <w:trHeight w:val="314"/>
        </w:trPr>
        <w:tc>
          <w:tcPr>
            <w:tcW w:w="1975"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vAlign w:val="bottom"/>
          </w:tcPr>
          <w:p w14:paraId="64DAE2B4" w14:textId="77777777" w:rsidR="00A66416" w:rsidRPr="00244D65" w:rsidRDefault="00A66416" w:rsidP="0085595C">
            <w:pPr>
              <w:jc w:val="center"/>
              <w:rPr>
                <w:b/>
                <w:bCs/>
                <w:noProof/>
                <w:sz w:val="22"/>
                <w:szCs w:val="22"/>
                <w:lang w:eastAsia="en-IE"/>
              </w:rPr>
            </w:pPr>
            <w:r w:rsidRPr="00244D65">
              <w:rPr>
                <w:b/>
                <w:bCs/>
                <w:noProof/>
                <w:sz w:val="22"/>
                <w:szCs w:val="22"/>
                <w:lang w:eastAsia="en-IE"/>
              </w:rPr>
              <w:t>Maritime - Smaller Ships</w:t>
            </w:r>
          </w:p>
          <w:p w14:paraId="21768ECC" w14:textId="16C69E6D" w:rsidR="00A66416" w:rsidRPr="00244D65" w:rsidRDefault="00A66416" w:rsidP="0085595C">
            <w:pPr>
              <w:rPr>
                <w:b/>
                <w:bCs/>
                <w:noProof/>
                <w:sz w:val="22"/>
                <w:szCs w:val="22"/>
                <w:lang w:eastAsia="en-IE"/>
              </w:rPr>
            </w:pPr>
          </w:p>
        </w:tc>
        <w:tc>
          <w:tcPr>
            <w:tcW w:w="463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C50DB0F" w14:textId="5029584E" w:rsidR="00A66416" w:rsidRPr="00244D65" w:rsidRDefault="00A66416" w:rsidP="0085595C">
            <w:pPr>
              <w:rPr>
                <w:noProof/>
                <w:sz w:val="22"/>
                <w:szCs w:val="22"/>
                <w:lang w:eastAsia="en-IE"/>
              </w:rPr>
            </w:pPr>
            <w:r w:rsidRPr="00244D65">
              <w:rPr>
                <w:noProof/>
                <w:sz w:val="22"/>
                <w:szCs w:val="22"/>
                <w:lang w:eastAsia="en-IE"/>
              </w:rPr>
              <w:t xml:space="preserve">MSS0: The existing scope </w:t>
            </w:r>
            <w:r w:rsidR="00932B24" w:rsidRPr="00244D65">
              <w:rPr>
                <w:noProof/>
                <w:sz w:val="22"/>
                <w:szCs w:val="22"/>
                <w:lang w:eastAsia="en-IE"/>
              </w:rPr>
              <w:t>in terms of</w:t>
            </w:r>
            <w:r w:rsidRPr="00244D65">
              <w:rPr>
                <w:noProof/>
                <w:sz w:val="22"/>
                <w:szCs w:val="22"/>
                <w:lang w:eastAsia="en-IE"/>
              </w:rPr>
              <w:t xml:space="preserve"> ship categories and sizes remains unchanged</w:t>
            </w:r>
          </w:p>
        </w:tc>
        <w:tc>
          <w:tcPr>
            <w:tcW w:w="67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4F0BC12" w14:textId="77777777" w:rsidR="00A66416" w:rsidRPr="00244D65" w:rsidRDefault="00A66416" w:rsidP="0085595C">
            <w:pPr>
              <w:jc w:val="center"/>
              <w:rPr>
                <w:noProof/>
                <w:sz w:val="22"/>
                <w:szCs w:val="22"/>
                <w:lang w:eastAsia="en-IE"/>
              </w:rPr>
            </w:pPr>
            <w:r w:rsidRPr="00244D65">
              <w:rPr>
                <w:noProof/>
                <w:sz w:val="22"/>
                <w:szCs w:val="22"/>
                <w:lang w:eastAsia="en-IE"/>
              </w:rPr>
              <w:t>X</w:t>
            </w:r>
          </w:p>
        </w:tc>
        <w:tc>
          <w:tcPr>
            <w:tcW w:w="70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26BCE6A" w14:textId="77777777" w:rsidR="00A66416" w:rsidRPr="00244D65" w:rsidRDefault="00A66416" w:rsidP="0085595C">
            <w:pPr>
              <w:jc w:val="center"/>
              <w:rPr>
                <w:noProof/>
                <w:sz w:val="22"/>
                <w:szCs w:val="22"/>
                <w:lang w:eastAsia="en-IE"/>
              </w:rPr>
            </w:pPr>
          </w:p>
        </w:tc>
        <w:tc>
          <w:tcPr>
            <w:tcW w:w="75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CDA841C" w14:textId="77777777" w:rsidR="00A66416" w:rsidRPr="00244D65" w:rsidRDefault="00A66416" w:rsidP="0085595C">
            <w:pPr>
              <w:jc w:val="center"/>
              <w:rPr>
                <w:noProof/>
                <w:sz w:val="22"/>
                <w:szCs w:val="22"/>
                <w:lang w:eastAsia="en-IE"/>
              </w:rPr>
            </w:pPr>
          </w:p>
        </w:tc>
      </w:tr>
      <w:tr w:rsidR="00FF6AA6" w:rsidRPr="00244D65" w14:paraId="02E54E52" w14:textId="77777777" w:rsidTr="1CF5063F">
        <w:trPr>
          <w:cantSplit/>
          <w:trHeight w:val="314"/>
        </w:trPr>
        <w:tc>
          <w:tcPr>
            <w:tcW w:w="1975" w:type="dxa"/>
            <w:vMerge/>
            <w:vAlign w:val="center"/>
          </w:tcPr>
          <w:p w14:paraId="10A19288" w14:textId="77777777" w:rsidR="00A66416" w:rsidRPr="00244D65" w:rsidRDefault="00A66416" w:rsidP="0085595C">
            <w:pPr>
              <w:jc w:val="center"/>
              <w:rPr>
                <w:noProof/>
                <w:sz w:val="22"/>
                <w:szCs w:val="22"/>
                <w:lang w:eastAsia="en-IE"/>
              </w:rPr>
            </w:pPr>
          </w:p>
        </w:tc>
        <w:tc>
          <w:tcPr>
            <w:tcW w:w="4630" w:type="dxa"/>
            <w:vAlign w:val="center"/>
          </w:tcPr>
          <w:p w14:paraId="217F18D1" w14:textId="61AFFC01" w:rsidR="00A66416" w:rsidRPr="00244D65" w:rsidRDefault="00A66416" w:rsidP="0085595C">
            <w:pPr>
              <w:rPr>
                <w:noProof/>
                <w:sz w:val="22"/>
                <w:szCs w:val="22"/>
                <w:lang w:eastAsia="en-IE"/>
              </w:rPr>
            </w:pPr>
            <w:r w:rsidRPr="00244D65">
              <w:rPr>
                <w:noProof/>
                <w:sz w:val="22"/>
                <w:szCs w:val="22"/>
                <w:lang w:eastAsia="en-IE"/>
              </w:rPr>
              <w:t xml:space="preserve">MSS1: </w:t>
            </w:r>
            <w:r w:rsidR="69997421" w:rsidRPr="00244D65">
              <w:rPr>
                <w:noProof/>
                <w:sz w:val="22"/>
                <w:szCs w:val="22"/>
                <w:lang w:eastAsia="en-IE"/>
              </w:rPr>
              <w:t xml:space="preserve">Targeted </w:t>
            </w:r>
            <w:r w:rsidR="59A33892" w:rsidRPr="00244D65">
              <w:rPr>
                <w:noProof/>
                <w:sz w:val="22"/>
                <w:szCs w:val="22"/>
                <w:lang w:eastAsia="en-IE"/>
              </w:rPr>
              <w:t>extension</w:t>
            </w:r>
            <w:r w:rsidRPr="00244D65">
              <w:rPr>
                <w:noProof/>
                <w:sz w:val="22"/>
                <w:szCs w:val="22"/>
                <w:lang w:eastAsia="en-IE"/>
              </w:rPr>
              <w:t xml:space="preserve"> of the scope of the EU ETS to </w:t>
            </w:r>
            <w:r w:rsidR="1BD5DD16" w:rsidRPr="00244D65">
              <w:rPr>
                <w:noProof/>
                <w:sz w:val="22"/>
                <w:szCs w:val="22"/>
                <w:lang w:eastAsia="en-IE"/>
              </w:rPr>
              <w:t xml:space="preserve">emissions from </w:t>
            </w:r>
            <w:r w:rsidR="006241F0" w:rsidRPr="00244D65">
              <w:rPr>
                <w:noProof/>
                <w:sz w:val="22"/>
                <w:szCs w:val="22"/>
                <w:lang w:eastAsia="en-IE"/>
              </w:rPr>
              <w:t xml:space="preserve">smaller </w:t>
            </w:r>
            <w:r w:rsidR="1BD5DD16" w:rsidRPr="00244D65">
              <w:rPr>
                <w:noProof/>
                <w:sz w:val="22"/>
                <w:szCs w:val="22"/>
                <w:lang w:eastAsia="en-IE"/>
              </w:rPr>
              <w:t>ships, by</w:t>
            </w:r>
            <w:r w:rsidRPr="00244D65">
              <w:rPr>
                <w:noProof/>
                <w:sz w:val="22"/>
                <w:szCs w:val="22"/>
                <w:lang w:eastAsia="en-IE"/>
              </w:rPr>
              <w:t xml:space="preserve"> includ</w:t>
            </w:r>
            <w:r w:rsidR="22222B6A" w:rsidRPr="00244D65">
              <w:rPr>
                <w:noProof/>
                <w:sz w:val="22"/>
                <w:szCs w:val="22"/>
                <w:lang w:eastAsia="en-IE"/>
              </w:rPr>
              <w:t>ing</w:t>
            </w:r>
            <w:r w:rsidRPr="00244D65">
              <w:rPr>
                <w:noProof/>
                <w:sz w:val="22"/>
                <w:szCs w:val="22"/>
                <w:lang w:eastAsia="en-IE"/>
              </w:rPr>
              <w:t xml:space="preserve"> ship categories emitting the most among small ship categories </w:t>
            </w:r>
          </w:p>
        </w:tc>
        <w:tc>
          <w:tcPr>
            <w:tcW w:w="675" w:type="dxa"/>
            <w:vAlign w:val="center"/>
          </w:tcPr>
          <w:p w14:paraId="23E7C040" w14:textId="77777777" w:rsidR="00A66416" w:rsidRPr="00244D65" w:rsidRDefault="00A66416" w:rsidP="0085595C">
            <w:pPr>
              <w:jc w:val="center"/>
              <w:rPr>
                <w:noProof/>
                <w:sz w:val="22"/>
                <w:szCs w:val="22"/>
                <w:lang w:eastAsia="en-IE"/>
              </w:rPr>
            </w:pPr>
          </w:p>
        </w:tc>
        <w:tc>
          <w:tcPr>
            <w:tcW w:w="705" w:type="dxa"/>
            <w:vAlign w:val="center"/>
          </w:tcPr>
          <w:p w14:paraId="0CC7252E" w14:textId="77777777" w:rsidR="00A66416" w:rsidRPr="00244D65" w:rsidRDefault="00A66416" w:rsidP="0085595C">
            <w:pPr>
              <w:jc w:val="center"/>
              <w:rPr>
                <w:noProof/>
                <w:sz w:val="22"/>
                <w:szCs w:val="22"/>
                <w:lang w:eastAsia="en-IE"/>
              </w:rPr>
            </w:pPr>
            <w:r w:rsidRPr="00244D65">
              <w:rPr>
                <w:noProof/>
                <w:sz w:val="22"/>
                <w:szCs w:val="22"/>
                <w:lang w:eastAsia="en-IE"/>
              </w:rPr>
              <w:t>X</w:t>
            </w:r>
          </w:p>
        </w:tc>
        <w:tc>
          <w:tcPr>
            <w:tcW w:w="756" w:type="dxa"/>
            <w:vAlign w:val="center"/>
          </w:tcPr>
          <w:p w14:paraId="4EEA0597" w14:textId="77777777" w:rsidR="00A66416" w:rsidRPr="00244D65" w:rsidRDefault="00A66416" w:rsidP="0085595C">
            <w:pPr>
              <w:jc w:val="center"/>
              <w:rPr>
                <w:noProof/>
                <w:sz w:val="22"/>
                <w:szCs w:val="22"/>
                <w:lang w:eastAsia="en-IE"/>
              </w:rPr>
            </w:pPr>
          </w:p>
        </w:tc>
      </w:tr>
      <w:tr w:rsidR="00FF6AA6" w:rsidRPr="00244D65" w14:paraId="12195411" w14:textId="77777777" w:rsidTr="1CF5063F">
        <w:trPr>
          <w:cantSplit/>
          <w:trHeight w:val="314"/>
        </w:trPr>
        <w:tc>
          <w:tcPr>
            <w:tcW w:w="1975" w:type="dxa"/>
            <w:vMerge/>
            <w:vAlign w:val="center"/>
          </w:tcPr>
          <w:p w14:paraId="31FA58D0" w14:textId="77777777" w:rsidR="00A66416" w:rsidRPr="00244D65" w:rsidRDefault="00A66416" w:rsidP="0085595C">
            <w:pPr>
              <w:jc w:val="center"/>
              <w:rPr>
                <w:noProof/>
                <w:sz w:val="22"/>
                <w:szCs w:val="22"/>
                <w:lang w:eastAsia="en-IE"/>
              </w:rPr>
            </w:pPr>
          </w:p>
        </w:tc>
        <w:tc>
          <w:tcPr>
            <w:tcW w:w="4630" w:type="dxa"/>
            <w:vAlign w:val="center"/>
          </w:tcPr>
          <w:p w14:paraId="6C2DDFCE" w14:textId="05B46440" w:rsidR="00A66416" w:rsidRPr="00244D65" w:rsidRDefault="00A66416" w:rsidP="0085595C">
            <w:pPr>
              <w:rPr>
                <w:noProof/>
                <w:sz w:val="22"/>
                <w:szCs w:val="22"/>
                <w:lang w:eastAsia="en-IE"/>
              </w:rPr>
            </w:pPr>
            <w:r w:rsidRPr="00244D65">
              <w:rPr>
                <w:noProof/>
                <w:sz w:val="22"/>
                <w:szCs w:val="22"/>
                <w:lang w:eastAsia="en-IE"/>
              </w:rPr>
              <w:t xml:space="preserve">MSS2: Extension of the scope of the EU ETS to all </w:t>
            </w:r>
            <w:r w:rsidR="00204084" w:rsidRPr="00244D65">
              <w:rPr>
                <w:noProof/>
                <w:sz w:val="22"/>
                <w:szCs w:val="22"/>
                <w:lang w:eastAsia="en-IE"/>
              </w:rPr>
              <w:t xml:space="preserve">smaller </w:t>
            </w:r>
            <w:r w:rsidRPr="00244D65">
              <w:rPr>
                <w:noProof/>
                <w:sz w:val="22"/>
                <w:szCs w:val="22"/>
                <w:lang w:eastAsia="en-IE"/>
              </w:rPr>
              <w:t>vessel</w:t>
            </w:r>
            <w:r w:rsidR="00204084" w:rsidRPr="00244D65">
              <w:rPr>
                <w:noProof/>
                <w:sz w:val="22"/>
                <w:szCs w:val="22"/>
                <w:lang w:eastAsia="en-IE"/>
              </w:rPr>
              <w:t xml:space="preserve">s </w:t>
            </w:r>
            <w:r w:rsidR="00C9762A" w:rsidRPr="00244D65">
              <w:rPr>
                <w:noProof/>
                <w:sz w:val="22"/>
                <w:szCs w:val="22"/>
                <w:lang w:eastAsia="en-IE"/>
              </w:rPr>
              <w:t>(</w:t>
            </w:r>
            <w:r w:rsidR="00204084" w:rsidRPr="00244D65">
              <w:rPr>
                <w:noProof/>
                <w:sz w:val="22"/>
                <w:szCs w:val="22"/>
                <w:lang w:eastAsia="en-IE"/>
              </w:rPr>
              <w:t>from</w:t>
            </w:r>
            <w:r w:rsidRPr="00244D65">
              <w:rPr>
                <w:noProof/>
                <w:sz w:val="22"/>
                <w:szCs w:val="22"/>
                <w:lang w:eastAsia="en-IE"/>
              </w:rPr>
              <w:t xml:space="preserve"> </w:t>
            </w:r>
            <w:r w:rsidR="00E61073" w:rsidRPr="00244D65">
              <w:rPr>
                <w:noProof/>
                <w:sz w:val="22"/>
                <w:szCs w:val="22"/>
                <w:lang w:eastAsia="en-IE"/>
              </w:rPr>
              <w:t>cate</w:t>
            </w:r>
            <w:r w:rsidR="006A1F1A" w:rsidRPr="00244D65">
              <w:rPr>
                <w:noProof/>
                <w:sz w:val="22"/>
                <w:szCs w:val="22"/>
                <w:lang w:eastAsia="en-IE"/>
              </w:rPr>
              <w:t>gories</w:t>
            </w:r>
            <w:r w:rsidR="00E61073" w:rsidRPr="00244D65">
              <w:rPr>
                <w:noProof/>
                <w:sz w:val="22"/>
                <w:szCs w:val="22"/>
                <w:lang w:eastAsia="en-IE"/>
              </w:rPr>
              <w:t xml:space="preserve"> </w:t>
            </w:r>
            <w:r w:rsidRPr="00244D65">
              <w:rPr>
                <w:noProof/>
                <w:sz w:val="22"/>
                <w:szCs w:val="22"/>
                <w:lang w:eastAsia="en-IE"/>
              </w:rPr>
              <w:t>non-exempt from MRV, plus fishing vessels and non-commercial yachts</w:t>
            </w:r>
            <w:r w:rsidR="00C9762A" w:rsidRPr="00244D65">
              <w:rPr>
                <w:noProof/>
                <w:sz w:val="22"/>
                <w:szCs w:val="22"/>
                <w:lang w:eastAsia="en-IE"/>
              </w:rPr>
              <w:t>)</w:t>
            </w:r>
            <w:r w:rsidR="000C653C" w:rsidRPr="00244D65">
              <w:rPr>
                <w:noProof/>
                <w:sz w:val="22"/>
                <w:szCs w:val="22"/>
                <w:lang w:eastAsia="en-IE"/>
              </w:rPr>
              <w:t xml:space="preserve"> </w:t>
            </w:r>
          </w:p>
        </w:tc>
        <w:tc>
          <w:tcPr>
            <w:tcW w:w="675" w:type="dxa"/>
            <w:vAlign w:val="center"/>
          </w:tcPr>
          <w:p w14:paraId="36EFD42D" w14:textId="77777777" w:rsidR="00A66416" w:rsidRPr="00244D65" w:rsidRDefault="00A66416" w:rsidP="0085595C">
            <w:pPr>
              <w:jc w:val="center"/>
              <w:rPr>
                <w:noProof/>
                <w:sz w:val="22"/>
                <w:szCs w:val="22"/>
                <w:lang w:eastAsia="en-IE"/>
              </w:rPr>
            </w:pPr>
          </w:p>
        </w:tc>
        <w:tc>
          <w:tcPr>
            <w:tcW w:w="705" w:type="dxa"/>
            <w:vAlign w:val="center"/>
          </w:tcPr>
          <w:p w14:paraId="29ABA362" w14:textId="77777777" w:rsidR="00A66416" w:rsidRPr="00244D65" w:rsidRDefault="00A66416" w:rsidP="0085595C">
            <w:pPr>
              <w:jc w:val="center"/>
              <w:rPr>
                <w:noProof/>
                <w:sz w:val="22"/>
                <w:szCs w:val="22"/>
                <w:lang w:eastAsia="en-IE"/>
              </w:rPr>
            </w:pPr>
          </w:p>
        </w:tc>
        <w:tc>
          <w:tcPr>
            <w:tcW w:w="756" w:type="dxa"/>
            <w:vAlign w:val="center"/>
          </w:tcPr>
          <w:p w14:paraId="38A7A2B2" w14:textId="77777777" w:rsidR="00A66416" w:rsidRPr="00244D65" w:rsidRDefault="00A66416" w:rsidP="0085595C">
            <w:pPr>
              <w:jc w:val="center"/>
              <w:rPr>
                <w:noProof/>
                <w:sz w:val="22"/>
                <w:szCs w:val="22"/>
                <w:lang w:eastAsia="en-IE"/>
              </w:rPr>
            </w:pPr>
            <w:r w:rsidRPr="00244D65">
              <w:rPr>
                <w:noProof/>
                <w:sz w:val="22"/>
                <w:szCs w:val="22"/>
                <w:lang w:eastAsia="en-IE"/>
              </w:rPr>
              <w:t>X</w:t>
            </w:r>
          </w:p>
        </w:tc>
      </w:tr>
      <w:tr w:rsidR="00FF6AA6" w:rsidRPr="00244D65" w14:paraId="00B24BB4" w14:textId="77777777" w:rsidTr="1CF5063F">
        <w:trPr>
          <w:cantSplit/>
          <w:trHeight w:val="314"/>
        </w:trPr>
        <w:tc>
          <w:tcPr>
            <w:tcW w:w="1975" w:type="dxa"/>
            <w:vMerge w:val="restart"/>
            <w:vAlign w:val="center"/>
          </w:tcPr>
          <w:p w14:paraId="44CD155C" w14:textId="77777777" w:rsidR="00A66416" w:rsidRPr="00244D65" w:rsidRDefault="00A66416" w:rsidP="0085595C">
            <w:pPr>
              <w:jc w:val="center"/>
              <w:rPr>
                <w:b/>
                <w:bCs/>
                <w:noProof/>
                <w:sz w:val="22"/>
                <w:szCs w:val="22"/>
                <w:lang w:eastAsia="en-IE"/>
              </w:rPr>
            </w:pPr>
            <w:r w:rsidRPr="00244D65">
              <w:rPr>
                <w:b/>
                <w:bCs/>
                <w:noProof/>
                <w:sz w:val="22"/>
                <w:szCs w:val="22"/>
                <w:lang w:eastAsia="en-IE"/>
              </w:rPr>
              <w:t>Stationary installations - Carbon Leakage</w:t>
            </w:r>
          </w:p>
        </w:tc>
        <w:tc>
          <w:tcPr>
            <w:tcW w:w="4630" w:type="dxa"/>
            <w:vAlign w:val="center"/>
          </w:tcPr>
          <w:p w14:paraId="0AB93EDF" w14:textId="77777777" w:rsidR="00A66416" w:rsidRPr="00244D65" w:rsidRDefault="00A66416" w:rsidP="0085595C">
            <w:pPr>
              <w:rPr>
                <w:noProof/>
                <w:sz w:val="22"/>
                <w:szCs w:val="22"/>
                <w:lang w:eastAsia="en-IE"/>
              </w:rPr>
            </w:pPr>
            <w:r w:rsidRPr="00244D65">
              <w:rPr>
                <w:noProof/>
                <w:sz w:val="22"/>
                <w:szCs w:val="22"/>
                <w:lang w:eastAsia="en-IE"/>
              </w:rPr>
              <w:t>CL1: Improved current approach </w:t>
            </w:r>
          </w:p>
        </w:tc>
        <w:tc>
          <w:tcPr>
            <w:tcW w:w="675" w:type="dxa"/>
            <w:vAlign w:val="center"/>
          </w:tcPr>
          <w:p w14:paraId="7FAD9952" w14:textId="77777777" w:rsidR="00A66416" w:rsidRPr="00244D65" w:rsidRDefault="00A66416" w:rsidP="0085595C">
            <w:pPr>
              <w:jc w:val="center"/>
              <w:rPr>
                <w:noProof/>
                <w:sz w:val="22"/>
                <w:szCs w:val="22"/>
                <w:lang w:eastAsia="en-IE"/>
              </w:rPr>
            </w:pPr>
            <w:r w:rsidRPr="00244D65">
              <w:rPr>
                <w:noProof/>
                <w:sz w:val="22"/>
                <w:szCs w:val="22"/>
                <w:lang w:eastAsia="en-IE"/>
              </w:rPr>
              <w:t>X</w:t>
            </w:r>
          </w:p>
        </w:tc>
        <w:tc>
          <w:tcPr>
            <w:tcW w:w="705" w:type="dxa"/>
            <w:vAlign w:val="center"/>
          </w:tcPr>
          <w:p w14:paraId="41DFD45A" w14:textId="77777777" w:rsidR="00A66416" w:rsidRPr="00244D65" w:rsidRDefault="00A66416" w:rsidP="0085595C">
            <w:pPr>
              <w:jc w:val="center"/>
              <w:rPr>
                <w:noProof/>
                <w:sz w:val="22"/>
                <w:szCs w:val="22"/>
                <w:lang w:eastAsia="en-IE"/>
              </w:rPr>
            </w:pPr>
          </w:p>
        </w:tc>
        <w:tc>
          <w:tcPr>
            <w:tcW w:w="756" w:type="dxa"/>
            <w:vAlign w:val="center"/>
          </w:tcPr>
          <w:p w14:paraId="42E25A62" w14:textId="77777777" w:rsidR="00A66416" w:rsidRPr="00244D65" w:rsidRDefault="00A66416" w:rsidP="0085595C">
            <w:pPr>
              <w:jc w:val="center"/>
              <w:rPr>
                <w:noProof/>
                <w:sz w:val="22"/>
                <w:szCs w:val="22"/>
                <w:lang w:eastAsia="en-IE"/>
              </w:rPr>
            </w:pPr>
          </w:p>
        </w:tc>
      </w:tr>
      <w:tr w:rsidR="00FF6AA6" w:rsidRPr="00244D65" w14:paraId="24FB4A9B" w14:textId="77777777" w:rsidTr="1CF5063F">
        <w:trPr>
          <w:cantSplit/>
          <w:trHeight w:val="314"/>
        </w:trPr>
        <w:tc>
          <w:tcPr>
            <w:tcW w:w="1975" w:type="dxa"/>
            <w:vMerge/>
            <w:vAlign w:val="center"/>
          </w:tcPr>
          <w:p w14:paraId="530EF3A8" w14:textId="77777777" w:rsidR="00A66416" w:rsidRPr="00244D65" w:rsidRDefault="00A66416" w:rsidP="0085595C">
            <w:pPr>
              <w:jc w:val="center"/>
              <w:rPr>
                <w:noProof/>
                <w:sz w:val="22"/>
                <w:szCs w:val="22"/>
                <w:lang w:eastAsia="en-IE"/>
              </w:rPr>
            </w:pPr>
          </w:p>
        </w:tc>
        <w:tc>
          <w:tcPr>
            <w:tcW w:w="4630" w:type="dxa"/>
            <w:vAlign w:val="center"/>
          </w:tcPr>
          <w:p w14:paraId="7FA667DE" w14:textId="77777777" w:rsidR="00A66416" w:rsidRPr="00244D65" w:rsidRDefault="00A66416" w:rsidP="0085595C">
            <w:pPr>
              <w:rPr>
                <w:noProof/>
                <w:sz w:val="22"/>
                <w:szCs w:val="22"/>
                <w:lang w:eastAsia="en-IE"/>
              </w:rPr>
            </w:pPr>
            <w:r w:rsidRPr="00244D65">
              <w:rPr>
                <w:noProof/>
                <w:sz w:val="22"/>
                <w:szCs w:val="22"/>
                <w:lang w:eastAsia="en-IE"/>
              </w:rPr>
              <w:t>CL2: Conditional Free allocation for investments </w:t>
            </w:r>
          </w:p>
        </w:tc>
        <w:tc>
          <w:tcPr>
            <w:tcW w:w="675" w:type="dxa"/>
            <w:vAlign w:val="center"/>
          </w:tcPr>
          <w:p w14:paraId="2DEBB446" w14:textId="77777777" w:rsidR="00A66416" w:rsidRPr="00244D65" w:rsidRDefault="00A66416" w:rsidP="0085595C">
            <w:pPr>
              <w:jc w:val="center"/>
              <w:rPr>
                <w:noProof/>
                <w:sz w:val="22"/>
                <w:szCs w:val="22"/>
                <w:lang w:eastAsia="en-IE"/>
              </w:rPr>
            </w:pPr>
          </w:p>
        </w:tc>
        <w:tc>
          <w:tcPr>
            <w:tcW w:w="705" w:type="dxa"/>
            <w:vAlign w:val="center"/>
          </w:tcPr>
          <w:p w14:paraId="466FA863" w14:textId="77777777" w:rsidR="00A66416" w:rsidRPr="00244D65" w:rsidRDefault="00A66416" w:rsidP="0085595C">
            <w:pPr>
              <w:jc w:val="center"/>
              <w:rPr>
                <w:noProof/>
                <w:sz w:val="22"/>
                <w:szCs w:val="22"/>
                <w:lang w:eastAsia="en-IE"/>
              </w:rPr>
            </w:pPr>
            <w:r w:rsidRPr="00244D65">
              <w:rPr>
                <w:noProof/>
                <w:sz w:val="22"/>
                <w:szCs w:val="22"/>
                <w:lang w:eastAsia="en-IE"/>
              </w:rPr>
              <w:t>X</w:t>
            </w:r>
          </w:p>
        </w:tc>
        <w:tc>
          <w:tcPr>
            <w:tcW w:w="756" w:type="dxa"/>
            <w:vAlign w:val="center"/>
          </w:tcPr>
          <w:p w14:paraId="449BB854" w14:textId="77777777" w:rsidR="00A66416" w:rsidRPr="00244D65" w:rsidRDefault="00A66416" w:rsidP="0085595C">
            <w:pPr>
              <w:jc w:val="center"/>
              <w:rPr>
                <w:noProof/>
                <w:sz w:val="22"/>
                <w:szCs w:val="22"/>
                <w:lang w:eastAsia="en-IE"/>
              </w:rPr>
            </w:pPr>
          </w:p>
        </w:tc>
      </w:tr>
      <w:tr w:rsidR="00FF6AA6" w:rsidRPr="00244D65" w14:paraId="7ADC8DC3" w14:textId="77777777" w:rsidTr="1CF5063F">
        <w:trPr>
          <w:cantSplit/>
          <w:trHeight w:val="314"/>
        </w:trPr>
        <w:tc>
          <w:tcPr>
            <w:tcW w:w="1975" w:type="dxa"/>
            <w:vMerge/>
            <w:vAlign w:val="center"/>
          </w:tcPr>
          <w:p w14:paraId="5769D8D9" w14:textId="77777777" w:rsidR="00A66416" w:rsidRPr="00244D65" w:rsidRDefault="00A66416" w:rsidP="0085595C">
            <w:pPr>
              <w:jc w:val="center"/>
              <w:rPr>
                <w:noProof/>
                <w:sz w:val="22"/>
                <w:szCs w:val="22"/>
                <w:lang w:eastAsia="en-IE"/>
              </w:rPr>
            </w:pPr>
          </w:p>
        </w:tc>
        <w:tc>
          <w:tcPr>
            <w:tcW w:w="4630" w:type="dxa"/>
            <w:vAlign w:val="center"/>
          </w:tcPr>
          <w:p w14:paraId="12B0F40C" w14:textId="77777777" w:rsidR="00A66416" w:rsidRPr="00244D65" w:rsidRDefault="00A66416" w:rsidP="0085595C">
            <w:pPr>
              <w:rPr>
                <w:noProof/>
                <w:sz w:val="22"/>
                <w:szCs w:val="22"/>
                <w:lang w:eastAsia="en-IE"/>
              </w:rPr>
            </w:pPr>
            <w:r w:rsidRPr="00244D65">
              <w:rPr>
                <w:noProof/>
                <w:sz w:val="22"/>
                <w:szCs w:val="22"/>
                <w:lang w:eastAsia="en-IE"/>
              </w:rPr>
              <w:t>CL3: No free allocation and partial surrender of allowances until 2034 </w:t>
            </w:r>
          </w:p>
        </w:tc>
        <w:tc>
          <w:tcPr>
            <w:tcW w:w="675" w:type="dxa"/>
            <w:vAlign w:val="center"/>
          </w:tcPr>
          <w:p w14:paraId="298F2376" w14:textId="77777777" w:rsidR="00A66416" w:rsidRPr="00244D65" w:rsidRDefault="00A66416" w:rsidP="0085595C">
            <w:pPr>
              <w:jc w:val="center"/>
              <w:rPr>
                <w:noProof/>
                <w:sz w:val="22"/>
                <w:szCs w:val="22"/>
                <w:lang w:eastAsia="en-IE"/>
              </w:rPr>
            </w:pPr>
          </w:p>
        </w:tc>
        <w:tc>
          <w:tcPr>
            <w:tcW w:w="705" w:type="dxa"/>
            <w:vAlign w:val="center"/>
          </w:tcPr>
          <w:p w14:paraId="73503B0F" w14:textId="77777777" w:rsidR="00A66416" w:rsidRPr="00244D65" w:rsidRDefault="00A66416" w:rsidP="0085595C">
            <w:pPr>
              <w:jc w:val="center"/>
              <w:rPr>
                <w:noProof/>
                <w:sz w:val="22"/>
                <w:szCs w:val="22"/>
                <w:lang w:eastAsia="en-IE"/>
              </w:rPr>
            </w:pPr>
          </w:p>
        </w:tc>
        <w:tc>
          <w:tcPr>
            <w:tcW w:w="756" w:type="dxa"/>
            <w:vAlign w:val="center"/>
          </w:tcPr>
          <w:p w14:paraId="67F69C71" w14:textId="77777777" w:rsidR="00A66416" w:rsidRPr="00244D65" w:rsidRDefault="00A66416" w:rsidP="0085595C">
            <w:pPr>
              <w:jc w:val="center"/>
              <w:rPr>
                <w:noProof/>
                <w:sz w:val="22"/>
                <w:szCs w:val="22"/>
                <w:lang w:eastAsia="en-IE"/>
              </w:rPr>
            </w:pPr>
            <w:r w:rsidRPr="00244D65">
              <w:rPr>
                <w:noProof/>
                <w:sz w:val="22"/>
                <w:szCs w:val="22"/>
                <w:lang w:eastAsia="en-IE"/>
              </w:rPr>
              <w:t>X</w:t>
            </w:r>
          </w:p>
        </w:tc>
      </w:tr>
      <w:tr w:rsidR="00FF6AA6" w:rsidRPr="00244D65" w14:paraId="643EE4BB" w14:textId="77777777" w:rsidTr="1CF5063F">
        <w:trPr>
          <w:cantSplit/>
          <w:trHeight w:val="314"/>
        </w:trPr>
        <w:tc>
          <w:tcPr>
            <w:tcW w:w="1975" w:type="dxa"/>
            <w:vMerge w:val="restart"/>
            <w:vAlign w:val="center"/>
          </w:tcPr>
          <w:p w14:paraId="7A377590" w14:textId="1335A434" w:rsidR="00A66416" w:rsidRPr="00244D65" w:rsidRDefault="006E3094" w:rsidP="0085595C">
            <w:pPr>
              <w:jc w:val="center"/>
              <w:rPr>
                <w:b/>
                <w:bCs/>
                <w:noProof/>
                <w:sz w:val="22"/>
                <w:szCs w:val="22"/>
                <w:lang w:eastAsia="en-IE"/>
              </w:rPr>
            </w:pPr>
            <w:r w:rsidRPr="00244D65">
              <w:rPr>
                <w:b/>
                <w:bCs/>
                <w:noProof/>
                <w:sz w:val="22"/>
                <w:szCs w:val="22"/>
                <w:lang w:eastAsia="en-IE"/>
              </w:rPr>
              <w:t>Stationary installations -</w:t>
            </w:r>
            <w:r w:rsidR="00A66416" w:rsidRPr="00244D65">
              <w:rPr>
                <w:b/>
                <w:bCs/>
                <w:noProof/>
                <w:sz w:val="22"/>
                <w:szCs w:val="22"/>
                <w:lang w:eastAsia="en-IE"/>
              </w:rPr>
              <w:t xml:space="preserve">Indirect Cost Compensation </w:t>
            </w:r>
          </w:p>
        </w:tc>
        <w:tc>
          <w:tcPr>
            <w:tcW w:w="4630" w:type="dxa"/>
            <w:vAlign w:val="center"/>
          </w:tcPr>
          <w:p w14:paraId="3CA5FBBD" w14:textId="4DF96731" w:rsidR="00A66416" w:rsidRPr="00244D65" w:rsidRDefault="00A66416" w:rsidP="0085595C">
            <w:pPr>
              <w:rPr>
                <w:noProof/>
                <w:sz w:val="22"/>
                <w:szCs w:val="22"/>
                <w:lang w:eastAsia="en-IE"/>
              </w:rPr>
            </w:pPr>
            <w:r w:rsidRPr="00244D65">
              <w:rPr>
                <w:noProof/>
                <w:sz w:val="22"/>
                <w:szCs w:val="22"/>
                <w:lang w:eastAsia="en-IE"/>
              </w:rPr>
              <w:t>ICC1: Continue state aid encouragement </w:t>
            </w:r>
          </w:p>
        </w:tc>
        <w:tc>
          <w:tcPr>
            <w:tcW w:w="675" w:type="dxa"/>
            <w:vAlign w:val="center"/>
          </w:tcPr>
          <w:p w14:paraId="46B76730" w14:textId="77777777" w:rsidR="00A66416" w:rsidRPr="00244D65" w:rsidRDefault="00A66416" w:rsidP="0085595C">
            <w:pPr>
              <w:jc w:val="center"/>
              <w:rPr>
                <w:noProof/>
                <w:sz w:val="22"/>
                <w:szCs w:val="22"/>
                <w:lang w:eastAsia="en-IE"/>
              </w:rPr>
            </w:pPr>
            <w:r w:rsidRPr="00244D65">
              <w:rPr>
                <w:noProof/>
                <w:sz w:val="22"/>
                <w:szCs w:val="22"/>
                <w:lang w:eastAsia="en-IE"/>
              </w:rPr>
              <w:t>X</w:t>
            </w:r>
          </w:p>
        </w:tc>
        <w:tc>
          <w:tcPr>
            <w:tcW w:w="705" w:type="dxa"/>
            <w:vAlign w:val="center"/>
          </w:tcPr>
          <w:p w14:paraId="04FE7B00" w14:textId="77777777" w:rsidR="00A66416" w:rsidRPr="00244D65" w:rsidRDefault="00A66416" w:rsidP="0085595C">
            <w:pPr>
              <w:jc w:val="center"/>
              <w:rPr>
                <w:noProof/>
                <w:sz w:val="22"/>
                <w:szCs w:val="22"/>
                <w:lang w:eastAsia="en-IE"/>
              </w:rPr>
            </w:pPr>
            <w:r w:rsidRPr="00244D65">
              <w:rPr>
                <w:noProof/>
                <w:sz w:val="22"/>
                <w:szCs w:val="22"/>
                <w:lang w:eastAsia="en-IE"/>
              </w:rPr>
              <w:t>X</w:t>
            </w:r>
          </w:p>
        </w:tc>
        <w:tc>
          <w:tcPr>
            <w:tcW w:w="756" w:type="dxa"/>
            <w:vAlign w:val="center"/>
          </w:tcPr>
          <w:p w14:paraId="31C16B52" w14:textId="77777777" w:rsidR="00A66416" w:rsidRPr="00244D65" w:rsidRDefault="00A66416" w:rsidP="0085595C">
            <w:pPr>
              <w:jc w:val="center"/>
              <w:rPr>
                <w:noProof/>
                <w:sz w:val="22"/>
                <w:szCs w:val="22"/>
                <w:lang w:eastAsia="en-IE"/>
              </w:rPr>
            </w:pPr>
          </w:p>
        </w:tc>
      </w:tr>
      <w:tr w:rsidR="00FF6AA6" w:rsidRPr="00244D65" w14:paraId="7C6A9C56" w14:textId="77777777" w:rsidTr="1CF5063F">
        <w:trPr>
          <w:cantSplit/>
          <w:trHeight w:val="314"/>
        </w:trPr>
        <w:tc>
          <w:tcPr>
            <w:tcW w:w="1975" w:type="dxa"/>
            <w:vMerge/>
            <w:vAlign w:val="center"/>
          </w:tcPr>
          <w:p w14:paraId="5BD9BFC3" w14:textId="77777777" w:rsidR="00A66416" w:rsidRPr="00244D65" w:rsidRDefault="00A66416" w:rsidP="0085595C">
            <w:pPr>
              <w:jc w:val="center"/>
              <w:rPr>
                <w:noProof/>
                <w:sz w:val="22"/>
                <w:szCs w:val="22"/>
                <w:lang w:eastAsia="en-IE"/>
              </w:rPr>
            </w:pPr>
          </w:p>
        </w:tc>
        <w:tc>
          <w:tcPr>
            <w:tcW w:w="4630" w:type="dxa"/>
            <w:vAlign w:val="center"/>
          </w:tcPr>
          <w:p w14:paraId="4B9E6FE9" w14:textId="26E84B5C" w:rsidR="00A66416" w:rsidRPr="00244D65" w:rsidRDefault="00A66416" w:rsidP="0085595C">
            <w:pPr>
              <w:rPr>
                <w:noProof/>
                <w:sz w:val="22"/>
                <w:szCs w:val="22"/>
                <w:lang w:eastAsia="en-IE"/>
              </w:rPr>
            </w:pPr>
            <w:r w:rsidRPr="00244D65">
              <w:rPr>
                <w:noProof/>
                <w:sz w:val="22"/>
                <w:szCs w:val="22"/>
                <w:lang w:eastAsia="en-IE"/>
              </w:rPr>
              <w:t>ICC2: Harmonised ICC</w:t>
            </w:r>
          </w:p>
        </w:tc>
        <w:tc>
          <w:tcPr>
            <w:tcW w:w="675" w:type="dxa"/>
            <w:vAlign w:val="center"/>
          </w:tcPr>
          <w:p w14:paraId="18380FD8" w14:textId="77777777" w:rsidR="00A66416" w:rsidRPr="00244D65" w:rsidRDefault="00A66416" w:rsidP="0085595C">
            <w:pPr>
              <w:jc w:val="center"/>
              <w:rPr>
                <w:noProof/>
                <w:sz w:val="22"/>
                <w:szCs w:val="22"/>
                <w:lang w:eastAsia="en-IE"/>
              </w:rPr>
            </w:pPr>
          </w:p>
        </w:tc>
        <w:tc>
          <w:tcPr>
            <w:tcW w:w="705" w:type="dxa"/>
            <w:vAlign w:val="center"/>
          </w:tcPr>
          <w:p w14:paraId="39C48EE9" w14:textId="77777777" w:rsidR="00A66416" w:rsidRPr="00244D65" w:rsidRDefault="00A66416" w:rsidP="0085595C">
            <w:pPr>
              <w:jc w:val="center"/>
              <w:rPr>
                <w:noProof/>
                <w:sz w:val="22"/>
                <w:szCs w:val="22"/>
                <w:lang w:eastAsia="en-IE"/>
              </w:rPr>
            </w:pPr>
          </w:p>
        </w:tc>
        <w:tc>
          <w:tcPr>
            <w:tcW w:w="756" w:type="dxa"/>
            <w:vAlign w:val="center"/>
          </w:tcPr>
          <w:p w14:paraId="44AB5863" w14:textId="77777777" w:rsidR="00A66416" w:rsidRPr="00244D65" w:rsidRDefault="00A66416" w:rsidP="0085595C">
            <w:pPr>
              <w:jc w:val="center"/>
              <w:rPr>
                <w:noProof/>
                <w:sz w:val="22"/>
                <w:szCs w:val="22"/>
                <w:lang w:eastAsia="en-IE"/>
              </w:rPr>
            </w:pPr>
            <w:r w:rsidRPr="00244D65">
              <w:rPr>
                <w:noProof/>
                <w:sz w:val="22"/>
                <w:szCs w:val="22"/>
                <w:lang w:eastAsia="en-IE"/>
              </w:rPr>
              <w:t>X</w:t>
            </w:r>
          </w:p>
        </w:tc>
      </w:tr>
      <w:tr w:rsidR="00FF6AA6" w:rsidRPr="00244D65" w14:paraId="47D4CB1A" w14:textId="77777777" w:rsidTr="1CF5063F">
        <w:trPr>
          <w:cantSplit/>
          <w:trHeight w:val="314"/>
        </w:trPr>
        <w:tc>
          <w:tcPr>
            <w:tcW w:w="1975" w:type="dxa"/>
            <w:vMerge w:val="restart"/>
            <w:vAlign w:val="center"/>
          </w:tcPr>
          <w:p w14:paraId="20FC8F4C" w14:textId="77777777" w:rsidR="00A66416" w:rsidRPr="00244D65" w:rsidRDefault="00A66416" w:rsidP="0085595C">
            <w:pPr>
              <w:jc w:val="center"/>
              <w:rPr>
                <w:b/>
                <w:bCs/>
                <w:noProof/>
                <w:sz w:val="22"/>
                <w:szCs w:val="22"/>
                <w:lang w:eastAsia="en-IE"/>
              </w:rPr>
            </w:pPr>
            <w:r w:rsidRPr="00244D65">
              <w:rPr>
                <w:b/>
                <w:bCs/>
                <w:noProof/>
                <w:sz w:val="22"/>
                <w:szCs w:val="22"/>
                <w:lang w:eastAsia="en-IE"/>
              </w:rPr>
              <w:t>Stationary Installations - Waste</w:t>
            </w:r>
          </w:p>
        </w:tc>
        <w:tc>
          <w:tcPr>
            <w:tcW w:w="4630" w:type="dxa"/>
            <w:vAlign w:val="center"/>
          </w:tcPr>
          <w:p w14:paraId="14121A6C" w14:textId="046F45DC" w:rsidR="00A66416" w:rsidRPr="00244D65" w:rsidRDefault="00A66416" w:rsidP="0085595C">
            <w:pPr>
              <w:rPr>
                <w:noProof/>
                <w:sz w:val="22"/>
                <w:szCs w:val="22"/>
                <w:lang w:eastAsia="en-IE"/>
              </w:rPr>
            </w:pPr>
            <w:r w:rsidRPr="00244D65">
              <w:rPr>
                <w:noProof/>
                <w:sz w:val="22"/>
                <w:szCs w:val="22"/>
                <w:lang w:eastAsia="en-IE"/>
              </w:rPr>
              <w:t>W0: No inclusion of additional waste management processes in the EU ETS.</w:t>
            </w:r>
            <w:r w:rsidR="000C653C" w:rsidRPr="00244D65">
              <w:rPr>
                <w:noProof/>
                <w:sz w:val="22"/>
                <w:szCs w:val="22"/>
                <w:lang w:eastAsia="en-IE"/>
              </w:rPr>
              <w:t xml:space="preserve"> </w:t>
            </w:r>
          </w:p>
        </w:tc>
        <w:tc>
          <w:tcPr>
            <w:tcW w:w="675" w:type="dxa"/>
            <w:vAlign w:val="center"/>
          </w:tcPr>
          <w:p w14:paraId="158C6379" w14:textId="1AF33A3D" w:rsidR="00A66416" w:rsidRPr="00244D65" w:rsidRDefault="00A66416" w:rsidP="0085595C">
            <w:pPr>
              <w:jc w:val="center"/>
              <w:rPr>
                <w:noProof/>
                <w:sz w:val="22"/>
                <w:szCs w:val="22"/>
                <w:lang w:eastAsia="en-IE"/>
              </w:rPr>
            </w:pPr>
            <w:r w:rsidRPr="00244D65">
              <w:rPr>
                <w:noProof/>
                <w:sz w:val="22"/>
                <w:szCs w:val="22"/>
                <w:lang w:eastAsia="en-IE"/>
              </w:rPr>
              <w:t>X</w:t>
            </w:r>
          </w:p>
        </w:tc>
        <w:tc>
          <w:tcPr>
            <w:tcW w:w="705" w:type="dxa"/>
            <w:vAlign w:val="center"/>
          </w:tcPr>
          <w:p w14:paraId="45D0E250" w14:textId="77777777" w:rsidR="00A66416" w:rsidRPr="00244D65" w:rsidRDefault="00A66416" w:rsidP="0085595C">
            <w:pPr>
              <w:jc w:val="center"/>
              <w:rPr>
                <w:noProof/>
                <w:sz w:val="22"/>
                <w:szCs w:val="22"/>
                <w:lang w:eastAsia="en-IE"/>
              </w:rPr>
            </w:pPr>
          </w:p>
        </w:tc>
        <w:tc>
          <w:tcPr>
            <w:tcW w:w="756" w:type="dxa"/>
            <w:vAlign w:val="center"/>
          </w:tcPr>
          <w:p w14:paraId="7986EA3B" w14:textId="77777777" w:rsidR="00A66416" w:rsidRPr="00244D65" w:rsidRDefault="00A66416" w:rsidP="0085595C">
            <w:pPr>
              <w:jc w:val="center"/>
              <w:rPr>
                <w:noProof/>
                <w:sz w:val="22"/>
                <w:szCs w:val="22"/>
                <w:lang w:eastAsia="en-IE"/>
              </w:rPr>
            </w:pPr>
          </w:p>
        </w:tc>
      </w:tr>
      <w:tr w:rsidR="00FF6AA6" w:rsidRPr="00244D65" w14:paraId="18D21DD9" w14:textId="77777777" w:rsidTr="1CF5063F">
        <w:trPr>
          <w:cantSplit/>
          <w:trHeight w:val="314"/>
        </w:trPr>
        <w:tc>
          <w:tcPr>
            <w:tcW w:w="1975" w:type="dxa"/>
            <w:vMerge/>
            <w:vAlign w:val="center"/>
          </w:tcPr>
          <w:p w14:paraId="49806D0D" w14:textId="77777777" w:rsidR="00A66416" w:rsidRPr="00244D65" w:rsidRDefault="00A66416" w:rsidP="0085595C">
            <w:pPr>
              <w:jc w:val="center"/>
              <w:rPr>
                <w:noProof/>
                <w:sz w:val="22"/>
                <w:szCs w:val="22"/>
                <w:lang w:eastAsia="en-IE"/>
              </w:rPr>
            </w:pPr>
          </w:p>
        </w:tc>
        <w:tc>
          <w:tcPr>
            <w:tcW w:w="4630" w:type="dxa"/>
            <w:vAlign w:val="center"/>
          </w:tcPr>
          <w:p w14:paraId="5EE465EF" w14:textId="74F458E2" w:rsidR="00A66416" w:rsidRPr="00244D65" w:rsidRDefault="00A66416" w:rsidP="0085595C">
            <w:pPr>
              <w:rPr>
                <w:noProof/>
                <w:sz w:val="22"/>
                <w:szCs w:val="22"/>
                <w:lang w:eastAsia="en-IE"/>
              </w:rPr>
            </w:pPr>
            <w:r w:rsidRPr="00244D65">
              <w:rPr>
                <w:noProof/>
                <w:sz w:val="22"/>
                <w:szCs w:val="22"/>
                <w:lang w:eastAsia="en-IE"/>
              </w:rPr>
              <w:t>W1: Inclusion of municipal waste incineration installations in the EU ETS </w:t>
            </w:r>
          </w:p>
        </w:tc>
        <w:tc>
          <w:tcPr>
            <w:tcW w:w="675" w:type="dxa"/>
            <w:vAlign w:val="center"/>
          </w:tcPr>
          <w:p w14:paraId="7B277656" w14:textId="77777777" w:rsidR="00A66416" w:rsidRPr="00244D65" w:rsidRDefault="00A66416" w:rsidP="0085595C">
            <w:pPr>
              <w:jc w:val="center"/>
              <w:rPr>
                <w:noProof/>
                <w:sz w:val="22"/>
                <w:szCs w:val="22"/>
                <w:lang w:eastAsia="en-IE"/>
              </w:rPr>
            </w:pPr>
          </w:p>
        </w:tc>
        <w:tc>
          <w:tcPr>
            <w:tcW w:w="705" w:type="dxa"/>
            <w:vAlign w:val="center"/>
          </w:tcPr>
          <w:p w14:paraId="33F3AC64" w14:textId="77777777" w:rsidR="00A66416" w:rsidRPr="00244D65" w:rsidRDefault="00A66416" w:rsidP="0085595C">
            <w:pPr>
              <w:jc w:val="center"/>
              <w:rPr>
                <w:noProof/>
                <w:sz w:val="22"/>
                <w:szCs w:val="22"/>
                <w:lang w:eastAsia="en-IE"/>
              </w:rPr>
            </w:pPr>
            <w:r w:rsidRPr="00244D65">
              <w:rPr>
                <w:noProof/>
                <w:sz w:val="22"/>
                <w:szCs w:val="22"/>
                <w:lang w:eastAsia="en-IE"/>
              </w:rPr>
              <w:t>X</w:t>
            </w:r>
          </w:p>
        </w:tc>
        <w:tc>
          <w:tcPr>
            <w:tcW w:w="756" w:type="dxa"/>
            <w:vAlign w:val="center"/>
          </w:tcPr>
          <w:p w14:paraId="26294894" w14:textId="77777777" w:rsidR="00A66416" w:rsidRPr="00244D65" w:rsidRDefault="00A66416" w:rsidP="0085595C">
            <w:pPr>
              <w:jc w:val="center"/>
              <w:rPr>
                <w:noProof/>
                <w:sz w:val="22"/>
                <w:szCs w:val="22"/>
                <w:lang w:eastAsia="en-IE"/>
              </w:rPr>
            </w:pPr>
          </w:p>
        </w:tc>
      </w:tr>
      <w:tr w:rsidR="00FF6AA6" w:rsidRPr="00244D65" w14:paraId="1AA2038A" w14:textId="77777777" w:rsidTr="1CF5063F">
        <w:trPr>
          <w:cantSplit/>
          <w:trHeight w:val="314"/>
        </w:trPr>
        <w:tc>
          <w:tcPr>
            <w:tcW w:w="1975" w:type="dxa"/>
            <w:vMerge/>
            <w:vAlign w:val="center"/>
          </w:tcPr>
          <w:p w14:paraId="4FCFDDA1" w14:textId="77777777" w:rsidR="00A66416" w:rsidRPr="00244D65" w:rsidRDefault="00A66416" w:rsidP="0085595C">
            <w:pPr>
              <w:jc w:val="center"/>
              <w:rPr>
                <w:noProof/>
                <w:sz w:val="22"/>
                <w:szCs w:val="22"/>
                <w:lang w:eastAsia="en-IE"/>
              </w:rPr>
            </w:pPr>
          </w:p>
        </w:tc>
        <w:tc>
          <w:tcPr>
            <w:tcW w:w="4630" w:type="dxa"/>
            <w:vAlign w:val="center"/>
          </w:tcPr>
          <w:p w14:paraId="7476547C" w14:textId="23373B1E" w:rsidR="00A66416" w:rsidRPr="00244D65" w:rsidRDefault="00A66416" w:rsidP="0085595C">
            <w:pPr>
              <w:rPr>
                <w:noProof/>
                <w:sz w:val="22"/>
                <w:szCs w:val="22"/>
                <w:lang w:eastAsia="en-IE"/>
              </w:rPr>
            </w:pPr>
            <w:r w:rsidRPr="00244D65">
              <w:rPr>
                <w:noProof/>
                <w:sz w:val="22"/>
                <w:szCs w:val="22"/>
                <w:lang w:eastAsia="en-IE"/>
              </w:rPr>
              <w:t>W3: Inclusion of all waste incineration installations and landfills of non-hazardous waste in the EU ETS </w:t>
            </w:r>
          </w:p>
        </w:tc>
        <w:tc>
          <w:tcPr>
            <w:tcW w:w="675" w:type="dxa"/>
            <w:vAlign w:val="center"/>
          </w:tcPr>
          <w:p w14:paraId="7A940192" w14:textId="77777777" w:rsidR="00A66416" w:rsidRPr="00244D65" w:rsidRDefault="00A66416" w:rsidP="0085595C">
            <w:pPr>
              <w:jc w:val="center"/>
              <w:rPr>
                <w:noProof/>
                <w:sz w:val="22"/>
                <w:szCs w:val="22"/>
                <w:lang w:eastAsia="en-IE"/>
              </w:rPr>
            </w:pPr>
          </w:p>
        </w:tc>
        <w:tc>
          <w:tcPr>
            <w:tcW w:w="705" w:type="dxa"/>
            <w:vAlign w:val="center"/>
          </w:tcPr>
          <w:p w14:paraId="1B0D26DE" w14:textId="77777777" w:rsidR="00A66416" w:rsidRPr="00244D65" w:rsidRDefault="00A66416" w:rsidP="0085595C">
            <w:pPr>
              <w:jc w:val="center"/>
              <w:rPr>
                <w:noProof/>
                <w:sz w:val="22"/>
                <w:szCs w:val="22"/>
                <w:lang w:eastAsia="en-IE"/>
              </w:rPr>
            </w:pPr>
          </w:p>
        </w:tc>
        <w:tc>
          <w:tcPr>
            <w:tcW w:w="756" w:type="dxa"/>
            <w:vAlign w:val="center"/>
          </w:tcPr>
          <w:p w14:paraId="6298CA9E" w14:textId="77777777" w:rsidR="00A66416" w:rsidRPr="00244D65" w:rsidRDefault="00A66416" w:rsidP="0085595C">
            <w:pPr>
              <w:jc w:val="center"/>
              <w:rPr>
                <w:noProof/>
                <w:sz w:val="22"/>
                <w:szCs w:val="22"/>
                <w:lang w:eastAsia="en-IE"/>
              </w:rPr>
            </w:pPr>
            <w:r w:rsidRPr="00244D65">
              <w:rPr>
                <w:noProof/>
                <w:sz w:val="22"/>
                <w:szCs w:val="22"/>
                <w:lang w:eastAsia="en-IE"/>
              </w:rPr>
              <w:t>X</w:t>
            </w:r>
          </w:p>
        </w:tc>
      </w:tr>
      <w:tr w:rsidR="00A079E7" w:rsidRPr="00244D65" w14:paraId="7D3914DC" w14:textId="77777777" w:rsidTr="1CF5063F">
        <w:trPr>
          <w:cantSplit/>
          <w:trHeight w:val="314"/>
        </w:trPr>
        <w:tc>
          <w:tcPr>
            <w:tcW w:w="1975" w:type="dxa"/>
            <w:vAlign w:val="center"/>
          </w:tcPr>
          <w:p w14:paraId="03DDA853" w14:textId="1C54979C" w:rsidR="00A079E7" w:rsidRPr="00244D65" w:rsidRDefault="00A079E7" w:rsidP="0085595C">
            <w:pPr>
              <w:jc w:val="center"/>
              <w:rPr>
                <w:b/>
                <w:bCs/>
                <w:noProof/>
                <w:sz w:val="22"/>
                <w:szCs w:val="22"/>
                <w:lang w:eastAsia="en-IE"/>
              </w:rPr>
            </w:pPr>
            <w:r w:rsidRPr="00244D65">
              <w:rPr>
                <w:b/>
                <w:bCs/>
                <w:noProof/>
                <w:sz w:val="22"/>
                <w:szCs w:val="22"/>
                <w:lang w:eastAsia="en-IE"/>
              </w:rPr>
              <w:t>Stationary installations - CCU</w:t>
            </w:r>
          </w:p>
        </w:tc>
        <w:tc>
          <w:tcPr>
            <w:tcW w:w="4630" w:type="dxa"/>
            <w:vAlign w:val="center"/>
          </w:tcPr>
          <w:p w14:paraId="698F1C57" w14:textId="382DA1CD" w:rsidR="00A079E7" w:rsidRPr="00244D65" w:rsidRDefault="00A079E7" w:rsidP="0085595C">
            <w:pPr>
              <w:rPr>
                <w:noProof/>
                <w:sz w:val="22"/>
                <w:szCs w:val="22"/>
                <w:lang w:eastAsia="en-IE"/>
              </w:rPr>
            </w:pPr>
            <w:r w:rsidRPr="00244D65">
              <w:rPr>
                <w:noProof/>
                <w:sz w:val="22"/>
                <w:szCs w:val="22"/>
                <w:lang w:eastAsia="en-IE"/>
              </w:rPr>
              <w:t>CCU0:</w:t>
            </w:r>
            <w:r w:rsidR="00BC7EDB" w:rsidRPr="00244D65">
              <w:rPr>
                <w:noProof/>
                <w:sz w:val="22"/>
                <w:szCs w:val="22"/>
                <w:lang w:eastAsia="en-IE"/>
              </w:rPr>
              <w:t xml:space="preserve"> ‘Upstream accounting’ with current waste scope</w:t>
            </w:r>
          </w:p>
        </w:tc>
        <w:tc>
          <w:tcPr>
            <w:tcW w:w="675" w:type="dxa"/>
            <w:vAlign w:val="center"/>
          </w:tcPr>
          <w:p w14:paraId="323F2B8B" w14:textId="0DB0FA2D" w:rsidR="00A079E7" w:rsidRPr="00244D65" w:rsidRDefault="00A079E7" w:rsidP="0085595C">
            <w:pPr>
              <w:jc w:val="center"/>
              <w:rPr>
                <w:noProof/>
                <w:sz w:val="22"/>
                <w:szCs w:val="22"/>
                <w:lang w:eastAsia="en-IE"/>
              </w:rPr>
            </w:pPr>
            <w:r w:rsidRPr="00244D65">
              <w:rPr>
                <w:noProof/>
                <w:sz w:val="22"/>
                <w:szCs w:val="22"/>
                <w:lang w:eastAsia="en-IE"/>
              </w:rPr>
              <w:t>X</w:t>
            </w:r>
          </w:p>
        </w:tc>
        <w:tc>
          <w:tcPr>
            <w:tcW w:w="705" w:type="dxa"/>
            <w:vAlign w:val="center"/>
          </w:tcPr>
          <w:p w14:paraId="3C764997" w14:textId="77777777" w:rsidR="00A079E7" w:rsidRPr="00244D65" w:rsidRDefault="00A079E7" w:rsidP="0085595C">
            <w:pPr>
              <w:jc w:val="center"/>
              <w:rPr>
                <w:noProof/>
                <w:sz w:val="22"/>
                <w:szCs w:val="22"/>
                <w:lang w:eastAsia="en-IE"/>
              </w:rPr>
            </w:pPr>
          </w:p>
        </w:tc>
        <w:tc>
          <w:tcPr>
            <w:tcW w:w="756" w:type="dxa"/>
            <w:vAlign w:val="center"/>
          </w:tcPr>
          <w:p w14:paraId="20F1F462" w14:textId="77777777" w:rsidR="00A079E7" w:rsidRPr="00244D65" w:rsidRDefault="00A079E7" w:rsidP="0085595C">
            <w:pPr>
              <w:jc w:val="center"/>
              <w:rPr>
                <w:noProof/>
                <w:sz w:val="22"/>
                <w:szCs w:val="22"/>
                <w:lang w:eastAsia="en-IE"/>
              </w:rPr>
            </w:pPr>
          </w:p>
        </w:tc>
      </w:tr>
      <w:tr w:rsidR="00A079E7" w:rsidRPr="00244D65" w14:paraId="5D4E9528" w14:textId="77777777" w:rsidTr="1CF5063F">
        <w:trPr>
          <w:cantSplit/>
          <w:trHeight w:val="314"/>
        </w:trPr>
        <w:tc>
          <w:tcPr>
            <w:tcW w:w="1975" w:type="dxa"/>
            <w:vMerge w:val="restart"/>
            <w:vAlign w:val="center"/>
          </w:tcPr>
          <w:p w14:paraId="546E8D70" w14:textId="4A37F36F" w:rsidR="00A079E7" w:rsidRPr="00244D65" w:rsidRDefault="00A079E7" w:rsidP="0085595C">
            <w:pPr>
              <w:jc w:val="center"/>
              <w:rPr>
                <w:b/>
                <w:bCs/>
                <w:noProof/>
                <w:sz w:val="22"/>
                <w:szCs w:val="22"/>
                <w:lang w:eastAsia="en-IE"/>
              </w:rPr>
            </w:pPr>
          </w:p>
        </w:tc>
        <w:tc>
          <w:tcPr>
            <w:tcW w:w="4630" w:type="dxa"/>
            <w:vAlign w:val="center"/>
          </w:tcPr>
          <w:p w14:paraId="3034E664" w14:textId="162AFBD1" w:rsidR="00A079E7" w:rsidRPr="00244D65" w:rsidRDefault="00A079E7" w:rsidP="0085595C">
            <w:pPr>
              <w:rPr>
                <w:noProof/>
                <w:sz w:val="22"/>
                <w:szCs w:val="22"/>
                <w:lang w:eastAsia="en-IE"/>
              </w:rPr>
            </w:pPr>
            <w:r w:rsidRPr="00244D65">
              <w:rPr>
                <w:noProof/>
                <w:sz w:val="22"/>
                <w:szCs w:val="22"/>
                <w:lang w:eastAsia="en-IE"/>
              </w:rPr>
              <w:t>CCU1: ‘Upstream accounting’</w:t>
            </w:r>
            <w:r w:rsidR="00BC7EDB" w:rsidRPr="00244D65">
              <w:rPr>
                <w:noProof/>
                <w:sz w:val="22"/>
                <w:szCs w:val="22"/>
                <w:lang w:eastAsia="en-IE"/>
              </w:rPr>
              <w:t xml:space="preserve"> with MWI inclusion</w:t>
            </w:r>
          </w:p>
        </w:tc>
        <w:tc>
          <w:tcPr>
            <w:tcW w:w="675" w:type="dxa"/>
            <w:vAlign w:val="center"/>
          </w:tcPr>
          <w:p w14:paraId="787768F6" w14:textId="19C368C7" w:rsidR="00A079E7" w:rsidRPr="00244D65" w:rsidRDefault="00A079E7" w:rsidP="0085595C">
            <w:pPr>
              <w:jc w:val="center"/>
              <w:rPr>
                <w:noProof/>
                <w:sz w:val="22"/>
                <w:szCs w:val="22"/>
                <w:lang w:eastAsia="en-IE"/>
              </w:rPr>
            </w:pPr>
          </w:p>
        </w:tc>
        <w:tc>
          <w:tcPr>
            <w:tcW w:w="705" w:type="dxa"/>
            <w:vAlign w:val="center"/>
          </w:tcPr>
          <w:p w14:paraId="18028F05" w14:textId="77777777" w:rsidR="00A079E7" w:rsidRPr="00244D65" w:rsidRDefault="00A079E7" w:rsidP="0085595C">
            <w:pPr>
              <w:jc w:val="center"/>
              <w:rPr>
                <w:noProof/>
                <w:sz w:val="22"/>
                <w:szCs w:val="22"/>
                <w:lang w:eastAsia="en-IE"/>
              </w:rPr>
            </w:pPr>
          </w:p>
        </w:tc>
        <w:tc>
          <w:tcPr>
            <w:tcW w:w="756" w:type="dxa"/>
            <w:vAlign w:val="center"/>
          </w:tcPr>
          <w:p w14:paraId="35356ACA" w14:textId="77777777" w:rsidR="00A079E7" w:rsidRPr="00244D65" w:rsidRDefault="00A079E7" w:rsidP="0085595C">
            <w:pPr>
              <w:jc w:val="center"/>
              <w:rPr>
                <w:noProof/>
                <w:sz w:val="22"/>
                <w:szCs w:val="22"/>
                <w:lang w:eastAsia="en-IE"/>
              </w:rPr>
            </w:pPr>
          </w:p>
        </w:tc>
      </w:tr>
      <w:tr w:rsidR="00A079E7" w:rsidRPr="00244D65" w14:paraId="720F3DF1" w14:textId="77777777" w:rsidTr="1CF5063F">
        <w:trPr>
          <w:cantSplit/>
          <w:trHeight w:val="314"/>
        </w:trPr>
        <w:tc>
          <w:tcPr>
            <w:tcW w:w="1975" w:type="dxa"/>
            <w:vMerge/>
            <w:vAlign w:val="center"/>
          </w:tcPr>
          <w:p w14:paraId="2ABD0E34" w14:textId="77777777" w:rsidR="00A079E7" w:rsidRPr="00244D65" w:rsidRDefault="00A079E7" w:rsidP="0085595C">
            <w:pPr>
              <w:jc w:val="center"/>
              <w:rPr>
                <w:noProof/>
                <w:sz w:val="22"/>
                <w:szCs w:val="22"/>
                <w:lang w:eastAsia="en-IE"/>
              </w:rPr>
            </w:pPr>
          </w:p>
        </w:tc>
        <w:tc>
          <w:tcPr>
            <w:tcW w:w="4630" w:type="dxa"/>
            <w:vAlign w:val="center"/>
          </w:tcPr>
          <w:p w14:paraId="31D69F3B" w14:textId="77777777" w:rsidR="00A079E7" w:rsidRPr="00244D65" w:rsidRDefault="00A079E7" w:rsidP="0085595C">
            <w:pPr>
              <w:rPr>
                <w:noProof/>
                <w:sz w:val="22"/>
                <w:szCs w:val="22"/>
                <w:lang w:eastAsia="en-IE"/>
              </w:rPr>
            </w:pPr>
            <w:r w:rsidRPr="00244D65">
              <w:rPr>
                <w:noProof/>
                <w:sz w:val="22"/>
                <w:szCs w:val="22"/>
                <w:lang w:eastAsia="en-IE"/>
              </w:rPr>
              <w:t>CCU3 ‘Hybrid Downstream &amp; Midstream accounting’</w:t>
            </w:r>
          </w:p>
        </w:tc>
        <w:tc>
          <w:tcPr>
            <w:tcW w:w="675" w:type="dxa"/>
            <w:vAlign w:val="center"/>
          </w:tcPr>
          <w:p w14:paraId="11A77912" w14:textId="77777777" w:rsidR="00A079E7" w:rsidRPr="00244D65" w:rsidRDefault="00A079E7" w:rsidP="0085595C">
            <w:pPr>
              <w:jc w:val="center"/>
              <w:rPr>
                <w:noProof/>
                <w:sz w:val="22"/>
                <w:szCs w:val="22"/>
                <w:lang w:eastAsia="en-IE"/>
              </w:rPr>
            </w:pPr>
          </w:p>
        </w:tc>
        <w:tc>
          <w:tcPr>
            <w:tcW w:w="705" w:type="dxa"/>
            <w:vAlign w:val="center"/>
          </w:tcPr>
          <w:p w14:paraId="60DC6AD3" w14:textId="77777777" w:rsidR="00A079E7" w:rsidRPr="00244D65" w:rsidRDefault="00A079E7" w:rsidP="0085595C">
            <w:pPr>
              <w:jc w:val="center"/>
              <w:rPr>
                <w:noProof/>
                <w:sz w:val="22"/>
                <w:szCs w:val="22"/>
                <w:lang w:eastAsia="en-IE"/>
              </w:rPr>
            </w:pPr>
            <w:r w:rsidRPr="00244D65">
              <w:rPr>
                <w:noProof/>
                <w:sz w:val="22"/>
                <w:szCs w:val="22"/>
                <w:lang w:eastAsia="en-IE"/>
              </w:rPr>
              <w:t>X</w:t>
            </w:r>
          </w:p>
        </w:tc>
        <w:tc>
          <w:tcPr>
            <w:tcW w:w="756" w:type="dxa"/>
            <w:vAlign w:val="center"/>
          </w:tcPr>
          <w:p w14:paraId="02FAFED7" w14:textId="77777777" w:rsidR="00A079E7" w:rsidRPr="00244D65" w:rsidRDefault="00A079E7" w:rsidP="0085595C">
            <w:pPr>
              <w:jc w:val="center"/>
              <w:rPr>
                <w:noProof/>
                <w:sz w:val="22"/>
                <w:szCs w:val="22"/>
                <w:lang w:eastAsia="en-IE"/>
              </w:rPr>
            </w:pPr>
            <w:r w:rsidRPr="00244D65">
              <w:rPr>
                <w:noProof/>
                <w:sz w:val="22"/>
                <w:szCs w:val="22"/>
                <w:lang w:eastAsia="en-IE"/>
              </w:rPr>
              <w:t>X</w:t>
            </w:r>
          </w:p>
        </w:tc>
      </w:tr>
    </w:tbl>
    <w:p w14:paraId="7225544D" w14:textId="77777777" w:rsidR="006B087E" w:rsidRPr="00244D65" w:rsidRDefault="006B087E" w:rsidP="0085595C">
      <w:pPr>
        <w:pStyle w:val="Heading2"/>
        <w:rPr>
          <w:noProof/>
        </w:rPr>
      </w:pPr>
      <w:bookmarkStart w:id="116" w:name="_Toc234949741"/>
      <w:bookmarkStart w:id="117" w:name="_Toc232752497"/>
      <w:r w:rsidRPr="00244D65">
        <w:rPr>
          <w:noProof/>
        </w:rPr>
        <w:t>Options discarded at an early stage</w:t>
      </w:r>
      <w:bookmarkEnd w:id="116"/>
      <w:bookmarkEnd w:id="117"/>
    </w:p>
    <w:p w14:paraId="787307E5" w14:textId="555B697B" w:rsidR="008145AD" w:rsidRPr="00244D65" w:rsidRDefault="003D304D" w:rsidP="0085595C">
      <w:pPr>
        <w:rPr>
          <w:noProof/>
        </w:rPr>
      </w:pPr>
      <w:bookmarkStart w:id="118" w:name="_Toc211963261"/>
      <w:r w:rsidRPr="00244D65">
        <w:rPr>
          <w:noProof/>
        </w:rPr>
        <w:t xml:space="preserve">Several measures were discarded to address the specific problems, as set out in the description the policy options with reference to Annexes </w:t>
      </w:r>
      <w:r w:rsidR="008A4F8E" w:rsidRPr="00244D65">
        <w:rPr>
          <w:noProof/>
        </w:rPr>
        <w:t xml:space="preserve">8 </w:t>
      </w:r>
      <w:r w:rsidRPr="00244D65">
        <w:rPr>
          <w:noProof/>
        </w:rPr>
        <w:t>to</w:t>
      </w:r>
      <w:r w:rsidR="008A4F8E" w:rsidRPr="00244D65">
        <w:rPr>
          <w:noProof/>
        </w:rPr>
        <w:t xml:space="preserve"> 13</w:t>
      </w:r>
      <w:r w:rsidRPr="00244D65">
        <w:rPr>
          <w:noProof/>
        </w:rPr>
        <w:t xml:space="preserve">. </w:t>
      </w:r>
      <w:bookmarkStart w:id="119" w:name="_Toc211963262"/>
      <w:bookmarkEnd w:id="118"/>
      <w:r w:rsidRPr="00244D65">
        <w:rPr>
          <w:noProof/>
        </w:rPr>
        <w:t xml:space="preserve">In addition, </w:t>
      </w:r>
      <w:r w:rsidR="00543AD2" w:rsidRPr="00244D65">
        <w:rPr>
          <w:noProof/>
        </w:rPr>
        <w:t xml:space="preserve">alternative </w:t>
      </w:r>
      <w:r w:rsidR="001F7C1F" w:rsidRPr="00244D65">
        <w:rPr>
          <w:noProof/>
        </w:rPr>
        <w:t>options</w:t>
      </w:r>
      <w:r w:rsidRPr="00244D65">
        <w:rPr>
          <w:noProof/>
        </w:rPr>
        <w:t xml:space="preserve"> that </w:t>
      </w:r>
      <w:r w:rsidR="00017CAA" w:rsidRPr="00244D65">
        <w:rPr>
          <w:noProof/>
        </w:rPr>
        <w:t>c</w:t>
      </w:r>
      <w:r w:rsidRPr="00244D65">
        <w:rPr>
          <w:noProof/>
        </w:rPr>
        <w:t>ould address the problem as a whole by replacing the ETS for another instrument, either harmonised at EU</w:t>
      </w:r>
      <w:r w:rsidR="008C794D" w:rsidRPr="00244D65">
        <w:rPr>
          <w:noProof/>
        </w:rPr>
        <w:t>-level</w:t>
      </w:r>
      <w:r w:rsidRPr="00244D65">
        <w:rPr>
          <w:noProof/>
        </w:rPr>
        <w:t xml:space="preserve"> or for Member State implementation, instead of adjusting </w:t>
      </w:r>
      <w:r w:rsidR="008C794D" w:rsidRPr="00244D65">
        <w:rPr>
          <w:noProof/>
        </w:rPr>
        <w:t>the EU ETS</w:t>
      </w:r>
      <w:r w:rsidRPr="00244D65">
        <w:rPr>
          <w:noProof/>
        </w:rPr>
        <w:t xml:space="preserve"> through the measures examined in the Annexes </w:t>
      </w:r>
      <w:r w:rsidR="003C16DD" w:rsidRPr="00244D65">
        <w:rPr>
          <w:noProof/>
        </w:rPr>
        <w:t>8 to 13</w:t>
      </w:r>
      <w:bookmarkEnd w:id="119"/>
      <w:r w:rsidR="00D433D0" w:rsidRPr="00244D65">
        <w:rPr>
          <w:noProof/>
        </w:rPr>
        <w:t xml:space="preserve">, </w:t>
      </w:r>
      <w:r w:rsidR="008145AD" w:rsidRPr="00244D65">
        <w:rPr>
          <w:noProof/>
        </w:rPr>
        <w:t>were discarded at an early stage.</w:t>
      </w:r>
    </w:p>
    <w:p w14:paraId="2D50A3F4" w14:textId="369452E0" w:rsidR="003D304D" w:rsidRPr="00244D65" w:rsidRDefault="0058424F" w:rsidP="0085595C">
      <w:pPr>
        <w:rPr>
          <w:noProof/>
        </w:rPr>
      </w:pPr>
      <w:bookmarkStart w:id="120" w:name="_Toc211963267"/>
      <w:r w:rsidRPr="00244D65">
        <w:rPr>
          <w:noProof/>
        </w:rPr>
        <w:t xml:space="preserve">Beyond the </w:t>
      </w:r>
      <w:r w:rsidR="009660E4" w:rsidRPr="00244D65">
        <w:rPr>
          <w:noProof/>
        </w:rPr>
        <w:t xml:space="preserve">theoretical </w:t>
      </w:r>
      <w:r w:rsidRPr="00244D65">
        <w:rPr>
          <w:noProof/>
        </w:rPr>
        <w:t>advantages of the EU ETS over its alternative policies</w:t>
      </w:r>
      <w:r w:rsidR="009660E4" w:rsidRPr="00244D65">
        <w:rPr>
          <w:noProof/>
        </w:rPr>
        <w:t xml:space="preserve"> (e.g. carbon taxes or command-and-control measures)</w:t>
      </w:r>
      <w:r w:rsidRPr="00244D65">
        <w:rPr>
          <w:noProof/>
        </w:rPr>
        <w:t xml:space="preserve">, </w:t>
      </w:r>
      <w:r w:rsidR="009660E4" w:rsidRPr="00244D65">
        <w:rPr>
          <w:noProof/>
        </w:rPr>
        <w:t>t</w:t>
      </w:r>
      <w:r w:rsidRPr="00244D65">
        <w:rPr>
          <w:noProof/>
        </w:rPr>
        <w:t>he d</w:t>
      </w:r>
      <w:r w:rsidR="003D304D" w:rsidRPr="00244D65">
        <w:rPr>
          <w:noProof/>
        </w:rPr>
        <w:t xml:space="preserve">iscontinuation </w:t>
      </w:r>
      <w:r w:rsidR="00B11284" w:rsidRPr="00244D65">
        <w:rPr>
          <w:noProof/>
        </w:rPr>
        <w:t>or narrowing</w:t>
      </w:r>
      <w:r w:rsidR="003D304D" w:rsidRPr="00244D65">
        <w:rPr>
          <w:noProof/>
        </w:rPr>
        <w:t xml:space="preserve"> </w:t>
      </w:r>
      <w:r w:rsidR="004E7207" w:rsidRPr="00244D65">
        <w:rPr>
          <w:noProof/>
        </w:rPr>
        <w:t>of the EU ETS</w:t>
      </w:r>
      <w:r w:rsidR="003D304D" w:rsidRPr="00244D65">
        <w:rPr>
          <w:noProof/>
        </w:rPr>
        <w:t xml:space="preserve"> would lead to economic losses, weaken low carbon investments signals</w:t>
      </w:r>
      <w:r w:rsidR="00254B0D" w:rsidRPr="00244D65">
        <w:rPr>
          <w:noProof/>
        </w:rPr>
        <w:t>, penalise early movers, redu</w:t>
      </w:r>
      <w:r w:rsidR="005C2AE9" w:rsidRPr="00244D65">
        <w:rPr>
          <w:noProof/>
        </w:rPr>
        <w:t>ce</w:t>
      </w:r>
      <w:r w:rsidR="00F160D0" w:rsidRPr="00244D65">
        <w:rPr>
          <w:noProof/>
        </w:rPr>
        <w:t xml:space="preserve"> </w:t>
      </w:r>
      <w:r w:rsidR="00696427" w:rsidRPr="00244D65">
        <w:rPr>
          <w:noProof/>
        </w:rPr>
        <w:t>investor confidence</w:t>
      </w:r>
      <w:r w:rsidR="003D304D" w:rsidRPr="00244D65">
        <w:rPr>
          <w:noProof/>
        </w:rPr>
        <w:t xml:space="preserve">, </w:t>
      </w:r>
      <w:r w:rsidR="00DC5079" w:rsidRPr="00244D65">
        <w:rPr>
          <w:noProof/>
        </w:rPr>
        <w:t>distort competition,</w:t>
      </w:r>
      <w:r w:rsidR="003D304D" w:rsidRPr="00244D65">
        <w:rPr>
          <w:noProof/>
        </w:rPr>
        <w:t xml:space="preserve"> reduce revenues</w:t>
      </w:r>
      <w:r w:rsidR="001537C4" w:rsidRPr="00244D65">
        <w:rPr>
          <w:noProof/>
        </w:rPr>
        <w:t>, reduce</w:t>
      </w:r>
      <w:r w:rsidR="003D304D" w:rsidRPr="00244D65">
        <w:rPr>
          <w:noProof/>
        </w:rPr>
        <w:t xml:space="preserve"> employment in affected firms, and jeopardise climate-related jobs in sectors</w:t>
      </w:r>
      <w:r w:rsidR="00A41AA0" w:rsidRPr="00244D65">
        <w:rPr>
          <w:noProof/>
        </w:rPr>
        <w:t>. These sectors include</w:t>
      </w:r>
      <w:r w:rsidR="00017E3B" w:rsidRPr="00244D65">
        <w:rPr>
          <w:noProof/>
        </w:rPr>
        <w:t xml:space="preserve"> </w:t>
      </w:r>
      <w:r w:rsidR="00D53524" w:rsidRPr="00244D65">
        <w:rPr>
          <w:noProof/>
        </w:rPr>
        <w:t>clean tech, renewable energy</w:t>
      </w:r>
      <w:r w:rsidR="00997D5D" w:rsidRPr="00244D65">
        <w:rPr>
          <w:noProof/>
        </w:rPr>
        <w:t>,</w:t>
      </w:r>
      <w:r w:rsidR="00D53524" w:rsidRPr="00244D65">
        <w:rPr>
          <w:noProof/>
        </w:rPr>
        <w:t xml:space="preserve"> ener</w:t>
      </w:r>
      <w:r w:rsidR="00017E3B" w:rsidRPr="00244D65">
        <w:rPr>
          <w:noProof/>
        </w:rPr>
        <w:t xml:space="preserve">gy </w:t>
      </w:r>
      <w:r w:rsidR="00997D5D" w:rsidRPr="00244D65">
        <w:rPr>
          <w:noProof/>
        </w:rPr>
        <w:t xml:space="preserve">efficiency, </w:t>
      </w:r>
      <w:r w:rsidR="006A371C" w:rsidRPr="00244D65">
        <w:rPr>
          <w:noProof/>
        </w:rPr>
        <w:t>and</w:t>
      </w:r>
      <w:r w:rsidR="00997D5D" w:rsidRPr="00244D65">
        <w:rPr>
          <w:noProof/>
        </w:rPr>
        <w:t xml:space="preserve"> also </w:t>
      </w:r>
      <w:r w:rsidR="006A371C" w:rsidRPr="00244D65">
        <w:rPr>
          <w:noProof/>
        </w:rPr>
        <w:t>monitoring and</w:t>
      </w:r>
      <w:r w:rsidR="003D304D" w:rsidRPr="00244D65">
        <w:rPr>
          <w:noProof/>
        </w:rPr>
        <w:t xml:space="preserve"> verification, consulting, and innovation support. At an international level, dismantling the EU ETS would undermine the EU’s credibility in international climate diplomacy and weaken the EU’s position on shaping global carbon pricing mechanisms and border adjustment instruments</w:t>
      </w:r>
      <w:r w:rsidR="00440933" w:rsidRPr="00244D65">
        <w:rPr>
          <w:noProof/>
        </w:rPr>
        <w:t xml:space="preserve"> (see Evaluation</w:t>
      </w:r>
      <w:r w:rsidR="002E51A1" w:rsidRPr="00244D65">
        <w:rPr>
          <w:noProof/>
        </w:rPr>
        <w:t xml:space="preserve"> </w:t>
      </w:r>
      <w:r w:rsidR="009C775B" w:rsidRPr="00244D65">
        <w:rPr>
          <w:noProof/>
        </w:rPr>
        <w:t>Report</w:t>
      </w:r>
      <w:r w:rsidR="000C19CF" w:rsidRPr="00244D65">
        <w:rPr>
          <w:noProof/>
        </w:rPr>
        <w:t xml:space="preserve"> in </w:t>
      </w:r>
      <w:r w:rsidR="00440933" w:rsidRPr="00244D65">
        <w:rPr>
          <w:noProof/>
        </w:rPr>
        <w:t xml:space="preserve">Annex </w:t>
      </w:r>
      <w:r w:rsidR="000C19CF" w:rsidRPr="00244D65">
        <w:rPr>
          <w:noProof/>
        </w:rPr>
        <w:t xml:space="preserve">15, </w:t>
      </w:r>
      <w:r w:rsidR="00C67A42" w:rsidRPr="00244D65">
        <w:rPr>
          <w:noProof/>
        </w:rPr>
        <w:t>S</w:t>
      </w:r>
      <w:r w:rsidR="000C19CF" w:rsidRPr="00244D65">
        <w:rPr>
          <w:noProof/>
        </w:rPr>
        <w:t>ection</w:t>
      </w:r>
      <w:r w:rsidR="009C775B" w:rsidRPr="00244D65">
        <w:rPr>
          <w:noProof/>
        </w:rPr>
        <w:t xml:space="preserve"> </w:t>
      </w:r>
      <w:r w:rsidR="001211B2" w:rsidRPr="00244D65">
        <w:rPr>
          <w:noProof/>
        </w:rPr>
        <w:t>6.3</w:t>
      </w:r>
      <w:r w:rsidR="00D26F78" w:rsidRPr="00244D65">
        <w:rPr>
          <w:noProof/>
        </w:rPr>
        <w:t>)</w:t>
      </w:r>
      <w:r w:rsidR="003D304D" w:rsidRPr="00244D65">
        <w:rPr>
          <w:noProof/>
        </w:rPr>
        <w:t xml:space="preserve">. </w:t>
      </w:r>
      <w:r w:rsidR="00C11AC1" w:rsidRPr="00244D65">
        <w:rPr>
          <w:noProof/>
        </w:rPr>
        <w:t xml:space="preserve">Final impacts on the economy </w:t>
      </w:r>
      <w:r w:rsidR="0073426E" w:rsidRPr="00244D65">
        <w:rPr>
          <w:noProof/>
        </w:rPr>
        <w:t xml:space="preserve">and </w:t>
      </w:r>
      <w:r w:rsidR="00C11AC1" w:rsidRPr="00244D65">
        <w:rPr>
          <w:noProof/>
        </w:rPr>
        <w:t xml:space="preserve">on the credibility of the EU would depend on </w:t>
      </w:r>
      <w:r w:rsidR="0030177B" w:rsidRPr="00244D65">
        <w:rPr>
          <w:noProof/>
        </w:rPr>
        <w:t>whether</w:t>
      </w:r>
      <w:r w:rsidR="00C11AC1" w:rsidRPr="00244D65">
        <w:rPr>
          <w:noProof/>
        </w:rPr>
        <w:t xml:space="preserve"> the EU ETS is replaced by another policy, </w:t>
      </w:r>
      <w:r w:rsidR="0073426E" w:rsidRPr="00244D65">
        <w:rPr>
          <w:noProof/>
        </w:rPr>
        <w:t>by</w:t>
      </w:r>
      <w:r w:rsidR="00C11AC1" w:rsidRPr="00244D65">
        <w:rPr>
          <w:noProof/>
        </w:rPr>
        <w:t xml:space="preserve"> which</w:t>
      </w:r>
      <w:r w:rsidR="0073426E" w:rsidRPr="00244D65">
        <w:rPr>
          <w:noProof/>
        </w:rPr>
        <w:t>, and the transition period for the new system to function</w:t>
      </w:r>
      <w:r w:rsidR="00C11AC1" w:rsidRPr="00244D65">
        <w:rPr>
          <w:noProof/>
        </w:rPr>
        <w:t xml:space="preserve">. </w:t>
      </w:r>
      <w:r w:rsidR="003D304D" w:rsidRPr="00244D65">
        <w:rPr>
          <w:noProof/>
        </w:rPr>
        <w:t>Feedback from the stakeholder consultation broadly confirms the findings. Respondents most frequently emphasised the EU’s added value in harmonising implementation across Member States, avoiding a fragmented patchwork of national schemes</w:t>
      </w:r>
      <w:r w:rsidR="008F33C0" w:rsidRPr="00244D65">
        <w:rPr>
          <w:rStyle w:val="FootnoteReference"/>
          <w:noProof/>
        </w:rPr>
        <w:footnoteReference w:id="32"/>
      </w:r>
      <w:r w:rsidR="003D304D" w:rsidRPr="00244D65">
        <w:rPr>
          <w:noProof/>
        </w:rPr>
        <w:t xml:space="preserve"> and ensuring a common price signal.</w:t>
      </w:r>
      <w:bookmarkEnd w:id="120"/>
      <w:r w:rsidR="4DD4445B" w:rsidRPr="00244D65">
        <w:rPr>
          <w:noProof/>
        </w:rPr>
        <w:t xml:space="preserve"> </w:t>
      </w:r>
      <w:r w:rsidR="00AA2091" w:rsidRPr="00244D65">
        <w:rPr>
          <w:noProof/>
        </w:rPr>
        <w:t>Similarly</w:t>
      </w:r>
      <w:r w:rsidR="4DD4445B" w:rsidRPr="00244D65">
        <w:rPr>
          <w:noProof/>
        </w:rPr>
        <w:t xml:space="preserve"> for maritime, discontinuation of </w:t>
      </w:r>
      <w:r w:rsidR="00D87C55" w:rsidRPr="00244D65">
        <w:rPr>
          <w:noProof/>
        </w:rPr>
        <w:t>EU</w:t>
      </w:r>
      <w:r w:rsidR="4DD4445B" w:rsidRPr="00244D65">
        <w:rPr>
          <w:noProof/>
        </w:rPr>
        <w:t xml:space="preserve"> ETS maritime would </w:t>
      </w:r>
      <w:r w:rsidR="00F1512F" w:rsidRPr="00244D65">
        <w:rPr>
          <w:noProof/>
        </w:rPr>
        <w:t>put at risk the fair contribution of the maritime sector to the EU’s climate objectives an</w:t>
      </w:r>
      <w:r w:rsidR="00B25F9C" w:rsidRPr="00244D65">
        <w:rPr>
          <w:noProof/>
        </w:rPr>
        <w:t xml:space="preserve">d </w:t>
      </w:r>
      <w:r w:rsidR="00CE071C" w:rsidRPr="00244D65">
        <w:rPr>
          <w:noProof/>
        </w:rPr>
        <w:t>undermine the shipping companies that have already invested in cleaner vessels and fuels</w:t>
      </w:r>
      <w:r w:rsidR="4DD4445B" w:rsidRPr="00244D65">
        <w:rPr>
          <w:noProof/>
        </w:rPr>
        <w:t>.</w:t>
      </w:r>
    </w:p>
    <w:p w14:paraId="7CAE78A3" w14:textId="3BF25063" w:rsidR="00DB72A7" w:rsidRPr="00244D65" w:rsidRDefault="00450E8E" w:rsidP="0085595C">
      <w:pPr>
        <w:rPr>
          <w:noProof/>
        </w:rPr>
      </w:pPr>
      <w:r w:rsidRPr="00244D65">
        <w:rPr>
          <w:noProof/>
        </w:rPr>
        <w:t xml:space="preserve">Beyond alternatives to the </w:t>
      </w:r>
      <w:bookmarkStart w:id="121" w:name="_Int_pkJ110cf"/>
      <w:r w:rsidRPr="00244D65">
        <w:rPr>
          <w:noProof/>
        </w:rPr>
        <w:t>EU ETS as a whole, i</w:t>
      </w:r>
      <w:r w:rsidR="008F1D29" w:rsidRPr="00244D65">
        <w:rPr>
          <w:noProof/>
        </w:rPr>
        <w:t>n</w:t>
      </w:r>
      <w:bookmarkEnd w:id="121"/>
      <w:r w:rsidR="008F1D29" w:rsidRPr="00244D65">
        <w:rPr>
          <w:noProof/>
        </w:rPr>
        <w:t xml:space="preserve"> relation to</w:t>
      </w:r>
      <w:r w:rsidRPr="00244D65">
        <w:rPr>
          <w:noProof/>
        </w:rPr>
        <w:t xml:space="preserve"> specific</w:t>
      </w:r>
      <w:r w:rsidR="008F1D29" w:rsidRPr="00244D65">
        <w:rPr>
          <w:noProof/>
        </w:rPr>
        <w:t xml:space="preserve"> measures to </w:t>
      </w:r>
      <w:r w:rsidRPr="00244D65">
        <w:rPr>
          <w:noProof/>
        </w:rPr>
        <w:t>modify the system, t</w:t>
      </w:r>
      <w:r w:rsidR="002D03FE" w:rsidRPr="00244D65">
        <w:rPr>
          <w:noProof/>
        </w:rPr>
        <w:t xml:space="preserve">he implications of lowering the </w:t>
      </w:r>
      <w:r w:rsidR="00520B1F" w:rsidRPr="00244D65">
        <w:rPr>
          <w:noProof/>
        </w:rPr>
        <w:t>20 MW threshold (the thermal capacity below which stationary installations are exempt from EU ETS</w:t>
      </w:r>
      <w:r w:rsidR="00C35C1A" w:rsidRPr="00244D65">
        <w:rPr>
          <w:noProof/>
        </w:rPr>
        <w:t>) is considered in detail in Annex 12 of this Impact Assessment.</w:t>
      </w:r>
      <w:r w:rsidR="002D03FE" w:rsidRPr="00244D65">
        <w:rPr>
          <w:noProof/>
        </w:rPr>
        <w:t xml:space="preserve"> </w:t>
      </w:r>
      <w:r w:rsidR="00A15969" w:rsidRPr="00244D65">
        <w:rPr>
          <w:noProof/>
        </w:rPr>
        <w:t>Based on</w:t>
      </w:r>
      <w:r w:rsidR="00B60F6D" w:rsidRPr="00244D65">
        <w:rPr>
          <w:noProof/>
        </w:rPr>
        <w:t xml:space="preserve"> that assessment, the option of lowering th</w:t>
      </w:r>
      <w:r w:rsidR="004F3DA8" w:rsidRPr="00244D65">
        <w:rPr>
          <w:noProof/>
        </w:rPr>
        <w:t>e</w:t>
      </w:r>
      <w:r w:rsidR="00B60F6D" w:rsidRPr="00244D65">
        <w:rPr>
          <w:noProof/>
        </w:rPr>
        <w:t xml:space="preserve"> threshold is not taken further.</w:t>
      </w:r>
      <w:r w:rsidR="005A6AAD" w:rsidRPr="00244D65">
        <w:rPr>
          <w:noProof/>
        </w:rPr>
        <w:t xml:space="preserve"> Most emissions from small installations will be covered under EU ETS2</w:t>
      </w:r>
      <w:r w:rsidR="001A5FF6" w:rsidRPr="00244D65">
        <w:rPr>
          <w:noProof/>
        </w:rPr>
        <w:t>,</w:t>
      </w:r>
      <w:r w:rsidR="00D30742" w:rsidRPr="00244D65">
        <w:rPr>
          <w:noProof/>
        </w:rPr>
        <w:t xml:space="preserve"> which will become fully operational in 2028</w:t>
      </w:r>
      <w:r w:rsidR="00DF1859" w:rsidRPr="00244D65">
        <w:rPr>
          <w:noProof/>
        </w:rPr>
        <w:t xml:space="preserve"> and is outside the scope of this impact assessment</w:t>
      </w:r>
      <w:r w:rsidR="005A6AAD" w:rsidRPr="00244D65">
        <w:rPr>
          <w:noProof/>
        </w:rPr>
        <w:t xml:space="preserve">. </w:t>
      </w:r>
      <w:r w:rsidR="00231AEA" w:rsidRPr="00244D65">
        <w:rPr>
          <w:noProof/>
        </w:rPr>
        <w:t xml:space="preserve">Therefore, the environmental gains from lowering the threshold would be very small compared to the substantial </w:t>
      </w:r>
      <w:r w:rsidR="00016D1C" w:rsidRPr="00244D65">
        <w:rPr>
          <w:noProof/>
        </w:rPr>
        <w:t>increase in administrative effort.</w:t>
      </w:r>
    </w:p>
    <w:p w14:paraId="356862E4" w14:textId="7EA2109C" w:rsidR="00DB72A7" w:rsidRPr="00244D65" w:rsidRDefault="00DB72A7" w:rsidP="0085595C">
      <w:pPr>
        <w:rPr>
          <w:noProof/>
        </w:rPr>
      </w:pPr>
      <w:r w:rsidRPr="00244D65">
        <w:rPr>
          <w:noProof/>
        </w:rPr>
        <w:t xml:space="preserve">As regards the Market Stability Reserve, </w:t>
      </w:r>
      <w:r w:rsidR="00F708FF" w:rsidRPr="00244D65">
        <w:rPr>
          <w:noProof/>
        </w:rPr>
        <w:t>t</w:t>
      </w:r>
      <w:r w:rsidR="00F708FF" w:rsidRPr="00244D65">
        <w:rPr>
          <w:rFonts w:eastAsia="Arial Unicode MS"/>
          <w:noProof/>
        </w:rPr>
        <w:t>he evaluation and impact assessment demonstrate that the MSR should remain a rule-based</w:t>
      </w:r>
      <w:r w:rsidR="00F708FF" w:rsidRPr="00244D65">
        <w:rPr>
          <w:noProof/>
        </w:rPr>
        <w:t xml:space="preserve"> and transparent framework for </w:t>
      </w:r>
      <w:r w:rsidR="00F708FF" w:rsidRPr="00244D65">
        <w:rPr>
          <w:rFonts w:eastAsia="Arial Unicode MS"/>
          <w:noProof/>
        </w:rPr>
        <w:t>supply adjustments in the EU ETS, able to respond to external shocks without discretionary and price-based interventions or political interference. Alternative far-reaching reforms such as a carbon central bank are th</w:t>
      </w:r>
      <w:r w:rsidR="0039420C" w:rsidRPr="00244D65">
        <w:rPr>
          <w:rFonts w:eastAsia="Arial Unicode MS"/>
          <w:noProof/>
        </w:rPr>
        <w:t>e</w:t>
      </w:r>
      <w:r w:rsidR="00F708FF" w:rsidRPr="00244D65">
        <w:rPr>
          <w:rFonts w:eastAsia="Arial Unicode MS"/>
          <w:noProof/>
        </w:rPr>
        <w:t>refore discarded as they</w:t>
      </w:r>
      <w:r w:rsidR="00F708FF" w:rsidRPr="00244D65">
        <w:rPr>
          <w:noProof/>
        </w:rPr>
        <w:t xml:space="preserve"> represent departures from the MSR's established operational principles, would require multi-year preparatory timelines and hence are not feasible for implementation by 2028.</w:t>
      </w:r>
      <w:r w:rsidRPr="00244D65">
        <w:rPr>
          <w:noProof/>
        </w:rPr>
        <w:t xml:space="preserve"> </w:t>
      </w:r>
    </w:p>
    <w:p w14:paraId="5F8462D1" w14:textId="1A010A7D" w:rsidR="006F702D" w:rsidRPr="00244D65" w:rsidRDefault="006B087E" w:rsidP="0085595C">
      <w:pPr>
        <w:pStyle w:val="Heading1"/>
        <w:spacing w:before="120" w:after="120"/>
        <w:rPr>
          <w:noProof/>
        </w:rPr>
      </w:pPr>
      <w:bookmarkStart w:id="122" w:name="_Toc211963269"/>
      <w:bookmarkStart w:id="123" w:name="_Toc234949742"/>
      <w:bookmarkStart w:id="124" w:name="_Toc232752498"/>
      <w:r w:rsidRPr="00244D65">
        <w:rPr>
          <w:noProof/>
        </w:rPr>
        <w:t>What are the impacts of the policy options?</w:t>
      </w:r>
      <w:bookmarkEnd w:id="122"/>
      <w:bookmarkEnd w:id="123"/>
      <w:bookmarkEnd w:id="124"/>
    </w:p>
    <w:p w14:paraId="6B2A5B29" w14:textId="4B8FB4EF" w:rsidR="006B087E" w:rsidRPr="00244D65" w:rsidRDefault="00926B04" w:rsidP="0085595C">
      <w:pPr>
        <w:pStyle w:val="Heading2"/>
        <w:rPr>
          <w:noProof/>
        </w:rPr>
      </w:pPr>
      <w:bookmarkStart w:id="125" w:name="_Toc234949743"/>
      <w:bookmarkStart w:id="126" w:name="_Toc232752499"/>
      <w:r w:rsidRPr="00244D65">
        <w:rPr>
          <w:noProof/>
        </w:rPr>
        <w:t>Environmental impacts</w:t>
      </w:r>
      <w:bookmarkEnd w:id="125"/>
      <w:bookmarkEnd w:id="126"/>
    </w:p>
    <w:p w14:paraId="41AF574F" w14:textId="7C697E07" w:rsidR="001B6B50" w:rsidRPr="00244D65" w:rsidRDefault="001B6B50" w:rsidP="0085595C">
      <w:pPr>
        <w:rPr>
          <w:noProof/>
          <w:lang w:eastAsia="en-GB"/>
        </w:rPr>
      </w:pPr>
      <w:r w:rsidRPr="00244D65">
        <w:rPr>
          <w:noProof/>
          <w:lang w:eastAsia="en-GB"/>
        </w:rPr>
        <w:t xml:space="preserve">This section assesses the main environmental impacts associated with the measures under each </w:t>
      </w:r>
      <w:r w:rsidR="006E2722" w:rsidRPr="00244D65">
        <w:rPr>
          <w:noProof/>
          <w:lang w:eastAsia="en-GB"/>
        </w:rPr>
        <w:t>topic in Table 1</w:t>
      </w:r>
      <w:r w:rsidRPr="00244D65">
        <w:rPr>
          <w:noProof/>
          <w:lang w:eastAsia="en-GB"/>
        </w:rPr>
        <w:t xml:space="preserve">. The focus of this assessment is on both the impact of the policy options on GHG emission reductions both within the EU (in terms of annual and cumulative emissions) and </w:t>
      </w:r>
      <w:r w:rsidR="00B408CF" w:rsidRPr="00244D65">
        <w:rPr>
          <w:noProof/>
          <w:lang w:eastAsia="en-GB"/>
        </w:rPr>
        <w:t>other environmental impacts</w:t>
      </w:r>
      <w:r w:rsidRPr="00244D65">
        <w:rPr>
          <w:noProof/>
          <w:lang w:eastAsia="en-GB"/>
        </w:rPr>
        <w:t>. Additional details on the environmental impacts for each of the measures considered can be found in the thematic Annexes 8-13.</w:t>
      </w:r>
    </w:p>
    <w:p w14:paraId="69C4E5C3" w14:textId="5687639A" w:rsidR="001B6B50" w:rsidRPr="00244D65" w:rsidRDefault="001B6B50" w:rsidP="0085595C">
      <w:pPr>
        <w:rPr>
          <w:noProof/>
          <w:lang w:eastAsia="en-GB"/>
        </w:rPr>
      </w:pPr>
      <w:r w:rsidRPr="00244D65">
        <w:rPr>
          <w:noProof/>
          <w:lang w:eastAsia="en-GB"/>
        </w:rPr>
        <w:t xml:space="preserve">Based on the assessed environmental impacts for the individual policy measures, a summary is provided with an overview of the impacts per policy options scenarios. </w:t>
      </w:r>
    </w:p>
    <w:p w14:paraId="067BC19B" w14:textId="07B1F089" w:rsidR="00776D5D" w:rsidRPr="00244D65" w:rsidRDefault="006A2984" w:rsidP="0085595C">
      <w:pPr>
        <w:pStyle w:val="Heading3"/>
        <w:rPr>
          <w:noProof/>
          <w:lang w:eastAsia="en-GB"/>
        </w:rPr>
      </w:pPr>
      <w:bookmarkStart w:id="127" w:name="_Toc234949744"/>
      <w:bookmarkStart w:id="128" w:name="_Toc232752500"/>
      <w:r w:rsidRPr="00244D65">
        <w:rPr>
          <w:noProof/>
          <w:lang w:eastAsia="en-GB"/>
        </w:rPr>
        <w:t>Climate</w:t>
      </w:r>
      <w:bookmarkEnd w:id="127"/>
      <w:bookmarkEnd w:id="128"/>
    </w:p>
    <w:p w14:paraId="5AB468CB" w14:textId="09199D61" w:rsidR="0085315D" w:rsidRPr="00244D65" w:rsidRDefault="0085315D" w:rsidP="0085595C">
      <w:pPr>
        <w:pStyle w:val="Heading4"/>
        <w:rPr>
          <w:noProof/>
        </w:rPr>
      </w:pPr>
      <w:bookmarkStart w:id="129" w:name="_Toc212652533"/>
      <w:bookmarkStart w:id="130" w:name="_Toc213080540"/>
      <w:bookmarkStart w:id="131" w:name="_Ref230160567"/>
      <w:bookmarkEnd w:id="129"/>
      <w:bookmarkEnd w:id="130"/>
      <w:r w:rsidRPr="00244D65">
        <w:rPr>
          <w:noProof/>
        </w:rPr>
        <w:t>Cap</w:t>
      </w:r>
      <w:bookmarkEnd w:id="131"/>
    </w:p>
    <w:p w14:paraId="3E84AD53" w14:textId="77777777" w:rsidR="00BA4E81" w:rsidRDefault="004465D4" w:rsidP="005D0F2B">
      <w:pPr>
        <w:rPr>
          <w:noProof/>
        </w:rPr>
      </w:pPr>
      <w:r>
        <w:rPr>
          <w:noProof/>
        </w:rPr>
        <w:t>All measures considered for the cap in Annex 8 reach the same ETS contribution to the 2040 objectives for gross and net emissions, as they are modelled on the basis of the same EU domestic climate target. In addition, all policy options use deliberately the same cap measure (‘CAP2’ the modelled cost-efficient trajectory to 85%), so they will follow a similar budget trajectory, differing as a result of the changes in scope. Nevertheless the 9085 and other pathways will also be illustrated here.</w:t>
      </w:r>
    </w:p>
    <w:p w14:paraId="6999BDD1" w14:textId="00048995" w:rsidR="002403D1" w:rsidRPr="00244D65" w:rsidRDefault="002403D1" w:rsidP="0085595C">
      <w:pPr>
        <w:tabs>
          <w:tab w:val="left" w:pos="567"/>
        </w:tabs>
        <w:ind w:right="113"/>
        <w:rPr>
          <w:noProof/>
        </w:rPr>
      </w:pPr>
      <w:r>
        <w:rPr>
          <w:noProof/>
        </w:rPr>
        <w:t xml:space="preserve">The below table shows the range of outcomes in the PRIMES and POTEnCIA models, rounded to five, in order to represent the uncertainty range resulting from using the different models: </w:t>
      </w:r>
    </w:p>
    <w:p w14:paraId="4A13DB82" w14:textId="3EEC845E" w:rsidR="002403D1" w:rsidRPr="00244D65" w:rsidRDefault="002403D1" w:rsidP="00244D65">
      <w:pPr>
        <w:pStyle w:val="Tabletitle"/>
        <w:rPr>
          <w:noProof/>
        </w:rPr>
      </w:pPr>
      <w:r>
        <w:rPr>
          <w:noProof/>
        </w:rPr>
        <w:t>Table showing approximate cap trajectories, when including extra EEA aviation in the target</w:t>
      </w:r>
    </w:p>
    <w:tbl>
      <w:tblPr>
        <w:tblW w:w="0" w:type="auto"/>
        <w:jc w:val="center"/>
        <w:tblLook w:val="04A0" w:firstRow="1" w:lastRow="0" w:firstColumn="1" w:lastColumn="0" w:noHBand="0" w:noVBand="1"/>
      </w:tblPr>
      <w:tblGrid>
        <w:gridCol w:w="3121"/>
        <w:gridCol w:w="1946"/>
        <w:gridCol w:w="2247"/>
        <w:gridCol w:w="1692"/>
      </w:tblGrid>
      <w:tr w:rsidR="002403D1" w:rsidRPr="00244D65" w14:paraId="456CADE0" w14:textId="77777777" w:rsidTr="00545B9E">
        <w:trPr>
          <w:trHeight w:val="1130"/>
          <w:jc w:val="center"/>
        </w:trPr>
        <w:tc>
          <w:tcPr>
            <w:tcW w:w="0" w:type="auto"/>
            <w:tcBorders>
              <w:top w:val="single" w:sz="8" w:space="0" w:color="auto"/>
              <w:left w:val="single" w:sz="8" w:space="0" w:color="auto"/>
              <w:bottom w:val="single" w:sz="8" w:space="0" w:color="auto"/>
              <w:right w:val="single" w:sz="8" w:space="0" w:color="auto"/>
            </w:tcBorders>
            <w:vAlign w:val="center"/>
            <w:hideMark/>
          </w:tcPr>
          <w:p w14:paraId="76D8E93C" w14:textId="55138629" w:rsidR="002403D1" w:rsidRPr="00244D65" w:rsidRDefault="002403D1" w:rsidP="0085595C">
            <w:pPr>
              <w:rPr>
                <w:b/>
                <w:bCs/>
                <w:noProof/>
                <w:sz w:val="22"/>
                <w:szCs w:val="22"/>
                <w:lang w:val="en-IE" w:eastAsia="en-IE"/>
              </w:rPr>
            </w:pPr>
            <w:r>
              <w:rPr>
                <w:b/>
                <w:bCs/>
                <w:noProof/>
                <w:sz w:val="22"/>
                <w:szCs w:val="22"/>
                <w:lang w:val="en-US" w:eastAsia="en-IE"/>
              </w:rPr>
              <w:t>EEA Caps (Mt), LRF (%) and Carbon Budget (Mt)</w:t>
            </w:r>
          </w:p>
        </w:tc>
        <w:tc>
          <w:tcPr>
            <w:tcW w:w="0" w:type="auto"/>
            <w:tcBorders>
              <w:top w:val="single" w:sz="8" w:space="0" w:color="auto"/>
              <w:left w:val="nil"/>
              <w:bottom w:val="single" w:sz="8" w:space="0" w:color="auto"/>
              <w:right w:val="single" w:sz="8" w:space="0" w:color="auto"/>
            </w:tcBorders>
            <w:vAlign w:val="center"/>
            <w:hideMark/>
          </w:tcPr>
          <w:p w14:paraId="7A7888EC" w14:textId="77777777" w:rsidR="002403D1" w:rsidRPr="00244D65" w:rsidRDefault="002403D1" w:rsidP="0085595C">
            <w:pPr>
              <w:rPr>
                <w:b/>
                <w:bCs/>
                <w:noProof/>
                <w:sz w:val="22"/>
                <w:szCs w:val="22"/>
                <w:lang w:val="en-IE" w:eastAsia="en-IE"/>
              </w:rPr>
            </w:pPr>
            <w:r>
              <w:rPr>
                <w:b/>
                <w:bCs/>
                <w:noProof/>
                <w:sz w:val="22"/>
                <w:szCs w:val="22"/>
                <w:lang w:val="en-US"/>
              </w:rPr>
              <w:t>CAP1: Linear trajectory</w:t>
            </w:r>
            <w:r>
              <w:rPr>
                <w:noProof/>
                <w:sz w:val="22"/>
                <w:szCs w:val="22"/>
                <w:lang w:val="en-US"/>
              </w:rPr>
              <w:t> </w:t>
            </w:r>
          </w:p>
        </w:tc>
        <w:tc>
          <w:tcPr>
            <w:tcW w:w="0" w:type="auto"/>
            <w:tcBorders>
              <w:top w:val="single" w:sz="8" w:space="0" w:color="auto"/>
              <w:left w:val="nil"/>
              <w:bottom w:val="single" w:sz="8" w:space="0" w:color="auto"/>
              <w:right w:val="single" w:sz="8" w:space="0" w:color="auto"/>
            </w:tcBorders>
            <w:vAlign w:val="center"/>
            <w:hideMark/>
          </w:tcPr>
          <w:p w14:paraId="7D29B5C0" w14:textId="77777777" w:rsidR="002403D1" w:rsidRPr="00244D65" w:rsidRDefault="002403D1" w:rsidP="0085595C">
            <w:pPr>
              <w:rPr>
                <w:b/>
                <w:bCs/>
                <w:noProof/>
                <w:sz w:val="22"/>
                <w:szCs w:val="22"/>
                <w:lang w:val="en-IE" w:eastAsia="en-IE"/>
              </w:rPr>
            </w:pPr>
            <w:r>
              <w:rPr>
                <w:b/>
                <w:bCs/>
                <w:noProof/>
                <w:sz w:val="22"/>
                <w:szCs w:val="22"/>
                <w:lang w:val="en-US"/>
              </w:rPr>
              <w:t>CAP2: cost effective trajectory</w:t>
            </w:r>
            <w:r>
              <w:rPr>
                <w:noProof/>
                <w:sz w:val="22"/>
                <w:szCs w:val="22"/>
                <w:lang w:val="en-US"/>
              </w:rPr>
              <w:t> </w:t>
            </w:r>
          </w:p>
        </w:tc>
        <w:tc>
          <w:tcPr>
            <w:tcW w:w="0" w:type="auto"/>
            <w:tcBorders>
              <w:top w:val="single" w:sz="8" w:space="0" w:color="auto"/>
              <w:left w:val="nil"/>
              <w:bottom w:val="single" w:sz="8" w:space="0" w:color="auto"/>
              <w:right w:val="single" w:sz="8" w:space="0" w:color="auto"/>
            </w:tcBorders>
            <w:vAlign w:val="center"/>
            <w:hideMark/>
          </w:tcPr>
          <w:p w14:paraId="442E75DE" w14:textId="50AE5253" w:rsidR="002403D1" w:rsidRPr="00244D65" w:rsidRDefault="002403D1" w:rsidP="00545B9E">
            <w:pPr>
              <w:jc w:val="center"/>
              <w:rPr>
                <w:b/>
                <w:bCs/>
                <w:noProof/>
                <w:sz w:val="22"/>
                <w:szCs w:val="22"/>
                <w:lang w:val="en-IE" w:eastAsia="en-IE"/>
              </w:rPr>
            </w:pPr>
            <w:r>
              <w:rPr>
                <w:b/>
                <w:bCs/>
                <w:noProof/>
                <w:sz w:val="22"/>
                <w:szCs w:val="22"/>
                <w:lang w:val="en-US"/>
              </w:rPr>
              <w:t>CAP3: 90-85 pathway</w:t>
            </w:r>
          </w:p>
        </w:tc>
      </w:tr>
      <w:tr w:rsidR="00F562CF" w:rsidRPr="00244D65" w14:paraId="46F9FFA8" w14:textId="77777777" w:rsidTr="00545B9E">
        <w:trPr>
          <w:trHeight w:val="300"/>
          <w:jc w:val="center"/>
        </w:trPr>
        <w:tc>
          <w:tcPr>
            <w:tcW w:w="0" w:type="auto"/>
            <w:tcBorders>
              <w:top w:val="nil"/>
              <w:left w:val="single" w:sz="8" w:space="0" w:color="auto"/>
              <w:bottom w:val="single" w:sz="8" w:space="0" w:color="auto"/>
              <w:right w:val="single" w:sz="8" w:space="0" w:color="auto"/>
            </w:tcBorders>
            <w:vAlign w:val="center"/>
            <w:hideMark/>
          </w:tcPr>
          <w:p w14:paraId="75573740" w14:textId="77777777" w:rsidR="00F562CF" w:rsidRPr="00244D65" w:rsidRDefault="00F562CF" w:rsidP="0085595C">
            <w:pPr>
              <w:rPr>
                <w:b/>
                <w:bCs/>
                <w:noProof/>
                <w:sz w:val="22"/>
                <w:szCs w:val="22"/>
                <w:lang w:val="en-IE" w:eastAsia="en-IE"/>
              </w:rPr>
            </w:pPr>
            <w:r>
              <w:rPr>
                <w:b/>
                <w:bCs/>
                <w:noProof/>
                <w:sz w:val="22"/>
                <w:szCs w:val="22"/>
                <w:lang w:val="en-US" w:eastAsia="en-IE"/>
              </w:rPr>
              <w:t>2030</w:t>
            </w:r>
          </w:p>
        </w:tc>
        <w:tc>
          <w:tcPr>
            <w:tcW w:w="0" w:type="auto"/>
            <w:tcBorders>
              <w:top w:val="nil"/>
              <w:left w:val="nil"/>
              <w:bottom w:val="single" w:sz="8" w:space="0" w:color="auto"/>
              <w:right w:val="single" w:sz="8" w:space="0" w:color="auto"/>
            </w:tcBorders>
            <w:vAlign w:val="center"/>
          </w:tcPr>
          <w:p w14:paraId="2DEF7A07" w14:textId="2F58D01A" w:rsidR="00F562CF" w:rsidRPr="00244D65" w:rsidRDefault="00F562CF" w:rsidP="0085595C">
            <w:pPr>
              <w:jc w:val="center"/>
              <w:rPr>
                <w:noProof/>
                <w:sz w:val="22"/>
                <w:szCs w:val="22"/>
                <w:lang w:val="en-IE" w:eastAsia="en-IE"/>
              </w:rPr>
            </w:pPr>
            <w:r>
              <w:rPr>
                <w:noProof/>
                <w:color w:val="000000"/>
                <w:sz w:val="22"/>
                <w:szCs w:val="22"/>
              </w:rPr>
              <w:t>911</w:t>
            </w:r>
          </w:p>
        </w:tc>
        <w:tc>
          <w:tcPr>
            <w:tcW w:w="0" w:type="auto"/>
            <w:tcBorders>
              <w:top w:val="nil"/>
              <w:left w:val="nil"/>
              <w:bottom w:val="single" w:sz="8" w:space="0" w:color="auto"/>
              <w:right w:val="single" w:sz="8" w:space="0" w:color="auto"/>
            </w:tcBorders>
            <w:vAlign w:val="center"/>
          </w:tcPr>
          <w:p w14:paraId="5729280C" w14:textId="69BB1CBE" w:rsidR="00F562CF" w:rsidRPr="00244D65" w:rsidRDefault="00F562CF" w:rsidP="0085595C">
            <w:pPr>
              <w:jc w:val="center"/>
              <w:rPr>
                <w:noProof/>
                <w:sz w:val="22"/>
                <w:szCs w:val="22"/>
                <w:lang w:val="en-IE" w:eastAsia="en-IE"/>
              </w:rPr>
            </w:pPr>
            <w:r>
              <w:rPr>
                <w:noProof/>
                <w:color w:val="000000"/>
                <w:sz w:val="22"/>
                <w:szCs w:val="22"/>
              </w:rPr>
              <w:t>911</w:t>
            </w:r>
          </w:p>
        </w:tc>
        <w:tc>
          <w:tcPr>
            <w:tcW w:w="0" w:type="auto"/>
            <w:tcBorders>
              <w:top w:val="nil"/>
              <w:left w:val="nil"/>
              <w:bottom w:val="single" w:sz="8" w:space="0" w:color="auto"/>
              <w:right w:val="single" w:sz="8" w:space="0" w:color="auto"/>
            </w:tcBorders>
            <w:vAlign w:val="center"/>
          </w:tcPr>
          <w:p w14:paraId="60F23577" w14:textId="7CC4329E" w:rsidR="00F562CF" w:rsidRPr="00244D65" w:rsidRDefault="00F562CF" w:rsidP="0085595C">
            <w:pPr>
              <w:jc w:val="center"/>
              <w:rPr>
                <w:noProof/>
                <w:sz w:val="22"/>
                <w:szCs w:val="22"/>
                <w:lang w:val="en-IE" w:eastAsia="en-IE"/>
              </w:rPr>
            </w:pPr>
            <w:r>
              <w:rPr>
                <w:noProof/>
                <w:color w:val="000000"/>
                <w:sz w:val="22"/>
                <w:szCs w:val="22"/>
              </w:rPr>
              <w:t>911</w:t>
            </w:r>
          </w:p>
        </w:tc>
      </w:tr>
      <w:tr w:rsidR="00F562CF" w:rsidRPr="00244D65" w14:paraId="1EA5341A" w14:textId="77777777" w:rsidTr="00545B9E">
        <w:trPr>
          <w:trHeight w:val="300"/>
          <w:jc w:val="center"/>
        </w:trPr>
        <w:tc>
          <w:tcPr>
            <w:tcW w:w="0" w:type="auto"/>
            <w:tcBorders>
              <w:top w:val="nil"/>
              <w:left w:val="single" w:sz="8" w:space="0" w:color="auto"/>
              <w:bottom w:val="single" w:sz="8" w:space="0" w:color="auto"/>
              <w:right w:val="single" w:sz="8" w:space="0" w:color="auto"/>
            </w:tcBorders>
            <w:vAlign w:val="center"/>
            <w:hideMark/>
          </w:tcPr>
          <w:p w14:paraId="7FD1994F" w14:textId="77777777" w:rsidR="00F562CF" w:rsidRPr="00244D65" w:rsidRDefault="00F562CF" w:rsidP="0085595C">
            <w:pPr>
              <w:rPr>
                <w:b/>
                <w:bCs/>
                <w:noProof/>
                <w:sz w:val="22"/>
                <w:szCs w:val="22"/>
                <w:lang w:val="en-IE" w:eastAsia="en-IE"/>
              </w:rPr>
            </w:pPr>
            <w:r>
              <w:rPr>
                <w:b/>
                <w:bCs/>
                <w:noProof/>
                <w:sz w:val="22"/>
                <w:szCs w:val="22"/>
                <w:lang w:val="en-US" w:eastAsia="en-IE"/>
              </w:rPr>
              <w:t>2035</w:t>
            </w:r>
          </w:p>
        </w:tc>
        <w:tc>
          <w:tcPr>
            <w:tcW w:w="0" w:type="auto"/>
            <w:tcBorders>
              <w:top w:val="nil"/>
              <w:left w:val="nil"/>
              <w:bottom w:val="single" w:sz="8" w:space="0" w:color="auto"/>
              <w:right w:val="single" w:sz="8" w:space="0" w:color="auto"/>
            </w:tcBorders>
            <w:vAlign w:val="center"/>
          </w:tcPr>
          <w:p w14:paraId="26F35E44" w14:textId="21A31FF0" w:rsidR="00F562CF" w:rsidRPr="00244D65" w:rsidRDefault="00F562CF" w:rsidP="0085595C">
            <w:pPr>
              <w:jc w:val="center"/>
              <w:rPr>
                <w:noProof/>
                <w:sz w:val="22"/>
                <w:szCs w:val="22"/>
                <w:lang w:val="en-IE" w:eastAsia="en-IE"/>
              </w:rPr>
            </w:pPr>
            <w:r>
              <w:rPr>
                <w:noProof/>
                <w:sz w:val="22"/>
                <w:szCs w:val="22"/>
                <w:lang w:val="en-IE" w:eastAsia="en-IE"/>
              </w:rPr>
              <w:t xml:space="preserve"> 620-645</w:t>
            </w:r>
          </w:p>
        </w:tc>
        <w:tc>
          <w:tcPr>
            <w:tcW w:w="0" w:type="auto"/>
            <w:tcBorders>
              <w:top w:val="nil"/>
              <w:left w:val="nil"/>
              <w:bottom w:val="single" w:sz="8" w:space="0" w:color="auto"/>
              <w:right w:val="single" w:sz="8" w:space="0" w:color="auto"/>
            </w:tcBorders>
            <w:vAlign w:val="center"/>
          </w:tcPr>
          <w:p w14:paraId="61742633" w14:textId="19D5637D" w:rsidR="00F562CF" w:rsidRPr="00244D65" w:rsidRDefault="00F562CF" w:rsidP="0085595C">
            <w:pPr>
              <w:jc w:val="center"/>
              <w:rPr>
                <w:noProof/>
                <w:sz w:val="22"/>
                <w:szCs w:val="22"/>
                <w:lang w:val="en-IE" w:eastAsia="en-IE"/>
              </w:rPr>
            </w:pPr>
            <w:r>
              <w:rPr>
                <w:noProof/>
                <w:sz w:val="22"/>
                <w:szCs w:val="22"/>
                <w:lang w:val="en-IE" w:eastAsia="en-IE"/>
              </w:rPr>
              <w:t xml:space="preserve"> 580-670</w:t>
            </w:r>
          </w:p>
        </w:tc>
        <w:tc>
          <w:tcPr>
            <w:tcW w:w="0" w:type="auto"/>
            <w:tcBorders>
              <w:top w:val="nil"/>
              <w:left w:val="nil"/>
              <w:bottom w:val="single" w:sz="8" w:space="0" w:color="auto"/>
              <w:right w:val="single" w:sz="8" w:space="0" w:color="auto"/>
            </w:tcBorders>
            <w:vAlign w:val="center"/>
          </w:tcPr>
          <w:p w14:paraId="3FEA6804" w14:textId="139F3E38" w:rsidR="00F562CF" w:rsidRPr="00244D65" w:rsidRDefault="00F562CF" w:rsidP="0085595C">
            <w:pPr>
              <w:jc w:val="center"/>
              <w:rPr>
                <w:noProof/>
                <w:sz w:val="22"/>
                <w:szCs w:val="22"/>
                <w:lang w:val="en-IE" w:eastAsia="en-IE"/>
              </w:rPr>
            </w:pPr>
            <w:r>
              <w:rPr>
                <w:noProof/>
                <w:sz w:val="22"/>
                <w:szCs w:val="22"/>
                <w:lang w:val="en-IE" w:eastAsia="en-IE"/>
              </w:rPr>
              <w:t>560-605</w:t>
            </w:r>
          </w:p>
        </w:tc>
      </w:tr>
      <w:tr w:rsidR="00F562CF" w:rsidRPr="00244D65" w14:paraId="457FD66B" w14:textId="77777777" w:rsidTr="00545B9E">
        <w:trPr>
          <w:trHeight w:val="300"/>
          <w:jc w:val="center"/>
        </w:trPr>
        <w:tc>
          <w:tcPr>
            <w:tcW w:w="0" w:type="auto"/>
            <w:tcBorders>
              <w:top w:val="nil"/>
              <w:left w:val="single" w:sz="8" w:space="0" w:color="auto"/>
              <w:bottom w:val="single" w:sz="8" w:space="0" w:color="auto"/>
              <w:right w:val="single" w:sz="8" w:space="0" w:color="auto"/>
            </w:tcBorders>
            <w:vAlign w:val="center"/>
            <w:hideMark/>
          </w:tcPr>
          <w:p w14:paraId="42CC8A55" w14:textId="77777777" w:rsidR="00F562CF" w:rsidRPr="00244D65" w:rsidRDefault="00F562CF" w:rsidP="0085595C">
            <w:pPr>
              <w:rPr>
                <w:b/>
                <w:bCs/>
                <w:noProof/>
                <w:sz w:val="22"/>
                <w:szCs w:val="22"/>
                <w:lang w:val="en-IE" w:eastAsia="en-IE"/>
              </w:rPr>
            </w:pPr>
            <w:r>
              <w:rPr>
                <w:b/>
                <w:bCs/>
                <w:noProof/>
                <w:sz w:val="22"/>
                <w:szCs w:val="22"/>
                <w:lang w:val="en-US" w:eastAsia="en-IE"/>
              </w:rPr>
              <w:t>2040</w:t>
            </w:r>
          </w:p>
        </w:tc>
        <w:tc>
          <w:tcPr>
            <w:tcW w:w="0" w:type="auto"/>
            <w:tcBorders>
              <w:top w:val="nil"/>
              <w:left w:val="nil"/>
              <w:bottom w:val="single" w:sz="8" w:space="0" w:color="auto"/>
              <w:right w:val="single" w:sz="8" w:space="0" w:color="auto"/>
            </w:tcBorders>
            <w:vAlign w:val="center"/>
          </w:tcPr>
          <w:p w14:paraId="3BE3C442" w14:textId="2C644680" w:rsidR="00F562CF" w:rsidRPr="00244D65" w:rsidRDefault="00F562CF" w:rsidP="0085595C">
            <w:pPr>
              <w:jc w:val="center"/>
              <w:rPr>
                <w:noProof/>
                <w:sz w:val="22"/>
                <w:szCs w:val="22"/>
                <w:lang w:val="en-IE" w:eastAsia="en-IE"/>
              </w:rPr>
            </w:pPr>
            <w:r>
              <w:rPr>
                <w:noProof/>
                <w:sz w:val="22"/>
                <w:szCs w:val="22"/>
                <w:lang w:val="en-IE" w:eastAsia="en-IE"/>
              </w:rPr>
              <w:t>330-375</w:t>
            </w:r>
          </w:p>
        </w:tc>
        <w:tc>
          <w:tcPr>
            <w:tcW w:w="0" w:type="auto"/>
            <w:tcBorders>
              <w:top w:val="nil"/>
              <w:left w:val="nil"/>
              <w:bottom w:val="single" w:sz="8" w:space="0" w:color="auto"/>
              <w:right w:val="single" w:sz="8" w:space="0" w:color="auto"/>
            </w:tcBorders>
          </w:tcPr>
          <w:p w14:paraId="2BECE89A" w14:textId="0C961143" w:rsidR="00F562CF" w:rsidRPr="00244D65" w:rsidRDefault="00F562CF" w:rsidP="0085595C">
            <w:pPr>
              <w:jc w:val="center"/>
              <w:rPr>
                <w:noProof/>
                <w:sz w:val="22"/>
                <w:szCs w:val="22"/>
                <w:lang w:val="en-IE" w:eastAsia="en-IE"/>
              </w:rPr>
            </w:pPr>
            <w:r>
              <w:rPr>
                <w:noProof/>
                <w:sz w:val="22"/>
                <w:szCs w:val="22"/>
                <w:lang w:val="en-IE" w:eastAsia="en-IE"/>
              </w:rPr>
              <w:t>330-375</w:t>
            </w:r>
          </w:p>
        </w:tc>
        <w:tc>
          <w:tcPr>
            <w:tcW w:w="0" w:type="auto"/>
            <w:tcBorders>
              <w:top w:val="nil"/>
              <w:left w:val="nil"/>
              <w:bottom w:val="single" w:sz="8" w:space="0" w:color="auto"/>
              <w:right w:val="single" w:sz="8" w:space="0" w:color="auto"/>
            </w:tcBorders>
          </w:tcPr>
          <w:p w14:paraId="3AA42081" w14:textId="397CA100" w:rsidR="00F562CF" w:rsidRPr="00244D65" w:rsidRDefault="00F562CF" w:rsidP="0085595C">
            <w:pPr>
              <w:jc w:val="center"/>
              <w:rPr>
                <w:noProof/>
                <w:sz w:val="22"/>
                <w:szCs w:val="22"/>
                <w:lang w:val="en-IE" w:eastAsia="en-IE"/>
              </w:rPr>
            </w:pPr>
            <w:r>
              <w:rPr>
                <w:noProof/>
                <w:sz w:val="22"/>
                <w:szCs w:val="22"/>
                <w:lang w:val="en-IE" w:eastAsia="en-IE"/>
              </w:rPr>
              <w:t>330-375</w:t>
            </w:r>
          </w:p>
        </w:tc>
      </w:tr>
      <w:tr w:rsidR="00F562CF" w:rsidRPr="00244D65" w14:paraId="63F76D02" w14:textId="77777777" w:rsidTr="00545B9E">
        <w:trPr>
          <w:trHeight w:val="300"/>
          <w:jc w:val="center"/>
        </w:trPr>
        <w:tc>
          <w:tcPr>
            <w:tcW w:w="0" w:type="auto"/>
            <w:tcBorders>
              <w:top w:val="nil"/>
              <w:left w:val="single" w:sz="8" w:space="0" w:color="auto"/>
              <w:bottom w:val="single" w:sz="8" w:space="0" w:color="auto"/>
              <w:right w:val="single" w:sz="8" w:space="0" w:color="auto"/>
            </w:tcBorders>
            <w:vAlign w:val="center"/>
            <w:hideMark/>
          </w:tcPr>
          <w:p w14:paraId="5451B3BE" w14:textId="77777777" w:rsidR="00F562CF" w:rsidRPr="00244D65" w:rsidRDefault="00F562CF" w:rsidP="0085595C">
            <w:pPr>
              <w:rPr>
                <w:b/>
                <w:bCs/>
                <w:noProof/>
                <w:sz w:val="22"/>
                <w:szCs w:val="22"/>
                <w:lang w:val="en-IE" w:eastAsia="en-IE"/>
              </w:rPr>
            </w:pPr>
            <w:r>
              <w:rPr>
                <w:b/>
                <w:bCs/>
                <w:noProof/>
                <w:sz w:val="22"/>
                <w:szCs w:val="22"/>
                <w:lang w:val="en-US" w:eastAsia="en-IE"/>
              </w:rPr>
              <w:t>LRF 2030-2035</w:t>
            </w:r>
          </w:p>
        </w:tc>
        <w:tc>
          <w:tcPr>
            <w:tcW w:w="0" w:type="auto"/>
            <w:tcBorders>
              <w:top w:val="nil"/>
              <w:left w:val="nil"/>
              <w:bottom w:val="single" w:sz="8" w:space="0" w:color="auto"/>
              <w:right w:val="single" w:sz="8" w:space="0" w:color="auto"/>
            </w:tcBorders>
            <w:vAlign w:val="center"/>
          </w:tcPr>
          <w:p w14:paraId="5D6956F0" w14:textId="61768A6E" w:rsidR="00F562CF" w:rsidRPr="00244D65" w:rsidRDefault="00F562CF" w:rsidP="0085595C">
            <w:pPr>
              <w:jc w:val="center"/>
              <w:rPr>
                <w:noProof/>
                <w:sz w:val="22"/>
                <w:szCs w:val="22"/>
                <w:lang w:val="en-IE" w:eastAsia="en-IE"/>
              </w:rPr>
            </w:pPr>
            <w:r>
              <w:rPr>
                <w:noProof/>
                <w:sz w:val="22"/>
                <w:szCs w:val="22"/>
                <w:lang w:val="en-IE" w:eastAsia="en-IE"/>
              </w:rPr>
              <w:t>2.7-2.5%</w:t>
            </w:r>
          </w:p>
        </w:tc>
        <w:tc>
          <w:tcPr>
            <w:tcW w:w="0" w:type="auto"/>
            <w:tcBorders>
              <w:top w:val="nil"/>
              <w:left w:val="nil"/>
              <w:bottom w:val="single" w:sz="8" w:space="0" w:color="auto"/>
              <w:right w:val="single" w:sz="8" w:space="0" w:color="auto"/>
            </w:tcBorders>
            <w:vAlign w:val="center"/>
          </w:tcPr>
          <w:p w14:paraId="2D392A01" w14:textId="0CB779AF" w:rsidR="00F562CF" w:rsidRPr="00244D65" w:rsidRDefault="00F562CF" w:rsidP="0085595C">
            <w:pPr>
              <w:jc w:val="center"/>
              <w:rPr>
                <w:noProof/>
                <w:sz w:val="22"/>
                <w:szCs w:val="22"/>
                <w:lang w:val="en-IE" w:eastAsia="en-IE"/>
              </w:rPr>
            </w:pPr>
            <w:r>
              <w:rPr>
                <w:noProof/>
                <w:sz w:val="22"/>
                <w:szCs w:val="22"/>
                <w:lang w:val="en-IE" w:eastAsia="en-IE"/>
              </w:rPr>
              <w:t>3.1-2.3%</w:t>
            </w:r>
          </w:p>
        </w:tc>
        <w:tc>
          <w:tcPr>
            <w:tcW w:w="0" w:type="auto"/>
            <w:tcBorders>
              <w:top w:val="nil"/>
              <w:left w:val="nil"/>
              <w:bottom w:val="single" w:sz="8" w:space="0" w:color="auto"/>
              <w:right w:val="single" w:sz="8" w:space="0" w:color="auto"/>
            </w:tcBorders>
            <w:vAlign w:val="center"/>
          </w:tcPr>
          <w:p w14:paraId="050D22A9" w14:textId="79BA60B9" w:rsidR="00F562CF" w:rsidRPr="00244D65" w:rsidRDefault="00F562CF" w:rsidP="0085595C">
            <w:pPr>
              <w:jc w:val="center"/>
              <w:rPr>
                <w:noProof/>
                <w:sz w:val="22"/>
                <w:szCs w:val="22"/>
                <w:lang w:val="en-IE" w:eastAsia="en-IE"/>
              </w:rPr>
            </w:pPr>
            <w:r>
              <w:rPr>
                <w:noProof/>
                <w:sz w:val="22"/>
                <w:szCs w:val="22"/>
                <w:lang w:val="en-IE" w:eastAsia="en-IE"/>
              </w:rPr>
              <w:t>3.3-2.9%</w:t>
            </w:r>
          </w:p>
        </w:tc>
      </w:tr>
      <w:tr w:rsidR="00F562CF" w:rsidRPr="00244D65" w14:paraId="5BCCBE5F" w14:textId="77777777" w:rsidTr="00545B9E">
        <w:trPr>
          <w:trHeight w:val="300"/>
          <w:jc w:val="center"/>
        </w:trPr>
        <w:tc>
          <w:tcPr>
            <w:tcW w:w="0" w:type="auto"/>
            <w:tcBorders>
              <w:top w:val="nil"/>
              <w:left w:val="single" w:sz="8" w:space="0" w:color="auto"/>
              <w:bottom w:val="single" w:sz="8" w:space="0" w:color="auto"/>
              <w:right w:val="single" w:sz="8" w:space="0" w:color="auto"/>
            </w:tcBorders>
            <w:vAlign w:val="center"/>
            <w:hideMark/>
          </w:tcPr>
          <w:p w14:paraId="261DC7BC" w14:textId="77777777" w:rsidR="00F562CF" w:rsidRPr="00244D65" w:rsidRDefault="00F562CF" w:rsidP="0085595C">
            <w:pPr>
              <w:rPr>
                <w:b/>
                <w:bCs/>
                <w:noProof/>
                <w:sz w:val="22"/>
                <w:szCs w:val="22"/>
                <w:lang w:val="en-IE" w:eastAsia="en-IE"/>
              </w:rPr>
            </w:pPr>
            <w:r>
              <w:rPr>
                <w:b/>
                <w:bCs/>
                <w:noProof/>
                <w:sz w:val="22"/>
                <w:szCs w:val="22"/>
                <w:lang w:val="en-US" w:eastAsia="en-IE"/>
              </w:rPr>
              <w:t>LRF 2035-2040</w:t>
            </w:r>
          </w:p>
        </w:tc>
        <w:tc>
          <w:tcPr>
            <w:tcW w:w="0" w:type="auto"/>
            <w:tcBorders>
              <w:top w:val="nil"/>
              <w:left w:val="nil"/>
              <w:bottom w:val="single" w:sz="8" w:space="0" w:color="auto"/>
              <w:right w:val="single" w:sz="8" w:space="0" w:color="auto"/>
            </w:tcBorders>
            <w:vAlign w:val="center"/>
          </w:tcPr>
          <w:p w14:paraId="5F844140" w14:textId="358E3334" w:rsidR="00F562CF" w:rsidRPr="00244D65" w:rsidRDefault="00F562CF" w:rsidP="0085595C">
            <w:pPr>
              <w:jc w:val="center"/>
              <w:rPr>
                <w:noProof/>
                <w:sz w:val="22"/>
                <w:szCs w:val="22"/>
                <w:lang w:val="en-IE" w:eastAsia="en-IE"/>
              </w:rPr>
            </w:pPr>
            <w:r>
              <w:rPr>
                <w:noProof/>
                <w:sz w:val="22"/>
                <w:szCs w:val="22"/>
                <w:lang w:val="en-IE" w:eastAsia="en-IE"/>
              </w:rPr>
              <w:t>2.7-2.5%</w:t>
            </w:r>
          </w:p>
        </w:tc>
        <w:tc>
          <w:tcPr>
            <w:tcW w:w="0" w:type="auto"/>
            <w:tcBorders>
              <w:top w:val="nil"/>
              <w:left w:val="nil"/>
              <w:bottom w:val="single" w:sz="8" w:space="0" w:color="auto"/>
              <w:right w:val="single" w:sz="8" w:space="0" w:color="auto"/>
            </w:tcBorders>
            <w:vAlign w:val="center"/>
          </w:tcPr>
          <w:p w14:paraId="6FC818CD" w14:textId="37D30FA1" w:rsidR="00F562CF" w:rsidRPr="00244D65" w:rsidRDefault="00F562CF" w:rsidP="0085595C">
            <w:pPr>
              <w:jc w:val="center"/>
              <w:rPr>
                <w:noProof/>
                <w:sz w:val="22"/>
                <w:szCs w:val="22"/>
                <w:lang w:val="en-IE" w:eastAsia="en-IE"/>
              </w:rPr>
            </w:pPr>
            <w:r>
              <w:rPr>
                <w:noProof/>
                <w:sz w:val="22"/>
                <w:szCs w:val="22"/>
                <w:lang w:val="en-IE" w:eastAsia="en-IE"/>
              </w:rPr>
              <w:t>2.3-2.7%</w:t>
            </w:r>
          </w:p>
        </w:tc>
        <w:tc>
          <w:tcPr>
            <w:tcW w:w="0" w:type="auto"/>
            <w:tcBorders>
              <w:top w:val="nil"/>
              <w:left w:val="nil"/>
              <w:bottom w:val="single" w:sz="8" w:space="0" w:color="auto"/>
              <w:right w:val="single" w:sz="8" w:space="0" w:color="auto"/>
            </w:tcBorders>
            <w:vAlign w:val="center"/>
          </w:tcPr>
          <w:p w14:paraId="6A6C6788" w14:textId="6AFEA5CF" w:rsidR="00F562CF" w:rsidRPr="00244D65" w:rsidRDefault="00F562CF" w:rsidP="0085595C">
            <w:pPr>
              <w:jc w:val="center"/>
              <w:rPr>
                <w:noProof/>
                <w:sz w:val="22"/>
                <w:szCs w:val="22"/>
                <w:lang w:val="en-IE" w:eastAsia="en-IE"/>
              </w:rPr>
            </w:pPr>
            <w:r>
              <w:rPr>
                <w:noProof/>
                <w:sz w:val="22"/>
                <w:szCs w:val="22"/>
                <w:lang w:val="en-IE" w:eastAsia="en-IE"/>
              </w:rPr>
              <w:t>2.1-2.1%</w:t>
            </w:r>
          </w:p>
        </w:tc>
      </w:tr>
      <w:tr w:rsidR="00F562CF" w:rsidRPr="00244D65" w14:paraId="326008F2" w14:textId="77777777" w:rsidTr="00545B9E">
        <w:trPr>
          <w:trHeight w:val="300"/>
          <w:jc w:val="center"/>
        </w:trPr>
        <w:tc>
          <w:tcPr>
            <w:tcW w:w="0" w:type="auto"/>
            <w:tcBorders>
              <w:top w:val="nil"/>
              <w:left w:val="single" w:sz="8" w:space="0" w:color="auto"/>
              <w:bottom w:val="single" w:sz="8" w:space="0" w:color="auto"/>
              <w:right w:val="single" w:sz="8" w:space="0" w:color="auto"/>
            </w:tcBorders>
            <w:vAlign w:val="center"/>
            <w:hideMark/>
          </w:tcPr>
          <w:p w14:paraId="58B026EA" w14:textId="77777777" w:rsidR="00F562CF" w:rsidRPr="00244D65" w:rsidRDefault="00F562CF" w:rsidP="0085595C">
            <w:pPr>
              <w:rPr>
                <w:b/>
                <w:bCs/>
                <w:noProof/>
                <w:sz w:val="22"/>
                <w:szCs w:val="22"/>
                <w:lang w:val="en-IE" w:eastAsia="en-IE"/>
              </w:rPr>
            </w:pPr>
            <w:r>
              <w:rPr>
                <w:b/>
                <w:bCs/>
                <w:noProof/>
                <w:sz w:val="22"/>
                <w:szCs w:val="22"/>
                <w:lang w:val="en-US" w:eastAsia="en-IE"/>
              </w:rPr>
              <w:t>Carbon Budget 2031-2040</w:t>
            </w:r>
          </w:p>
        </w:tc>
        <w:tc>
          <w:tcPr>
            <w:tcW w:w="0" w:type="auto"/>
            <w:tcBorders>
              <w:top w:val="nil"/>
              <w:left w:val="nil"/>
              <w:bottom w:val="single" w:sz="8" w:space="0" w:color="auto"/>
              <w:right w:val="single" w:sz="8" w:space="0" w:color="auto"/>
            </w:tcBorders>
            <w:vAlign w:val="center"/>
          </w:tcPr>
          <w:p w14:paraId="78D1C821" w14:textId="7D706190" w:rsidR="00F562CF" w:rsidRPr="00244D65" w:rsidRDefault="00F562CF" w:rsidP="0085595C">
            <w:pPr>
              <w:jc w:val="center"/>
              <w:rPr>
                <w:noProof/>
                <w:sz w:val="22"/>
                <w:szCs w:val="22"/>
                <w:lang w:val="en-IE" w:eastAsia="en-IE"/>
              </w:rPr>
            </w:pPr>
            <w:r>
              <w:rPr>
                <w:noProof/>
                <w:sz w:val="22"/>
                <w:szCs w:val="22"/>
                <w:lang w:val="en-IE" w:eastAsia="en-IE"/>
              </w:rPr>
              <w:t>5915-6175</w:t>
            </w:r>
          </w:p>
        </w:tc>
        <w:tc>
          <w:tcPr>
            <w:tcW w:w="0" w:type="auto"/>
            <w:tcBorders>
              <w:top w:val="nil"/>
              <w:left w:val="nil"/>
              <w:bottom w:val="single" w:sz="8" w:space="0" w:color="auto"/>
              <w:right w:val="single" w:sz="8" w:space="0" w:color="auto"/>
            </w:tcBorders>
            <w:vAlign w:val="center"/>
          </w:tcPr>
          <w:p w14:paraId="22F79420" w14:textId="64CB5646" w:rsidR="00F562CF" w:rsidRPr="00244D65" w:rsidRDefault="00F562CF" w:rsidP="0085595C">
            <w:pPr>
              <w:jc w:val="center"/>
              <w:rPr>
                <w:noProof/>
                <w:sz w:val="22"/>
                <w:szCs w:val="22"/>
                <w:lang w:val="en-IE" w:eastAsia="en-IE"/>
              </w:rPr>
            </w:pPr>
            <w:r>
              <w:rPr>
                <w:noProof/>
                <w:sz w:val="22"/>
                <w:szCs w:val="22"/>
                <w:lang w:val="en-IE" w:eastAsia="en-IE"/>
              </w:rPr>
              <w:t>5705-6295</w:t>
            </w:r>
          </w:p>
        </w:tc>
        <w:tc>
          <w:tcPr>
            <w:tcW w:w="0" w:type="auto"/>
            <w:tcBorders>
              <w:top w:val="nil"/>
              <w:left w:val="nil"/>
              <w:bottom w:val="single" w:sz="8" w:space="0" w:color="auto"/>
              <w:right w:val="single" w:sz="8" w:space="0" w:color="auto"/>
            </w:tcBorders>
            <w:vAlign w:val="center"/>
          </w:tcPr>
          <w:p w14:paraId="0EFA461A" w14:textId="22ADA3B2" w:rsidR="00F562CF" w:rsidRPr="00244D65" w:rsidRDefault="00F562CF" w:rsidP="0085595C">
            <w:pPr>
              <w:jc w:val="center"/>
              <w:rPr>
                <w:noProof/>
                <w:sz w:val="22"/>
                <w:szCs w:val="22"/>
                <w:lang w:val="en-IE" w:eastAsia="en-IE"/>
              </w:rPr>
            </w:pPr>
            <w:r>
              <w:rPr>
                <w:noProof/>
                <w:sz w:val="22"/>
                <w:szCs w:val="22"/>
                <w:lang w:val="en-IE" w:eastAsia="en-IE"/>
              </w:rPr>
              <w:t>5605-5965</w:t>
            </w:r>
          </w:p>
        </w:tc>
      </w:tr>
    </w:tbl>
    <w:p w14:paraId="2FD76338" w14:textId="0C5B21B6" w:rsidR="002403D1" w:rsidRPr="00244D65" w:rsidRDefault="007847E5" w:rsidP="0085595C">
      <w:pPr>
        <w:rPr>
          <w:noProof/>
        </w:rPr>
      </w:pPr>
      <w:r>
        <w:rPr>
          <w:noProof/>
        </w:rPr>
        <w:t>The table above shows that, for a given model, the two-step trajectory would have smaller total emissions (i.e. carbon budget) over the 2031-2040 period than either the linear or modelled trajectories unconstrained in 2035. However, we see that there is overlap in the ranges, due to the different models used.</w:t>
      </w:r>
    </w:p>
    <w:p w14:paraId="78DE2721" w14:textId="29E8E29F" w:rsidR="009E3BDC" w:rsidRPr="00244D65" w:rsidRDefault="00080484" w:rsidP="0085595C">
      <w:pPr>
        <w:rPr>
          <w:noProof/>
        </w:rPr>
      </w:pPr>
      <w:r w:rsidRPr="00244D65">
        <w:rPr>
          <w:noProof/>
        </w:rPr>
        <w:t xml:space="preserve">Here it should be noted </w:t>
      </w:r>
      <w:r w:rsidR="00DB1461" w:rsidRPr="00244D65">
        <w:rPr>
          <w:noProof/>
        </w:rPr>
        <w:t xml:space="preserve">that </w:t>
      </w:r>
      <w:r w:rsidR="00E00833" w:rsidRPr="00244D65">
        <w:rPr>
          <w:noProof/>
        </w:rPr>
        <w:t xml:space="preserve">this </w:t>
      </w:r>
      <w:r w:rsidR="00E00833" w:rsidRPr="00244D65">
        <w:rPr>
          <w:rFonts w:eastAsiaTheme="minorHAnsi"/>
          <w:noProof/>
        </w:rPr>
        <w:t xml:space="preserve">modelling has been performed under the assumption that (one-way) international extra EU aviation has been included in the EU target. See Annex </w:t>
      </w:r>
      <w:r w:rsidR="008C579F" w:rsidRPr="00244D65">
        <w:rPr>
          <w:rFonts w:eastAsiaTheme="minorHAnsi"/>
          <w:noProof/>
        </w:rPr>
        <w:t>8</w:t>
      </w:r>
      <w:r w:rsidR="00FA1E35" w:rsidRPr="00244D65">
        <w:rPr>
          <w:rFonts w:eastAsiaTheme="minorHAnsi"/>
          <w:noProof/>
        </w:rPr>
        <w:t xml:space="preserve"> </w:t>
      </w:r>
      <w:r w:rsidR="00E00833" w:rsidRPr="00244D65">
        <w:rPr>
          <w:rFonts w:eastAsiaTheme="minorHAnsi"/>
          <w:noProof/>
        </w:rPr>
        <w:t xml:space="preserve">on a qualitative economy-wide assessment and modelling results on the caps if </w:t>
      </w:r>
      <w:r w:rsidR="009E3BDC" w:rsidRPr="00244D65">
        <w:rPr>
          <w:rFonts w:eastAsiaTheme="minorHAnsi"/>
          <w:noProof/>
        </w:rPr>
        <w:t xml:space="preserve">international extra EU aviation is not regarded as part of the target scope. </w:t>
      </w:r>
      <w:r w:rsidR="001B2E7D" w:rsidRPr="00244D65">
        <w:rPr>
          <w:rFonts w:eastAsiaTheme="minorHAnsi"/>
          <w:noProof/>
        </w:rPr>
        <w:t xml:space="preserve">The above numbers include the current scope of EU ETS, including international extra EEA aviation, and maritime non-CO2. They exclude </w:t>
      </w:r>
      <w:r w:rsidR="00802A32" w:rsidRPr="00244D65">
        <w:rPr>
          <w:rFonts w:eastAsiaTheme="minorHAnsi"/>
          <w:noProof/>
        </w:rPr>
        <w:t>waste</w:t>
      </w:r>
      <w:r w:rsidR="001B2E7D" w:rsidRPr="00244D65">
        <w:rPr>
          <w:rFonts w:eastAsiaTheme="minorHAnsi"/>
          <w:noProof/>
        </w:rPr>
        <w:t xml:space="preserve"> and </w:t>
      </w:r>
      <w:r w:rsidR="00802A32" w:rsidRPr="00244D65">
        <w:rPr>
          <w:rFonts w:eastAsiaTheme="minorHAnsi"/>
          <w:noProof/>
        </w:rPr>
        <w:t xml:space="preserve">are set at </w:t>
      </w:r>
      <w:r w:rsidR="001B2E7D" w:rsidRPr="00244D65">
        <w:rPr>
          <w:rFonts w:eastAsiaTheme="minorHAnsi"/>
          <w:noProof/>
        </w:rPr>
        <w:t xml:space="preserve">gross emissions. </w:t>
      </w:r>
    </w:p>
    <w:p w14:paraId="724DEAB2" w14:textId="46593498" w:rsidR="0045615C" w:rsidRPr="00244D65" w:rsidRDefault="0045615C" w:rsidP="0085595C">
      <w:pPr>
        <w:rPr>
          <w:noProof/>
        </w:rPr>
      </w:pPr>
      <w:r w:rsidRPr="00244D65">
        <w:rPr>
          <w:noProof/>
        </w:rPr>
        <w:t xml:space="preserve">In terms of the inclusion of municipal waste incineration in PO2 </w:t>
      </w:r>
      <w:r w:rsidR="58B02243" w:rsidRPr="00244D65">
        <w:rPr>
          <w:noProof/>
        </w:rPr>
        <w:t>and</w:t>
      </w:r>
      <w:r w:rsidRPr="00244D65">
        <w:rPr>
          <w:noProof/>
        </w:rPr>
        <w:t xml:space="preserve"> landfills and hazardous waste incineration in PO3, the environmental impact will depend on how the additions to the cap compare to hypothetical policies to reduce waste emissions outside the EU ETS</w:t>
      </w:r>
      <w:r w:rsidR="00E13D70" w:rsidRPr="00244D65">
        <w:rPr>
          <w:noProof/>
        </w:rPr>
        <w:t xml:space="preserve"> (see </w:t>
      </w:r>
      <w:r w:rsidR="00FA1E35" w:rsidRPr="00244D65">
        <w:rPr>
          <w:noProof/>
        </w:rPr>
        <w:t>S</w:t>
      </w:r>
      <w:r w:rsidR="006B48BF" w:rsidRPr="00244D65">
        <w:rPr>
          <w:noProof/>
        </w:rPr>
        <w:t>ection</w:t>
      </w:r>
      <w:r w:rsidR="00E13D70" w:rsidRPr="00244D65">
        <w:rPr>
          <w:noProof/>
        </w:rPr>
        <w:t xml:space="preserve"> 6.1.1.8.)</w:t>
      </w:r>
      <w:r w:rsidRPr="00244D65">
        <w:rPr>
          <w:noProof/>
        </w:rPr>
        <w:t>. Inclusion in the EU ETS would increase the (long term) certainty and investment signal that the sector contributes it</w:t>
      </w:r>
      <w:r w:rsidR="00675CD4" w:rsidRPr="00244D65">
        <w:rPr>
          <w:noProof/>
        </w:rPr>
        <w:t>s</w:t>
      </w:r>
      <w:r w:rsidRPr="00244D65">
        <w:rPr>
          <w:noProof/>
        </w:rPr>
        <w:t xml:space="preserve"> share in emissions reductions by reducing emissions or paying for reductions elsewhere. The increases in the cap in the scenarios PO2 and PO3 are relatively generous compared to reductions by 2040 expected from other sectors. </w:t>
      </w:r>
    </w:p>
    <w:p w14:paraId="3231ADAB" w14:textId="687E2610" w:rsidR="0045615C" w:rsidRPr="00244D65" w:rsidRDefault="0045615C" w:rsidP="0085595C">
      <w:pPr>
        <w:rPr>
          <w:noProof/>
        </w:rPr>
      </w:pPr>
      <w:r w:rsidRPr="00244D65">
        <w:rPr>
          <w:noProof/>
        </w:rPr>
        <w:t>In PO1, EU ETS includes intra-EU flights but not international extra EU flights, and the cap is therefore lower. Implicitly, other policies will apply to international aviation. In PO2 and PO3, outgoing international aviation is included in the EU ETS</w:t>
      </w:r>
      <w:r w:rsidR="001C24F2" w:rsidRPr="00244D65">
        <w:rPr>
          <w:noProof/>
        </w:rPr>
        <w:t>, as well as emissio</w:t>
      </w:r>
      <w:r w:rsidR="00870B37" w:rsidRPr="00244D65">
        <w:rPr>
          <w:noProof/>
        </w:rPr>
        <w:t>ns from small</w:t>
      </w:r>
      <w:r w:rsidR="007221D5" w:rsidRPr="00244D65">
        <w:rPr>
          <w:noProof/>
        </w:rPr>
        <w:t>er</w:t>
      </w:r>
      <w:r w:rsidR="00870B37" w:rsidRPr="00244D65">
        <w:rPr>
          <w:noProof/>
        </w:rPr>
        <w:t xml:space="preserve"> ships</w:t>
      </w:r>
      <w:r w:rsidRPr="00244D65">
        <w:rPr>
          <w:noProof/>
        </w:rPr>
        <w:t>.</w:t>
      </w:r>
      <w:r w:rsidR="00DC2B96" w:rsidRPr="00244D65">
        <w:rPr>
          <w:noProof/>
        </w:rPr>
        <w:t xml:space="preserve"> </w:t>
      </w:r>
    </w:p>
    <w:p w14:paraId="5FC3AD83" w14:textId="6804BC57" w:rsidR="00E3468C" w:rsidRPr="00244D65" w:rsidRDefault="00E3468C" w:rsidP="0085595C">
      <w:pPr>
        <w:rPr>
          <w:rFonts w:eastAsiaTheme="minorHAnsi"/>
          <w:noProof/>
        </w:rPr>
      </w:pPr>
      <w:r w:rsidRPr="00244D65">
        <w:rPr>
          <w:noProof/>
        </w:rPr>
        <w:t>However, the</w:t>
      </w:r>
      <w:r w:rsidR="009A7AD2" w:rsidRPr="00244D65">
        <w:rPr>
          <w:noProof/>
        </w:rPr>
        <w:t xml:space="preserve">re are other possible ways to design the cap measure, as described in Annex 8. </w:t>
      </w:r>
      <w:r w:rsidR="00191E17" w:rsidRPr="00244D65">
        <w:rPr>
          <w:rFonts w:eastAsiaTheme="minorHAnsi"/>
          <w:noProof/>
        </w:rPr>
        <w:t xml:space="preserve">If international aviation were to be excluded </w:t>
      </w:r>
      <w:r w:rsidR="008C382E" w:rsidRPr="00244D65">
        <w:rPr>
          <w:rFonts w:eastAsiaTheme="minorHAnsi"/>
          <w:noProof/>
        </w:rPr>
        <w:t>from</w:t>
      </w:r>
      <w:r w:rsidR="00191E17" w:rsidRPr="00244D65">
        <w:rPr>
          <w:rFonts w:eastAsiaTheme="minorHAnsi"/>
          <w:noProof/>
        </w:rPr>
        <w:t xml:space="preserve"> the target, total emissions under the EU target would be lower.</w:t>
      </w:r>
      <w:r w:rsidR="00727F98" w:rsidRPr="00244D65">
        <w:rPr>
          <w:rFonts w:eastAsiaTheme="minorHAnsi"/>
          <w:noProof/>
        </w:rPr>
        <w:t xml:space="preserve"> As international aviation is a hard</w:t>
      </w:r>
      <w:r w:rsidR="008C382E" w:rsidRPr="00244D65">
        <w:rPr>
          <w:rFonts w:eastAsiaTheme="minorHAnsi"/>
          <w:noProof/>
        </w:rPr>
        <w:t>-</w:t>
      </w:r>
      <w:r w:rsidR="00727F98" w:rsidRPr="00244D65">
        <w:rPr>
          <w:rFonts w:eastAsiaTheme="minorHAnsi"/>
          <w:noProof/>
        </w:rPr>
        <w:t>to</w:t>
      </w:r>
      <w:r w:rsidR="008C382E" w:rsidRPr="00244D65">
        <w:rPr>
          <w:rFonts w:eastAsiaTheme="minorHAnsi"/>
          <w:noProof/>
        </w:rPr>
        <w:t>-</w:t>
      </w:r>
      <w:r w:rsidR="00727F98" w:rsidRPr="00244D65">
        <w:rPr>
          <w:rFonts w:eastAsiaTheme="minorHAnsi"/>
          <w:noProof/>
        </w:rPr>
        <w:t>abate sector with lower reduction potential by 2040 than other sectors, this would nevertheless create additional emissions space of ca. 45 Mt for other sectors of the economy.</w:t>
      </w:r>
    </w:p>
    <w:p w14:paraId="6553E3C8" w14:textId="4763A837" w:rsidR="009222D8" w:rsidRPr="00244D65" w:rsidRDefault="002D05EF" w:rsidP="0085595C">
      <w:pPr>
        <w:tabs>
          <w:tab w:val="left" w:pos="567"/>
        </w:tabs>
        <w:ind w:right="113"/>
        <w:rPr>
          <w:rFonts w:eastAsiaTheme="minorHAnsi"/>
          <w:noProof/>
        </w:rPr>
      </w:pPr>
      <w:r w:rsidRPr="00244D65">
        <w:rPr>
          <w:rFonts w:eastAsiaTheme="minorHAnsi"/>
          <w:noProof/>
        </w:rPr>
        <w:t>In addition, if the EU ETS is assumed to benefit from the total amount of industrial removals in the models, the cap can be decomposed into a more ambitious cap set at the level of net emissions plus an amount of removals-linked allowances, which together add up to a total gross emissions carbon budget</w:t>
      </w:r>
      <w:r w:rsidR="001B5A61" w:rsidRPr="00244D65">
        <w:rPr>
          <w:rFonts w:eastAsiaTheme="minorHAnsi"/>
          <w:noProof/>
        </w:rPr>
        <w:t>; this is in particular relevant to PO1.</w:t>
      </w:r>
      <w:r w:rsidR="001F4BD3" w:rsidRPr="00244D65">
        <w:rPr>
          <w:rFonts w:eastAsiaTheme="minorHAnsi"/>
          <w:noProof/>
        </w:rPr>
        <w:t xml:space="preserve"> The result </w:t>
      </w:r>
      <w:r w:rsidR="00AF6763" w:rsidRPr="00244D65">
        <w:rPr>
          <w:rFonts w:eastAsiaTheme="minorHAnsi"/>
          <w:noProof/>
        </w:rPr>
        <w:t xml:space="preserve">of both excluding international extra EU aviation from the cap, as well as the decomposition in net trajectory and removals-linked allowances </w:t>
      </w:r>
      <w:r w:rsidR="009222D8" w:rsidRPr="00244D65">
        <w:rPr>
          <w:rFonts w:eastAsiaTheme="minorHAnsi"/>
          <w:noProof/>
        </w:rPr>
        <w:t>is estimated below for the POTEnCIA model:</w:t>
      </w:r>
    </w:p>
    <w:p w14:paraId="02FA19C7" w14:textId="77777777" w:rsidR="00BA4E81" w:rsidRDefault="00F37A98" w:rsidP="0085595C">
      <w:pPr>
        <w:pStyle w:val="Tabletitle"/>
        <w:rPr>
          <w:noProof/>
        </w:rPr>
      </w:pPr>
      <w:r>
        <w:rPr>
          <w:noProof/>
        </w:rPr>
        <w:t xml:space="preserve">Net caps trajectories for POTEnCIA, </w:t>
      </w:r>
      <w:r>
        <w:rPr>
          <w:noProof/>
          <w:u w:val="single"/>
        </w:rPr>
        <w:t>excluding</w:t>
      </w:r>
      <w:r>
        <w:rPr>
          <w:noProof/>
        </w:rPr>
        <w:t xml:space="preserve"> international extra EEA aviation and with added removals linked allowances</w:t>
      </w:r>
    </w:p>
    <w:tbl>
      <w:tblPr>
        <w:tblW w:w="0" w:type="auto"/>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4A0" w:firstRow="1" w:lastRow="0" w:firstColumn="1" w:lastColumn="0" w:noHBand="0" w:noVBand="1"/>
      </w:tblPr>
      <w:tblGrid>
        <w:gridCol w:w="2357"/>
        <w:gridCol w:w="1620"/>
        <w:gridCol w:w="1497"/>
        <w:gridCol w:w="1611"/>
        <w:gridCol w:w="1921"/>
      </w:tblGrid>
      <w:tr w:rsidR="00AF6B25" w:rsidRPr="00244D65" w14:paraId="5D3BBF04" w14:textId="77777777" w:rsidTr="00545B9E">
        <w:trPr>
          <w:trHeight w:val="1130"/>
          <w:jc w:val="center"/>
        </w:trPr>
        <w:tc>
          <w:tcPr>
            <w:tcW w:w="0" w:type="auto"/>
            <w:hideMark/>
          </w:tcPr>
          <w:p w14:paraId="3DFCCE69" w14:textId="77777777" w:rsidR="00AF6B25" w:rsidRPr="00244D65" w:rsidRDefault="00AF6B25" w:rsidP="0085595C">
            <w:pPr>
              <w:jc w:val="left"/>
              <w:rPr>
                <w:b/>
                <w:noProof/>
                <w:color w:val="000000"/>
                <w:sz w:val="22"/>
                <w:szCs w:val="22"/>
                <w:lang w:val="en-IE" w:eastAsia="en-IE"/>
              </w:rPr>
            </w:pPr>
            <w:r>
              <w:rPr>
                <w:b/>
                <w:noProof/>
                <w:color w:val="000000"/>
                <w:sz w:val="22"/>
                <w:szCs w:val="22"/>
                <w:lang w:val="en-IE" w:eastAsia="en-IE"/>
              </w:rPr>
              <w:t>EEA Caps (Mt), LRF (%) and Carbon Budget (Mt)</w:t>
            </w:r>
          </w:p>
        </w:tc>
        <w:tc>
          <w:tcPr>
            <w:tcW w:w="0" w:type="auto"/>
            <w:vAlign w:val="center"/>
          </w:tcPr>
          <w:p w14:paraId="26876C83" w14:textId="77777777" w:rsidR="00AF6B25" w:rsidRPr="00244D65" w:rsidRDefault="00AF6B25" w:rsidP="0085595C">
            <w:pPr>
              <w:jc w:val="left"/>
              <w:rPr>
                <w:b/>
                <w:noProof/>
                <w:sz w:val="22"/>
                <w:szCs w:val="22"/>
                <w:lang w:val="en-US"/>
              </w:rPr>
            </w:pPr>
            <w:r>
              <w:rPr>
                <w:b/>
                <w:noProof/>
                <w:sz w:val="22"/>
                <w:szCs w:val="22"/>
                <w:lang w:val="en-US"/>
              </w:rPr>
              <w:t>CAP1: 85 linear trajectory</w:t>
            </w:r>
          </w:p>
        </w:tc>
        <w:tc>
          <w:tcPr>
            <w:tcW w:w="0" w:type="auto"/>
            <w:vAlign w:val="center"/>
            <w:hideMark/>
          </w:tcPr>
          <w:p w14:paraId="345A9351" w14:textId="77777777" w:rsidR="00AF6B25" w:rsidRPr="00244D65" w:rsidRDefault="00AF6B25" w:rsidP="0085595C">
            <w:pPr>
              <w:jc w:val="left"/>
              <w:rPr>
                <w:b/>
                <w:noProof/>
                <w:color w:val="000000"/>
                <w:sz w:val="22"/>
                <w:szCs w:val="22"/>
                <w:lang w:val="fr-BE" w:eastAsia="en-IE"/>
              </w:rPr>
            </w:pPr>
            <w:r>
              <w:rPr>
                <w:b/>
                <w:noProof/>
                <w:sz w:val="22"/>
                <w:szCs w:val="22"/>
                <w:lang w:val="en-US"/>
              </w:rPr>
              <w:t>CAP2: 85 trajectory</w:t>
            </w:r>
            <w:r>
              <w:rPr>
                <w:noProof/>
                <w:sz w:val="22"/>
                <w:szCs w:val="22"/>
                <w:lang w:val="en-US"/>
              </w:rPr>
              <w:t> </w:t>
            </w:r>
          </w:p>
        </w:tc>
        <w:tc>
          <w:tcPr>
            <w:tcW w:w="0" w:type="auto"/>
            <w:vAlign w:val="center"/>
            <w:hideMark/>
          </w:tcPr>
          <w:p w14:paraId="11D246F9" w14:textId="77777777" w:rsidR="00AF6B25" w:rsidRPr="00244D65" w:rsidRDefault="00AF6B25" w:rsidP="0085595C">
            <w:pPr>
              <w:jc w:val="left"/>
              <w:rPr>
                <w:b/>
                <w:noProof/>
                <w:color w:val="000000"/>
                <w:sz w:val="22"/>
                <w:szCs w:val="22"/>
                <w:lang w:val="fr-BE" w:eastAsia="en-IE"/>
              </w:rPr>
            </w:pPr>
            <w:r>
              <w:rPr>
                <w:b/>
                <w:noProof/>
                <w:sz w:val="22"/>
                <w:szCs w:val="22"/>
                <w:lang w:val="en-US"/>
              </w:rPr>
              <w:t>CAP3: 90linear-85 pathway</w:t>
            </w:r>
            <w:r>
              <w:rPr>
                <w:noProof/>
                <w:sz w:val="22"/>
                <w:szCs w:val="22"/>
                <w:lang w:val="en-US"/>
              </w:rPr>
              <w:t> </w:t>
            </w:r>
          </w:p>
        </w:tc>
        <w:tc>
          <w:tcPr>
            <w:tcW w:w="0" w:type="auto"/>
            <w:vAlign w:val="center"/>
          </w:tcPr>
          <w:p w14:paraId="4AF968F1" w14:textId="77777777" w:rsidR="00AF6B25" w:rsidRPr="00244D65" w:rsidRDefault="00AF6B25" w:rsidP="0085595C">
            <w:pPr>
              <w:jc w:val="left"/>
              <w:rPr>
                <w:b/>
                <w:noProof/>
                <w:color w:val="000000"/>
                <w:sz w:val="22"/>
                <w:szCs w:val="22"/>
                <w:lang w:val="fr-BE" w:eastAsia="en-IE"/>
              </w:rPr>
            </w:pPr>
            <w:r>
              <w:rPr>
                <w:b/>
                <w:noProof/>
                <w:sz w:val="22"/>
                <w:szCs w:val="22"/>
                <w:lang w:val="en-US"/>
              </w:rPr>
              <w:t>CAP4: accelerated 90-85 pathway</w:t>
            </w:r>
            <w:r>
              <w:rPr>
                <w:noProof/>
                <w:sz w:val="22"/>
                <w:szCs w:val="22"/>
                <w:lang w:val="en-US"/>
              </w:rPr>
              <w:t> </w:t>
            </w:r>
          </w:p>
        </w:tc>
      </w:tr>
      <w:tr w:rsidR="00AF6B25" w:rsidRPr="00244D65" w14:paraId="09B6383E" w14:textId="77777777" w:rsidTr="00545B9E">
        <w:trPr>
          <w:trHeight w:val="300"/>
          <w:jc w:val="center"/>
        </w:trPr>
        <w:tc>
          <w:tcPr>
            <w:tcW w:w="0" w:type="auto"/>
            <w:vAlign w:val="center"/>
            <w:hideMark/>
          </w:tcPr>
          <w:p w14:paraId="581BD1A5" w14:textId="77777777" w:rsidR="00AF6B25" w:rsidRPr="00244D65" w:rsidRDefault="00AF6B25" w:rsidP="0085595C">
            <w:pPr>
              <w:rPr>
                <w:b/>
                <w:noProof/>
                <w:color w:val="000000"/>
                <w:sz w:val="22"/>
                <w:szCs w:val="22"/>
                <w:lang w:val="en-IE" w:eastAsia="en-IE"/>
              </w:rPr>
            </w:pPr>
            <w:r>
              <w:rPr>
                <w:b/>
                <w:noProof/>
                <w:color w:val="000000"/>
                <w:sz w:val="22"/>
                <w:szCs w:val="22"/>
                <w:lang w:val="en-IE" w:eastAsia="en-IE"/>
              </w:rPr>
              <w:t>2030</w:t>
            </w:r>
          </w:p>
        </w:tc>
        <w:tc>
          <w:tcPr>
            <w:tcW w:w="0" w:type="auto"/>
            <w:vAlign w:val="center"/>
          </w:tcPr>
          <w:p w14:paraId="3E4694F0" w14:textId="77777777" w:rsidR="00AF6B25" w:rsidRPr="00244D65" w:rsidRDefault="00AF6B25" w:rsidP="0085595C">
            <w:pPr>
              <w:jc w:val="center"/>
              <w:rPr>
                <w:noProof/>
                <w:color w:val="000000"/>
                <w:sz w:val="22"/>
                <w:szCs w:val="22"/>
                <w:lang w:val="en-IE" w:eastAsia="en-IE"/>
              </w:rPr>
            </w:pPr>
            <w:r>
              <w:rPr>
                <w:noProof/>
                <w:color w:val="000000"/>
                <w:sz w:val="22"/>
                <w:szCs w:val="22"/>
                <w:lang w:val="en-IE" w:eastAsia="en-IE"/>
              </w:rPr>
              <w:t>847</w:t>
            </w:r>
          </w:p>
        </w:tc>
        <w:tc>
          <w:tcPr>
            <w:tcW w:w="0" w:type="auto"/>
            <w:vAlign w:val="center"/>
          </w:tcPr>
          <w:p w14:paraId="34CC878A" w14:textId="77777777" w:rsidR="00AF6B25" w:rsidRPr="00244D65" w:rsidRDefault="00AF6B25" w:rsidP="0085595C">
            <w:pPr>
              <w:jc w:val="center"/>
              <w:rPr>
                <w:noProof/>
                <w:color w:val="000000"/>
                <w:sz w:val="22"/>
                <w:szCs w:val="22"/>
                <w:lang w:val="en-IE" w:eastAsia="en-IE"/>
              </w:rPr>
            </w:pPr>
            <w:r>
              <w:rPr>
                <w:noProof/>
                <w:color w:val="000000"/>
                <w:sz w:val="22"/>
                <w:szCs w:val="22"/>
                <w:lang w:val="en-IE" w:eastAsia="en-IE"/>
              </w:rPr>
              <w:t>847</w:t>
            </w:r>
          </w:p>
        </w:tc>
        <w:tc>
          <w:tcPr>
            <w:tcW w:w="0" w:type="auto"/>
            <w:vAlign w:val="center"/>
          </w:tcPr>
          <w:p w14:paraId="2578967F" w14:textId="77777777" w:rsidR="00AF6B25" w:rsidRPr="00244D65" w:rsidRDefault="00AF6B25" w:rsidP="0085595C">
            <w:pPr>
              <w:jc w:val="center"/>
              <w:rPr>
                <w:noProof/>
                <w:color w:val="000000"/>
                <w:sz w:val="22"/>
                <w:szCs w:val="22"/>
                <w:lang w:val="en-IE" w:eastAsia="en-IE"/>
              </w:rPr>
            </w:pPr>
            <w:r>
              <w:rPr>
                <w:noProof/>
                <w:color w:val="000000"/>
                <w:sz w:val="22"/>
                <w:szCs w:val="22"/>
                <w:lang w:val="en-IE" w:eastAsia="en-IE"/>
              </w:rPr>
              <w:t>847</w:t>
            </w:r>
          </w:p>
        </w:tc>
        <w:tc>
          <w:tcPr>
            <w:tcW w:w="0" w:type="auto"/>
            <w:vAlign w:val="center"/>
          </w:tcPr>
          <w:p w14:paraId="1E32460E" w14:textId="77777777" w:rsidR="00AF6B25" w:rsidRPr="00244D65" w:rsidRDefault="00AF6B25" w:rsidP="0085595C">
            <w:pPr>
              <w:jc w:val="center"/>
              <w:rPr>
                <w:noProof/>
                <w:color w:val="000000"/>
                <w:sz w:val="22"/>
                <w:szCs w:val="22"/>
              </w:rPr>
            </w:pPr>
            <w:r>
              <w:rPr>
                <w:noProof/>
                <w:color w:val="000000"/>
                <w:sz w:val="22"/>
                <w:szCs w:val="22"/>
              </w:rPr>
              <w:t>847</w:t>
            </w:r>
          </w:p>
        </w:tc>
      </w:tr>
      <w:tr w:rsidR="00AF6B25" w:rsidRPr="00244D65" w14:paraId="73809285" w14:textId="77777777" w:rsidTr="00545B9E">
        <w:trPr>
          <w:trHeight w:val="300"/>
          <w:jc w:val="center"/>
        </w:trPr>
        <w:tc>
          <w:tcPr>
            <w:tcW w:w="0" w:type="auto"/>
            <w:vAlign w:val="center"/>
            <w:hideMark/>
          </w:tcPr>
          <w:p w14:paraId="2E985BFF" w14:textId="77777777" w:rsidR="00AF6B25" w:rsidRPr="00244D65" w:rsidRDefault="00AF6B25" w:rsidP="0085595C">
            <w:pPr>
              <w:rPr>
                <w:b/>
                <w:noProof/>
                <w:color w:val="000000"/>
                <w:sz w:val="22"/>
                <w:szCs w:val="22"/>
                <w:lang w:val="en-IE" w:eastAsia="en-IE"/>
              </w:rPr>
            </w:pPr>
            <w:r>
              <w:rPr>
                <w:b/>
                <w:noProof/>
                <w:color w:val="000000"/>
                <w:sz w:val="22"/>
                <w:szCs w:val="22"/>
                <w:lang w:val="en-IE" w:eastAsia="en-IE"/>
              </w:rPr>
              <w:t>2035</w:t>
            </w:r>
          </w:p>
        </w:tc>
        <w:tc>
          <w:tcPr>
            <w:tcW w:w="0" w:type="auto"/>
            <w:vAlign w:val="center"/>
          </w:tcPr>
          <w:p w14:paraId="260E0554" w14:textId="77777777" w:rsidR="00AF6B25" w:rsidRPr="00244D65" w:rsidRDefault="00AF6B25" w:rsidP="0085595C">
            <w:pPr>
              <w:jc w:val="center"/>
              <w:rPr>
                <w:noProof/>
                <w:color w:val="000000"/>
                <w:sz w:val="22"/>
                <w:szCs w:val="22"/>
                <w:lang w:val="en-IE" w:eastAsia="en-IE"/>
              </w:rPr>
            </w:pPr>
            <w:r>
              <w:rPr>
                <w:noProof/>
                <w:color w:val="000000"/>
                <w:sz w:val="22"/>
                <w:szCs w:val="22"/>
                <w:lang w:val="en-IE" w:eastAsia="en-IE"/>
              </w:rPr>
              <w:t>570</w:t>
            </w:r>
          </w:p>
        </w:tc>
        <w:tc>
          <w:tcPr>
            <w:tcW w:w="0" w:type="auto"/>
            <w:vAlign w:val="center"/>
          </w:tcPr>
          <w:p w14:paraId="02EF2A22" w14:textId="77777777" w:rsidR="00AF6B25" w:rsidRPr="00244D65" w:rsidRDefault="00AF6B25" w:rsidP="0085595C">
            <w:pPr>
              <w:jc w:val="center"/>
              <w:rPr>
                <w:noProof/>
                <w:color w:val="000000"/>
                <w:sz w:val="22"/>
                <w:szCs w:val="22"/>
                <w:lang w:val="en-IE" w:eastAsia="en-IE"/>
              </w:rPr>
            </w:pPr>
            <w:r>
              <w:rPr>
                <w:noProof/>
                <w:color w:val="000000"/>
                <w:sz w:val="22"/>
                <w:szCs w:val="22"/>
                <w:lang w:val="en-IE" w:eastAsia="en-IE"/>
              </w:rPr>
              <w:t>600</w:t>
            </w:r>
          </w:p>
        </w:tc>
        <w:tc>
          <w:tcPr>
            <w:tcW w:w="0" w:type="auto"/>
            <w:vAlign w:val="center"/>
          </w:tcPr>
          <w:p w14:paraId="2C2FF9D3" w14:textId="77777777" w:rsidR="00AF6B25" w:rsidRPr="00244D65" w:rsidRDefault="00AF6B25" w:rsidP="0085595C">
            <w:pPr>
              <w:jc w:val="center"/>
              <w:rPr>
                <w:noProof/>
                <w:color w:val="000000"/>
                <w:sz w:val="22"/>
                <w:szCs w:val="22"/>
                <w:lang w:val="en-IE" w:eastAsia="en-IE"/>
              </w:rPr>
            </w:pPr>
            <w:r>
              <w:rPr>
                <w:noProof/>
                <w:color w:val="000000"/>
                <w:sz w:val="22"/>
                <w:szCs w:val="22"/>
                <w:lang w:val="en-IE" w:eastAsia="en-IE"/>
              </w:rPr>
              <w:t>555</w:t>
            </w:r>
          </w:p>
        </w:tc>
        <w:tc>
          <w:tcPr>
            <w:tcW w:w="0" w:type="auto"/>
            <w:vAlign w:val="center"/>
          </w:tcPr>
          <w:p w14:paraId="478FD238" w14:textId="77777777" w:rsidR="00AF6B25" w:rsidRPr="00244D65" w:rsidRDefault="00AF6B25" w:rsidP="0085595C">
            <w:pPr>
              <w:jc w:val="center"/>
              <w:rPr>
                <w:noProof/>
                <w:color w:val="000000"/>
                <w:sz w:val="22"/>
                <w:szCs w:val="22"/>
              </w:rPr>
            </w:pPr>
            <w:r>
              <w:rPr>
                <w:noProof/>
                <w:color w:val="000000"/>
                <w:sz w:val="22"/>
                <w:szCs w:val="22"/>
              </w:rPr>
              <w:t>485</w:t>
            </w:r>
          </w:p>
        </w:tc>
      </w:tr>
      <w:tr w:rsidR="00AF6B25" w:rsidRPr="00244D65" w14:paraId="6FA11A26" w14:textId="77777777" w:rsidTr="00545B9E">
        <w:trPr>
          <w:trHeight w:val="300"/>
          <w:jc w:val="center"/>
        </w:trPr>
        <w:tc>
          <w:tcPr>
            <w:tcW w:w="0" w:type="auto"/>
            <w:vAlign w:val="center"/>
            <w:hideMark/>
          </w:tcPr>
          <w:p w14:paraId="2681F2E7" w14:textId="77777777" w:rsidR="00AF6B25" w:rsidRPr="00244D65" w:rsidRDefault="00AF6B25" w:rsidP="0085595C">
            <w:pPr>
              <w:rPr>
                <w:b/>
                <w:noProof/>
                <w:color w:val="000000"/>
                <w:sz w:val="22"/>
                <w:szCs w:val="22"/>
                <w:lang w:val="en-IE" w:eastAsia="en-IE"/>
              </w:rPr>
            </w:pPr>
            <w:r>
              <w:rPr>
                <w:b/>
                <w:noProof/>
                <w:color w:val="000000"/>
                <w:sz w:val="22"/>
                <w:szCs w:val="22"/>
                <w:lang w:val="en-IE" w:eastAsia="en-IE"/>
              </w:rPr>
              <w:t>2040</w:t>
            </w:r>
          </w:p>
        </w:tc>
        <w:tc>
          <w:tcPr>
            <w:tcW w:w="0" w:type="auto"/>
            <w:vAlign w:val="center"/>
          </w:tcPr>
          <w:p w14:paraId="625041B0" w14:textId="77777777" w:rsidR="00AF6B25" w:rsidRPr="00244D65" w:rsidRDefault="00AF6B25" w:rsidP="0085595C">
            <w:pPr>
              <w:jc w:val="center"/>
              <w:rPr>
                <w:noProof/>
                <w:color w:val="000000"/>
                <w:sz w:val="22"/>
                <w:szCs w:val="22"/>
                <w:lang w:val="en-IE" w:eastAsia="en-IE"/>
              </w:rPr>
            </w:pPr>
            <w:r>
              <w:rPr>
                <w:noProof/>
                <w:color w:val="000000"/>
                <w:sz w:val="22"/>
                <w:szCs w:val="22"/>
                <w:lang w:val="en-IE" w:eastAsia="en-IE"/>
              </w:rPr>
              <w:t>290</w:t>
            </w:r>
          </w:p>
        </w:tc>
        <w:tc>
          <w:tcPr>
            <w:tcW w:w="0" w:type="auto"/>
            <w:vAlign w:val="center"/>
          </w:tcPr>
          <w:p w14:paraId="3BF4D880" w14:textId="77777777" w:rsidR="00AF6B25" w:rsidRPr="00244D65" w:rsidRDefault="00AF6B25" w:rsidP="0085595C">
            <w:pPr>
              <w:jc w:val="center"/>
              <w:rPr>
                <w:noProof/>
                <w:color w:val="000000"/>
                <w:sz w:val="22"/>
                <w:szCs w:val="22"/>
                <w:lang w:val="en-IE" w:eastAsia="en-IE"/>
              </w:rPr>
            </w:pPr>
            <w:r>
              <w:rPr>
                <w:noProof/>
                <w:color w:val="000000"/>
                <w:sz w:val="22"/>
                <w:szCs w:val="22"/>
                <w:lang w:val="en-IE" w:eastAsia="en-IE"/>
              </w:rPr>
              <w:t>290</w:t>
            </w:r>
          </w:p>
        </w:tc>
        <w:tc>
          <w:tcPr>
            <w:tcW w:w="0" w:type="auto"/>
            <w:vAlign w:val="center"/>
          </w:tcPr>
          <w:p w14:paraId="3B227EFE" w14:textId="77777777" w:rsidR="00AF6B25" w:rsidRPr="00244D65" w:rsidRDefault="00AF6B25" w:rsidP="0085595C">
            <w:pPr>
              <w:jc w:val="center"/>
              <w:rPr>
                <w:noProof/>
                <w:color w:val="000000"/>
                <w:sz w:val="22"/>
                <w:szCs w:val="22"/>
                <w:lang w:val="en-IE" w:eastAsia="en-IE"/>
              </w:rPr>
            </w:pPr>
            <w:r>
              <w:rPr>
                <w:noProof/>
                <w:color w:val="000000"/>
                <w:sz w:val="22"/>
                <w:szCs w:val="22"/>
                <w:lang w:val="en-IE" w:eastAsia="en-IE"/>
              </w:rPr>
              <w:t>285</w:t>
            </w:r>
          </w:p>
        </w:tc>
        <w:tc>
          <w:tcPr>
            <w:tcW w:w="0" w:type="auto"/>
            <w:vAlign w:val="center"/>
          </w:tcPr>
          <w:p w14:paraId="356E9D9B" w14:textId="77777777" w:rsidR="00AF6B25" w:rsidRPr="00244D65" w:rsidRDefault="00AF6B25" w:rsidP="0085595C">
            <w:pPr>
              <w:jc w:val="center"/>
              <w:rPr>
                <w:noProof/>
                <w:color w:val="000000"/>
                <w:sz w:val="22"/>
                <w:szCs w:val="22"/>
              </w:rPr>
            </w:pPr>
            <w:r>
              <w:rPr>
                <w:noProof/>
                <w:color w:val="000000"/>
                <w:sz w:val="22"/>
                <w:szCs w:val="22"/>
              </w:rPr>
              <w:t>285</w:t>
            </w:r>
          </w:p>
        </w:tc>
      </w:tr>
      <w:tr w:rsidR="00AF6B25" w:rsidRPr="00244D65" w14:paraId="38FF6984" w14:textId="77777777" w:rsidTr="00545B9E">
        <w:trPr>
          <w:trHeight w:val="300"/>
          <w:jc w:val="center"/>
        </w:trPr>
        <w:tc>
          <w:tcPr>
            <w:tcW w:w="0" w:type="auto"/>
            <w:vAlign w:val="center"/>
            <w:hideMark/>
          </w:tcPr>
          <w:p w14:paraId="127511A7" w14:textId="77777777" w:rsidR="00AF6B25" w:rsidRPr="00244D65" w:rsidRDefault="00AF6B25" w:rsidP="0085595C">
            <w:pPr>
              <w:rPr>
                <w:b/>
                <w:noProof/>
                <w:color w:val="000000"/>
                <w:sz w:val="22"/>
                <w:szCs w:val="22"/>
                <w:lang w:val="en-IE" w:eastAsia="en-IE"/>
              </w:rPr>
            </w:pPr>
            <w:r>
              <w:rPr>
                <w:b/>
                <w:noProof/>
                <w:color w:val="000000"/>
                <w:sz w:val="22"/>
                <w:szCs w:val="22"/>
                <w:lang w:val="en-IE" w:eastAsia="en-IE"/>
              </w:rPr>
              <w:t>LRF 2030-2035 </w:t>
            </w:r>
            <w:r>
              <w:rPr>
                <w:rFonts w:ascii="Arial" w:hAnsi="Arial" w:cs="Arial"/>
                <w:noProof/>
                <w:color w:val="242828"/>
                <w:sz w:val="16"/>
                <w:szCs w:val="16"/>
                <w:lang w:val="en-IE" w:eastAsia="en-IE"/>
              </w:rPr>
              <w:t> </w:t>
            </w:r>
          </w:p>
        </w:tc>
        <w:tc>
          <w:tcPr>
            <w:tcW w:w="0" w:type="auto"/>
            <w:vAlign w:val="center"/>
          </w:tcPr>
          <w:p w14:paraId="3032F23C" w14:textId="77777777" w:rsidR="00AF6B25" w:rsidRPr="00244D65" w:rsidRDefault="00AF6B25" w:rsidP="0085595C">
            <w:pPr>
              <w:jc w:val="center"/>
              <w:rPr>
                <w:noProof/>
                <w:color w:val="000000"/>
                <w:sz w:val="22"/>
                <w:szCs w:val="22"/>
                <w:lang w:val="en-IE" w:eastAsia="en-IE"/>
              </w:rPr>
            </w:pPr>
            <w:r>
              <w:rPr>
                <w:noProof/>
                <w:color w:val="000000"/>
                <w:sz w:val="22"/>
                <w:szCs w:val="22"/>
                <w:lang w:val="en-IE" w:eastAsia="en-IE"/>
              </w:rPr>
              <w:t>-2.7%</w:t>
            </w:r>
          </w:p>
        </w:tc>
        <w:tc>
          <w:tcPr>
            <w:tcW w:w="0" w:type="auto"/>
            <w:vAlign w:val="center"/>
          </w:tcPr>
          <w:p w14:paraId="2D83B4F9" w14:textId="77777777" w:rsidR="00AF6B25" w:rsidRPr="00244D65" w:rsidRDefault="00AF6B25" w:rsidP="0085595C">
            <w:pPr>
              <w:jc w:val="center"/>
              <w:rPr>
                <w:noProof/>
                <w:color w:val="000000"/>
                <w:sz w:val="22"/>
                <w:szCs w:val="22"/>
                <w:lang w:val="en-IE" w:eastAsia="en-IE"/>
              </w:rPr>
            </w:pPr>
            <w:r>
              <w:rPr>
                <w:noProof/>
                <w:color w:val="000000"/>
                <w:sz w:val="22"/>
                <w:szCs w:val="22"/>
                <w:lang w:val="en-IE" w:eastAsia="en-IE"/>
              </w:rPr>
              <w:t>-2.4%</w:t>
            </w:r>
          </w:p>
        </w:tc>
        <w:tc>
          <w:tcPr>
            <w:tcW w:w="0" w:type="auto"/>
            <w:vAlign w:val="center"/>
          </w:tcPr>
          <w:p w14:paraId="30C291BE" w14:textId="77777777" w:rsidR="00AF6B25" w:rsidRPr="00244D65" w:rsidRDefault="00AF6B25" w:rsidP="0085595C">
            <w:pPr>
              <w:jc w:val="center"/>
              <w:rPr>
                <w:noProof/>
                <w:color w:val="000000"/>
                <w:sz w:val="22"/>
                <w:szCs w:val="22"/>
                <w:lang w:val="en-IE" w:eastAsia="en-IE"/>
              </w:rPr>
            </w:pPr>
            <w:r>
              <w:rPr>
                <w:noProof/>
                <w:color w:val="000000"/>
                <w:sz w:val="22"/>
                <w:szCs w:val="22"/>
                <w:lang w:val="en-IE" w:eastAsia="en-IE"/>
              </w:rPr>
              <w:t>-2.8%</w:t>
            </w:r>
          </w:p>
        </w:tc>
        <w:tc>
          <w:tcPr>
            <w:tcW w:w="0" w:type="auto"/>
            <w:vAlign w:val="center"/>
          </w:tcPr>
          <w:p w14:paraId="335E0555" w14:textId="77777777" w:rsidR="00AF6B25" w:rsidRPr="00244D65" w:rsidRDefault="00AF6B25" w:rsidP="0085595C">
            <w:pPr>
              <w:jc w:val="center"/>
              <w:rPr>
                <w:noProof/>
                <w:color w:val="000000"/>
                <w:sz w:val="22"/>
                <w:szCs w:val="22"/>
              </w:rPr>
            </w:pPr>
            <w:r>
              <w:rPr>
                <w:noProof/>
                <w:color w:val="000000"/>
                <w:sz w:val="22"/>
                <w:szCs w:val="22"/>
              </w:rPr>
              <w:t>-3.5%</w:t>
            </w:r>
          </w:p>
        </w:tc>
      </w:tr>
      <w:tr w:rsidR="00AF6B25" w:rsidRPr="00244D65" w14:paraId="4D93ACEC" w14:textId="77777777" w:rsidTr="00545B9E">
        <w:trPr>
          <w:trHeight w:val="300"/>
          <w:jc w:val="center"/>
        </w:trPr>
        <w:tc>
          <w:tcPr>
            <w:tcW w:w="0" w:type="auto"/>
            <w:vAlign w:val="center"/>
            <w:hideMark/>
          </w:tcPr>
          <w:p w14:paraId="397FCC6A" w14:textId="77777777" w:rsidR="00AF6B25" w:rsidRPr="00244D65" w:rsidRDefault="00AF6B25" w:rsidP="0085595C">
            <w:pPr>
              <w:rPr>
                <w:b/>
                <w:noProof/>
                <w:color w:val="000000"/>
                <w:sz w:val="22"/>
                <w:szCs w:val="22"/>
                <w:lang w:val="en-IE" w:eastAsia="en-IE"/>
              </w:rPr>
            </w:pPr>
            <w:r>
              <w:rPr>
                <w:b/>
                <w:noProof/>
                <w:color w:val="000000"/>
                <w:sz w:val="22"/>
                <w:szCs w:val="22"/>
                <w:lang w:val="en-IE" w:eastAsia="en-IE"/>
              </w:rPr>
              <w:t>LRF 2036-2040 </w:t>
            </w:r>
            <w:r>
              <w:rPr>
                <w:rFonts w:ascii="Arial" w:hAnsi="Arial" w:cs="Arial"/>
                <w:noProof/>
                <w:color w:val="242828"/>
                <w:sz w:val="16"/>
                <w:szCs w:val="16"/>
                <w:lang w:val="en-IE" w:eastAsia="en-IE"/>
              </w:rPr>
              <w:t> </w:t>
            </w:r>
          </w:p>
        </w:tc>
        <w:tc>
          <w:tcPr>
            <w:tcW w:w="0" w:type="auto"/>
            <w:vAlign w:val="center"/>
          </w:tcPr>
          <w:p w14:paraId="76D1C1B7" w14:textId="77777777" w:rsidR="00AF6B25" w:rsidRPr="00244D65" w:rsidRDefault="00AF6B25" w:rsidP="0085595C">
            <w:pPr>
              <w:jc w:val="center"/>
              <w:rPr>
                <w:noProof/>
                <w:color w:val="000000"/>
                <w:sz w:val="22"/>
                <w:szCs w:val="22"/>
                <w:lang w:val="en-IE" w:eastAsia="en-IE"/>
              </w:rPr>
            </w:pPr>
            <w:r>
              <w:rPr>
                <w:noProof/>
                <w:color w:val="000000"/>
                <w:sz w:val="22"/>
                <w:szCs w:val="22"/>
                <w:lang w:val="en-IE" w:eastAsia="en-IE"/>
              </w:rPr>
              <w:t>-2.7%</w:t>
            </w:r>
          </w:p>
        </w:tc>
        <w:tc>
          <w:tcPr>
            <w:tcW w:w="0" w:type="auto"/>
            <w:vAlign w:val="center"/>
          </w:tcPr>
          <w:p w14:paraId="6801870F" w14:textId="77777777" w:rsidR="00AF6B25" w:rsidRPr="00244D65" w:rsidRDefault="00AF6B25" w:rsidP="0085595C">
            <w:pPr>
              <w:jc w:val="center"/>
              <w:rPr>
                <w:noProof/>
                <w:color w:val="000000"/>
                <w:sz w:val="22"/>
                <w:szCs w:val="22"/>
                <w:lang w:val="en-IE" w:eastAsia="en-IE"/>
              </w:rPr>
            </w:pPr>
            <w:r>
              <w:rPr>
                <w:noProof/>
                <w:color w:val="000000"/>
                <w:sz w:val="22"/>
                <w:szCs w:val="22"/>
                <w:lang w:val="en-IE" w:eastAsia="en-IE"/>
              </w:rPr>
              <w:t>-3.0%</w:t>
            </w:r>
          </w:p>
        </w:tc>
        <w:tc>
          <w:tcPr>
            <w:tcW w:w="0" w:type="auto"/>
            <w:vAlign w:val="center"/>
          </w:tcPr>
          <w:p w14:paraId="1DA734C6" w14:textId="77777777" w:rsidR="00AF6B25" w:rsidRPr="00244D65" w:rsidRDefault="00AF6B25" w:rsidP="0085595C">
            <w:pPr>
              <w:jc w:val="center"/>
              <w:rPr>
                <w:noProof/>
                <w:color w:val="000000"/>
                <w:sz w:val="22"/>
                <w:szCs w:val="22"/>
                <w:lang w:val="en-IE" w:eastAsia="en-IE"/>
              </w:rPr>
            </w:pPr>
            <w:r>
              <w:rPr>
                <w:noProof/>
                <w:color w:val="000000"/>
                <w:sz w:val="22"/>
                <w:szCs w:val="22"/>
                <w:lang w:val="en-IE" w:eastAsia="en-IE"/>
              </w:rPr>
              <w:t>-2.6%</w:t>
            </w:r>
          </w:p>
        </w:tc>
        <w:tc>
          <w:tcPr>
            <w:tcW w:w="0" w:type="auto"/>
            <w:vAlign w:val="center"/>
          </w:tcPr>
          <w:p w14:paraId="32A0601B" w14:textId="77777777" w:rsidR="00AF6B25" w:rsidRPr="00244D65" w:rsidRDefault="00AF6B25" w:rsidP="0085595C">
            <w:pPr>
              <w:jc w:val="center"/>
              <w:rPr>
                <w:noProof/>
                <w:color w:val="000000"/>
                <w:sz w:val="22"/>
                <w:szCs w:val="22"/>
              </w:rPr>
            </w:pPr>
            <w:r>
              <w:rPr>
                <w:noProof/>
                <w:color w:val="000000"/>
                <w:sz w:val="22"/>
                <w:szCs w:val="22"/>
              </w:rPr>
              <w:t>-1.9%</w:t>
            </w:r>
          </w:p>
        </w:tc>
      </w:tr>
      <w:tr w:rsidR="00AF6B25" w:rsidRPr="00244D65" w14:paraId="1E56827D" w14:textId="77777777" w:rsidTr="00545B9E">
        <w:trPr>
          <w:trHeight w:val="570"/>
          <w:jc w:val="center"/>
        </w:trPr>
        <w:tc>
          <w:tcPr>
            <w:tcW w:w="0" w:type="auto"/>
            <w:vAlign w:val="center"/>
          </w:tcPr>
          <w:p w14:paraId="355DADA8" w14:textId="77777777" w:rsidR="00AF6B25" w:rsidRPr="00244D65" w:rsidRDefault="00AF6B25" w:rsidP="0085595C">
            <w:pPr>
              <w:rPr>
                <w:b/>
                <w:noProof/>
                <w:color w:val="000000"/>
                <w:sz w:val="22"/>
                <w:szCs w:val="22"/>
                <w:lang w:val="en-IE" w:eastAsia="en-IE"/>
              </w:rPr>
            </w:pPr>
            <w:r>
              <w:rPr>
                <w:b/>
                <w:noProof/>
                <w:color w:val="000000"/>
                <w:sz w:val="22"/>
                <w:szCs w:val="22"/>
                <w:lang w:val="en-IE" w:eastAsia="en-IE"/>
              </w:rPr>
              <w:t>Added removals-linked allowances</w:t>
            </w:r>
          </w:p>
        </w:tc>
        <w:tc>
          <w:tcPr>
            <w:tcW w:w="0" w:type="auto"/>
            <w:vAlign w:val="center"/>
          </w:tcPr>
          <w:p w14:paraId="65DBCA4A" w14:textId="77777777" w:rsidR="00AF6B25" w:rsidRPr="00244D65" w:rsidRDefault="00AF6B25" w:rsidP="0085595C">
            <w:pPr>
              <w:jc w:val="center"/>
              <w:rPr>
                <w:noProof/>
                <w:color w:val="000000"/>
                <w:sz w:val="22"/>
                <w:szCs w:val="22"/>
                <w:lang w:val="en-IE" w:eastAsia="en-IE"/>
              </w:rPr>
            </w:pPr>
            <w:r>
              <w:rPr>
                <w:noProof/>
                <w:color w:val="000000"/>
                <w:sz w:val="22"/>
                <w:szCs w:val="22"/>
                <w:lang w:val="en-IE" w:eastAsia="en-IE"/>
              </w:rPr>
              <w:t>320</w:t>
            </w:r>
          </w:p>
        </w:tc>
        <w:tc>
          <w:tcPr>
            <w:tcW w:w="0" w:type="auto"/>
            <w:vAlign w:val="center"/>
          </w:tcPr>
          <w:p w14:paraId="3BEC64EE" w14:textId="77777777" w:rsidR="00AF6B25" w:rsidRPr="00244D65" w:rsidRDefault="00AF6B25" w:rsidP="0085595C">
            <w:pPr>
              <w:jc w:val="center"/>
              <w:rPr>
                <w:noProof/>
                <w:color w:val="000000"/>
                <w:sz w:val="22"/>
                <w:szCs w:val="22"/>
                <w:lang w:val="en-IE" w:eastAsia="en-IE"/>
              </w:rPr>
            </w:pPr>
            <w:r>
              <w:rPr>
                <w:noProof/>
                <w:color w:val="000000"/>
                <w:sz w:val="22"/>
                <w:szCs w:val="22"/>
                <w:lang w:val="en-IE" w:eastAsia="en-IE"/>
              </w:rPr>
              <w:t>320</w:t>
            </w:r>
          </w:p>
        </w:tc>
        <w:tc>
          <w:tcPr>
            <w:tcW w:w="0" w:type="auto"/>
            <w:vAlign w:val="center"/>
          </w:tcPr>
          <w:p w14:paraId="76E8D573" w14:textId="77777777" w:rsidR="00AF6B25" w:rsidRPr="00244D65" w:rsidRDefault="00AF6B25" w:rsidP="0085595C">
            <w:pPr>
              <w:jc w:val="center"/>
              <w:rPr>
                <w:noProof/>
                <w:color w:val="000000"/>
                <w:sz w:val="22"/>
                <w:szCs w:val="22"/>
                <w:lang w:val="en-IE" w:eastAsia="en-IE"/>
              </w:rPr>
            </w:pPr>
            <w:r>
              <w:rPr>
                <w:noProof/>
                <w:color w:val="000000"/>
                <w:sz w:val="22"/>
                <w:szCs w:val="22"/>
                <w:lang w:val="en-IE" w:eastAsia="en-IE"/>
              </w:rPr>
              <w:t>320</w:t>
            </w:r>
          </w:p>
        </w:tc>
        <w:tc>
          <w:tcPr>
            <w:tcW w:w="0" w:type="auto"/>
            <w:vAlign w:val="center"/>
          </w:tcPr>
          <w:p w14:paraId="5D51988F" w14:textId="77777777" w:rsidR="00AF6B25" w:rsidRPr="00244D65" w:rsidRDefault="00AF6B25" w:rsidP="0085595C">
            <w:pPr>
              <w:jc w:val="center"/>
              <w:rPr>
                <w:noProof/>
                <w:color w:val="000000"/>
                <w:sz w:val="22"/>
                <w:szCs w:val="22"/>
              </w:rPr>
            </w:pPr>
            <w:r>
              <w:rPr>
                <w:noProof/>
                <w:color w:val="000000"/>
                <w:sz w:val="22"/>
                <w:szCs w:val="22"/>
                <w:lang w:val="en-IE" w:eastAsia="en-IE"/>
              </w:rPr>
              <w:t>320</w:t>
            </w:r>
          </w:p>
        </w:tc>
      </w:tr>
      <w:tr w:rsidR="00AF6B25" w:rsidRPr="00244D65" w14:paraId="1842F8D0" w14:textId="77777777" w:rsidTr="00545B9E">
        <w:trPr>
          <w:trHeight w:val="570"/>
          <w:jc w:val="center"/>
        </w:trPr>
        <w:tc>
          <w:tcPr>
            <w:tcW w:w="0" w:type="auto"/>
            <w:vAlign w:val="center"/>
            <w:hideMark/>
          </w:tcPr>
          <w:p w14:paraId="77D8B565" w14:textId="77777777" w:rsidR="00AF6B25" w:rsidRPr="00244D65" w:rsidRDefault="00AF6B25" w:rsidP="0085595C">
            <w:pPr>
              <w:rPr>
                <w:b/>
                <w:noProof/>
                <w:color w:val="000000"/>
                <w:sz w:val="22"/>
                <w:szCs w:val="22"/>
                <w:lang w:val="en-IE" w:eastAsia="en-IE"/>
              </w:rPr>
            </w:pPr>
            <w:r>
              <w:rPr>
                <w:b/>
                <w:noProof/>
                <w:color w:val="000000"/>
                <w:sz w:val="22"/>
                <w:szCs w:val="22"/>
                <w:lang w:val="en-IE" w:eastAsia="en-IE"/>
              </w:rPr>
              <w:t>Carbon Budget 2031-2040</w:t>
            </w:r>
          </w:p>
        </w:tc>
        <w:tc>
          <w:tcPr>
            <w:tcW w:w="0" w:type="auto"/>
            <w:vAlign w:val="center"/>
          </w:tcPr>
          <w:p w14:paraId="4FB3E88A" w14:textId="77777777" w:rsidR="00AF6B25" w:rsidRPr="00244D65" w:rsidRDefault="00AF6B25" w:rsidP="0085595C">
            <w:pPr>
              <w:jc w:val="center"/>
              <w:rPr>
                <w:noProof/>
                <w:color w:val="000000"/>
                <w:sz w:val="22"/>
                <w:szCs w:val="22"/>
                <w:lang w:val="en-IE" w:eastAsia="en-IE"/>
              </w:rPr>
            </w:pPr>
            <w:r>
              <w:rPr>
                <w:noProof/>
                <w:color w:val="000000"/>
                <w:sz w:val="22"/>
                <w:szCs w:val="22"/>
                <w:lang w:val="en-IE" w:eastAsia="en-IE"/>
              </w:rPr>
              <w:t>5720</w:t>
            </w:r>
          </w:p>
        </w:tc>
        <w:tc>
          <w:tcPr>
            <w:tcW w:w="0" w:type="auto"/>
            <w:vAlign w:val="center"/>
          </w:tcPr>
          <w:p w14:paraId="43ECD1EC" w14:textId="77777777" w:rsidR="00AF6B25" w:rsidRPr="00244D65" w:rsidRDefault="00AF6B25" w:rsidP="0085595C">
            <w:pPr>
              <w:jc w:val="center"/>
              <w:rPr>
                <w:noProof/>
                <w:color w:val="000000"/>
                <w:sz w:val="22"/>
                <w:szCs w:val="22"/>
                <w:lang w:val="en-IE" w:eastAsia="en-IE"/>
              </w:rPr>
            </w:pPr>
            <w:r>
              <w:rPr>
                <w:noProof/>
                <w:color w:val="000000"/>
                <w:sz w:val="22"/>
                <w:szCs w:val="22"/>
                <w:lang w:val="en-IE" w:eastAsia="en-IE"/>
              </w:rPr>
              <w:t>5885</w:t>
            </w:r>
          </w:p>
        </w:tc>
        <w:tc>
          <w:tcPr>
            <w:tcW w:w="0" w:type="auto"/>
            <w:vAlign w:val="center"/>
          </w:tcPr>
          <w:p w14:paraId="6F3E11C4" w14:textId="77777777" w:rsidR="00AF6B25" w:rsidRPr="00244D65" w:rsidRDefault="00AF6B25" w:rsidP="0085595C">
            <w:pPr>
              <w:jc w:val="center"/>
              <w:rPr>
                <w:noProof/>
                <w:color w:val="000000"/>
                <w:sz w:val="22"/>
                <w:szCs w:val="22"/>
                <w:lang w:val="en-IE" w:eastAsia="en-IE"/>
              </w:rPr>
            </w:pPr>
            <w:r>
              <w:rPr>
                <w:noProof/>
                <w:color w:val="000000"/>
                <w:sz w:val="22"/>
                <w:szCs w:val="22"/>
                <w:lang w:val="en-IE" w:eastAsia="en-IE"/>
              </w:rPr>
              <w:t>5640</w:t>
            </w:r>
          </w:p>
        </w:tc>
        <w:tc>
          <w:tcPr>
            <w:tcW w:w="0" w:type="auto"/>
            <w:vAlign w:val="center"/>
          </w:tcPr>
          <w:p w14:paraId="3B3C6D89" w14:textId="77777777" w:rsidR="00AF6B25" w:rsidRPr="00244D65" w:rsidRDefault="00AF6B25" w:rsidP="0085595C">
            <w:pPr>
              <w:jc w:val="center"/>
              <w:rPr>
                <w:noProof/>
                <w:color w:val="000000"/>
                <w:sz w:val="22"/>
                <w:szCs w:val="22"/>
              </w:rPr>
            </w:pPr>
            <w:r>
              <w:rPr>
                <w:noProof/>
                <w:color w:val="000000"/>
                <w:sz w:val="22"/>
                <w:szCs w:val="22"/>
              </w:rPr>
              <w:t>5290</w:t>
            </w:r>
          </w:p>
        </w:tc>
      </w:tr>
    </w:tbl>
    <w:p w14:paraId="0ED6FB51" w14:textId="1DAE5936" w:rsidR="2FD86E23" w:rsidRPr="00244D65" w:rsidRDefault="006E0390" w:rsidP="1CF5063F">
      <w:pPr>
        <w:tabs>
          <w:tab w:val="left" w:pos="567"/>
        </w:tabs>
        <w:ind w:right="113"/>
        <w:rPr>
          <w:rFonts w:eastAsiaTheme="minorEastAsia"/>
          <w:noProof/>
        </w:rPr>
      </w:pPr>
      <w:r>
        <w:rPr>
          <w:rFonts w:eastAsiaTheme="minorEastAsia"/>
          <w:noProof/>
        </w:rPr>
        <w:t xml:space="preserve">In PRIMES the emissions space would be lower for CAP1, CAP2 and CAP3: as an example, the gross emissions carbon budget for the modelled 85% trajectory would be 5205 Mt including 170 Mt of removals linked allowances.  CAP4 is comparable to a non-linear pathway towards the 90% target in the first five years, then flattens to be compatible with an 85% target for the second five years. From all the net cap options in </w:t>
      </w:r>
      <w:r>
        <w:rPr>
          <w:rFonts w:eastAsiaTheme="minorEastAsia"/>
          <w:noProof/>
        </w:rPr>
        <w:fldChar w:fldCharType="begin"/>
      </w:r>
      <w:r>
        <w:rPr>
          <w:rFonts w:eastAsiaTheme="minorEastAsia"/>
          <w:noProof/>
        </w:rPr>
        <w:instrText xml:space="preserve"> REF _Ref234329126 \r \h  \* MERGEFORMAT </w:instrText>
      </w:r>
      <w:r>
        <w:rPr>
          <w:rFonts w:eastAsiaTheme="minorEastAsia"/>
          <w:noProof/>
        </w:rPr>
      </w:r>
      <w:r>
        <w:rPr>
          <w:rFonts w:eastAsiaTheme="minorEastAsia"/>
          <w:noProof/>
        </w:rPr>
        <w:fldChar w:fldCharType="separate"/>
      </w:r>
      <w:r>
        <w:rPr>
          <w:rFonts w:eastAsiaTheme="minorEastAsia"/>
          <w:noProof/>
        </w:rPr>
        <w:t>Table 3,</w:t>
      </w:r>
      <w:r>
        <w:rPr>
          <w:rFonts w:eastAsiaTheme="minorEastAsia"/>
          <w:noProof/>
        </w:rPr>
        <w:fldChar w:fldCharType="end"/>
      </w:r>
      <w:r>
        <w:rPr>
          <w:rFonts w:eastAsiaTheme="minorEastAsia"/>
          <w:noProof/>
        </w:rPr>
        <w:t xml:space="preserve"> CAP4 shows the lowest carbon budget over the period, contributing with the highest </w:t>
      </w:r>
      <w:r>
        <w:rPr>
          <w:noProof/>
        </w:rPr>
        <w:t>emissions reductions.</w:t>
      </w:r>
    </w:p>
    <w:p w14:paraId="7417FAE9" w14:textId="35E0FE05" w:rsidR="00B26415" w:rsidRPr="00244D65" w:rsidRDefault="00100520" w:rsidP="0085595C">
      <w:pPr>
        <w:pStyle w:val="Heading4"/>
        <w:rPr>
          <w:noProof/>
        </w:rPr>
      </w:pPr>
      <w:r w:rsidRPr="00244D65">
        <w:rPr>
          <w:noProof/>
        </w:rPr>
        <w:t xml:space="preserve"> </w:t>
      </w:r>
      <w:r w:rsidR="00E316BF" w:rsidRPr="00244D65">
        <w:rPr>
          <w:noProof/>
        </w:rPr>
        <w:t>R</w:t>
      </w:r>
      <w:r w:rsidR="0085315D" w:rsidRPr="00244D65">
        <w:rPr>
          <w:noProof/>
        </w:rPr>
        <w:t>emovals</w:t>
      </w:r>
    </w:p>
    <w:p w14:paraId="26B3CB61" w14:textId="55E06E10" w:rsidR="000F3738" w:rsidRPr="00244D65" w:rsidRDefault="000F3738" w:rsidP="0085595C">
      <w:pPr>
        <w:pStyle w:val="ListParagraph"/>
        <w:numPr>
          <w:ilvl w:val="0"/>
          <w:numId w:val="13"/>
        </w:numPr>
        <w:rPr>
          <w:b/>
          <w:bCs/>
          <w:noProof/>
        </w:rPr>
      </w:pPr>
      <w:r w:rsidRPr="00244D65">
        <w:rPr>
          <w:b/>
          <w:bCs/>
          <w:noProof/>
        </w:rPr>
        <w:t>Net and gross emissions</w:t>
      </w:r>
    </w:p>
    <w:p w14:paraId="08AB7939" w14:textId="5E2DBBE5" w:rsidR="003C185B" w:rsidRPr="00244D65" w:rsidRDefault="00841B17" w:rsidP="0085595C">
      <w:pPr>
        <w:rPr>
          <w:noProof/>
        </w:rPr>
      </w:pPr>
      <w:r w:rsidRPr="00244D65">
        <w:rPr>
          <w:noProof/>
        </w:rPr>
        <w:t xml:space="preserve">The policy options in this impact assessment integrate removals </w:t>
      </w:r>
      <w:bookmarkStart w:id="132" w:name="_Int_dQN6e0Hx"/>
      <w:r w:rsidRPr="00244D65">
        <w:rPr>
          <w:noProof/>
        </w:rPr>
        <w:t>as a way to</w:t>
      </w:r>
      <w:bookmarkEnd w:id="132"/>
      <w:r w:rsidRPr="00244D65">
        <w:rPr>
          <w:noProof/>
        </w:rPr>
        <w:t xml:space="preserve"> provide additional emissions space.</w:t>
      </w:r>
      <w:r w:rsidR="003C185B" w:rsidRPr="00244D65">
        <w:rPr>
          <w:noProof/>
        </w:rPr>
        <w:t xml:space="preserve"> The</w:t>
      </w:r>
      <w:r w:rsidR="00C035EE" w:rsidRPr="00244D65">
        <w:rPr>
          <w:noProof/>
        </w:rPr>
        <w:t xml:space="preserve"> policy options</w:t>
      </w:r>
      <w:r w:rsidR="003C185B" w:rsidRPr="00244D65">
        <w:rPr>
          <w:noProof/>
        </w:rPr>
        <w:t xml:space="preserve"> should </w:t>
      </w:r>
      <w:r w:rsidR="00BF24A7" w:rsidRPr="00244D65">
        <w:rPr>
          <w:noProof/>
        </w:rPr>
        <w:t xml:space="preserve">ensure the generation of all the removals </w:t>
      </w:r>
      <w:r w:rsidR="005140C6" w:rsidRPr="00244D65">
        <w:rPr>
          <w:noProof/>
        </w:rPr>
        <w:t xml:space="preserve">that are </w:t>
      </w:r>
      <w:r w:rsidR="00BF24A7" w:rsidRPr="00244D65">
        <w:rPr>
          <w:noProof/>
        </w:rPr>
        <w:t>taken into account in the design of the cap:</w:t>
      </w:r>
      <w:r w:rsidR="003C185B" w:rsidRPr="00244D65">
        <w:rPr>
          <w:noProof/>
        </w:rPr>
        <w:t xml:space="preserve"> </w:t>
      </w:r>
    </w:p>
    <w:p w14:paraId="47388C46" w14:textId="765246F9" w:rsidR="003C185B" w:rsidRPr="00244D65" w:rsidRDefault="008A6067" w:rsidP="0085595C">
      <w:pPr>
        <w:pStyle w:val="ListParagraph"/>
        <w:numPr>
          <w:ilvl w:val="0"/>
          <w:numId w:val="15"/>
        </w:numPr>
        <w:rPr>
          <w:noProof/>
        </w:rPr>
      </w:pPr>
      <w:r w:rsidRPr="00244D65">
        <w:rPr>
          <w:noProof/>
        </w:rPr>
        <w:t>for</w:t>
      </w:r>
      <w:r w:rsidR="003C185B" w:rsidRPr="00244D65">
        <w:rPr>
          <w:noProof/>
        </w:rPr>
        <w:t xml:space="preserve"> ETS </w:t>
      </w:r>
      <w:r w:rsidRPr="00244D65">
        <w:rPr>
          <w:noProof/>
        </w:rPr>
        <w:t xml:space="preserve">to </w:t>
      </w:r>
      <w:r w:rsidR="003C185B" w:rsidRPr="00244D65">
        <w:rPr>
          <w:noProof/>
        </w:rPr>
        <w:t xml:space="preserve">achieve its </w:t>
      </w:r>
      <w:r w:rsidR="003C185B" w:rsidRPr="00244D65">
        <w:rPr>
          <w:b/>
          <w:noProof/>
        </w:rPr>
        <w:t xml:space="preserve">net </w:t>
      </w:r>
      <w:r w:rsidR="00BF24A7" w:rsidRPr="00244D65">
        <w:rPr>
          <w:b/>
          <w:noProof/>
        </w:rPr>
        <w:t>objective</w:t>
      </w:r>
      <w:r w:rsidR="003C185B" w:rsidRPr="00244D65">
        <w:rPr>
          <w:noProof/>
        </w:rPr>
        <w:t xml:space="preserve"> and</w:t>
      </w:r>
      <w:r w:rsidR="000C653C" w:rsidRPr="00244D65">
        <w:rPr>
          <w:noProof/>
        </w:rPr>
        <w:t xml:space="preserve"> </w:t>
      </w:r>
    </w:p>
    <w:p w14:paraId="4D6C23AC" w14:textId="50218755" w:rsidR="00841B17" w:rsidRPr="00244D65" w:rsidRDefault="00A6142E" w:rsidP="0085595C">
      <w:pPr>
        <w:pStyle w:val="ListParagraph"/>
        <w:numPr>
          <w:ilvl w:val="0"/>
          <w:numId w:val="15"/>
        </w:numPr>
        <w:rPr>
          <w:noProof/>
        </w:rPr>
      </w:pPr>
      <w:r w:rsidRPr="00244D65">
        <w:rPr>
          <w:noProof/>
        </w:rPr>
        <w:t>for</w:t>
      </w:r>
      <w:r w:rsidR="003C185B" w:rsidRPr="00244D65">
        <w:rPr>
          <w:noProof/>
        </w:rPr>
        <w:t xml:space="preserve"> the ETS sectors </w:t>
      </w:r>
      <w:r w:rsidRPr="00244D65">
        <w:rPr>
          <w:noProof/>
        </w:rPr>
        <w:t xml:space="preserve">to </w:t>
      </w:r>
      <w:r w:rsidR="005140C6" w:rsidRPr="00244D65">
        <w:rPr>
          <w:noProof/>
        </w:rPr>
        <w:t>benefit from</w:t>
      </w:r>
      <w:r w:rsidR="003C185B" w:rsidRPr="00244D65">
        <w:rPr>
          <w:noProof/>
        </w:rPr>
        <w:t xml:space="preserve"> the emissions space that is represented by the relevant removals</w:t>
      </w:r>
      <w:r w:rsidR="00BF24A7" w:rsidRPr="00244D65">
        <w:rPr>
          <w:noProof/>
        </w:rPr>
        <w:t xml:space="preserve"> (i.e.</w:t>
      </w:r>
      <w:r w:rsidR="003C185B" w:rsidRPr="00244D65">
        <w:rPr>
          <w:noProof/>
        </w:rPr>
        <w:t xml:space="preserve"> the </w:t>
      </w:r>
      <w:r w:rsidR="00BF24A7" w:rsidRPr="00244D65">
        <w:rPr>
          <w:b/>
          <w:noProof/>
        </w:rPr>
        <w:t>gross objective</w:t>
      </w:r>
      <w:r w:rsidR="00BF24A7" w:rsidRPr="00244D65">
        <w:rPr>
          <w:noProof/>
        </w:rPr>
        <w:t>)</w:t>
      </w:r>
      <w:r w:rsidR="003C185B" w:rsidRPr="00244D65">
        <w:rPr>
          <w:noProof/>
        </w:rPr>
        <w:t>.</w:t>
      </w:r>
      <w:r w:rsidR="000C653C" w:rsidRPr="00244D65">
        <w:rPr>
          <w:noProof/>
        </w:rPr>
        <w:t xml:space="preserve"> </w:t>
      </w:r>
    </w:p>
    <w:p w14:paraId="52744CF1" w14:textId="358A0FFA" w:rsidR="00C52BD9" w:rsidRPr="00244D65" w:rsidRDefault="00FA6C5F" w:rsidP="0085595C">
      <w:pPr>
        <w:rPr>
          <w:noProof/>
          <w:lang w:eastAsia="en-GB"/>
        </w:rPr>
      </w:pPr>
      <w:r w:rsidRPr="00244D65">
        <w:rPr>
          <w:noProof/>
        </w:rPr>
        <w:t xml:space="preserve">The net objective for each policy option is the gross emissions limit in that option minus </w:t>
      </w:r>
      <w:r w:rsidR="000A5E29" w:rsidRPr="00244D65">
        <w:rPr>
          <w:noProof/>
        </w:rPr>
        <w:t xml:space="preserve">an </w:t>
      </w:r>
      <w:bookmarkStart w:id="133" w:name="_Int_kOAIKkNj"/>
      <w:r w:rsidR="000A5E29" w:rsidRPr="00244D65">
        <w:rPr>
          <w:noProof/>
        </w:rPr>
        <w:t>amount</w:t>
      </w:r>
      <w:bookmarkEnd w:id="133"/>
      <w:r w:rsidR="00453CDA" w:rsidRPr="00244D65">
        <w:rPr>
          <w:noProof/>
          <w:lang w:eastAsia="en-GB"/>
        </w:rPr>
        <w:t xml:space="preserve"> </w:t>
      </w:r>
      <w:r w:rsidRPr="00244D65">
        <w:rPr>
          <w:noProof/>
        </w:rPr>
        <w:t>of eligible removals</w:t>
      </w:r>
      <w:r w:rsidR="00453CDA" w:rsidRPr="00244D65">
        <w:rPr>
          <w:rStyle w:val="FootnoteReference"/>
          <w:noProof/>
        </w:rPr>
        <w:footnoteReference w:id="33"/>
      </w:r>
      <w:r w:rsidRPr="00244D65">
        <w:rPr>
          <w:noProof/>
        </w:rPr>
        <w:t xml:space="preserve"> modelled </w:t>
      </w:r>
      <w:r w:rsidR="00C52BD9" w:rsidRPr="00244D65">
        <w:rPr>
          <w:noProof/>
        </w:rPr>
        <w:t xml:space="preserve">for the </w:t>
      </w:r>
      <w:r>
        <w:rPr>
          <w:noProof/>
        </w:rPr>
        <w:t>85%</w:t>
      </w:r>
      <w:r w:rsidR="00452381" w:rsidRPr="00244D65" w:rsidDel="00452381">
        <w:rPr>
          <w:noProof/>
        </w:rPr>
        <w:t xml:space="preserve"> </w:t>
      </w:r>
      <w:r w:rsidR="00C52BD9" w:rsidRPr="00244D65">
        <w:rPr>
          <w:noProof/>
        </w:rPr>
        <w:t>scenario</w:t>
      </w:r>
      <w:r w:rsidRPr="00244D65">
        <w:rPr>
          <w:rStyle w:val="FootnoteReference"/>
          <w:noProof/>
        </w:rPr>
        <w:footnoteReference w:id="34"/>
      </w:r>
      <w:r w:rsidR="000A5E29" w:rsidRPr="00244D65">
        <w:rPr>
          <w:noProof/>
        </w:rPr>
        <w:t xml:space="preserve"> of between </w:t>
      </w:r>
      <w:r>
        <w:rPr>
          <w:noProof/>
        </w:rPr>
        <w:t>175</w:t>
      </w:r>
      <w:r w:rsidR="000A5E29" w:rsidRPr="00244D65">
        <w:rPr>
          <w:noProof/>
        </w:rPr>
        <w:t xml:space="preserve"> and </w:t>
      </w:r>
      <w:r>
        <w:rPr>
          <w:noProof/>
        </w:rPr>
        <w:t>330</w:t>
      </w:r>
      <w:r w:rsidR="000A5E29" w:rsidRPr="00244D65">
        <w:rPr>
          <w:noProof/>
        </w:rPr>
        <w:t xml:space="preserve"> Mt</w:t>
      </w:r>
      <w:r>
        <w:rPr>
          <w:noProof/>
        </w:rPr>
        <w:t>.</w:t>
      </w:r>
      <w:r w:rsidR="00C52BD9" w:rsidRPr="00244D65">
        <w:rPr>
          <w:noProof/>
        </w:rPr>
        <w:t xml:space="preserve"> </w:t>
      </w:r>
      <w:r w:rsidR="00C15899" w:rsidRPr="00244D65">
        <w:rPr>
          <w:noProof/>
        </w:rPr>
        <w:t xml:space="preserve">This section assesses </w:t>
      </w:r>
      <w:r w:rsidR="00D93ED0" w:rsidRPr="00244D65">
        <w:rPr>
          <w:noProof/>
        </w:rPr>
        <w:t>the likelihood that</w:t>
      </w:r>
      <w:r w:rsidR="00C15899" w:rsidRPr="00244D65">
        <w:rPr>
          <w:noProof/>
        </w:rPr>
        <w:t xml:space="preserve"> each policy option would reach the net </w:t>
      </w:r>
      <w:r w:rsidR="006440BE" w:rsidRPr="00244D65">
        <w:rPr>
          <w:noProof/>
        </w:rPr>
        <w:t>and gross objective</w:t>
      </w:r>
      <w:r w:rsidR="001436C4" w:rsidRPr="00244D65">
        <w:rPr>
          <w:noProof/>
        </w:rPr>
        <w:t>s</w:t>
      </w:r>
      <w:r w:rsidR="00D8368A" w:rsidRPr="00244D65">
        <w:rPr>
          <w:noProof/>
        </w:rPr>
        <w:t>.</w:t>
      </w:r>
      <w:r w:rsidR="00453CDA" w:rsidRPr="00244D65">
        <w:rPr>
          <w:noProof/>
        </w:rPr>
        <w:t xml:space="preserve"> </w:t>
      </w:r>
    </w:p>
    <w:p w14:paraId="4EAFCFD7" w14:textId="53C99D8F" w:rsidR="00C52BD9" w:rsidRPr="00244D65" w:rsidRDefault="00C52BD9" w:rsidP="0085595C">
      <w:pPr>
        <w:rPr>
          <w:noProof/>
          <w:lang w:eastAsia="en-GB"/>
        </w:rPr>
      </w:pPr>
      <w:r w:rsidRPr="00244D65">
        <w:rPr>
          <w:noProof/>
          <w:lang w:eastAsia="en-GB"/>
        </w:rPr>
        <w:t>PO1 includes measure CR4 (‘</w:t>
      </w:r>
      <w:r w:rsidR="00333B18" w:rsidRPr="00244D65">
        <w:rPr>
          <w:i/>
          <w:iCs/>
          <w:noProof/>
          <w:lang w:eastAsia="en-GB"/>
        </w:rPr>
        <w:t>Public authority integration through regular auctions under the cap</w:t>
      </w:r>
      <w:r w:rsidRPr="00244D65">
        <w:rPr>
          <w:noProof/>
          <w:lang w:eastAsia="en-GB"/>
        </w:rPr>
        <w:t xml:space="preserve">’). As </w:t>
      </w:r>
      <w:r w:rsidR="00C377DC" w:rsidRPr="00244D65">
        <w:rPr>
          <w:noProof/>
          <w:lang w:eastAsia="en-GB"/>
        </w:rPr>
        <w:t>shown in</w:t>
      </w:r>
      <w:r w:rsidRPr="00244D65">
        <w:rPr>
          <w:noProof/>
          <w:lang w:eastAsia="en-GB"/>
        </w:rPr>
        <w:t xml:space="preserve"> Annex </w:t>
      </w:r>
      <w:r w:rsidR="00482AAA" w:rsidRPr="00244D65">
        <w:rPr>
          <w:noProof/>
          <w:lang w:eastAsia="en-GB"/>
        </w:rPr>
        <w:t>8</w:t>
      </w:r>
      <w:r w:rsidRPr="00244D65">
        <w:rPr>
          <w:noProof/>
          <w:lang w:eastAsia="en-GB"/>
        </w:rPr>
        <w:t>, the purchase of removal units and corresponding issuance of additional (removal-backed) allowances by the regulator would allow gross emissions in the ETS to increase, while maintaining the same level of net emissions</w:t>
      </w:r>
      <w:r w:rsidR="0044119B" w:rsidRPr="00244D65">
        <w:rPr>
          <w:noProof/>
          <w:lang w:eastAsia="en-GB"/>
        </w:rPr>
        <w:t>, conditional on the purchase by the public authority of the</w:t>
      </w:r>
      <w:r w:rsidR="005C511B" w:rsidRPr="00244D65">
        <w:rPr>
          <w:noProof/>
          <w:lang w:eastAsia="en-GB"/>
        </w:rPr>
        <w:t xml:space="preserve"> relevant removals</w:t>
      </w:r>
      <w:r w:rsidRPr="00244D65">
        <w:rPr>
          <w:noProof/>
          <w:lang w:eastAsia="en-GB"/>
        </w:rPr>
        <w:t xml:space="preserve">. The public authority would commit to the </w:t>
      </w:r>
      <w:r w:rsidR="005C511B" w:rsidRPr="00244D65">
        <w:rPr>
          <w:noProof/>
          <w:lang w:eastAsia="en-GB"/>
        </w:rPr>
        <w:t>purchase of</w:t>
      </w:r>
      <w:r w:rsidRPr="00244D65">
        <w:rPr>
          <w:noProof/>
          <w:lang w:eastAsia="en-GB"/>
        </w:rPr>
        <w:t xml:space="preserve"> </w:t>
      </w:r>
      <w:r w:rsidR="008E0E7D" w:rsidRPr="00244D65">
        <w:rPr>
          <w:noProof/>
        </w:rPr>
        <w:t xml:space="preserve">between </w:t>
      </w:r>
      <w:r>
        <w:rPr>
          <w:noProof/>
        </w:rPr>
        <w:t>170</w:t>
      </w:r>
      <w:r w:rsidR="008E0E7D" w:rsidRPr="00244D65">
        <w:rPr>
          <w:noProof/>
        </w:rPr>
        <w:t xml:space="preserve"> and </w:t>
      </w:r>
      <w:r>
        <w:rPr>
          <w:noProof/>
        </w:rPr>
        <w:t>330</w:t>
      </w:r>
      <w:r w:rsidR="008E0E7D" w:rsidRPr="00244D65">
        <w:rPr>
          <w:noProof/>
        </w:rPr>
        <w:t xml:space="preserve"> Mt</w:t>
      </w:r>
      <w:r w:rsidRPr="00244D65">
        <w:rPr>
          <w:noProof/>
          <w:lang w:eastAsia="en-GB"/>
        </w:rPr>
        <w:t xml:space="preserve"> of removals from BECCS and DACCS, pre-increasing the </w:t>
      </w:r>
      <w:r w:rsidR="00544D5F" w:rsidRPr="00244D65">
        <w:rPr>
          <w:noProof/>
          <w:lang w:eastAsia="en-GB"/>
        </w:rPr>
        <w:t>cap</w:t>
      </w:r>
      <w:r w:rsidRPr="00244D65">
        <w:rPr>
          <w:noProof/>
          <w:lang w:eastAsia="en-GB"/>
        </w:rPr>
        <w:t xml:space="preserve"> by that amount, and guaranteeing the gross emissions for the ETS sectors. Assuming the purchasing programme is endowed with sufficient </w:t>
      </w:r>
      <w:bookmarkStart w:id="134" w:name="_Int_INTXcyOz"/>
      <w:r w:rsidRPr="00244D65">
        <w:rPr>
          <w:noProof/>
          <w:lang w:eastAsia="en-GB"/>
        </w:rPr>
        <w:t>budget</w:t>
      </w:r>
      <w:bookmarkEnd w:id="134"/>
      <w:r w:rsidRPr="00244D65">
        <w:rPr>
          <w:noProof/>
          <w:lang w:eastAsia="en-GB"/>
        </w:rPr>
        <w:t xml:space="preserve"> and the expected supply </w:t>
      </w:r>
      <w:r w:rsidR="006A35FC" w:rsidRPr="00244D65">
        <w:rPr>
          <w:noProof/>
          <w:lang w:eastAsia="en-GB"/>
        </w:rPr>
        <w:t>mate</w:t>
      </w:r>
      <w:r w:rsidRPr="00244D65">
        <w:rPr>
          <w:noProof/>
          <w:lang w:eastAsia="en-GB"/>
        </w:rPr>
        <w:t>r</w:t>
      </w:r>
      <w:r w:rsidR="006A35FC" w:rsidRPr="00244D65">
        <w:rPr>
          <w:noProof/>
          <w:lang w:eastAsia="en-GB"/>
        </w:rPr>
        <w:t>i</w:t>
      </w:r>
      <w:r w:rsidRPr="00244D65">
        <w:rPr>
          <w:noProof/>
          <w:lang w:eastAsia="en-GB"/>
        </w:rPr>
        <w:t xml:space="preserve">alises, there is thus, in principle, certainty on the achievement of both the net and gross emissions </w:t>
      </w:r>
      <w:r w:rsidR="00D66DAF" w:rsidRPr="00244D65">
        <w:rPr>
          <w:noProof/>
          <w:lang w:eastAsia="en-GB"/>
        </w:rPr>
        <w:t>objectives</w:t>
      </w:r>
      <w:r w:rsidRPr="00244D65">
        <w:rPr>
          <w:rStyle w:val="FootnoteReference"/>
          <w:noProof/>
          <w:lang w:eastAsia="en-GB"/>
        </w:rPr>
        <w:footnoteReference w:id="35"/>
      </w:r>
      <w:r w:rsidR="0027669C" w:rsidRPr="00244D65">
        <w:rPr>
          <w:noProof/>
          <w:lang w:eastAsia="en-GB"/>
        </w:rPr>
        <w:t>.</w:t>
      </w:r>
      <w:r w:rsidRPr="00244D65">
        <w:rPr>
          <w:noProof/>
          <w:lang w:eastAsia="en-GB"/>
        </w:rPr>
        <w:t xml:space="preserve"> Therefore, PO1 integration of removals should not generate uncertainty on reach</w:t>
      </w:r>
      <w:r w:rsidR="0043442E" w:rsidRPr="00244D65">
        <w:rPr>
          <w:noProof/>
          <w:lang w:eastAsia="en-GB"/>
        </w:rPr>
        <w:t>ing</w:t>
      </w:r>
      <w:r w:rsidRPr="00244D65">
        <w:rPr>
          <w:noProof/>
          <w:lang w:eastAsia="en-GB"/>
        </w:rPr>
        <w:t xml:space="preserve"> climate targets in comparison to the baseline scenario of an ETS without the integration of removals and reduces the risk of carbon leakage by increasing the gross emissions space. </w:t>
      </w:r>
      <w:r w:rsidR="00D2076F" w:rsidRPr="00244D65">
        <w:rPr>
          <w:noProof/>
          <w:lang w:eastAsia="en-GB"/>
        </w:rPr>
        <w:t xml:space="preserve">Moreover, modelling </w:t>
      </w:r>
      <w:r w:rsidR="00DB6767" w:rsidRPr="00244D65">
        <w:rPr>
          <w:noProof/>
          <w:lang w:eastAsia="en-GB"/>
        </w:rPr>
        <w:t>results</w:t>
      </w:r>
      <w:r w:rsidR="00D2076F" w:rsidRPr="00244D65">
        <w:rPr>
          <w:noProof/>
          <w:lang w:eastAsia="en-GB"/>
        </w:rPr>
        <w:t xml:space="preserve"> </w:t>
      </w:r>
      <w:r w:rsidR="00DB1AD5" w:rsidRPr="00244D65">
        <w:rPr>
          <w:noProof/>
          <w:lang w:eastAsia="en-GB"/>
        </w:rPr>
        <w:t xml:space="preserve">in </w:t>
      </w:r>
      <w:r w:rsidR="00DB6767" w:rsidRPr="00244D65">
        <w:rPr>
          <w:noProof/>
          <w:lang w:eastAsia="en-GB"/>
        </w:rPr>
        <w:t xml:space="preserve">an overachievement of the removals objective, generating </w:t>
      </w:r>
      <w:r>
        <w:rPr>
          <w:noProof/>
          <w:lang w:eastAsia="en-GB"/>
        </w:rPr>
        <w:t>222</w:t>
      </w:r>
      <w:r w:rsidR="00434A60" w:rsidRPr="00244D65">
        <w:rPr>
          <w:noProof/>
          <w:lang w:eastAsia="en-GB"/>
        </w:rPr>
        <w:t xml:space="preserve"> </w:t>
      </w:r>
      <w:r w:rsidR="0026656B" w:rsidRPr="00244D65">
        <w:rPr>
          <w:noProof/>
          <w:lang w:eastAsia="en-GB"/>
        </w:rPr>
        <w:t xml:space="preserve">Mt instead of </w:t>
      </w:r>
      <w:r>
        <w:rPr>
          <w:noProof/>
          <w:lang w:eastAsia="en-GB"/>
        </w:rPr>
        <w:t>175</w:t>
      </w:r>
      <w:r w:rsidR="0026656B" w:rsidRPr="00244D65">
        <w:rPr>
          <w:noProof/>
          <w:lang w:eastAsia="en-GB"/>
        </w:rPr>
        <w:t xml:space="preserve"> Mt</w:t>
      </w:r>
      <w:r w:rsidR="00DB6767" w:rsidRPr="00244D65">
        <w:rPr>
          <w:noProof/>
          <w:lang w:eastAsia="en-GB"/>
        </w:rPr>
        <w:t xml:space="preserve"> as per the design of the measure</w:t>
      </w:r>
      <w:r w:rsidR="00DB1AD5" w:rsidRPr="00244D65">
        <w:rPr>
          <w:noProof/>
          <w:lang w:eastAsia="en-GB"/>
        </w:rPr>
        <w:t>, due to</w:t>
      </w:r>
      <w:r w:rsidR="00D2076F" w:rsidRPr="00244D65">
        <w:rPr>
          <w:noProof/>
          <w:lang w:eastAsia="en-GB"/>
        </w:rPr>
        <w:t xml:space="preserve"> the certainty provided by the public commitment to purchase removals </w:t>
      </w:r>
      <w:r w:rsidR="00E77AED" w:rsidRPr="00244D65">
        <w:rPr>
          <w:noProof/>
          <w:lang w:eastAsia="en-GB"/>
        </w:rPr>
        <w:t>which in the model is represented by a lower discount rate</w:t>
      </w:r>
      <w:r w:rsidR="00D2076F" w:rsidRPr="00244D65">
        <w:rPr>
          <w:noProof/>
          <w:lang w:eastAsia="en-GB"/>
        </w:rPr>
        <w:t xml:space="preserve">. </w:t>
      </w:r>
      <w:r w:rsidR="00D078B4" w:rsidRPr="00244D65">
        <w:rPr>
          <w:noProof/>
          <w:lang w:eastAsia="en-GB"/>
        </w:rPr>
        <w:t xml:space="preserve">However, the modelling results are subject to significant uncertainty given the wide range of </w:t>
      </w:r>
      <w:r w:rsidR="00E219AE" w:rsidRPr="00244D65">
        <w:rPr>
          <w:noProof/>
          <w:lang w:eastAsia="en-GB"/>
        </w:rPr>
        <w:t xml:space="preserve">possible </w:t>
      </w:r>
      <w:r w:rsidR="00D078B4" w:rsidRPr="00244D65">
        <w:rPr>
          <w:noProof/>
          <w:lang w:eastAsia="en-GB"/>
        </w:rPr>
        <w:t>future technology costs</w:t>
      </w:r>
      <w:r w:rsidR="009D71B4" w:rsidRPr="00244D65">
        <w:rPr>
          <w:noProof/>
          <w:lang w:eastAsia="en-GB"/>
        </w:rPr>
        <w:t xml:space="preserve"> and</w:t>
      </w:r>
      <w:r w:rsidR="00D078B4" w:rsidRPr="00244D65">
        <w:rPr>
          <w:noProof/>
          <w:lang w:eastAsia="en-GB"/>
        </w:rPr>
        <w:t xml:space="preserve"> deployment constraints</w:t>
      </w:r>
      <w:r w:rsidR="009D71B4" w:rsidRPr="00244D65">
        <w:rPr>
          <w:noProof/>
          <w:lang w:eastAsia="en-GB"/>
        </w:rPr>
        <w:t xml:space="preserve">. </w:t>
      </w:r>
      <w:r w:rsidR="00A000AB" w:rsidRPr="00244D65">
        <w:rPr>
          <w:noProof/>
          <w:lang w:eastAsia="en-GB"/>
        </w:rPr>
        <w:t>In addition</w:t>
      </w:r>
      <w:r w:rsidRPr="00244D65">
        <w:rPr>
          <w:noProof/>
          <w:lang w:eastAsia="en-GB"/>
        </w:rPr>
        <w:t xml:space="preserve">, if the public authority </w:t>
      </w:r>
      <w:r w:rsidR="00A754D7" w:rsidRPr="00244D65">
        <w:rPr>
          <w:noProof/>
          <w:lang w:eastAsia="en-GB"/>
        </w:rPr>
        <w:t>had</w:t>
      </w:r>
      <w:r w:rsidRPr="00244D65">
        <w:rPr>
          <w:noProof/>
          <w:lang w:eastAsia="en-GB"/>
        </w:rPr>
        <w:t xml:space="preserve"> a limited budget and/or carbon removal prices were high</w:t>
      </w:r>
      <w:r w:rsidR="00D66DAF" w:rsidRPr="00244D65">
        <w:rPr>
          <w:noProof/>
          <w:lang w:eastAsia="en-GB"/>
        </w:rPr>
        <w:t>er</w:t>
      </w:r>
      <w:r w:rsidRPr="00244D65">
        <w:rPr>
          <w:noProof/>
          <w:lang w:eastAsia="en-GB"/>
        </w:rPr>
        <w:t xml:space="preserve"> than projected, there would be a risk of not attaining the net emissions target. </w:t>
      </w:r>
    </w:p>
    <w:p w14:paraId="12329E44" w14:textId="78AE5E1F" w:rsidR="003474E5" w:rsidRPr="00244D65" w:rsidRDefault="00C313A2" w:rsidP="0085595C">
      <w:pPr>
        <w:rPr>
          <w:noProof/>
        </w:rPr>
      </w:pPr>
      <w:r w:rsidRPr="00244D65">
        <w:rPr>
          <w:noProof/>
        </w:rPr>
        <w:t>Meanwhile</w:t>
      </w:r>
      <w:r w:rsidR="00A94CFC" w:rsidRPr="00244D65">
        <w:rPr>
          <w:noProof/>
        </w:rPr>
        <w:t xml:space="preserve"> PO2, </w:t>
      </w:r>
      <w:r w:rsidR="002F7333" w:rsidRPr="00244D65">
        <w:rPr>
          <w:noProof/>
        </w:rPr>
        <w:t>implementing CR1 (‘</w:t>
      </w:r>
      <w:r w:rsidR="002F7333" w:rsidRPr="00244D65">
        <w:rPr>
          <w:i/>
          <w:noProof/>
        </w:rPr>
        <w:t>Limited operator integration on top of the cap</w:t>
      </w:r>
      <w:r w:rsidR="002F7333" w:rsidRPr="00244D65">
        <w:rPr>
          <w:noProof/>
        </w:rPr>
        <w:t xml:space="preserve">’), </w:t>
      </w:r>
      <w:r w:rsidR="007A2288" w:rsidRPr="00244D65">
        <w:rPr>
          <w:noProof/>
        </w:rPr>
        <w:t>provides certainty in reaching</w:t>
      </w:r>
      <w:r w:rsidR="00A94CFC" w:rsidRPr="00244D65">
        <w:rPr>
          <w:noProof/>
        </w:rPr>
        <w:t xml:space="preserve"> net emissions</w:t>
      </w:r>
      <w:r w:rsidR="00C52BD9" w:rsidRPr="00244D65">
        <w:rPr>
          <w:noProof/>
        </w:rPr>
        <w:t>, as the cap is set at the level</w:t>
      </w:r>
      <w:r w:rsidR="00EE1B3C" w:rsidRPr="00244D65">
        <w:rPr>
          <w:noProof/>
        </w:rPr>
        <w:t xml:space="preserve"> of the </w:t>
      </w:r>
      <w:r w:rsidR="00571891" w:rsidRPr="00244D65">
        <w:rPr>
          <w:noProof/>
        </w:rPr>
        <w:t xml:space="preserve">targeted </w:t>
      </w:r>
      <w:r w:rsidR="00EE1B3C" w:rsidRPr="00244D65">
        <w:rPr>
          <w:noProof/>
        </w:rPr>
        <w:t xml:space="preserve">net </w:t>
      </w:r>
      <w:r w:rsidR="00571891" w:rsidRPr="00244D65">
        <w:rPr>
          <w:noProof/>
        </w:rPr>
        <w:t>emissions</w:t>
      </w:r>
      <w:r w:rsidR="00C52BD9" w:rsidRPr="00244D65">
        <w:rPr>
          <w:noProof/>
        </w:rPr>
        <w:t xml:space="preserve">. However, </w:t>
      </w:r>
      <w:r w:rsidR="00C01927" w:rsidRPr="00244D65">
        <w:rPr>
          <w:noProof/>
        </w:rPr>
        <w:t>in the absence of support measures, CR1</w:t>
      </w:r>
      <w:r w:rsidR="00AA11CE" w:rsidRPr="00244D65">
        <w:rPr>
          <w:noProof/>
        </w:rPr>
        <w:t xml:space="preserve"> </w:t>
      </w:r>
      <w:r w:rsidR="00A94CFC" w:rsidRPr="00244D65">
        <w:rPr>
          <w:noProof/>
        </w:rPr>
        <w:t>create</w:t>
      </w:r>
      <w:r w:rsidR="00AA11CE" w:rsidRPr="00244D65">
        <w:rPr>
          <w:noProof/>
        </w:rPr>
        <w:t xml:space="preserve">s </w:t>
      </w:r>
      <w:r w:rsidR="00A94CFC" w:rsidRPr="00244D65">
        <w:rPr>
          <w:noProof/>
        </w:rPr>
        <w:t>uncertainty on gross emissions</w:t>
      </w:r>
      <w:r w:rsidR="00AA11CE" w:rsidRPr="00244D65">
        <w:rPr>
          <w:noProof/>
        </w:rPr>
        <w:t xml:space="preserve"> </w:t>
      </w:r>
      <w:r w:rsidR="00C01927" w:rsidRPr="00244D65">
        <w:rPr>
          <w:noProof/>
        </w:rPr>
        <w:t>(</w:t>
      </w:r>
      <w:r w:rsidR="00A94CFC" w:rsidRPr="00244D65">
        <w:rPr>
          <w:noProof/>
        </w:rPr>
        <w:t>within bounds</w:t>
      </w:r>
      <w:r w:rsidR="00C01927" w:rsidRPr="00244D65">
        <w:rPr>
          <w:noProof/>
        </w:rPr>
        <w:t>). R</w:t>
      </w:r>
      <w:r w:rsidR="007A2288" w:rsidRPr="00244D65">
        <w:rPr>
          <w:noProof/>
        </w:rPr>
        <w:t xml:space="preserve">emovals </w:t>
      </w:r>
      <w:r w:rsidR="00EF4F22" w:rsidRPr="00244D65">
        <w:rPr>
          <w:noProof/>
        </w:rPr>
        <w:t>will only be used</w:t>
      </w:r>
      <w:r w:rsidR="00C52BD9" w:rsidRPr="00244D65">
        <w:rPr>
          <w:noProof/>
        </w:rPr>
        <w:t>, providing additional emissions space on top of the net cap,</w:t>
      </w:r>
      <w:r w:rsidR="00EF4F22" w:rsidRPr="00244D65">
        <w:rPr>
          <w:noProof/>
        </w:rPr>
        <w:t xml:space="preserve"> when they become </w:t>
      </w:r>
      <w:r w:rsidR="00D7410A" w:rsidRPr="00244D65">
        <w:rPr>
          <w:noProof/>
        </w:rPr>
        <w:t>cost competitive</w:t>
      </w:r>
      <w:r w:rsidR="00EF4F22" w:rsidRPr="00244D65">
        <w:rPr>
          <w:noProof/>
        </w:rPr>
        <w:t>.</w:t>
      </w:r>
      <w:r w:rsidR="254D0807" w:rsidRPr="00244D65">
        <w:rPr>
          <w:noProof/>
        </w:rPr>
        <w:t xml:space="preserve"> This could lead to lower investment in removals (due to uncertainty</w:t>
      </w:r>
      <w:r w:rsidR="0F477CBA" w:rsidRPr="00244D65">
        <w:rPr>
          <w:noProof/>
        </w:rPr>
        <w:t xml:space="preserve"> of the size of the market</w:t>
      </w:r>
      <w:r w:rsidR="254D0807" w:rsidRPr="00244D65">
        <w:rPr>
          <w:noProof/>
        </w:rPr>
        <w:t>) and higher investment in mitigation (due to the u</w:t>
      </w:r>
      <w:r w:rsidR="4330EF08" w:rsidRPr="00244D65">
        <w:rPr>
          <w:noProof/>
        </w:rPr>
        <w:t>ncertainty that removals will materialise and enable hitting the net target).</w:t>
      </w:r>
      <w:r w:rsidR="1E98B1CB" w:rsidRPr="00244D65">
        <w:rPr>
          <w:noProof/>
        </w:rPr>
        <w:t xml:space="preserve"> </w:t>
      </w:r>
      <w:r w:rsidR="02E20F0E" w:rsidRPr="00244D65">
        <w:rPr>
          <w:noProof/>
        </w:rPr>
        <w:t>Under these assumptions, represented by an increase in discount rates for removals (</w:t>
      </w:r>
      <w:r w:rsidR="141DC3DA" w:rsidRPr="00244D65">
        <w:rPr>
          <w:noProof/>
        </w:rPr>
        <w:t>due to</w:t>
      </w:r>
      <w:r w:rsidR="02E20F0E" w:rsidRPr="00244D65">
        <w:rPr>
          <w:noProof/>
        </w:rPr>
        <w:t xml:space="preserve"> uncertainty), </w:t>
      </w:r>
      <w:r w:rsidR="2D285AF7" w:rsidRPr="00244D65">
        <w:rPr>
          <w:noProof/>
          <w:lang w:eastAsia="en-GB"/>
        </w:rPr>
        <w:t>m</w:t>
      </w:r>
      <w:r w:rsidR="00EF4F22" w:rsidRPr="00244D65">
        <w:rPr>
          <w:noProof/>
          <w:lang w:eastAsia="en-GB"/>
        </w:rPr>
        <w:t xml:space="preserve">odelling shows </w:t>
      </w:r>
      <w:r>
        <w:rPr>
          <w:noProof/>
          <w:lang w:eastAsia="en-GB"/>
        </w:rPr>
        <w:t>110</w:t>
      </w:r>
      <w:r w:rsidR="007025A9" w:rsidRPr="00244D65">
        <w:rPr>
          <w:noProof/>
          <w:lang w:eastAsia="en-GB"/>
        </w:rPr>
        <w:t xml:space="preserve"> </w:t>
      </w:r>
      <w:r w:rsidR="007747E1" w:rsidRPr="00244D65">
        <w:rPr>
          <w:noProof/>
          <w:lang w:eastAsia="en-GB"/>
        </w:rPr>
        <w:t xml:space="preserve">Mt tonnes </w:t>
      </w:r>
      <w:r w:rsidR="00147085" w:rsidRPr="00244D65">
        <w:rPr>
          <w:noProof/>
          <w:lang w:eastAsia="en-GB"/>
        </w:rPr>
        <w:t>of eligible removals</w:t>
      </w:r>
      <w:r w:rsidR="00EF4F22" w:rsidRPr="00244D65">
        <w:rPr>
          <w:noProof/>
          <w:lang w:eastAsia="en-GB"/>
        </w:rPr>
        <w:t xml:space="preserve"> come in</w:t>
      </w:r>
      <w:r w:rsidR="009E656B" w:rsidRPr="00244D65">
        <w:rPr>
          <w:noProof/>
          <w:lang w:eastAsia="en-GB"/>
        </w:rPr>
        <w:t>to the EU ETS on top of the cap</w:t>
      </w:r>
      <w:r w:rsidR="00886ED6" w:rsidRPr="00244D65">
        <w:rPr>
          <w:noProof/>
          <w:lang w:eastAsia="en-GB"/>
        </w:rPr>
        <w:t>)</w:t>
      </w:r>
      <w:r w:rsidR="00777F8B" w:rsidRPr="00244D65">
        <w:rPr>
          <w:noProof/>
        </w:rPr>
        <w:t xml:space="preserve">. </w:t>
      </w:r>
      <w:r w:rsidR="6CEA8128" w:rsidRPr="00244D65">
        <w:rPr>
          <w:noProof/>
        </w:rPr>
        <w:t>However, perceptions are hard to predict: an equilibrium in which there is underinvestment in mitigation (due to optimism</w:t>
      </w:r>
      <w:r w:rsidR="59826BFE" w:rsidRPr="00244D65">
        <w:rPr>
          <w:noProof/>
        </w:rPr>
        <w:t xml:space="preserve"> about removals) and high investment in removals as a result thereof cannot be ruled out. </w:t>
      </w:r>
    </w:p>
    <w:p w14:paraId="2497957D" w14:textId="5F31912D" w:rsidR="003D366B" w:rsidRPr="00244D65" w:rsidRDefault="13B01E72" w:rsidP="0085595C">
      <w:pPr>
        <w:rPr>
          <w:noProof/>
        </w:rPr>
      </w:pPr>
      <w:r w:rsidRPr="00244D65">
        <w:rPr>
          <w:noProof/>
        </w:rPr>
        <w:t>In</w:t>
      </w:r>
      <w:r w:rsidR="00777F8B" w:rsidRPr="00244D65">
        <w:rPr>
          <w:noProof/>
        </w:rPr>
        <w:t xml:space="preserve"> PO3, implementing CR3 (‘</w:t>
      </w:r>
      <w:r w:rsidR="00777F8B" w:rsidRPr="00244D65">
        <w:rPr>
          <w:i/>
          <w:iCs/>
          <w:noProof/>
        </w:rPr>
        <w:t>Limited operator integration under the cap (one-in-one-out)</w:t>
      </w:r>
      <w:r w:rsidR="00777F8B" w:rsidRPr="00244D65">
        <w:rPr>
          <w:noProof/>
        </w:rPr>
        <w:t>’)</w:t>
      </w:r>
      <w:r w:rsidR="0041213F" w:rsidRPr="00244D65">
        <w:rPr>
          <w:noProof/>
        </w:rPr>
        <w:t xml:space="preserve">, </w:t>
      </w:r>
      <w:r w:rsidR="007A2288" w:rsidRPr="00244D65">
        <w:rPr>
          <w:noProof/>
        </w:rPr>
        <w:t>introduces an uncertainty that does not exist in the baseline, regarding t</w:t>
      </w:r>
      <w:r w:rsidR="0041213F" w:rsidRPr="00244D65">
        <w:rPr>
          <w:noProof/>
        </w:rPr>
        <w:t>he net contribution of the ETS</w:t>
      </w:r>
      <w:r w:rsidR="007A2288" w:rsidRPr="00244D65">
        <w:rPr>
          <w:noProof/>
        </w:rPr>
        <w:t xml:space="preserve"> </w:t>
      </w:r>
      <w:r w:rsidR="0041213F" w:rsidRPr="00244D65">
        <w:rPr>
          <w:noProof/>
        </w:rPr>
        <w:t>– there is a maximum level of net emissions (how low net emissions can go) but not a minimum that would be reached</w:t>
      </w:r>
      <w:r w:rsidR="00E827B8" w:rsidRPr="00244D65">
        <w:rPr>
          <w:noProof/>
        </w:rPr>
        <w:t xml:space="preserve">. </w:t>
      </w:r>
      <w:r w:rsidR="00371AA7" w:rsidRPr="00244D65">
        <w:rPr>
          <w:noProof/>
        </w:rPr>
        <w:t>PO3</w:t>
      </w:r>
      <w:r w:rsidR="000E17ED" w:rsidRPr="00244D65">
        <w:rPr>
          <w:noProof/>
        </w:rPr>
        <w:t xml:space="preserve"> operates as PO1, with a pre-increase of the cap, but in</w:t>
      </w:r>
      <w:r w:rsidR="00371AA7" w:rsidRPr="00244D65">
        <w:rPr>
          <w:noProof/>
        </w:rPr>
        <w:t xml:space="preserve"> PO3</w:t>
      </w:r>
      <w:r w:rsidR="50292AC1" w:rsidRPr="00244D65">
        <w:rPr>
          <w:noProof/>
        </w:rPr>
        <w:t xml:space="preserve"> the central regulator is not responsible for procuring removals, and their realization depends on market dynamics. Removals are remunerated at the prevailing </w:t>
      </w:r>
      <w:r w:rsidR="00F909E3" w:rsidRPr="00244D65">
        <w:rPr>
          <w:noProof/>
        </w:rPr>
        <w:t>EU ETS</w:t>
      </w:r>
      <w:r w:rsidR="50292AC1" w:rsidRPr="00244D65">
        <w:rPr>
          <w:noProof/>
        </w:rPr>
        <w:t xml:space="preserve"> price, meaning that their volume remains uncertain and not guaranteed, introducing potential variability in both net emissions outcomes and investment behaviour. </w:t>
      </w:r>
      <w:r w:rsidR="00A5422F" w:rsidRPr="00244D65">
        <w:rPr>
          <w:noProof/>
        </w:rPr>
        <w:t>M</w:t>
      </w:r>
      <w:r w:rsidR="007C4FF3" w:rsidRPr="00244D65">
        <w:rPr>
          <w:noProof/>
        </w:rPr>
        <w:t xml:space="preserve">odelling shows </w:t>
      </w:r>
      <w:r w:rsidR="00285EAD" w:rsidRPr="00244D65">
        <w:rPr>
          <w:noProof/>
        </w:rPr>
        <w:t xml:space="preserve">all </w:t>
      </w:r>
      <w:r w:rsidR="006A6379" w:rsidRPr="00244D65">
        <w:rPr>
          <w:noProof/>
        </w:rPr>
        <w:t xml:space="preserve">the </w:t>
      </w:r>
      <w:r w:rsidR="00DB185A" w:rsidRPr="00244D65">
        <w:rPr>
          <w:noProof/>
        </w:rPr>
        <w:t xml:space="preserve">eligible carbon removals </w:t>
      </w:r>
      <w:r w:rsidR="006F1993" w:rsidRPr="00244D65">
        <w:rPr>
          <w:noProof/>
        </w:rPr>
        <w:t>are generated as</w:t>
      </w:r>
      <w:r w:rsidR="00DB185A" w:rsidRPr="00244D65">
        <w:rPr>
          <w:noProof/>
        </w:rPr>
        <w:t xml:space="preserve"> the model is constrained to hit the </w:t>
      </w:r>
      <w:r w:rsidR="00DF79C0" w:rsidRPr="00244D65">
        <w:rPr>
          <w:noProof/>
        </w:rPr>
        <w:t>economy-wide</w:t>
      </w:r>
      <w:r w:rsidR="00E827B8" w:rsidRPr="00244D65">
        <w:rPr>
          <w:noProof/>
        </w:rPr>
        <w:t xml:space="preserve"> </w:t>
      </w:r>
      <w:r w:rsidR="006A6379" w:rsidRPr="00244D65">
        <w:rPr>
          <w:noProof/>
        </w:rPr>
        <w:t xml:space="preserve">2040 and 2050 </w:t>
      </w:r>
      <w:r w:rsidR="00E827B8" w:rsidRPr="00244D65">
        <w:rPr>
          <w:noProof/>
        </w:rPr>
        <w:t>climate</w:t>
      </w:r>
      <w:r w:rsidR="00DB185A" w:rsidRPr="00244D65">
        <w:rPr>
          <w:noProof/>
        </w:rPr>
        <w:t xml:space="preserve"> target</w:t>
      </w:r>
      <w:r w:rsidR="00293033" w:rsidRPr="00244D65">
        <w:rPr>
          <w:noProof/>
        </w:rPr>
        <w:t>.</w:t>
      </w:r>
      <w:r w:rsidR="000A646F" w:rsidRPr="00244D65">
        <w:rPr>
          <w:noProof/>
        </w:rPr>
        <w:t xml:space="preserve"> </w:t>
      </w:r>
      <w:r w:rsidR="00DB185A" w:rsidRPr="00244D65">
        <w:rPr>
          <w:noProof/>
        </w:rPr>
        <w:t xml:space="preserve">However, </w:t>
      </w:r>
      <w:bookmarkStart w:id="135" w:name="_Int_vBme10YF"/>
      <w:r w:rsidR="00E827B8" w:rsidRPr="00244D65">
        <w:rPr>
          <w:noProof/>
        </w:rPr>
        <w:t xml:space="preserve">in reality, </w:t>
      </w:r>
      <w:r w:rsidR="00DB185A" w:rsidRPr="00244D65">
        <w:rPr>
          <w:noProof/>
        </w:rPr>
        <w:t>a</w:t>
      </w:r>
      <w:r w:rsidR="000A646F" w:rsidRPr="00244D65">
        <w:rPr>
          <w:noProof/>
        </w:rPr>
        <w:t>s</w:t>
      </w:r>
      <w:bookmarkEnd w:id="135"/>
      <w:r w:rsidR="000A646F" w:rsidRPr="00244D65">
        <w:rPr>
          <w:noProof/>
        </w:rPr>
        <w:t xml:space="preserve"> long as removals are not cost competitive, </w:t>
      </w:r>
      <w:r w:rsidR="00DF79C0" w:rsidRPr="00244D65">
        <w:rPr>
          <w:noProof/>
        </w:rPr>
        <w:t xml:space="preserve">there is a risk </w:t>
      </w:r>
      <w:r w:rsidR="00D90BF7" w:rsidRPr="00244D65">
        <w:rPr>
          <w:noProof/>
        </w:rPr>
        <w:t>of insufficient removal being incentivised</w:t>
      </w:r>
      <w:r w:rsidR="000A646F" w:rsidRPr="00244D65">
        <w:rPr>
          <w:noProof/>
        </w:rPr>
        <w:t xml:space="preserve">, </w:t>
      </w:r>
      <w:r w:rsidR="00D90BF7" w:rsidRPr="00244D65">
        <w:rPr>
          <w:noProof/>
        </w:rPr>
        <w:t xml:space="preserve">causing the </w:t>
      </w:r>
      <w:r w:rsidR="00F909E3" w:rsidRPr="00244D65">
        <w:rPr>
          <w:noProof/>
        </w:rPr>
        <w:t>EU ETS</w:t>
      </w:r>
      <w:r w:rsidR="00D830C4" w:rsidRPr="00244D65">
        <w:rPr>
          <w:noProof/>
        </w:rPr>
        <w:t xml:space="preserve"> to miss its</w:t>
      </w:r>
      <w:r w:rsidR="000A646F" w:rsidRPr="00244D65">
        <w:rPr>
          <w:noProof/>
        </w:rPr>
        <w:t xml:space="preserve"> net </w:t>
      </w:r>
      <w:r w:rsidR="00D830C4" w:rsidRPr="00244D65">
        <w:rPr>
          <w:noProof/>
        </w:rPr>
        <w:t>objective</w:t>
      </w:r>
      <w:r w:rsidR="000A646F" w:rsidRPr="00244D65">
        <w:rPr>
          <w:noProof/>
        </w:rPr>
        <w:t>.</w:t>
      </w:r>
      <w:r w:rsidR="00DB185A" w:rsidRPr="00244D65">
        <w:rPr>
          <w:noProof/>
        </w:rPr>
        <w:t xml:space="preserve"> </w:t>
      </w:r>
      <w:r w:rsidR="00815665" w:rsidRPr="00244D65">
        <w:rPr>
          <w:noProof/>
        </w:rPr>
        <w:t>This should be kept in mind when interpreting the results for PO3</w:t>
      </w:r>
      <w:r w:rsidR="006466D6" w:rsidRPr="00244D65">
        <w:rPr>
          <w:noProof/>
        </w:rPr>
        <w:t>.</w:t>
      </w:r>
      <w:r w:rsidR="00A10A27" w:rsidRPr="00244D65">
        <w:rPr>
          <w:noProof/>
        </w:rPr>
        <w:t xml:space="preserve"> </w:t>
      </w:r>
      <w:r w:rsidR="003D366B" w:rsidRPr="00244D65">
        <w:rPr>
          <w:noProof/>
        </w:rPr>
        <w:t>The risk in PO3 is that the modelled assumptions would simply not be met.</w:t>
      </w:r>
      <w:r w:rsidR="00A15A64" w:rsidRPr="00244D65">
        <w:rPr>
          <w:noProof/>
        </w:rPr>
        <w:t xml:space="preserve"> </w:t>
      </w:r>
    </w:p>
    <w:p w14:paraId="54E9B68E" w14:textId="545DD009" w:rsidR="003474E5" w:rsidRPr="00244D65" w:rsidRDefault="00A10A27" w:rsidP="0085595C">
      <w:pPr>
        <w:rPr>
          <w:noProof/>
          <w:lang w:eastAsia="en-GB"/>
        </w:rPr>
      </w:pPr>
      <w:r w:rsidRPr="00244D65">
        <w:rPr>
          <w:noProof/>
        </w:rPr>
        <w:t xml:space="preserve">Considering the price difference, the removals entering </w:t>
      </w:r>
      <w:r w:rsidR="00F909E3" w:rsidRPr="00244D65">
        <w:rPr>
          <w:noProof/>
        </w:rPr>
        <w:t>EU ETS</w:t>
      </w:r>
      <w:r w:rsidRPr="00244D65">
        <w:rPr>
          <w:noProof/>
        </w:rPr>
        <w:t xml:space="preserve"> in PO3 should be close</w:t>
      </w:r>
      <w:r w:rsidR="00E827B8" w:rsidRPr="00244D65">
        <w:rPr>
          <w:noProof/>
        </w:rPr>
        <w:t>r</w:t>
      </w:r>
      <w:r w:rsidRPr="00244D65">
        <w:rPr>
          <w:noProof/>
        </w:rPr>
        <w:t xml:space="preserve"> </w:t>
      </w:r>
      <w:r w:rsidR="00E9436D" w:rsidRPr="00244D65">
        <w:rPr>
          <w:noProof/>
        </w:rPr>
        <w:t xml:space="preserve">in quantity </w:t>
      </w:r>
      <w:r w:rsidRPr="00244D65">
        <w:rPr>
          <w:noProof/>
        </w:rPr>
        <w:t>to those in PO2</w:t>
      </w:r>
      <w:r w:rsidR="00DF6B34" w:rsidRPr="00244D65">
        <w:rPr>
          <w:noProof/>
        </w:rPr>
        <w:t xml:space="preserve">, or less, as the pre-increase </w:t>
      </w:r>
      <w:r w:rsidR="00E14D93" w:rsidRPr="00244D65">
        <w:rPr>
          <w:noProof/>
        </w:rPr>
        <w:t>o</w:t>
      </w:r>
      <w:r w:rsidR="00DF6B34" w:rsidRPr="00244D65">
        <w:rPr>
          <w:noProof/>
        </w:rPr>
        <w:t xml:space="preserve">f the cap should lower </w:t>
      </w:r>
      <w:r w:rsidR="00F909E3" w:rsidRPr="00244D65">
        <w:rPr>
          <w:noProof/>
        </w:rPr>
        <w:t>EU ETS</w:t>
      </w:r>
      <w:r w:rsidR="00DF6B34" w:rsidRPr="00244D65">
        <w:rPr>
          <w:noProof/>
        </w:rPr>
        <w:t xml:space="preserve"> prices, increasing the cost-differential. </w:t>
      </w:r>
      <w:r w:rsidR="00A51C32" w:rsidRPr="00244D65">
        <w:rPr>
          <w:noProof/>
        </w:rPr>
        <w:t xml:space="preserve">In the </w:t>
      </w:r>
      <w:r>
        <w:rPr>
          <w:noProof/>
        </w:rPr>
        <w:t>85%</w:t>
      </w:r>
      <w:r w:rsidR="00A51C32" w:rsidRPr="00244D65">
        <w:rPr>
          <w:noProof/>
        </w:rPr>
        <w:t xml:space="preserve"> scenario</w:t>
      </w:r>
      <w:r w:rsidR="000F3738" w:rsidRPr="00244D65">
        <w:rPr>
          <w:noProof/>
        </w:rPr>
        <w:t>,</w:t>
      </w:r>
      <w:r w:rsidR="00A51C32" w:rsidRPr="00244D65">
        <w:rPr>
          <w:noProof/>
        </w:rPr>
        <w:t xml:space="preserve"> removal units from BECCS are expected to become cost competitive vis à vis the allowance price in 2038, whereas DACCS removal units would not reach cost competitiveness within the period</w:t>
      </w:r>
      <w:r w:rsidR="00653128" w:rsidRPr="00244D65">
        <w:rPr>
          <w:rStyle w:val="FootnoteReference"/>
          <w:noProof/>
        </w:rPr>
        <w:footnoteReference w:id="36"/>
      </w:r>
      <w:r w:rsidR="00A51C32" w:rsidRPr="00244D65">
        <w:rPr>
          <w:noProof/>
        </w:rPr>
        <w:t>.</w:t>
      </w:r>
      <w:r w:rsidR="003F7FDC" w:rsidRPr="00244D65">
        <w:rPr>
          <w:noProof/>
        </w:rPr>
        <w:t xml:space="preserve"> As with PO2 regarding gross emissions, the uncertainty on net emission in PO3 can be reduced if financing is provided to support removals, e.g. through contracts for difference</w:t>
      </w:r>
      <w:r w:rsidR="003F7FDC" w:rsidRPr="00244D65">
        <w:rPr>
          <w:rStyle w:val="FootnoteReference"/>
          <w:noProof/>
        </w:rPr>
        <w:footnoteReference w:id="37"/>
      </w:r>
      <w:r w:rsidR="00D079F1" w:rsidRPr="00244D65">
        <w:rPr>
          <w:noProof/>
        </w:rPr>
        <w:t>.</w:t>
      </w:r>
    </w:p>
    <w:p w14:paraId="0E3FEF8D" w14:textId="78A242B5" w:rsidR="00B16AF4" w:rsidRPr="00244D65" w:rsidRDefault="00FD13E2" w:rsidP="0085595C">
      <w:pPr>
        <w:rPr>
          <w:noProof/>
          <w:lang w:eastAsia="en-GB"/>
        </w:rPr>
      </w:pPr>
      <w:r w:rsidRPr="00244D65">
        <w:rPr>
          <w:noProof/>
        </w:rPr>
        <w:t xml:space="preserve">Finally, from a broader perspective, it should be noted that </w:t>
      </w:r>
      <w:r w:rsidR="00E82869" w:rsidRPr="00244D65">
        <w:rPr>
          <w:noProof/>
        </w:rPr>
        <w:t xml:space="preserve">funding </w:t>
      </w:r>
      <w:r w:rsidR="00097BE7" w:rsidRPr="00244D65">
        <w:rPr>
          <w:noProof/>
        </w:rPr>
        <w:t xml:space="preserve">from ETS revenues </w:t>
      </w:r>
      <w:r w:rsidR="00E82869" w:rsidRPr="00244D65">
        <w:rPr>
          <w:noProof/>
        </w:rPr>
        <w:t>provided to support the integration of removals</w:t>
      </w:r>
      <w:r w:rsidR="004A6552" w:rsidRPr="00244D65">
        <w:rPr>
          <w:noProof/>
        </w:rPr>
        <w:t xml:space="preserve"> </w:t>
      </w:r>
      <w:r w:rsidR="00D079F1" w:rsidRPr="00244D65">
        <w:rPr>
          <w:noProof/>
        </w:rPr>
        <w:t>–</w:t>
      </w:r>
      <w:r w:rsidR="00097BE7" w:rsidRPr="00244D65">
        <w:rPr>
          <w:noProof/>
        </w:rPr>
        <w:t xml:space="preserve"> </w:t>
      </w:r>
      <w:bookmarkStart w:id="136" w:name="_Int_npXlJ0nD"/>
      <w:r w:rsidR="00097BE7" w:rsidRPr="00244D65">
        <w:rPr>
          <w:noProof/>
        </w:rPr>
        <w:t>in particular in</w:t>
      </w:r>
      <w:bookmarkEnd w:id="136"/>
      <w:r w:rsidR="00097BE7" w:rsidRPr="00244D65">
        <w:rPr>
          <w:noProof/>
        </w:rPr>
        <w:t xml:space="preserve"> PO1</w:t>
      </w:r>
      <w:r w:rsidR="004A6552" w:rsidRPr="00244D65">
        <w:rPr>
          <w:noProof/>
        </w:rPr>
        <w:t xml:space="preserve"> which is design</w:t>
      </w:r>
      <w:r w:rsidR="0009262C" w:rsidRPr="00244D65">
        <w:rPr>
          <w:noProof/>
        </w:rPr>
        <w:t>ed</w:t>
      </w:r>
      <w:r w:rsidR="004A6552" w:rsidRPr="00244D65">
        <w:rPr>
          <w:noProof/>
        </w:rPr>
        <w:t xml:space="preserve"> with the funding as essential element -</w:t>
      </w:r>
      <w:r w:rsidR="00097BE7" w:rsidRPr="00244D65">
        <w:rPr>
          <w:noProof/>
        </w:rPr>
        <w:t xml:space="preserve"> </w:t>
      </w:r>
      <w:r w:rsidRPr="00244D65">
        <w:rPr>
          <w:noProof/>
        </w:rPr>
        <w:t>necessarily reallocates scarce fiscal resources away from other uses</w:t>
      </w:r>
      <w:r w:rsidR="004A6552" w:rsidRPr="00244D65">
        <w:rPr>
          <w:noProof/>
        </w:rPr>
        <w:t xml:space="preserve">. </w:t>
      </w:r>
      <w:r w:rsidR="000564D0" w:rsidRPr="00244D65">
        <w:rPr>
          <w:noProof/>
        </w:rPr>
        <w:t>An alternative use of ETS revenues</w:t>
      </w:r>
      <w:r w:rsidR="003F146A" w:rsidRPr="00244D65">
        <w:rPr>
          <w:noProof/>
        </w:rPr>
        <w:t xml:space="preserve"> </w:t>
      </w:r>
      <w:r w:rsidR="007068D5" w:rsidRPr="00244D65">
        <w:rPr>
          <w:noProof/>
        </w:rPr>
        <w:t>can be</w:t>
      </w:r>
      <w:r w:rsidRPr="00244D65">
        <w:rPr>
          <w:noProof/>
        </w:rPr>
        <w:t xml:space="preserve"> mitigation and enabling investments, e.g.</w:t>
      </w:r>
      <w:r w:rsidR="000C653C" w:rsidRPr="00244D65">
        <w:rPr>
          <w:noProof/>
        </w:rPr>
        <w:t xml:space="preserve"> </w:t>
      </w:r>
      <w:r w:rsidR="000564D0" w:rsidRPr="00244D65">
        <w:rPr>
          <w:noProof/>
        </w:rPr>
        <w:t xml:space="preserve">via the </w:t>
      </w:r>
      <w:r w:rsidRPr="00244D65">
        <w:rPr>
          <w:noProof/>
        </w:rPr>
        <w:t>I</w:t>
      </w:r>
      <w:r w:rsidR="007068D5" w:rsidRPr="00244D65">
        <w:rPr>
          <w:noProof/>
        </w:rPr>
        <w:t xml:space="preserve">nnovation Fund </w:t>
      </w:r>
      <w:r w:rsidR="000564D0" w:rsidRPr="00244D65">
        <w:rPr>
          <w:noProof/>
        </w:rPr>
        <w:t xml:space="preserve">or of </w:t>
      </w:r>
      <w:r w:rsidR="007068D5" w:rsidRPr="00244D65">
        <w:rPr>
          <w:noProof/>
        </w:rPr>
        <w:t>Member State’s cl</w:t>
      </w:r>
      <w:r w:rsidRPr="00244D65">
        <w:rPr>
          <w:noProof/>
        </w:rPr>
        <w:t>imate spending</w:t>
      </w:r>
      <w:r w:rsidR="000564D0" w:rsidRPr="00244D65">
        <w:rPr>
          <w:noProof/>
        </w:rPr>
        <w:t xml:space="preserve">. </w:t>
      </w:r>
      <w:r w:rsidR="0E5B0D85" w:rsidRPr="00244D65">
        <w:rPr>
          <w:noProof/>
        </w:rPr>
        <w:t>It</w:t>
      </w:r>
      <w:r w:rsidR="000564D0" w:rsidRPr="00244D65">
        <w:rPr>
          <w:noProof/>
        </w:rPr>
        <w:t xml:space="preserve"> raises</w:t>
      </w:r>
      <w:r w:rsidR="007068D5" w:rsidRPr="00244D65">
        <w:rPr>
          <w:noProof/>
        </w:rPr>
        <w:t xml:space="preserve"> a </w:t>
      </w:r>
      <w:r w:rsidRPr="00244D65">
        <w:rPr>
          <w:noProof/>
        </w:rPr>
        <w:t xml:space="preserve">question </w:t>
      </w:r>
      <w:r w:rsidR="2ED543AF" w:rsidRPr="00244D65">
        <w:rPr>
          <w:noProof/>
        </w:rPr>
        <w:t>of whether</w:t>
      </w:r>
      <w:r w:rsidR="000564D0" w:rsidRPr="00244D65">
        <w:rPr>
          <w:noProof/>
        </w:rPr>
        <w:t xml:space="preserve"> the subsidization</w:t>
      </w:r>
      <w:r w:rsidR="007068D5" w:rsidRPr="00244D65">
        <w:rPr>
          <w:noProof/>
        </w:rPr>
        <w:t xml:space="preserve"> of</w:t>
      </w:r>
      <w:r w:rsidRPr="00244D65">
        <w:rPr>
          <w:noProof/>
        </w:rPr>
        <w:t xml:space="preserve"> removals </w:t>
      </w:r>
      <w:r w:rsidR="00F2233A" w:rsidRPr="00244D65">
        <w:rPr>
          <w:noProof/>
        </w:rPr>
        <w:t>leads</w:t>
      </w:r>
      <w:r w:rsidRPr="00244D65">
        <w:rPr>
          <w:noProof/>
        </w:rPr>
        <w:t xml:space="preserve"> to crowd</w:t>
      </w:r>
      <w:r w:rsidR="007068D5" w:rsidRPr="00244D65">
        <w:rPr>
          <w:noProof/>
        </w:rPr>
        <w:t>ing</w:t>
      </w:r>
      <w:r w:rsidRPr="00244D65">
        <w:rPr>
          <w:noProof/>
        </w:rPr>
        <w:t xml:space="preserve"> out cheaper emission reductions </w:t>
      </w:r>
      <w:r w:rsidR="000564D0" w:rsidRPr="00244D65">
        <w:rPr>
          <w:noProof/>
        </w:rPr>
        <w:t>in the short term</w:t>
      </w:r>
      <w:r w:rsidR="007068D5" w:rsidRPr="00244D65">
        <w:rPr>
          <w:noProof/>
        </w:rPr>
        <w:t xml:space="preserve"> and</w:t>
      </w:r>
      <w:r w:rsidRPr="00244D65">
        <w:rPr>
          <w:noProof/>
        </w:rPr>
        <w:t xml:space="preserve"> potentially increasing the overall cost of achieving EU targets</w:t>
      </w:r>
      <w:r w:rsidR="000564D0" w:rsidRPr="00244D65">
        <w:rPr>
          <w:noProof/>
        </w:rPr>
        <w:t xml:space="preserve">, while supporting the </w:t>
      </w:r>
      <w:r w:rsidR="6E35DF2E" w:rsidRPr="00244D65">
        <w:rPr>
          <w:noProof/>
        </w:rPr>
        <w:t>long-term</w:t>
      </w:r>
      <w:r w:rsidR="000564D0" w:rsidRPr="00244D65">
        <w:rPr>
          <w:noProof/>
        </w:rPr>
        <w:t xml:space="preserve"> objective of scaling up removals to make them cost-competitive.</w:t>
      </w:r>
    </w:p>
    <w:p w14:paraId="5A36D8CC" w14:textId="5394CB16" w:rsidR="000F3738" w:rsidRPr="00244D65" w:rsidRDefault="000F3738" w:rsidP="0085595C">
      <w:pPr>
        <w:pStyle w:val="ListParagraph"/>
        <w:numPr>
          <w:ilvl w:val="0"/>
          <w:numId w:val="13"/>
        </w:numPr>
        <w:rPr>
          <w:b/>
          <w:bCs/>
          <w:noProof/>
          <w:lang w:eastAsia="en-GB"/>
        </w:rPr>
      </w:pPr>
      <w:r w:rsidRPr="00244D65">
        <w:rPr>
          <w:b/>
          <w:bCs/>
          <w:noProof/>
          <w:lang w:eastAsia="en-GB"/>
        </w:rPr>
        <w:t>Abatement deterrence</w:t>
      </w:r>
    </w:p>
    <w:p w14:paraId="47E84910" w14:textId="35A09772" w:rsidR="00DE4E52" w:rsidRPr="00244D65" w:rsidRDefault="00DE4E52" w:rsidP="0085595C">
      <w:pPr>
        <w:rPr>
          <w:rFonts w:eastAsia="Aptos"/>
          <w:noProof/>
        </w:rPr>
      </w:pPr>
      <w:r w:rsidRPr="00244D65">
        <w:rPr>
          <w:rFonts w:eastAsiaTheme="minorHAnsi"/>
          <w:noProof/>
          <w:kern w:val="2"/>
        </w:rPr>
        <w:t xml:space="preserve">We must distinguish </w:t>
      </w:r>
      <w:r w:rsidRPr="00244D65">
        <w:rPr>
          <w:noProof/>
        </w:rPr>
        <w:t xml:space="preserve">the </w:t>
      </w:r>
      <w:r w:rsidRPr="00244D65">
        <w:rPr>
          <w:rFonts w:eastAsiaTheme="minorHAnsi"/>
          <w:noProof/>
          <w:kern w:val="2"/>
        </w:rPr>
        <w:t>abatement deterrence</w:t>
      </w:r>
      <w:r w:rsidRPr="00244D65">
        <w:rPr>
          <w:noProof/>
        </w:rPr>
        <w:t xml:space="preserve"> (when carbon removals substitute otherwise expected emissions reductions) linked to expectations on carbon removals, from</w:t>
      </w:r>
      <w:r w:rsidRPr="00244D65">
        <w:rPr>
          <w:rFonts w:eastAsiaTheme="minorHAnsi"/>
          <w:noProof/>
          <w:kern w:val="2"/>
        </w:rPr>
        <w:t xml:space="preserve"> </w:t>
      </w:r>
      <w:r w:rsidRPr="00244D65">
        <w:rPr>
          <w:noProof/>
        </w:rPr>
        <w:t xml:space="preserve">that happening immediately due to the introduction of carbon removals in </w:t>
      </w:r>
      <w:r w:rsidR="00F909E3" w:rsidRPr="00244D65">
        <w:rPr>
          <w:noProof/>
        </w:rPr>
        <w:t>EU ETS</w:t>
      </w:r>
      <w:r w:rsidRPr="00244D65">
        <w:rPr>
          <w:noProof/>
        </w:rPr>
        <w:t xml:space="preserve"> as a means to increase </w:t>
      </w:r>
      <w:r w:rsidRPr="00244D65">
        <w:rPr>
          <w:rFonts w:eastAsiaTheme="minorHAnsi"/>
          <w:noProof/>
          <w:kern w:val="2"/>
        </w:rPr>
        <w:t xml:space="preserve">in the cap. </w:t>
      </w:r>
      <w:r w:rsidRPr="00244D65">
        <w:rPr>
          <w:rFonts w:eastAsia="Aptos"/>
          <w:noProof/>
        </w:rPr>
        <w:t>PO1 and PO3 see an upfront increase of the cap. As a result, abatement efforts are reduced in both cases.</w:t>
      </w:r>
      <w:r w:rsidRPr="00244D65">
        <w:rPr>
          <w:rFonts w:eastAsia="Aptos"/>
          <w:strike/>
          <w:noProof/>
        </w:rPr>
        <w:t xml:space="preserve"> </w:t>
      </w:r>
    </w:p>
    <w:p w14:paraId="3547B5F7" w14:textId="6E870BD9" w:rsidR="00DE4E52" w:rsidRPr="00244D65" w:rsidRDefault="00DE4E52" w:rsidP="0085595C">
      <w:pPr>
        <w:rPr>
          <w:rFonts w:eastAsia="Aptos"/>
          <w:noProof/>
        </w:rPr>
      </w:pPr>
      <w:r w:rsidRPr="00244D65">
        <w:rPr>
          <w:rFonts w:eastAsia="Aptos"/>
          <w:noProof/>
        </w:rPr>
        <w:t>Meanwhile, abatement deterrence</w:t>
      </w:r>
      <w:r w:rsidRPr="00244D65">
        <w:rPr>
          <w:rStyle w:val="FootnoteReference"/>
          <w:noProof/>
        </w:rPr>
        <w:footnoteReference w:id="38"/>
      </w:r>
      <w:r w:rsidRPr="00244D65">
        <w:rPr>
          <w:rFonts w:eastAsia="Aptos"/>
          <w:noProof/>
        </w:rPr>
        <w:t>, can also result from the risk that the overoptimistic expectations of market participants on removals supply or prices in the future will lead them to excessively </w:t>
      </w:r>
      <w:r w:rsidRPr="00244D65">
        <w:rPr>
          <w:rFonts w:eastAsia="Aptos"/>
          <w:i/>
          <w:iCs/>
          <w:noProof/>
        </w:rPr>
        <w:t>reduce</w:t>
      </w:r>
      <w:r w:rsidRPr="00244D65">
        <w:rPr>
          <w:rFonts w:eastAsia="Aptos"/>
          <w:noProof/>
        </w:rPr>
        <w:t> or </w:t>
      </w:r>
      <w:r w:rsidRPr="00244D65">
        <w:rPr>
          <w:rFonts w:eastAsia="Aptos"/>
          <w:i/>
          <w:iCs/>
          <w:noProof/>
        </w:rPr>
        <w:t>delay</w:t>
      </w:r>
      <w:r w:rsidRPr="00244D65">
        <w:rPr>
          <w:rFonts w:eastAsia="Aptos"/>
          <w:noProof/>
        </w:rPr>
        <w:t> current abatement measures</w:t>
      </w:r>
      <w:r w:rsidRPr="00244D65">
        <w:rPr>
          <w:rStyle w:val="FootnoteReference"/>
          <w:rFonts w:eastAsia="Aptos"/>
          <w:noProof/>
        </w:rPr>
        <w:footnoteReference w:id="39"/>
      </w:r>
      <w:r w:rsidRPr="00244D65">
        <w:rPr>
          <w:rFonts w:eastAsia="Aptos"/>
          <w:noProof/>
        </w:rPr>
        <w:t xml:space="preserve">. </w:t>
      </w:r>
      <w:r w:rsidR="00D602E9" w:rsidRPr="00244D65">
        <w:rPr>
          <w:noProof/>
        </w:rPr>
        <w:t xml:space="preserve">This is particularly relevant for the ETS, where abatement in the short term is mostly only possible through a lowering of production volumes (which is undesirable). Abatement </w:t>
      </w:r>
      <w:bookmarkStart w:id="137" w:name="_Int_W563zuPV"/>
      <w:r w:rsidR="00D602E9" w:rsidRPr="00244D65">
        <w:rPr>
          <w:noProof/>
        </w:rPr>
        <w:t>in the long run</w:t>
      </w:r>
      <w:bookmarkEnd w:id="137"/>
      <w:r w:rsidR="00D602E9" w:rsidRPr="00244D65">
        <w:rPr>
          <w:noProof/>
        </w:rPr>
        <w:t xml:space="preserve"> requires investment decisions that only lead to abatement after several years. As a result, long-run abatement and the ETS-price are highly dependent on future expectations. Integrating removals exposes the abatement investment decisions of ETS sectors to</w:t>
      </w:r>
      <w:r w:rsidRPr="00244D65">
        <w:rPr>
          <w:noProof/>
        </w:rPr>
        <w:t xml:space="preserve"> the long-term uncertainty of permanent carbon removals (e.g. limited/incomplete information on future costs and availability of BioCCS, DACCS). </w:t>
      </w:r>
      <w:r w:rsidR="00D602E9" w:rsidRPr="00244D65">
        <w:rPr>
          <w:rFonts w:eastAsia="Aptos"/>
          <w:noProof/>
        </w:rPr>
        <w:t>A</w:t>
      </w:r>
      <w:r w:rsidRPr="00244D65">
        <w:rPr>
          <w:rFonts w:eastAsia="Aptos"/>
          <w:noProof/>
        </w:rPr>
        <w:t>s</w:t>
      </w:r>
      <w:r w:rsidR="00D602E9" w:rsidRPr="00244D65">
        <w:rPr>
          <w:rFonts w:eastAsia="Aptos"/>
          <w:noProof/>
        </w:rPr>
        <w:t xml:space="preserve"> the ETS</w:t>
      </w:r>
      <w:r w:rsidRPr="00244D65">
        <w:rPr>
          <w:rFonts w:eastAsia="Aptos"/>
          <w:noProof/>
        </w:rPr>
        <w:t xml:space="preserve"> is capped, the realisation of this risk (i.e., that the expected supply or lower prices of removals do not materialise as expected) would not translate in higher gross emissions but in an increase in prices</w:t>
      </w:r>
      <w:r w:rsidR="005A58A9" w:rsidRPr="00244D65">
        <w:rPr>
          <w:rFonts w:eastAsia="Aptos"/>
          <w:noProof/>
        </w:rPr>
        <w:t xml:space="preserve"> and/or a lowering of production volumes, resulting in an avoidable lowering of economic output</w:t>
      </w:r>
      <w:r w:rsidRPr="00244D65">
        <w:rPr>
          <w:rFonts w:eastAsia="Aptos"/>
          <w:noProof/>
        </w:rPr>
        <w:t xml:space="preserve">. </w:t>
      </w:r>
    </w:p>
    <w:p w14:paraId="1B1CA5B1" w14:textId="39621C5B" w:rsidR="00DE4E52" w:rsidRPr="00244D65" w:rsidRDefault="00DE4E52" w:rsidP="0085595C">
      <w:pPr>
        <w:rPr>
          <w:rFonts w:eastAsia="Aptos"/>
          <w:noProof/>
        </w:rPr>
      </w:pPr>
      <w:r w:rsidRPr="00244D65">
        <w:rPr>
          <w:rFonts w:eastAsia="Aptos"/>
          <w:noProof/>
        </w:rPr>
        <w:t xml:space="preserve">PO1 is shielded from this effect because the ETS market does not have direct access to removals. Thus, the expectation on removals supply or prices should not impact the abatement actions of ETS market participants, which are just determined by the cap. This is valid as long as the market trusts that the increase in the cap due to the integration of removals is done tightly linked to a realistic budget for the purchase of the removals. Alternatively, the market may expect that the cap will be further increased in the </w:t>
      </w:r>
      <w:bookmarkStart w:id="138" w:name="_Int_7UozS32Q"/>
      <w:r w:rsidRPr="00244D65">
        <w:rPr>
          <w:rFonts w:eastAsia="Aptos"/>
          <w:noProof/>
        </w:rPr>
        <w:t>future, if</w:t>
      </w:r>
      <w:bookmarkEnd w:id="138"/>
      <w:r w:rsidRPr="00244D65">
        <w:rPr>
          <w:rFonts w:eastAsia="Aptos"/>
          <w:noProof/>
        </w:rPr>
        <w:t xml:space="preserve"> that increase does not really depend on the availability of a budget to purchase removals. </w:t>
      </w:r>
    </w:p>
    <w:p w14:paraId="350D2C6D" w14:textId="31409C3A" w:rsidR="00DE4E52" w:rsidRPr="00244D65" w:rsidRDefault="00DE4E52" w:rsidP="0085595C">
      <w:pPr>
        <w:rPr>
          <w:rFonts w:eastAsia="Aptos"/>
          <w:noProof/>
        </w:rPr>
      </w:pPr>
      <w:r w:rsidRPr="00244D65">
        <w:rPr>
          <w:rFonts w:eastAsia="Aptos"/>
          <w:noProof/>
        </w:rPr>
        <w:t>Meanwhile, PO2 and PO3 are exposed to abatement deterrence due to the</w:t>
      </w:r>
      <w:r w:rsidR="00427F6A" w:rsidRPr="00244D65">
        <w:rPr>
          <w:rFonts w:eastAsia="Aptos"/>
          <w:noProof/>
        </w:rPr>
        <w:t xml:space="preserve"> direct</w:t>
      </w:r>
      <w:r w:rsidRPr="00244D65">
        <w:rPr>
          <w:rFonts w:eastAsia="Aptos"/>
          <w:noProof/>
        </w:rPr>
        <w:t xml:space="preserve"> substitutability between abatement and </w:t>
      </w:r>
      <w:r w:rsidR="00895732" w:rsidRPr="00244D65">
        <w:rPr>
          <w:rFonts w:eastAsia="Aptos"/>
          <w:noProof/>
        </w:rPr>
        <w:t>carbon dioxide removals (</w:t>
      </w:r>
      <w:r w:rsidRPr="00244D65">
        <w:rPr>
          <w:rFonts w:eastAsia="Aptos"/>
          <w:noProof/>
        </w:rPr>
        <w:t>CDR</w:t>
      </w:r>
      <w:r w:rsidR="00895732" w:rsidRPr="00244D65">
        <w:rPr>
          <w:rFonts w:eastAsia="Aptos"/>
          <w:noProof/>
        </w:rPr>
        <w:t>)</w:t>
      </w:r>
      <w:r w:rsidRPr="00244D65">
        <w:rPr>
          <w:rFonts w:eastAsia="Aptos"/>
          <w:noProof/>
        </w:rPr>
        <w:t>. This risk is moderated by limits, meaning that the CDR cost would not act as the price ceiling for the ETS once CDR becomes cost-competitive in the ETS.</w:t>
      </w:r>
    </w:p>
    <w:p w14:paraId="556E231E" w14:textId="00141953" w:rsidR="00DE4E52" w:rsidRPr="00244D65" w:rsidRDefault="00DE4E52" w:rsidP="0085595C">
      <w:pPr>
        <w:rPr>
          <w:rFonts w:eastAsia="Aptos"/>
          <w:noProof/>
        </w:rPr>
      </w:pPr>
      <w:r w:rsidRPr="00244D65">
        <w:rPr>
          <w:rFonts w:eastAsia="Aptos"/>
          <w:noProof/>
        </w:rPr>
        <w:t xml:space="preserve">In PO2, the volume of removals is not guaranteed by the regulator. This means </w:t>
      </w:r>
      <w:r w:rsidR="00F909E3" w:rsidRPr="00244D65">
        <w:rPr>
          <w:rFonts w:eastAsia="Aptos"/>
          <w:noProof/>
        </w:rPr>
        <w:t>EU ETS</w:t>
      </w:r>
      <w:r w:rsidRPr="00244D65">
        <w:rPr>
          <w:rFonts w:eastAsia="Aptos"/>
          <w:noProof/>
        </w:rPr>
        <w:t xml:space="preserve"> sectors could be incentivised to maintain sufficient abatement efforts in line with the net emissions target (the cap), because removal volumes would be uncertain. In economic terms, this </w:t>
      </w:r>
      <w:r w:rsidR="00D82110" w:rsidRPr="00244D65">
        <w:rPr>
          <w:rFonts w:eastAsia="Aptos"/>
          <w:noProof/>
        </w:rPr>
        <w:t xml:space="preserve">is </w:t>
      </w:r>
      <w:r w:rsidRPr="00244D65">
        <w:rPr>
          <w:rFonts w:eastAsia="Aptos"/>
          <w:noProof/>
        </w:rPr>
        <w:t xml:space="preserve">represented </w:t>
      </w:r>
      <w:r w:rsidR="00856E62" w:rsidRPr="00244D65">
        <w:rPr>
          <w:rFonts w:eastAsia="Aptos"/>
          <w:noProof/>
        </w:rPr>
        <w:t>in the model</w:t>
      </w:r>
      <w:r w:rsidRPr="00244D65">
        <w:rPr>
          <w:rFonts w:eastAsia="Aptos"/>
          <w:noProof/>
        </w:rPr>
        <w:t xml:space="preserve"> by higher discount rates for investing in removals. As shown in </w:t>
      </w:r>
      <w:r w:rsidR="00380342" w:rsidRPr="00244D65">
        <w:rPr>
          <w:rFonts w:eastAsia="Aptos"/>
          <w:noProof/>
        </w:rPr>
        <w:t>S</w:t>
      </w:r>
      <w:r w:rsidRPr="00244D65">
        <w:rPr>
          <w:rFonts w:eastAsia="Aptos"/>
          <w:noProof/>
        </w:rPr>
        <w:t xml:space="preserve">ection 6.2.1.2, </w:t>
      </w:r>
      <w:r w:rsidR="00695A77" w:rsidRPr="00244D65">
        <w:rPr>
          <w:rFonts w:eastAsia="Aptos"/>
          <w:noProof/>
        </w:rPr>
        <w:t xml:space="preserve">the </w:t>
      </w:r>
      <w:r w:rsidRPr="00244D65">
        <w:rPr>
          <w:rFonts w:eastAsia="Aptos"/>
          <w:noProof/>
        </w:rPr>
        <w:t>modelling</w:t>
      </w:r>
      <w:r w:rsidR="00DF010F" w:rsidRPr="00244D65">
        <w:rPr>
          <w:rFonts w:eastAsia="Aptos"/>
          <w:noProof/>
        </w:rPr>
        <w:t>, higher removals costs lead to</w:t>
      </w:r>
      <w:r w:rsidRPr="00244D65">
        <w:rPr>
          <w:rFonts w:eastAsia="Aptos"/>
          <w:noProof/>
        </w:rPr>
        <w:t xml:space="preserve"> higher ETS prices in PO2 and higher abatement (translating in lower gross emissions). However, if the market would expect a high availability of cheap removals, some abatement, moderated by the limit, could be deterred. </w:t>
      </w:r>
    </w:p>
    <w:p w14:paraId="7D4627B6" w14:textId="77777777" w:rsidR="00DE4E52" w:rsidRPr="00244D65" w:rsidRDefault="00DE4E52" w:rsidP="0085595C">
      <w:pPr>
        <w:rPr>
          <w:rFonts w:eastAsia="Aptos"/>
          <w:strike/>
          <w:noProof/>
        </w:rPr>
      </w:pPr>
      <w:r w:rsidRPr="00244D65">
        <w:rPr>
          <w:rFonts w:eastAsia="Aptos"/>
          <w:noProof/>
        </w:rPr>
        <w:t xml:space="preserve">PO3 should lead to a lower abatement deterrence </w:t>
      </w:r>
      <w:r w:rsidRPr="00244D65">
        <w:rPr>
          <w:noProof/>
        </w:rPr>
        <w:t>risk</w:t>
      </w:r>
      <w:r w:rsidRPr="00244D65">
        <w:rPr>
          <w:rFonts w:eastAsia="Aptos"/>
          <w:noProof/>
        </w:rPr>
        <w:t xml:space="preserve">, beyond the initial cap increase, because any removal used would lead to the cancellation of an allowance. Therefore, wrong expectations on removals volumes should not impact the expectations on gross emissions in the ETS, which would be similar as in PO1. However, the expectation that removals would become </w:t>
      </w:r>
      <w:bookmarkStart w:id="139" w:name="_Int_hvtucmdb"/>
      <w:r w:rsidRPr="00244D65">
        <w:rPr>
          <w:rFonts w:eastAsia="Aptos"/>
          <w:noProof/>
        </w:rPr>
        <w:t>very cheap</w:t>
      </w:r>
      <w:bookmarkEnd w:id="139"/>
      <w:r w:rsidRPr="00244D65">
        <w:rPr>
          <w:rFonts w:eastAsia="Aptos"/>
          <w:noProof/>
        </w:rPr>
        <w:t xml:space="preserve"> could potentially impact market dynamics if participants delay abatement in the overoptimistic expectation of purchasing (or creating) removals in the future, leading to a price spike later on. In addition, the absence of support measures to generate the additional removals space could lead to </w:t>
      </w:r>
      <w:r w:rsidRPr="00244D65">
        <w:rPr>
          <w:noProof/>
        </w:rPr>
        <w:t>reduced</w:t>
      </w:r>
      <w:r w:rsidRPr="00244D65">
        <w:rPr>
          <w:rFonts w:eastAsia="Aptos"/>
          <w:noProof/>
        </w:rPr>
        <w:t xml:space="preserve"> political credibility by market participants of the willingness of the regulator to increase the cap only under the condition that the removals are purchased, reducing credibility on the long-term stringency of the cap.</w:t>
      </w:r>
    </w:p>
    <w:p w14:paraId="4AD6A97B" w14:textId="698DD8A4" w:rsidR="00C11421" w:rsidRPr="00244D65" w:rsidRDefault="00C11421" w:rsidP="0085595C">
      <w:pPr>
        <w:pStyle w:val="ListParagraph"/>
        <w:numPr>
          <w:ilvl w:val="0"/>
          <w:numId w:val="13"/>
        </w:numPr>
        <w:rPr>
          <w:b/>
          <w:noProof/>
          <w:lang w:eastAsia="en-GB"/>
        </w:rPr>
      </w:pPr>
      <w:r w:rsidRPr="00244D65">
        <w:rPr>
          <w:b/>
          <w:noProof/>
          <w:lang w:eastAsia="en-GB"/>
        </w:rPr>
        <w:t>CDR support</w:t>
      </w:r>
    </w:p>
    <w:p w14:paraId="3B23ACF5" w14:textId="533B494B" w:rsidR="00417E2A" w:rsidRPr="00244D65" w:rsidRDefault="00597F60" w:rsidP="0085595C">
      <w:pPr>
        <w:rPr>
          <w:noProof/>
          <w:lang w:eastAsia="en-GB"/>
        </w:rPr>
      </w:pPr>
      <w:r w:rsidRPr="00244D65">
        <w:rPr>
          <w:noProof/>
          <w:lang w:eastAsia="en-GB"/>
        </w:rPr>
        <w:t xml:space="preserve">All options </w:t>
      </w:r>
      <w:r w:rsidRPr="00244D65">
        <w:rPr>
          <w:b/>
          <w:bCs/>
          <w:noProof/>
          <w:lang w:eastAsia="en-GB"/>
        </w:rPr>
        <w:t>support CDR development</w:t>
      </w:r>
      <w:r w:rsidRPr="00244D65">
        <w:rPr>
          <w:noProof/>
          <w:lang w:eastAsia="en-GB"/>
        </w:rPr>
        <w:t xml:space="preserve"> to a greater extent than the baseline</w:t>
      </w:r>
      <w:r w:rsidR="00BC5737" w:rsidRPr="00244D65">
        <w:rPr>
          <w:noProof/>
          <w:lang w:eastAsia="en-GB"/>
        </w:rPr>
        <w:t>, which is a positive impact for the climate</w:t>
      </w:r>
      <w:r w:rsidR="00170D06" w:rsidRPr="00244D65">
        <w:rPr>
          <w:noProof/>
          <w:lang w:eastAsia="en-GB"/>
        </w:rPr>
        <w:t xml:space="preserve"> objective of net-zero in 2050</w:t>
      </w:r>
      <w:r w:rsidR="005F6362" w:rsidRPr="00244D65">
        <w:rPr>
          <w:rStyle w:val="FootnoteReference"/>
          <w:noProof/>
          <w:lang w:eastAsia="en-GB"/>
        </w:rPr>
        <w:footnoteReference w:id="40"/>
      </w:r>
      <w:r>
        <w:rPr>
          <w:noProof/>
          <w:lang w:eastAsia="en-GB"/>
        </w:rPr>
        <w:t>.</w:t>
      </w:r>
      <w:r w:rsidR="0082523A" w:rsidRPr="00244D65">
        <w:rPr>
          <w:noProof/>
          <w:lang w:eastAsia="en-GB"/>
        </w:rPr>
        <w:t xml:space="preserve"> The modelling generates </w:t>
      </w:r>
      <w:r>
        <w:rPr>
          <w:noProof/>
          <w:lang w:eastAsia="en-GB"/>
        </w:rPr>
        <w:t>110</w:t>
      </w:r>
      <w:r w:rsidR="18799A63" w:rsidRPr="00244D65">
        <w:rPr>
          <w:noProof/>
          <w:lang w:eastAsia="en-GB"/>
        </w:rPr>
        <w:t xml:space="preserve"> </w:t>
      </w:r>
      <w:r w:rsidR="0082523A" w:rsidRPr="00244D65">
        <w:rPr>
          <w:noProof/>
          <w:lang w:eastAsia="en-GB"/>
        </w:rPr>
        <w:t xml:space="preserve">Mt of removals, but these are generated within the EU economy </w:t>
      </w:r>
      <w:r w:rsidR="00417E2A" w:rsidRPr="00244D65">
        <w:rPr>
          <w:noProof/>
          <w:lang w:eastAsia="en-GB"/>
        </w:rPr>
        <w:t xml:space="preserve">due to the </w:t>
      </w:r>
      <w:r w:rsidR="009A5EAF" w:rsidRPr="00244D65">
        <w:rPr>
          <w:noProof/>
          <w:lang w:eastAsia="en-GB"/>
        </w:rPr>
        <w:t>model</w:t>
      </w:r>
      <w:r w:rsidR="0038230C" w:rsidRPr="00244D65">
        <w:rPr>
          <w:noProof/>
          <w:lang w:eastAsia="en-GB"/>
        </w:rPr>
        <w:t xml:space="preserve"> and</w:t>
      </w:r>
      <w:r w:rsidR="00417E2A" w:rsidRPr="00244D65">
        <w:rPr>
          <w:noProof/>
          <w:lang w:eastAsia="en-GB"/>
        </w:rPr>
        <w:t xml:space="preserve"> not necessarily incentivised by </w:t>
      </w:r>
      <w:r w:rsidR="00417E2A" w:rsidRPr="00244D65">
        <w:rPr>
          <w:noProof/>
        </w:rPr>
        <w:t>the</w:t>
      </w:r>
      <w:r w:rsidR="00417E2A" w:rsidRPr="00244D65">
        <w:rPr>
          <w:noProof/>
          <w:lang w:eastAsia="en-GB"/>
        </w:rPr>
        <w:t xml:space="preserve"> ETS.</w:t>
      </w:r>
      <w:r w:rsidR="00785709" w:rsidRPr="00244D65">
        <w:rPr>
          <w:noProof/>
          <w:lang w:eastAsia="en-GB"/>
        </w:rPr>
        <w:t xml:space="preserve"> </w:t>
      </w:r>
    </w:p>
    <w:p w14:paraId="4923BF7E" w14:textId="3DFB34F0" w:rsidR="00137E4D" w:rsidRPr="00244D65" w:rsidRDefault="00417E2A" w:rsidP="0085595C">
      <w:pPr>
        <w:rPr>
          <w:noProof/>
          <w:lang w:eastAsia="en-GB"/>
        </w:rPr>
      </w:pPr>
      <w:r w:rsidRPr="00244D65">
        <w:rPr>
          <w:noProof/>
          <w:lang w:eastAsia="en-GB"/>
        </w:rPr>
        <w:t xml:space="preserve">Among the options, </w:t>
      </w:r>
      <w:r w:rsidR="002F0E42" w:rsidRPr="00244D65">
        <w:rPr>
          <w:noProof/>
          <w:lang w:eastAsia="en-GB"/>
        </w:rPr>
        <w:t>PO1</w:t>
      </w:r>
      <w:r w:rsidR="00722935" w:rsidRPr="00244D65">
        <w:rPr>
          <w:noProof/>
          <w:lang w:eastAsia="en-GB"/>
        </w:rPr>
        <w:t xml:space="preserve"> is much more likely to be effective in supporting CDR development and deployment than </w:t>
      </w:r>
      <w:r w:rsidR="002E155D" w:rsidRPr="00244D65">
        <w:rPr>
          <w:noProof/>
          <w:lang w:eastAsia="en-GB"/>
        </w:rPr>
        <w:t>PO2 and PO3</w:t>
      </w:r>
      <w:r w:rsidR="00C94CD2" w:rsidRPr="00244D65">
        <w:rPr>
          <w:noProof/>
          <w:lang w:eastAsia="en-GB"/>
        </w:rPr>
        <w:t>. The</w:t>
      </w:r>
      <w:r w:rsidR="00B11735" w:rsidRPr="00244D65">
        <w:rPr>
          <w:noProof/>
          <w:lang w:eastAsia="en-GB"/>
        </w:rPr>
        <w:t xml:space="preserve"> effective support in PO1</w:t>
      </w:r>
      <w:r w:rsidR="00722935" w:rsidRPr="00244D65">
        <w:rPr>
          <w:noProof/>
          <w:lang w:eastAsia="en-GB"/>
        </w:rPr>
        <w:t xml:space="preserve"> was the most frequently cited reason by stakeholders </w:t>
      </w:r>
      <w:r w:rsidR="00722935" w:rsidRPr="00244D65">
        <w:rPr>
          <w:noProof/>
        </w:rPr>
        <w:t>supporting</w:t>
      </w:r>
      <w:r w:rsidR="00722935" w:rsidRPr="00244D65">
        <w:rPr>
          <w:noProof/>
          <w:lang w:eastAsia="en-GB"/>
        </w:rPr>
        <w:t xml:space="preserve"> this option. </w:t>
      </w:r>
      <w:r w:rsidR="004A4AEC" w:rsidRPr="00244D65">
        <w:rPr>
          <w:noProof/>
          <w:lang w:eastAsia="en-GB"/>
        </w:rPr>
        <w:t xml:space="preserve">The modelling also shows the earlier </w:t>
      </w:r>
      <w:r w:rsidR="004A4AEC" w:rsidRPr="00244D65">
        <w:rPr>
          <w:noProof/>
        </w:rPr>
        <w:t>deployment</w:t>
      </w:r>
      <w:r w:rsidR="004A4AEC" w:rsidRPr="00244D65">
        <w:rPr>
          <w:noProof/>
          <w:lang w:eastAsia="en-GB"/>
        </w:rPr>
        <w:t xml:space="preserve"> of removals during the period 2031–2040 in PO1</w:t>
      </w:r>
      <w:r w:rsidR="003766A9" w:rsidRPr="00244D65">
        <w:rPr>
          <w:noProof/>
          <w:lang w:eastAsia="en-GB"/>
        </w:rPr>
        <w:t xml:space="preserve"> </w:t>
      </w:r>
      <w:r w:rsidR="0023783F" w:rsidRPr="00244D65">
        <w:rPr>
          <w:noProof/>
          <w:lang w:eastAsia="en-GB"/>
        </w:rPr>
        <w:t>and (over</w:t>
      </w:r>
      <w:r w:rsidR="001525B8" w:rsidRPr="00244D65">
        <w:rPr>
          <w:noProof/>
          <w:lang w:eastAsia="en-GB"/>
        </w:rPr>
        <w:t>-</w:t>
      </w:r>
      <w:r w:rsidR="0023783F" w:rsidRPr="00244D65">
        <w:rPr>
          <w:noProof/>
          <w:lang w:eastAsia="en-GB"/>
        </w:rPr>
        <w:t>)</w:t>
      </w:r>
      <w:r w:rsidR="003117AC" w:rsidRPr="00244D65">
        <w:rPr>
          <w:noProof/>
          <w:lang w:eastAsia="en-GB"/>
        </w:rPr>
        <w:t xml:space="preserve"> </w:t>
      </w:r>
      <w:r w:rsidR="0023783F" w:rsidRPr="00244D65">
        <w:rPr>
          <w:noProof/>
          <w:lang w:eastAsia="en-GB"/>
        </w:rPr>
        <w:t>achievement of the removals objective</w:t>
      </w:r>
      <w:r w:rsidR="004A4AEC" w:rsidRPr="00244D65">
        <w:rPr>
          <w:noProof/>
          <w:lang w:eastAsia="en-GB"/>
        </w:rPr>
        <w:t xml:space="preserve">. </w:t>
      </w:r>
      <w:r w:rsidR="00722935" w:rsidRPr="00244D65">
        <w:rPr>
          <w:noProof/>
          <w:lang w:eastAsia="en-GB"/>
        </w:rPr>
        <w:t xml:space="preserve">The regulator can make strategic long-term investments in procuring initially expensive but promising engineered CDR to stimulate innovation and cost reductions, which could enhance overall economic efficiency in achieving deeper decarbonization goals in the future even if initially more expensive. </w:t>
      </w:r>
    </w:p>
    <w:p w14:paraId="576E192E" w14:textId="74A05020" w:rsidR="00F53B55" w:rsidRPr="00244D65" w:rsidRDefault="0020096C" w:rsidP="0085595C">
      <w:pPr>
        <w:rPr>
          <w:noProof/>
          <w:lang w:eastAsia="en-GB"/>
        </w:rPr>
      </w:pPr>
      <w:r w:rsidRPr="00244D65">
        <w:rPr>
          <w:rFonts w:eastAsia="Times New Roman"/>
          <w:noProof/>
          <w:szCs w:val="20"/>
          <w:lang w:eastAsia="en-GB"/>
        </w:rPr>
        <w:t>In PO2</w:t>
      </w:r>
      <w:r w:rsidR="006B0F4F" w:rsidRPr="00244D65">
        <w:rPr>
          <w:rFonts w:eastAsia="Times New Roman"/>
          <w:noProof/>
          <w:szCs w:val="20"/>
          <w:lang w:eastAsia="en-GB"/>
        </w:rPr>
        <w:t xml:space="preserve"> and PO3</w:t>
      </w:r>
      <w:r w:rsidRPr="00244D65">
        <w:rPr>
          <w:rFonts w:eastAsia="Times New Roman"/>
          <w:noProof/>
          <w:szCs w:val="20"/>
          <w:lang w:eastAsia="en-GB"/>
        </w:rPr>
        <w:t>, the operator integration of CDR in the EU ETS would expose CDR suppliers to the ETS price risk as well as to a lack of predictability in the timing of demand</w:t>
      </w:r>
      <w:r w:rsidR="006B0F4F" w:rsidRPr="00244D65">
        <w:rPr>
          <w:rFonts w:eastAsia="Times New Roman"/>
          <w:noProof/>
          <w:szCs w:val="20"/>
          <w:lang w:eastAsia="en-GB"/>
        </w:rPr>
        <w:t>. These options lead to lack of early incentives from EU ETS demand towards development and deployment of CDR technologies, as can be seen in the</w:t>
      </w:r>
      <w:r w:rsidR="00975726" w:rsidRPr="00244D65">
        <w:rPr>
          <w:rFonts w:eastAsia="Times New Roman"/>
          <w:noProof/>
          <w:szCs w:val="20"/>
          <w:lang w:eastAsia="en-GB"/>
        </w:rPr>
        <w:t xml:space="preserve"> modelling of the</w:t>
      </w:r>
      <w:r w:rsidR="00B2002C" w:rsidRPr="00244D65">
        <w:rPr>
          <w:rFonts w:eastAsia="Times New Roman"/>
          <w:noProof/>
          <w:szCs w:val="20"/>
          <w:lang w:eastAsia="en-GB"/>
        </w:rPr>
        <w:t xml:space="preserve"> </w:t>
      </w:r>
      <w:r w:rsidR="00137E4D" w:rsidRPr="00244D65">
        <w:rPr>
          <w:rFonts w:eastAsia="Times New Roman"/>
          <w:noProof/>
          <w:szCs w:val="20"/>
          <w:lang w:eastAsia="en-GB"/>
        </w:rPr>
        <w:t>volumes</w:t>
      </w:r>
      <w:r w:rsidR="00B2002C" w:rsidRPr="00244D65">
        <w:rPr>
          <w:rFonts w:eastAsia="Times New Roman"/>
          <w:noProof/>
          <w:szCs w:val="20"/>
          <w:lang w:eastAsia="en-GB"/>
        </w:rPr>
        <w:t xml:space="preserve"> of removals</w:t>
      </w:r>
      <w:r w:rsidR="006B0F4F" w:rsidRPr="00244D65">
        <w:rPr>
          <w:rFonts w:eastAsia="Times New Roman"/>
          <w:noProof/>
          <w:szCs w:val="20"/>
          <w:lang w:eastAsia="en-GB"/>
        </w:rPr>
        <w:t xml:space="preserve"> </w:t>
      </w:r>
      <w:r w:rsidR="00975726" w:rsidRPr="00244D65">
        <w:rPr>
          <w:rFonts w:eastAsia="Times New Roman"/>
          <w:noProof/>
          <w:szCs w:val="20"/>
          <w:lang w:eastAsia="en-GB"/>
        </w:rPr>
        <w:t>generated</w:t>
      </w:r>
      <w:r w:rsidR="00B2002C" w:rsidRPr="00244D65">
        <w:rPr>
          <w:rFonts w:eastAsia="Times New Roman"/>
          <w:noProof/>
          <w:szCs w:val="20"/>
          <w:lang w:eastAsia="en-GB"/>
        </w:rPr>
        <w:t xml:space="preserve"> in </w:t>
      </w:r>
      <w:r w:rsidR="00975726" w:rsidRPr="00244D65">
        <w:rPr>
          <w:rFonts w:eastAsia="Times New Roman"/>
          <w:noProof/>
          <w:szCs w:val="20"/>
          <w:lang w:eastAsia="en-GB"/>
        </w:rPr>
        <w:t>PO2</w:t>
      </w:r>
      <w:r w:rsidR="00B2002C" w:rsidRPr="00244D65">
        <w:rPr>
          <w:rFonts w:eastAsia="Times New Roman"/>
          <w:noProof/>
          <w:szCs w:val="20"/>
          <w:lang w:eastAsia="en-GB"/>
        </w:rPr>
        <w:t>, as referred to above.</w:t>
      </w:r>
      <w:r w:rsidR="00E446F6" w:rsidRPr="00244D65">
        <w:rPr>
          <w:rFonts w:eastAsia="Times New Roman"/>
          <w:noProof/>
          <w:szCs w:val="20"/>
          <w:lang w:eastAsia="en-GB"/>
        </w:rPr>
        <w:t xml:space="preserve"> PO2 and PO3 </w:t>
      </w:r>
      <w:r w:rsidR="00EE3CBA" w:rsidRPr="00244D65">
        <w:rPr>
          <w:rFonts w:eastAsia="Times New Roman"/>
          <w:noProof/>
          <w:szCs w:val="20"/>
          <w:lang w:eastAsia="en-GB"/>
        </w:rPr>
        <w:t>likely</w:t>
      </w:r>
      <w:r w:rsidR="00E446F6" w:rsidRPr="00244D65">
        <w:rPr>
          <w:rFonts w:eastAsia="Times New Roman"/>
          <w:noProof/>
          <w:szCs w:val="20"/>
          <w:lang w:eastAsia="en-GB"/>
        </w:rPr>
        <w:t xml:space="preserve"> result in higher removal costs and a greater risk of under-delivery </w:t>
      </w:r>
      <w:r w:rsidR="00E446F6" w:rsidRPr="00244D65">
        <w:rPr>
          <w:rFonts w:eastAsia="Times New Roman"/>
          <w:noProof/>
          <w:szCs w:val="20"/>
        </w:rPr>
        <w:t>of</w:t>
      </w:r>
      <w:r w:rsidR="00E446F6" w:rsidRPr="00244D65">
        <w:rPr>
          <w:rFonts w:eastAsia="Times New Roman"/>
          <w:noProof/>
          <w:szCs w:val="20"/>
          <w:lang w:eastAsia="en-GB"/>
        </w:rPr>
        <w:t xml:space="preserve"> removals during the 2031–2040 period, compared to </w:t>
      </w:r>
      <w:r w:rsidR="00F44873" w:rsidRPr="00244D65">
        <w:rPr>
          <w:rFonts w:eastAsia="Times New Roman"/>
          <w:noProof/>
          <w:szCs w:val="20"/>
          <w:lang w:eastAsia="en-GB"/>
        </w:rPr>
        <w:t>PO1</w:t>
      </w:r>
      <w:r w:rsidR="00E446F6" w:rsidRPr="00244D65">
        <w:rPr>
          <w:rFonts w:eastAsia="Times New Roman"/>
          <w:noProof/>
          <w:szCs w:val="20"/>
          <w:lang w:eastAsia="en-GB"/>
        </w:rPr>
        <w:t xml:space="preserve"> that includes guaranteed removals volumes</w:t>
      </w:r>
      <w:r w:rsidR="00F53B55" w:rsidRPr="00244D65">
        <w:rPr>
          <w:rFonts w:eastAsia="Times New Roman"/>
          <w:noProof/>
          <w:szCs w:val="20"/>
          <w:lang w:eastAsia="en-GB"/>
        </w:rPr>
        <w:t>.</w:t>
      </w:r>
      <w:r w:rsidR="00605A63" w:rsidRPr="00244D65">
        <w:rPr>
          <w:rFonts w:eastAsia="Times New Roman"/>
          <w:noProof/>
          <w:szCs w:val="20"/>
          <w:lang w:eastAsia="en-GB"/>
        </w:rPr>
        <w:t xml:space="preserve"> </w:t>
      </w:r>
      <w:r w:rsidR="005B0397" w:rsidRPr="00244D65">
        <w:rPr>
          <w:rFonts w:eastAsia="Times New Roman"/>
          <w:noProof/>
          <w:szCs w:val="20"/>
          <w:lang w:eastAsia="en-GB"/>
        </w:rPr>
        <w:t xml:space="preserve">Support for </w:t>
      </w:r>
      <w:r w:rsidR="000C653C" w:rsidRPr="00244D65">
        <w:rPr>
          <w:rFonts w:eastAsia="Times New Roman"/>
          <w:noProof/>
          <w:szCs w:val="20"/>
          <w:lang w:eastAsia="en-GB"/>
        </w:rPr>
        <w:t>removals e.g.</w:t>
      </w:r>
      <w:r w:rsidR="005B0397" w:rsidRPr="00244D65">
        <w:rPr>
          <w:rFonts w:eastAsia="Times New Roman"/>
          <w:noProof/>
          <w:szCs w:val="20"/>
          <w:lang w:eastAsia="en-GB"/>
        </w:rPr>
        <w:t xml:space="preserve"> through contracts for difference could complement PO2 and PO3 to </w:t>
      </w:r>
      <w:r w:rsidR="0043453E" w:rsidRPr="00244D65">
        <w:rPr>
          <w:rFonts w:eastAsia="Times New Roman"/>
          <w:noProof/>
          <w:szCs w:val="20"/>
          <w:lang w:eastAsia="en-GB"/>
        </w:rPr>
        <w:t>counter this effect.</w:t>
      </w:r>
    </w:p>
    <w:p w14:paraId="2CDFF73F" w14:textId="2AED0E2C" w:rsidR="00E316BF" w:rsidRPr="00244D65" w:rsidRDefault="00100520" w:rsidP="0085595C">
      <w:pPr>
        <w:pStyle w:val="Heading4"/>
        <w:rPr>
          <w:noProof/>
        </w:rPr>
      </w:pPr>
      <w:r w:rsidRPr="00244D65">
        <w:rPr>
          <w:noProof/>
        </w:rPr>
        <w:t xml:space="preserve"> </w:t>
      </w:r>
      <w:r w:rsidR="00E316BF" w:rsidRPr="00244D65">
        <w:rPr>
          <w:noProof/>
        </w:rPr>
        <w:t>MSR</w:t>
      </w:r>
    </w:p>
    <w:p w14:paraId="618F14A3" w14:textId="1775A079" w:rsidR="428E141B" w:rsidRPr="00244D65" w:rsidRDefault="428E141B" w:rsidP="0085595C">
      <w:pPr>
        <w:rPr>
          <w:rFonts w:eastAsia="Times New Roman"/>
          <w:noProof/>
        </w:rPr>
      </w:pPr>
      <w:r w:rsidRPr="00244D65">
        <w:rPr>
          <w:rFonts w:eastAsia="Times New Roman"/>
          <w:noProof/>
        </w:rPr>
        <w:t xml:space="preserve">Changes to the MSR alter the allowance supply over the assessment window via releases, providing more liquidity to the market and putting downward pressure on the carbon price. Depending on how this affects the timing of surrendering of allowances, this may in turn affect cumulative emissions. However, </w:t>
      </w:r>
      <w:r w:rsidR="009E057C" w:rsidRPr="00244D65">
        <w:rPr>
          <w:rFonts w:eastAsia="Times New Roman"/>
          <w:noProof/>
        </w:rPr>
        <w:t>since</w:t>
      </w:r>
      <w:r w:rsidRPr="00244D65">
        <w:rPr>
          <w:rFonts w:eastAsia="Times New Roman"/>
          <w:noProof/>
        </w:rPr>
        <w:t xml:space="preserve"> any MSR release remains within the cap</w:t>
      </w:r>
      <w:r w:rsidR="00116532" w:rsidRPr="00244D65">
        <w:rPr>
          <w:rFonts w:eastAsia="Times New Roman"/>
          <w:noProof/>
        </w:rPr>
        <w:t>,</w:t>
      </w:r>
      <w:r w:rsidRPr="00244D65">
        <w:rPr>
          <w:rFonts w:eastAsia="Times New Roman"/>
          <w:noProof/>
        </w:rPr>
        <w:t xml:space="preserve"> the system</w:t>
      </w:r>
      <w:r w:rsidR="00BA4532" w:rsidRPr="00244D65">
        <w:rPr>
          <w:rFonts w:eastAsia="Times New Roman"/>
          <w:noProof/>
        </w:rPr>
        <w:t xml:space="preserve">’s overall ambition is </w:t>
      </w:r>
      <w:r w:rsidRPr="00244D65">
        <w:rPr>
          <w:rFonts w:eastAsia="Times New Roman"/>
          <w:noProof/>
        </w:rPr>
        <w:t xml:space="preserve">unchanged. The MSR </w:t>
      </w:r>
      <w:r w:rsidR="00355185" w:rsidRPr="00244D65">
        <w:rPr>
          <w:rFonts w:eastAsia="Times New Roman"/>
          <w:noProof/>
        </w:rPr>
        <w:t xml:space="preserve">measures </w:t>
      </w:r>
      <w:r w:rsidRPr="00244D65">
        <w:rPr>
          <w:rFonts w:eastAsia="Times New Roman"/>
          <w:noProof/>
        </w:rPr>
        <w:t xml:space="preserve">are compared </w:t>
      </w:r>
      <w:r w:rsidR="00CA6FFD" w:rsidRPr="00244D65">
        <w:rPr>
          <w:rFonts w:eastAsia="Times New Roman"/>
          <w:noProof/>
        </w:rPr>
        <w:t>with a</w:t>
      </w:r>
      <w:r w:rsidRPr="00244D65">
        <w:rPr>
          <w:rFonts w:eastAsia="Times New Roman"/>
          <w:noProof/>
        </w:rPr>
        <w:t xml:space="preserve"> baseline</w:t>
      </w:r>
      <w:r w:rsidR="00CA6FFD" w:rsidRPr="00244D65">
        <w:rPr>
          <w:rFonts w:eastAsia="Times New Roman"/>
          <w:noProof/>
        </w:rPr>
        <w:t xml:space="preserve"> that </w:t>
      </w:r>
      <w:r w:rsidRPr="00244D65">
        <w:rPr>
          <w:rFonts w:eastAsia="Times New Roman"/>
          <w:noProof/>
        </w:rPr>
        <w:t>assumes no further change</w:t>
      </w:r>
      <w:r w:rsidR="00CA6FFD" w:rsidRPr="00244D65">
        <w:rPr>
          <w:rFonts w:eastAsia="Times New Roman"/>
          <w:noProof/>
        </w:rPr>
        <w:t>s</w:t>
      </w:r>
      <w:r w:rsidRPr="00244D65">
        <w:rPr>
          <w:rFonts w:eastAsia="Times New Roman"/>
          <w:noProof/>
        </w:rPr>
        <w:t xml:space="preserve"> to </w:t>
      </w:r>
      <w:r w:rsidR="00CA6FFD" w:rsidRPr="00244D65">
        <w:rPr>
          <w:rFonts w:eastAsia="Times New Roman"/>
          <w:noProof/>
        </w:rPr>
        <w:t>either</w:t>
      </w:r>
      <w:r w:rsidRPr="00244D65">
        <w:rPr>
          <w:rFonts w:eastAsia="Times New Roman"/>
          <w:noProof/>
        </w:rPr>
        <w:t xml:space="preserve"> </w:t>
      </w:r>
      <w:r w:rsidR="00F909E3" w:rsidRPr="00244D65">
        <w:rPr>
          <w:rFonts w:eastAsia="Times New Roman"/>
          <w:noProof/>
        </w:rPr>
        <w:t>EU ETS</w:t>
      </w:r>
      <w:r w:rsidRPr="00244D65">
        <w:rPr>
          <w:rFonts w:eastAsia="Times New Roman"/>
          <w:noProof/>
        </w:rPr>
        <w:t xml:space="preserve"> </w:t>
      </w:r>
      <w:r w:rsidR="00CA6FFD" w:rsidRPr="00244D65">
        <w:rPr>
          <w:rFonts w:eastAsia="Times New Roman"/>
          <w:noProof/>
        </w:rPr>
        <w:t xml:space="preserve">or the </w:t>
      </w:r>
      <w:r w:rsidRPr="00244D65">
        <w:rPr>
          <w:rFonts w:eastAsia="Times New Roman"/>
          <w:noProof/>
        </w:rPr>
        <w:t>MSR.</w:t>
      </w:r>
      <w:r w:rsidR="70E42C7C" w:rsidRPr="00244D65">
        <w:rPr>
          <w:rFonts w:eastAsia="Times New Roman"/>
          <w:noProof/>
        </w:rPr>
        <w:t xml:space="preserve"> </w:t>
      </w:r>
    </w:p>
    <w:p w14:paraId="6DDE3313" w14:textId="7AAD3E2D" w:rsidR="008E5A78" w:rsidRPr="00244D65" w:rsidRDefault="00DC670A" w:rsidP="0085595C">
      <w:pPr>
        <w:rPr>
          <w:rFonts w:eastAsia="Times New Roman"/>
          <w:noProof/>
        </w:rPr>
      </w:pPr>
      <w:r w:rsidRPr="00244D65">
        <w:rPr>
          <w:rFonts w:eastAsia="Times New Roman"/>
          <w:noProof/>
        </w:rPr>
        <w:t>P</w:t>
      </w:r>
      <w:r w:rsidR="6FDD8156" w:rsidRPr="00244D65">
        <w:rPr>
          <w:rFonts w:eastAsia="Times New Roman"/>
          <w:noProof/>
        </w:rPr>
        <w:t xml:space="preserve">olicy option PO1 is based on the MSR1 measure </w:t>
      </w:r>
      <w:r w:rsidR="00290D2C" w:rsidRPr="00244D65">
        <w:rPr>
          <w:rFonts w:eastAsia="Times New Roman"/>
          <w:noProof/>
        </w:rPr>
        <w:t xml:space="preserve">as </w:t>
      </w:r>
      <w:r w:rsidR="003C1E6D" w:rsidRPr="00244D65">
        <w:rPr>
          <w:rFonts w:eastAsia="Times New Roman"/>
          <w:noProof/>
        </w:rPr>
        <w:t>described in Annex 8</w:t>
      </w:r>
      <w:r w:rsidR="6FDD8156" w:rsidRPr="00244D65">
        <w:rPr>
          <w:rFonts w:eastAsia="Times New Roman"/>
          <w:noProof/>
        </w:rPr>
        <w:t xml:space="preserve">. Under this measure, </w:t>
      </w:r>
      <w:r w:rsidR="00D85FF8" w:rsidRPr="00244D65">
        <w:rPr>
          <w:rFonts w:eastAsia="Times New Roman"/>
          <w:noProof/>
        </w:rPr>
        <w:t>parameters of the MSR design</w:t>
      </w:r>
      <w:r w:rsidR="6FDD8156" w:rsidRPr="00244D65">
        <w:rPr>
          <w:rFonts w:eastAsia="Times New Roman"/>
          <w:noProof/>
        </w:rPr>
        <w:t xml:space="preserve"> are then kept constant over the time until 2040. </w:t>
      </w:r>
    </w:p>
    <w:p w14:paraId="177D6C22" w14:textId="3E0DF47F" w:rsidR="002C5D83" w:rsidRPr="00244D65" w:rsidRDefault="00F671A6" w:rsidP="0085595C">
      <w:pPr>
        <w:rPr>
          <w:rFonts w:eastAsia="Times New Roman"/>
          <w:noProof/>
        </w:rPr>
      </w:pPr>
      <w:r w:rsidRPr="00244D65">
        <w:rPr>
          <w:rFonts w:eastAsia="Times New Roman"/>
          <w:noProof/>
        </w:rPr>
        <w:t xml:space="preserve">Policy options </w:t>
      </w:r>
      <w:r w:rsidR="7840379D" w:rsidRPr="00244D65">
        <w:rPr>
          <w:rFonts w:eastAsia="Times New Roman"/>
          <w:noProof/>
        </w:rPr>
        <w:t>PO2 and PO3</w:t>
      </w:r>
      <w:r w:rsidRPr="00244D65">
        <w:rPr>
          <w:rFonts w:eastAsia="Times New Roman"/>
          <w:noProof/>
        </w:rPr>
        <w:t xml:space="preserve"> on the other </w:t>
      </w:r>
      <w:r w:rsidR="00754DA4" w:rsidRPr="00244D65">
        <w:rPr>
          <w:rFonts w:eastAsia="Times New Roman"/>
          <w:noProof/>
        </w:rPr>
        <w:t>hand,</w:t>
      </w:r>
      <w:r w:rsidR="7840379D" w:rsidRPr="00244D65">
        <w:rPr>
          <w:rFonts w:eastAsia="Times New Roman"/>
          <w:noProof/>
        </w:rPr>
        <w:t xml:space="preserve"> are based on the MSR3 measure</w:t>
      </w:r>
      <w:r w:rsidR="00754DA4" w:rsidRPr="00244D65">
        <w:rPr>
          <w:rFonts w:eastAsia="Times New Roman"/>
          <w:noProof/>
        </w:rPr>
        <w:t xml:space="preserve">, which assumes </w:t>
      </w:r>
      <w:r w:rsidR="7840379D" w:rsidRPr="00244D65">
        <w:rPr>
          <w:rFonts w:eastAsia="Times New Roman"/>
          <w:noProof/>
        </w:rPr>
        <w:t xml:space="preserve">parameters </w:t>
      </w:r>
      <w:r w:rsidR="00F22775" w:rsidRPr="00244D65">
        <w:rPr>
          <w:rFonts w:eastAsia="Times New Roman"/>
          <w:noProof/>
        </w:rPr>
        <w:t>decline</w:t>
      </w:r>
      <w:r w:rsidR="7840379D" w:rsidRPr="00244D65">
        <w:rPr>
          <w:rFonts w:eastAsia="Times New Roman"/>
          <w:noProof/>
        </w:rPr>
        <w:t xml:space="preserve"> at a fixed proportional rate </w:t>
      </w:r>
      <w:r w:rsidR="00D644D4" w:rsidRPr="00244D65">
        <w:rPr>
          <w:rFonts w:eastAsia="Times New Roman"/>
          <w:noProof/>
        </w:rPr>
        <w:t>from 2028 onwards</w:t>
      </w:r>
      <w:r w:rsidR="2651E11C" w:rsidRPr="00244D65">
        <w:rPr>
          <w:rFonts w:eastAsia="Times New Roman"/>
          <w:noProof/>
        </w:rPr>
        <w:t xml:space="preserve">. This ensures that all parameters </w:t>
      </w:r>
      <w:r w:rsidR="6278128D" w:rsidRPr="00244D65">
        <w:rPr>
          <w:rFonts w:eastAsia="Times New Roman"/>
          <w:noProof/>
        </w:rPr>
        <w:t xml:space="preserve">under PO2 and PO3 </w:t>
      </w:r>
      <w:r w:rsidR="2651E11C" w:rsidRPr="00244D65">
        <w:rPr>
          <w:rFonts w:eastAsia="Times New Roman"/>
          <w:noProof/>
        </w:rPr>
        <w:t xml:space="preserve">are adapted on an annual basis to take account of </w:t>
      </w:r>
      <w:r w:rsidR="00F147ED" w:rsidRPr="00244D65">
        <w:rPr>
          <w:rFonts w:eastAsia="Times New Roman"/>
          <w:noProof/>
        </w:rPr>
        <w:t xml:space="preserve">the </w:t>
      </w:r>
      <w:r w:rsidR="2651E11C" w:rsidRPr="00244D65">
        <w:rPr>
          <w:rFonts w:eastAsia="Times New Roman"/>
          <w:noProof/>
        </w:rPr>
        <w:t xml:space="preserve">overall decreasing market of allowances. </w:t>
      </w:r>
    </w:p>
    <w:p w14:paraId="66768448" w14:textId="4607A6A4" w:rsidR="00EC170C" w:rsidRPr="00244D65" w:rsidRDefault="00BC2F4F" w:rsidP="0085595C">
      <w:pPr>
        <w:rPr>
          <w:rFonts w:eastAsia="Times New Roman"/>
          <w:noProof/>
        </w:rPr>
      </w:pPr>
      <w:r w:rsidRPr="00244D65">
        <w:rPr>
          <w:rFonts w:eastAsia="Times New Roman"/>
          <w:noProof/>
        </w:rPr>
        <w:t>Results for c</w:t>
      </w:r>
      <w:r w:rsidR="002C5D83" w:rsidRPr="00244D65">
        <w:rPr>
          <w:rFonts w:eastAsia="Times New Roman"/>
          <w:noProof/>
        </w:rPr>
        <w:t>umulative emissions</w:t>
      </w:r>
      <w:r w:rsidRPr="00244D65">
        <w:rPr>
          <w:rFonts w:eastAsia="Times New Roman"/>
          <w:noProof/>
        </w:rPr>
        <w:t xml:space="preserve"> between 2026-2040</w:t>
      </w:r>
      <w:r w:rsidR="00E62704" w:rsidRPr="00244D65">
        <w:rPr>
          <w:rFonts w:eastAsia="Times New Roman"/>
          <w:noProof/>
        </w:rPr>
        <w:t xml:space="preserve"> </w:t>
      </w:r>
      <w:r w:rsidR="00890C89" w:rsidRPr="00244D65">
        <w:rPr>
          <w:rFonts w:eastAsia="Times New Roman"/>
          <w:noProof/>
        </w:rPr>
        <w:t>exclude</w:t>
      </w:r>
      <w:r w:rsidR="00E62704" w:rsidRPr="00244D65">
        <w:rPr>
          <w:rFonts w:eastAsia="Times New Roman"/>
          <w:noProof/>
        </w:rPr>
        <w:t xml:space="preserve"> waste, landfills and extra-EU aviation to ensure comparability across all the policy options.  </w:t>
      </w:r>
      <w:r w:rsidR="00A0754B" w:rsidRPr="00244D65">
        <w:rPr>
          <w:rFonts w:eastAsia="Times New Roman"/>
          <w:noProof/>
        </w:rPr>
        <w:t xml:space="preserve">Overall, all policy options achieve similar emissions reductions </w:t>
      </w:r>
      <w:r w:rsidRPr="00244D65">
        <w:rPr>
          <w:rFonts w:eastAsia="Times New Roman"/>
          <w:noProof/>
        </w:rPr>
        <w:t>over the period</w:t>
      </w:r>
      <w:r w:rsidR="00A0754B" w:rsidRPr="00244D65">
        <w:rPr>
          <w:rFonts w:eastAsia="Times New Roman"/>
          <w:noProof/>
        </w:rPr>
        <w:t>. However, PO2 and PO3 appear to deliver slightly lower cumulative emissions than PO1. On this basis, PO2 and PO3 are considered the preferred option</w:t>
      </w:r>
      <w:r w:rsidR="009929E2" w:rsidRPr="00244D65">
        <w:rPr>
          <w:rFonts w:eastAsia="Times New Roman"/>
          <w:noProof/>
        </w:rPr>
        <w:t xml:space="preserve"> as </w:t>
      </w:r>
      <w:r w:rsidR="00CC2DDD" w:rsidRPr="00244D65">
        <w:rPr>
          <w:rFonts w:eastAsia="Times New Roman"/>
          <w:noProof/>
        </w:rPr>
        <w:t>they achieve comparable emissions reductions than PO1 whilst maintaining better economic performance</w:t>
      </w:r>
      <w:r w:rsidR="009B06E3" w:rsidRPr="00244D65">
        <w:rPr>
          <w:rFonts w:eastAsia="Times New Roman"/>
          <w:noProof/>
        </w:rPr>
        <w:t xml:space="preserve">, </w:t>
      </w:r>
      <w:r w:rsidR="008B2948" w:rsidRPr="00244D65">
        <w:rPr>
          <w:rFonts w:eastAsia="Times New Roman"/>
          <w:noProof/>
        </w:rPr>
        <w:t xml:space="preserve">further </w:t>
      </w:r>
      <w:r w:rsidR="009B06E3" w:rsidRPr="00244D65">
        <w:rPr>
          <w:rFonts w:eastAsia="Times New Roman"/>
          <w:noProof/>
        </w:rPr>
        <w:t xml:space="preserve">explained in </w:t>
      </w:r>
      <w:r w:rsidR="00380342" w:rsidRPr="00244D65">
        <w:rPr>
          <w:rFonts w:eastAsia="Times New Roman"/>
          <w:noProof/>
        </w:rPr>
        <w:t>S</w:t>
      </w:r>
      <w:r w:rsidR="009B06E3" w:rsidRPr="00244D65">
        <w:rPr>
          <w:rFonts w:eastAsia="Times New Roman"/>
          <w:noProof/>
        </w:rPr>
        <w:t xml:space="preserve">ection </w:t>
      </w:r>
      <w:r w:rsidR="008B2948" w:rsidRPr="00244D65">
        <w:rPr>
          <w:rFonts w:eastAsia="Times New Roman"/>
          <w:noProof/>
        </w:rPr>
        <w:fldChar w:fldCharType="begin"/>
      </w:r>
      <w:r w:rsidR="008B2948" w:rsidRPr="00244D65">
        <w:rPr>
          <w:rFonts w:eastAsia="Times New Roman"/>
          <w:noProof/>
        </w:rPr>
        <w:instrText xml:space="preserve"> REF _Ref232076463 \r \h </w:instrText>
      </w:r>
      <w:r w:rsidR="001E02FD" w:rsidRPr="00244D65">
        <w:rPr>
          <w:rFonts w:eastAsia="Times New Roman"/>
          <w:noProof/>
        </w:rPr>
        <w:instrText xml:space="preserve"> \* MERGEFORMAT </w:instrText>
      </w:r>
      <w:r w:rsidR="008B2948" w:rsidRPr="00244D65">
        <w:rPr>
          <w:rFonts w:eastAsia="Times New Roman"/>
          <w:noProof/>
        </w:rPr>
      </w:r>
      <w:r w:rsidR="008B2948" w:rsidRPr="00244D65">
        <w:rPr>
          <w:rFonts w:eastAsia="Times New Roman"/>
          <w:noProof/>
        </w:rPr>
        <w:fldChar w:fldCharType="separate"/>
      </w:r>
      <w:r w:rsidR="008B2948" w:rsidRPr="00244D65">
        <w:rPr>
          <w:rFonts w:eastAsia="Times New Roman"/>
          <w:noProof/>
        </w:rPr>
        <w:t>6.2.1.2</w:t>
      </w:r>
      <w:r w:rsidR="008B2948" w:rsidRPr="00244D65">
        <w:rPr>
          <w:rFonts w:eastAsia="Times New Roman"/>
          <w:noProof/>
        </w:rPr>
        <w:fldChar w:fldCharType="end"/>
      </w:r>
      <w:r w:rsidR="008B2948" w:rsidRPr="00244D65">
        <w:rPr>
          <w:rFonts w:eastAsia="Times New Roman"/>
          <w:noProof/>
        </w:rPr>
        <w:t>.</w:t>
      </w:r>
    </w:p>
    <w:p w14:paraId="6D7D7639" w14:textId="1455AA5F" w:rsidR="00F22775" w:rsidRPr="00244D65" w:rsidRDefault="005D7519" w:rsidP="005E4778">
      <w:pPr>
        <w:pStyle w:val="Tabletitle"/>
        <w:rPr>
          <w:rFonts w:eastAsia="Times New Roman"/>
          <w:noProof/>
        </w:rPr>
      </w:pPr>
      <w:bookmarkStart w:id="140" w:name="_Toc234496384"/>
      <w:bookmarkStart w:id="141" w:name="_Toc232754564"/>
      <w:r w:rsidRPr="00244D65">
        <w:rPr>
          <w:noProof/>
        </w:rPr>
        <w:t xml:space="preserve">PO </w:t>
      </w:r>
      <w:r w:rsidR="002C5D83" w:rsidRPr="00244D65">
        <w:rPr>
          <w:noProof/>
        </w:rPr>
        <w:t>environmental impact summary</w:t>
      </w:r>
      <w:bookmarkEnd w:id="140"/>
      <w:bookmarkEnd w:id="141"/>
    </w:p>
    <w:tbl>
      <w:tblPr>
        <w:tblStyle w:val="RicardoTable3"/>
        <w:tblW w:w="8784" w:type="dxa"/>
        <w:tblLook w:val="04A0" w:firstRow="1" w:lastRow="0" w:firstColumn="1" w:lastColumn="0" w:noHBand="0" w:noVBand="1"/>
      </w:tblPr>
      <w:tblGrid>
        <w:gridCol w:w="3344"/>
        <w:gridCol w:w="1360"/>
        <w:gridCol w:w="1360"/>
        <w:gridCol w:w="1360"/>
        <w:gridCol w:w="1360"/>
      </w:tblGrid>
      <w:tr w:rsidR="009265D4" w:rsidRPr="00244D65" w14:paraId="12FEBC3F" w14:textId="77777777" w:rsidTr="00781BE8">
        <w:trPr>
          <w:cnfStyle w:val="100000000000" w:firstRow="1" w:lastRow="0" w:firstColumn="0" w:lastColumn="0" w:oddVBand="0" w:evenVBand="0" w:oddHBand="0" w:evenHBand="0" w:firstRowFirstColumn="0" w:firstRowLastColumn="0" w:lastRowFirstColumn="0" w:lastRowLastColumn="0"/>
          <w:trHeight w:val="20"/>
        </w:trPr>
        <w:tc>
          <w:tcPr>
            <w:tcW w:w="3344" w:type="dxa"/>
            <w:tcBorders>
              <w:top w:val="single" w:sz="4" w:space="0" w:color="auto"/>
              <w:left w:val="single" w:sz="4" w:space="0" w:color="auto"/>
              <w:bottom w:val="single" w:sz="4" w:space="0" w:color="auto"/>
              <w:right w:val="single" w:sz="4" w:space="0" w:color="auto"/>
            </w:tcBorders>
          </w:tcPr>
          <w:p w14:paraId="4D7D19E7" w14:textId="77777777" w:rsidR="009265D4" w:rsidRPr="00244D65" w:rsidRDefault="009265D4" w:rsidP="0085595C">
            <w:pPr>
              <w:tabs>
                <w:tab w:val="left" w:pos="2302"/>
              </w:tabs>
              <w:spacing w:line="240" w:lineRule="auto"/>
              <w:rPr>
                <w:rFonts w:eastAsia="Times New Roman"/>
                <w:noProof/>
                <w:color w:val="auto"/>
                <w:sz w:val="22"/>
                <w:szCs w:val="22"/>
              </w:rPr>
            </w:pPr>
          </w:p>
        </w:tc>
        <w:tc>
          <w:tcPr>
            <w:tcW w:w="1360" w:type="dxa"/>
            <w:tcBorders>
              <w:top w:val="single" w:sz="4" w:space="0" w:color="auto"/>
              <w:left w:val="single" w:sz="4" w:space="0" w:color="auto"/>
              <w:bottom w:val="single" w:sz="4" w:space="0" w:color="auto"/>
              <w:right w:val="single" w:sz="4" w:space="0" w:color="auto"/>
            </w:tcBorders>
          </w:tcPr>
          <w:p w14:paraId="53577FCB" w14:textId="77777777" w:rsidR="009265D4" w:rsidRPr="00244D65" w:rsidRDefault="009265D4" w:rsidP="0085595C">
            <w:pPr>
              <w:tabs>
                <w:tab w:val="left" w:pos="2302"/>
              </w:tabs>
              <w:spacing w:line="240" w:lineRule="auto"/>
              <w:jc w:val="center"/>
              <w:rPr>
                <w:rFonts w:eastAsia="Times New Roman"/>
                <w:bCs/>
                <w:noProof/>
                <w:color w:val="000000" w:themeColor="text1"/>
                <w:sz w:val="22"/>
                <w:szCs w:val="22"/>
              </w:rPr>
            </w:pPr>
            <w:r w:rsidRPr="00244D65">
              <w:rPr>
                <w:rFonts w:eastAsia="Times New Roman"/>
                <w:noProof/>
                <w:color w:val="000000" w:themeColor="text1"/>
                <w:sz w:val="22"/>
                <w:szCs w:val="22"/>
              </w:rPr>
              <w:t>Baseline</w:t>
            </w:r>
          </w:p>
        </w:tc>
        <w:tc>
          <w:tcPr>
            <w:tcW w:w="1360" w:type="dxa"/>
            <w:tcBorders>
              <w:top w:val="single" w:sz="4" w:space="0" w:color="auto"/>
              <w:left w:val="single" w:sz="4" w:space="0" w:color="auto"/>
              <w:bottom w:val="single" w:sz="4" w:space="0" w:color="auto"/>
              <w:right w:val="single" w:sz="4" w:space="0" w:color="auto"/>
            </w:tcBorders>
          </w:tcPr>
          <w:p w14:paraId="5ECE7685" w14:textId="77777777" w:rsidR="009265D4" w:rsidRPr="00244D65" w:rsidRDefault="009265D4" w:rsidP="0085595C">
            <w:pPr>
              <w:tabs>
                <w:tab w:val="left" w:pos="2302"/>
              </w:tabs>
              <w:spacing w:line="240" w:lineRule="auto"/>
              <w:jc w:val="center"/>
              <w:rPr>
                <w:rFonts w:eastAsia="Times New Roman"/>
                <w:bCs/>
                <w:noProof/>
                <w:color w:val="000000" w:themeColor="text1"/>
                <w:sz w:val="22"/>
                <w:szCs w:val="22"/>
              </w:rPr>
            </w:pPr>
            <w:r w:rsidRPr="00244D65">
              <w:rPr>
                <w:rFonts w:eastAsia="Times New Roman"/>
                <w:noProof/>
                <w:color w:val="000000" w:themeColor="text1"/>
                <w:sz w:val="22"/>
                <w:szCs w:val="22"/>
              </w:rPr>
              <w:t>PO1</w:t>
            </w:r>
          </w:p>
        </w:tc>
        <w:tc>
          <w:tcPr>
            <w:tcW w:w="1360" w:type="dxa"/>
            <w:tcBorders>
              <w:top w:val="single" w:sz="4" w:space="0" w:color="auto"/>
              <w:left w:val="single" w:sz="4" w:space="0" w:color="auto"/>
              <w:bottom w:val="single" w:sz="4" w:space="0" w:color="auto"/>
              <w:right w:val="single" w:sz="4" w:space="0" w:color="auto"/>
            </w:tcBorders>
          </w:tcPr>
          <w:p w14:paraId="31A5BC1C" w14:textId="77777777" w:rsidR="009265D4" w:rsidRPr="00244D65" w:rsidRDefault="009265D4" w:rsidP="0085595C">
            <w:pPr>
              <w:tabs>
                <w:tab w:val="left" w:pos="2302"/>
              </w:tabs>
              <w:spacing w:line="240" w:lineRule="auto"/>
              <w:jc w:val="center"/>
              <w:rPr>
                <w:rFonts w:eastAsia="Times New Roman"/>
                <w:bCs/>
                <w:noProof/>
                <w:color w:val="000000" w:themeColor="text1"/>
                <w:sz w:val="22"/>
                <w:szCs w:val="22"/>
              </w:rPr>
            </w:pPr>
            <w:r w:rsidRPr="00244D65">
              <w:rPr>
                <w:rFonts w:eastAsia="Times New Roman"/>
                <w:noProof/>
                <w:color w:val="000000" w:themeColor="text1"/>
                <w:sz w:val="22"/>
                <w:szCs w:val="22"/>
              </w:rPr>
              <w:t>PO2</w:t>
            </w:r>
          </w:p>
        </w:tc>
        <w:tc>
          <w:tcPr>
            <w:tcW w:w="1360" w:type="dxa"/>
            <w:tcBorders>
              <w:top w:val="single" w:sz="4" w:space="0" w:color="auto"/>
              <w:left w:val="single" w:sz="4" w:space="0" w:color="auto"/>
              <w:bottom w:val="single" w:sz="4" w:space="0" w:color="auto"/>
              <w:right w:val="single" w:sz="4" w:space="0" w:color="auto"/>
            </w:tcBorders>
          </w:tcPr>
          <w:p w14:paraId="3E2E5850" w14:textId="77777777" w:rsidR="009265D4" w:rsidRPr="00244D65" w:rsidRDefault="009265D4" w:rsidP="0085595C">
            <w:pPr>
              <w:tabs>
                <w:tab w:val="left" w:pos="2302"/>
              </w:tabs>
              <w:spacing w:line="240" w:lineRule="auto"/>
              <w:jc w:val="center"/>
              <w:rPr>
                <w:rFonts w:eastAsia="Times New Roman"/>
                <w:bCs/>
                <w:noProof/>
                <w:color w:val="000000" w:themeColor="text1"/>
                <w:sz w:val="22"/>
                <w:szCs w:val="22"/>
              </w:rPr>
            </w:pPr>
            <w:r w:rsidRPr="00244D65">
              <w:rPr>
                <w:rFonts w:eastAsia="Times New Roman"/>
                <w:noProof/>
                <w:color w:val="000000" w:themeColor="text1"/>
                <w:sz w:val="22"/>
                <w:szCs w:val="22"/>
              </w:rPr>
              <w:t>PO3</w:t>
            </w:r>
          </w:p>
        </w:tc>
      </w:tr>
      <w:tr w:rsidR="00A30C21" w:rsidRPr="00244D65" w14:paraId="2960AF13" w14:textId="77777777" w:rsidTr="00A30C21">
        <w:trPr>
          <w:trHeight w:val="20"/>
        </w:trPr>
        <w:tc>
          <w:tcPr>
            <w:tcW w:w="3344" w:type="dxa"/>
            <w:tcBorders>
              <w:top w:val="single" w:sz="4" w:space="0" w:color="auto"/>
              <w:left w:val="single" w:sz="4" w:space="0" w:color="auto"/>
              <w:bottom w:val="single" w:sz="4" w:space="0" w:color="auto"/>
              <w:right w:val="single" w:sz="4" w:space="0" w:color="auto"/>
            </w:tcBorders>
          </w:tcPr>
          <w:p w14:paraId="2EA7483E" w14:textId="77777777" w:rsidR="009265D4" w:rsidRPr="00244D65" w:rsidRDefault="009265D4" w:rsidP="0085595C">
            <w:pPr>
              <w:tabs>
                <w:tab w:val="left" w:pos="2302"/>
              </w:tabs>
              <w:spacing w:line="240" w:lineRule="auto"/>
              <w:jc w:val="left"/>
              <w:rPr>
                <w:rFonts w:eastAsia="Times New Roman"/>
                <w:noProof/>
                <w:sz w:val="22"/>
                <w:szCs w:val="22"/>
              </w:rPr>
            </w:pPr>
            <w:r w:rsidRPr="00244D65">
              <w:rPr>
                <w:rFonts w:eastAsia="Times New Roman"/>
                <w:noProof/>
                <w:sz w:val="22"/>
                <w:szCs w:val="22"/>
              </w:rPr>
              <w:t>Cumulative emissions over 2026-2040 (MtCO</w:t>
            </w:r>
            <w:r w:rsidRPr="00244D65">
              <w:rPr>
                <w:rFonts w:eastAsia="Times New Roman"/>
                <w:noProof/>
                <w:sz w:val="22"/>
                <w:szCs w:val="22"/>
                <w:vertAlign w:val="subscript"/>
              </w:rPr>
              <w:t>2</w:t>
            </w:r>
            <w:r w:rsidRPr="00244D65">
              <w:rPr>
                <w:rFonts w:eastAsia="Times New Roman"/>
                <w:noProof/>
                <w:sz w:val="22"/>
                <w:szCs w:val="22"/>
              </w:rPr>
              <w:t>) – excl. waste, landfills and extra-EU aviation for comparability</w:t>
            </w:r>
          </w:p>
        </w:tc>
        <w:tc>
          <w:tcPr>
            <w:tcW w:w="1360" w:type="dxa"/>
            <w:tcBorders>
              <w:top w:val="single" w:sz="4" w:space="0" w:color="auto"/>
              <w:left w:val="single" w:sz="4" w:space="0" w:color="auto"/>
              <w:bottom w:val="single" w:sz="4" w:space="0" w:color="auto"/>
              <w:right w:val="single" w:sz="4" w:space="0" w:color="auto"/>
            </w:tcBorders>
            <w:vAlign w:val="center"/>
          </w:tcPr>
          <w:p w14:paraId="628B3881" w14:textId="77777777" w:rsidR="009265D4" w:rsidRPr="00244D65" w:rsidRDefault="009265D4" w:rsidP="0085595C">
            <w:pPr>
              <w:tabs>
                <w:tab w:val="left" w:pos="2302"/>
              </w:tabs>
              <w:spacing w:line="240" w:lineRule="auto"/>
              <w:jc w:val="center"/>
              <w:rPr>
                <w:rFonts w:eastAsia="Times New Roman"/>
                <w:noProof/>
                <w:sz w:val="22"/>
                <w:szCs w:val="22"/>
              </w:rPr>
            </w:pPr>
            <w:r w:rsidRPr="00244D65">
              <w:rPr>
                <w:rFonts w:eastAsia="Times New Roman"/>
                <w:noProof/>
                <w:sz w:val="22"/>
                <w:szCs w:val="22"/>
              </w:rPr>
              <w:t>9,687</w:t>
            </w:r>
          </w:p>
        </w:tc>
        <w:tc>
          <w:tcPr>
            <w:tcW w:w="1360" w:type="dxa"/>
            <w:tcBorders>
              <w:top w:val="single" w:sz="4" w:space="0" w:color="auto"/>
              <w:left w:val="single" w:sz="4" w:space="0" w:color="auto"/>
              <w:bottom w:val="single" w:sz="4" w:space="0" w:color="auto"/>
              <w:right w:val="single" w:sz="4" w:space="0" w:color="auto"/>
            </w:tcBorders>
            <w:vAlign w:val="center"/>
          </w:tcPr>
          <w:p w14:paraId="12039FBB" w14:textId="711A8454" w:rsidR="009265D4" w:rsidRPr="00244D65" w:rsidRDefault="009265D4" w:rsidP="0085595C">
            <w:pPr>
              <w:tabs>
                <w:tab w:val="left" w:pos="2302"/>
              </w:tabs>
              <w:spacing w:line="240" w:lineRule="auto"/>
              <w:jc w:val="center"/>
              <w:rPr>
                <w:rFonts w:eastAsia="Times New Roman"/>
                <w:noProof/>
                <w:sz w:val="22"/>
                <w:szCs w:val="22"/>
              </w:rPr>
            </w:pPr>
            <w:r w:rsidRPr="00244D65">
              <w:rPr>
                <w:rFonts w:eastAsia="Times New Roman"/>
                <w:noProof/>
                <w:sz w:val="22"/>
                <w:szCs w:val="22"/>
              </w:rPr>
              <w:t>10,</w:t>
            </w:r>
            <w:r w:rsidR="00CE19C5" w:rsidRPr="00244D65">
              <w:rPr>
                <w:rFonts w:eastAsia="Times New Roman"/>
                <w:noProof/>
                <w:sz w:val="22"/>
                <w:szCs w:val="22"/>
              </w:rPr>
              <w:t>690</w:t>
            </w:r>
          </w:p>
        </w:tc>
        <w:tc>
          <w:tcPr>
            <w:tcW w:w="1360" w:type="dxa"/>
            <w:tcBorders>
              <w:top w:val="single" w:sz="4" w:space="0" w:color="auto"/>
              <w:left w:val="single" w:sz="4" w:space="0" w:color="auto"/>
              <w:bottom w:val="single" w:sz="4" w:space="0" w:color="auto"/>
              <w:right w:val="single" w:sz="4" w:space="0" w:color="auto"/>
            </w:tcBorders>
            <w:vAlign w:val="center"/>
          </w:tcPr>
          <w:p w14:paraId="30138DDE" w14:textId="0DA4DFD0" w:rsidR="009265D4" w:rsidRPr="00244D65" w:rsidRDefault="009265D4" w:rsidP="0085595C">
            <w:pPr>
              <w:tabs>
                <w:tab w:val="left" w:pos="2302"/>
              </w:tabs>
              <w:spacing w:line="240" w:lineRule="auto"/>
              <w:jc w:val="center"/>
              <w:rPr>
                <w:rFonts w:eastAsia="Times New Roman"/>
                <w:noProof/>
                <w:sz w:val="22"/>
                <w:szCs w:val="22"/>
              </w:rPr>
            </w:pPr>
            <w:r w:rsidRPr="00244D65">
              <w:rPr>
                <w:rFonts w:eastAsia="Times New Roman"/>
                <w:noProof/>
                <w:sz w:val="22"/>
                <w:szCs w:val="22"/>
              </w:rPr>
              <w:t>10,</w:t>
            </w:r>
            <w:r w:rsidR="00130BCB" w:rsidRPr="00244D65">
              <w:rPr>
                <w:rFonts w:eastAsia="Times New Roman"/>
                <w:noProof/>
                <w:sz w:val="22"/>
                <w:szCs w:val="22"/>
              </w:rPr>
              <w:t>5</w:t>
            </w:r>
            <w:r w:rsidR="00426D84" w:rsidRPr="00244D65">
              <w:rPr>
                <w:rFonts w:eastAsia="Times New Roman"/>
                <w:noProof/>
                <w:sz w:val="22"/>
                <w:szCs w:val="22"/>
              </w:rPr>
              <w:t>98</w:t>
            </w:r>
          </w:p>
        </w:tc>
        <w:tc>
          <w:tcPr>
            <w:tcW w:w="1360" w:type="dxa"/>
            <w:tcBorders>
              <w:top w:val="single" w:sz="4" w:space="0" w:color="auto"/>
              <w:left w:val="single" w:sz="4" w:space="0" w:color="auto"/>
              <w:bottom w:val="single" w:sz="4" w:space="0" w:color="auto"/>
              <w:right w:val="single" w:sz="4" w:space="0" w:color="auto"/>
            </w:tcBorders>
            <w:vAlign w:val="center"/>
          </w:tcPr>
          <w:p w14:paraId="79365BAE" w14:textId="7B16A511" w:rsidR="009265D4" w:rsidRPr="00244D65" w:rsidRDefault="009265D4" w:rsidP="0085595C">
            <w:pPr>
              <w:tabs>
                <w:tab w:val="left" w:pos="2302"/>
              </w:tabs>
              <w:spacing w:line="240" w:lineRule="auto"/>
              <w:jc w:val="center"/>
              <w:rPr>
                <w:rFonts w:eastAsia="Times New Roman"/>
                <w:noProof/>
                <w:sz w:val="22"/>
                <w:szCs w:val="22"/>
              </w:rPr>
            </w:pPr>
            <w:r w:rsidRPr="00244D65">
              <w:rPr>
                <w:rFonts w:eastAsia="Times New Roman"/>
                <w:noProof/>
                <w:sz w:val="22"/>
                <w:szCs w:val="22"/>
              </w:rPr>
              <w:t>10,</w:t>
            </w:r>
            <w:r w:rsidR="00426D84" w:rsidRPr="00244D65">
              <w:rPr>
                <w:rFonts w:eastAsia="Times New Roman"/>
                <w:noProof/>
                <w:sz w:val="22"/>
                <w:szCs w:val="22"/>
              </w:rPr>
              <w:t>598</w:t>
            </w:r>
          </w:p>
        </w:tc>
      </w:tr>
    </w:tbl>
    <w:p w14:paraId="137FC23B" w14:textId="59C1E785" w:rsidR="00255D0B" w:rsidRPr="00244D65" w:rsidRDefault="00100520" w:rsidP="0085595C">
      <w:pPr>
        <w:pStyle w:val="Heading4"/>
        <w:rPr>
          <w:noProof/>
        </w:rPr>
      </w:pPr>
      <w:r w:rsidRPr="00244D65">
        <w:rPr>
          <w:noProof/>
        </w:rPr>
        <w:t xml:space="preserve"> </w:t>
      </w:r>
      <w:r w:rsidR="64F04105" w:rsidRPr="00244D65">
        <w:rPr>
          <w:noProof/>
        </w:rPr>
        <w:t>Instruments to support investments</w:t>
      </w:r>
    </w:p>
    <w:p w14:paraId="65C67FC0" w14:textId="24779D5C" w:rsidR="00D13A56" w:rsidRPr="00244D65" w:rsidRDefault="001E00A6" w:rsidP="0085595C">
      <w:pPr>
        <w:rPr>
          <w:noProof/>
        </w:rPr>
      </w:pPr>
      <w:bookmarkStart w:id="142" w:name="_Toc213080553"/>
      <w:bookmarkEnd w:id="142"/>
      <w:r w:rsidRPr="00244D65">
        <w:rPr>
          <w:noProof/>
        </w:rPr>
        <w:t>For the IDB, t</w:t>
      </w:r>
      <w:r w:rsidR="00D5676A" w:rsidRPr="00244D65">
        <w:rPr>
          <w:noProof/>
        </w:rPr>
        <w:t xml:space="preserve">he assessment in terms of </w:t>
      </w:r>
      <w:r w:rsidR="00BF4A68" w:rsidRPr="00244D65">
        <w:rPr>
          <w:noProof/>
        </w:rPr>
        <w:t xml:space="preserve">environmental and other impacts </w:t>
      </w:r>
      <w:r w:rsidR="00D5676A" w:rsidRPr="00244D65">
        <w:rPr>
          <w:noProof/>
        </w:rPr>
        <w:t xml:space="preserve">to be achieved is </w:t>
      </w:r>
      <w:r w:rsidR="000E545C" w:rsidRPr="00244D65">
        <w:rPr>
          <w:noProof/>
        </w:rPr>
        <w:t>based on</w:t>
      </w:r>
      <w:r w:rsidR="008429FA" w:rsidRPr="00244D65">
        <w:rPr>
          <w:noProof/>
        </w:rPr>
        <w:t xml:space="preserve"> assessment of</w:t>
      </w:r>
      <w:r w:rsidR="000C653C" w:rsidRPr="00244D65">
        <w:rPr>
          <w:noProof/>
        </w:rPr>
        <w:t xml:space="preserve"> </w:t>
      </w:r>
      <w:r w:rsidR="00D5676A" w:rsidRPr="00244D65">
        <w:rPr>
          <w:noProof/>
        </w:rPr>
        <w:t>the Baseline</w:t>
      </w:r>
      <w:r w:rsidR="000C653C" w:rsidRPr="00244D65">
        <w:rPr>
          <w:noProof/>
        </w:rPr>
        <w:t xml:space="preserve"> </w:t>
      </w:r>
      <w:r w:rsidR="00D5676A" w:rsidRPr="00244D65">
        <w:rPr>
          <w:noProof/>
        </w:rPr>
        <w:t xml:space="preserve">size of the IDB (EUR 100 </w:t>
      </w:r>
      <w:r>
        <w:rPr>
          <w:noProof/>
        </w:rPr>
        <w:t>billion</w:t>
      </w:r>
      <w:r w:rsidR="00D5676A" w:rsidRPr="00244D65">
        <w:rPr>
          <w:noProof/>
        </w:rPr>
        <w:t xml:space="preserve">) </w:t>
      </w:r>
      <w:r w:rsidR="34D2BF27" w:rsidRPr="00244D65">
        <w:rPr>
          <w:noProof/>
        </w:rPr>
        <w:t xml:space="preserve">which </w:t>
      </w:r>
      <w:r w:rsidR="00D5676A" w:rsidRPr="00244D65">
        <w:rPr>
          <w:noProof/>
        </w:rPr>
        <w:t>is defined</w:t>
      </w:r>
      <w:r w:rsidR="0033542B" w:rsidRPr="00244D65">
        <w:rPr>
          <w:noProof/>
        </w:rPr>
        <w:t xml:space="preserve"> </w:t>
      </w:r>
      <w:r w:rsidR="007B25B5" w:rsidRPr="00244D65">
        <w:rPr>
          <w:noProof/>
        </w:rPr>
        <w:t>in the Clean Industrial Deal</w:t>
      </w:r>
      <w:r w:rsidR="00532478" w:rsidRPr="00244D65">
        <w:rPr>
          <w:noProof/>
        </w:rPr>
        <w:t xml:space="preserve">. </w:t>
      </w:r>
      <w:r w:rsidR="6B87243C" w:rsidRPr="00244D65">
        <w:rPr>
          <w:noProof/>
        </w:rPr>
        <w:t>The differences among</w:t>
      </w:r>
      <w:r w:rsidR="6F59D101" w:rsidRPr="00244D65">
        <w:rPr>
          <w:noProof/>
        </w:rPr>
        <w:t xml:space="preserve"> IDB</w:t>
      </w:r>
      <w:r w:rsidR="6B87243C" w:rsidRPr="00244D65">
        <w:rPr>
          <w:noProof/>
        </w:rPr>
        <w:t xml:space="preserve"> options in terms of allocation method, support formats and geographical </w:t>
      </w:r>
      <w:r w:rsidR="00DC4502" w:rsidRPr="00244D65">
        <w:rPr>
          <w:noProof/>
        </w:rPr>
        <w:t xml:space="preserve">balance would </w:t>
      </w:r>
      <w:r w:rsidR="6B87243C" w:rsidRPr="00244D65">
        <w:rPr>
          <w:noProof/>
        </w:rPr>
        <w:t xml:space="preserve">only </w:t>
      </w:r>
      <w:r w:rsidR="00DC4502" w:rsidRPr="00244D65">
        <w:rPr>
          <w:noProof/>
        </w:rPr>
        <w:t xml:space="preserve">have </w:t>
      </w:r>
      <w:r w:rsidR="6B87243C" w:rsidRPr="00244D65">
        <w:rPr>
          <w:noProof/>
        </w:rPr>
        <w:t>marginal</w:t>
      </w:r>
      <w:r w:rsidR="009A25A6" w:rsidRPr="00244D65">
        <w:rPr>
          <w:noProof/>
        </w:rPr>
        <w:t xml:space="preserve"> bearing on the impacts</w:t>
      </w:r>
      <w:r w:rsidR="00364D23" w:rsidRPr="00244D65">
        <w:rPr>
          <w:noProof/>
        </w:rPr>
        <w:t xml:space="preserve"> and such assessment would a</w:t>
      </w:r>
      <w:r w:rsidR="00CE2FB1" w:rsidRPr="00244D65">
        <w:rPr>
          <w:noProof/>
        </w:rPr>
        <w:t>lso require more granularity in terms of funding mechanism features</w:t>
      </w:r>
      <w:r w:rsidR="009043E6" w:rsidRPr="00244D65">
        <w:rPr>
          <w:noProof/>
        </w:rPr>
        <w:t xml:space="preserve"> (</w:t>
      </w:r>
      <w:r w:rsidR="00CE2FB1" w:rsidRPr="00244D65">
        <w:rPr>
          <w:rStyle w:val="FootnoteReference"/>
          <w:noProof/>
        </w:rPr>
        <w:footnoteReference w:id="41"/>
      </w:r>
      <w:r w:rsidR="009043E6" w:rsidRPr="00244D65">
        <w:rPr>
          <w:noProof/>
        </w:rPr>
        <w:t>)</w:t>
      </w:r>
      <w:r w:rsidR="6B87243C" w:rsidRPr="00244D65">
        <w:rPr>
          <w:noProof/>
        </w:rPr>
        <w:t xml:space="preserve">. </w:t>
      </w:r>
      <w:r w:rsidR="0023099F" w:rsidRPr="00244D65">
        <w:rPr>
          <w:noProof/>
        </w:rPr>
        <w:t xml:space="preserve">As a general rule, </w:t>
      </w:r>
      <w:r w:rsidR="5433D288" w:rsidRPr="00244D65">
        <w:rPr>
          <w:noProof/>
        </w:rPr>
        <w:t xml:space="preserve">the </w:t>
      </w:r>
      <w:r w:rsidR="5CDBD2EE" w:rsidRPr="00244D65">
        <w:rPr>
          <w:noProof/>
        </w:rPr>
        <w:t>allocation me</w:t>
      </w:r>
      <w:r w:rsidR="4C65AD99" w:rsidRPr="00244D65">
        <w:rPr>
          <w:noProof/>
        </w:rPr>
        <w:t>thod</w:t>
      </w:r>
      <w:r w:rsidR="6B87243C" w:rsidRPr="00244D65">
        <w:rPr>
          <w:noProof/>
        </w:rPr>
        <w:t xml:space="preserve"> options like auctions and variable premiums should </w:t>
      </w:r>
      <w:r w:rsidR="2EBB8F80" w:rsidRPr="00244D65">
        <w:rPr>
          <w:noProof/>
        </w:rPr>
        <w:t xml:space="preserve">be more </w:t>
      </w:r>
      <w:r w:rsidR="00DC454A" w:rsidRPr="00244D65">
        <w:rPr>
          <w:noProof/>
        </w:rPr>
        <w:t>cost-</w:t>
      </w:r>
      <w:r w:rsidR="2EBB8F80" w:rsidRPr="00244D65">
        <w:rPr>
          <w:noProof/>
        </w:rPr>
        <w:t>efficient</w:t>
      </w:r>
      <w:r w:rsidR="009664FC" w:rsidRPr="00244D65">
        <w:rPr>
          <w:noProof/>
        </w:rPr>
        <w:t>, thus</w:t>
      </w:r>
      <w:r w:rsidR="2EBB8F80" w:rsidRPr="00244D65">
        <w:rPr>
          <w:noProof/>
        </w:rPr>
        <w:t xml:space="preserve"> resulting in</w:t>
      </w:r>
      <w:r w:rsidR="6B87243C" w:rsidRPr="00244D65">
        <w:rPr>
          <w:noProof/>
        </w:rPr>
        <w:t xml:space="preserve"> higher emissions savings, stronger private capital mobilisation and </w:t>
      </w:r>
      <w:r w:rsidR="000257F8" w:rsidRPr="00244D65">
        <w:rPr>
          <w:noProof/>
        </w:rPr>
        <w:t xml:space="preserve">larger </w:t>
      </w:r>
      <w:r w:rsidR="6B87243C" w:rsidRPr="00244D65">
        <w:rPr>
          <w:noProof/>
        </w:rPr>
        <w:t xml:space="preserve">spillover benefits, although results will critically </w:t>
      </w:r>
      <w:r w:rsidR="42A8C88E" w:rsidRPr="00244D65">
        <w:rPr>
          <w:noProof/>
        </w:rPr>
        <w:t xml:space="preserve">depend </w:t>
      </w:r>
      <w:r w:rsidR="6B87243C" w:rsidRPr="00244D65">
        <w:rPr>
          <w:noProof/>
        </w:rPr>
        <w:t xml:space="preserve">on </w:t>
      </w:r>
      <w:r w:rsidR="68799A65" w:rsidRPr="00244D65">
        <w:rPr>
          <w:noProof/>
        </w:rPr>
        <w:t xml:space="preserve">the </w:t>
      </w:r>
      <w:r w:rsidR="6B87243C" w:rsidRPr="00244D65">
        <w:rPr>
          <w:noProof/>
        </w:rPr>
        <w:t>detailed implementation</w:t>
      </w:r>
      <w:r w:rsidR="00E543EC" w:rsidRPr="00244D65">
        <w:rPr>
          <w:noProof/>
        </w:rPr>
        <w:t xml:space="preserve"> of the funding rounds</w:t>
      </w:r>
      <w:r w:rsidR="6B87243C" w:rsidRPr="00244D65">
        <w:rPr>
          <w:noProof/>
        </w:rPr>
        <w:t xml:space="preserve"> and competitive dynamics</w:t>
      </w:r>
      <w:r w:rsidR="00E543EC" w:rsidRPr="00244D65">
        <w:rPr>
          <w:noProof/>
        </w:rPr>
        <w:t xml:space="preserve"> achieved in all of them</w:t>
      </w:r>
      <w:r w:rsidR="6B87243C" w:rsidRPr="00244D65">
        <w:rPr>
          <w:noProof/>
        </w:rPr>
        <w:t xml:space="preserve">. </w:t>
      </w:r>
      <w:r w:rsidR="009664FC" w:rsidRPr="00244D65">
        <w:rPr>
          <w:noProof/>
        </w:rPr>
        <w:t xml:space="preserve">In addition, </w:t>
      </w:r>
      <w:r w:rsidR="3F1A97A2" w:rsidRPr="00244D65">
        <w:rPr>
          <w:noProof/>
        </w:rPr>
        <w:t>the trade</w:t>
      </w:r>
      <w:r w:rsidR="00D14101" w:rsidRPr="00244D65">
        <w:rPr>
          <w:noProof/>
        </w:rPr>
        <w:t>-</w:t>
      </w:r>
      <w:r w:rsidR="3F1A97A2" w:rsidRPr="00244D65">
        <w:rPr>
          <w:noProof/>
        </w:rPr>
        <w:t xml:space="preserve">off </w:t>
      </w:r>
      <w:r w:rsidR="00D14101" w:rsidRPr="00244D65">
        <w:rPr>
          <w:noProof/>
        </w:rPr>
        <w:t xml:space="preserve">has to be considered </w:t>
      </w:r>
      <w:r w:rsidR="3F1A97A2" w:rsidRPr="00244D65">
        <w:rPr>
          <w:noProof/>
        </w:rPr>
        <w:t>between cost-efficiency (</w:t>
      </w:r>
      <w:r w:rsidR="00CD5A4E" w:rsidRPr="00244D65">
        <w:rPr>
          <w:noProof/>
        </w:rPr>
        <w:t xml:space="preserve">delivered by </w:t>
      </w:r>
      <w:r w:rsidR="3F1A97A2" w:rsidRPr="00244D65">
        <w:rPr>
          <w:noProof/>
        </w:rPr>
        <w:t>very competitive calls for proposals</w:t>
      </w:r>
      <w:r w:rsidR="00D14101" w:rsidRPr="00244D65">
        <w:rPr>
          <w:noProof/>
        </w:rPr>
        <w:t>, auction and variable premia</w:t>
      </w:r>
      <w:r w:rsidR="3F1A97A2" w:rsidRPr="00244D65">
        <w:rPr>
          <w:noProof/>
        </w:rPr>
        <w:t>) and effectiveness (</w:t>
      </w:r>
      <w:r w:rsidR="00AA26D3" w:rsidRPr="00244D65">
        <w:rPr>
          <w:noProof/>
        </w:rPr>
        <w:t xml:space="preserve">better </w:t>
      </w:r>
      <w:r w:rsidR="00CD5A4E" w:rsidRPr="00244D65">
        <w:rPr>
          <w:noProof/>
        </w:rPr>
        <w:t xml:space="preserve">delivered by </w:t>
      </w:r>
      <w:r w:rsidR="00D14101" w:rsidRPr="00244D65">
        <w:rPr>
          <w:noProof/>
        </w:rPr>
        <w:t xml:space="preserve">administrative </w:t>
      </w:r>
      <w:r w:rsidR="3F1A97A2" w:rsidRPr="00244D65">
        <w:rPr>
          <w:noProof/>
        </w:rPr>
        <w:t xml:space="preserve">schemes </w:t>
      </w:r>
      <w:r w:rsidR="00D14101" w:rsidRPr="00244D65">
        <w:rPr>
          <w:noProof/>
        </w:rPr>
        <w:t xml:space="preserve">with fixed premia </w:t>
      </w:r>
      <w:r w:rsidR="3F1A97A2" w:rsidRPr="00244D65">
        <w:rPr>
          <w:noProof/>
        </w:rPr>
        <w:t xml:space="preserve">that </w:t>
      </w:r>
      <w:r w:rsidR="00AA26D3" w:rsidRPr="00244D65">
        <w:rPr>
          <w:noProof/>
        </w:rPr>
        <w:t xml:space="preserve">could </w:t>
      </w:r>
      <w:r w:rsidR="3F1A97A2" w:rsidRPr="00244D65">
        <w:rPr>
          <w:noProof/>
        </w:rPr>
        <w:t xml:space="preserve">allow </w:t>
      </w:r>
      <w:r w:rsidR="00AC11BA" w:rsidRPr="00244D65">
        <w:rPr>
          <w:noProof/>
        </w:rPr>
        <w:t xml:space="preserve">a </w:t>
      </w:r>
      <w:r w:rsidR="3F1A97A2" w:rsidRPr="00244D65">
        <w:rPr>
          <w:noProof/>
        </w:rPr>
        <w:t>more robust financial model</w:t>
      </w:r>
      <w:r w:rsidR="00AB668E" w:rsidRPr="00244D65">
        <w:rPr>
          <w:noProof/>
        </w:rPr>
        <w:t xml:space="preserve"> </w:t>
      </w:r>
      <w:r w:rsidR="00586A85" w:rsidRPr="00244D65">
        <w:rPr>
          <w:noProof/>
        </w:rPr>
        <w:t>for</w:t>
      </w:r>
      <w:r w:rsidR="00AB668E" w:rsidRPr="00244D65">
        <w:rPr>
          <w:noProof/>
        </w:rPr>
        <w:t xml:space="preserve"> projects</w:t>
      </w:r>
      <w:r w:rsidR="00E7595E" w:rsidRPr="00244D65">
        <w:rPr>
          <w:noProof/>
        </w:rPr>
        <w:t>, increase likelihood of projects materialising</w:t>
      </w:r>
      <w:r w:rsidR="00AB668E" w:rsidRPr="00244D65">
        <w:rPr>
          <w:noProof/>
        </w:rPr>
        <w:t xml:space="preserve"> </w:t>
      </w:r>
      <w:r w:rsidR="00586A85" w:rsidRPr="00244D65">
        <w:rPr>
          <w:noProof/>
        </w:rPr>
        <w:t>and</w:t>
      </w:r>
      <w:r w:rsidR="001B0008" w:rsidRPr="00244D65">
        <w:rPr>
          <w:noProof/>
        </w:rPr>
        <w:t xml:space="preserve"> better diversification</w:t>
      </w:r>
      <w:r w:rsidR="3F1A97A2" w:rsidRPr="00244D65">
        <w:rPr>
          <w:noProof/>
        </w:rPr>
        <w:t xml:space="preserve"> </w:t>
      </w:r>
      <w:r w:rsidR="00586A85" w:rsidRPr="00244D65">
        <w:rPr>
          <w:noProof/>
        </w:rPr>
        <w:t>of portfolio</w:t>
      </w:r>
      <w:r w:rsidR="3F1A97A2" w:rsidRPr="00244D65">
        <w:rPr>
          <w:noProof/>
        </w:rPr>
        <w:t xml:space="preserve">). </w:t>
      </w:r>
      <w:r w:rsidR="007F0928" w:rsidRPr="00244D65">
        <w:rPr>
          <w:noProof/>
        </w:rPr>
        <w:t xml:space="preserve">In general, the </w:t>
      </w:r>
      <w:r w:rsidR="00891FF2" w:rsidRPr="00244D65">
        <w:rPr>
          <w:noProof/>
        </w:rPr>
        <w:t>mechanism</w:t>
      </w:r>
      <w:r w:rsidR="002E56B1" w:rsidRPr="00244D65">
        <w:rPr>
          <w:noProof/>
        </w:rPr>
        <w:t>s</w:t>
      </w:r>
      <w:r w:rsidR="00891FF2" w:rsidRPr="00244D65">
        <w:rPr>
          <w:noProof/>
        </w:rPr>
        <w:t xml:space="preserve"> that bring </w:t>
      </w:r>
      <w:bookmarkStart w:id="143" w:name="_Int_nglcI0qT"/>
      <w:r w:rsidR="00891FF2" w:rsidRPr="00244D65">
        <w:rPr>
          <w:noProof/>
        </w:rPr>
        <w:t>high level</w:t>
      </w:r>
      <w:bookmarkEnd w:id="143"/>
      <w:r w:rsidR="00891FF2" w:rsidRPr="00244D65">
        <w:rPr>
          <w:noProof/>
        </w:rPr>
        <w:t xml:space="preserve"> of competition are better suited to </w:t>
      </w:r>
      <w:r w:rsidR="009B08F2" w:rsidRPr="00244D65">
        <w:rPr>
          <w:noProof/>
        </w:rPr>
        <w:t>more mature technologies that operate on deep and liquid markets</w:t>
      </w:r>
      <w:r w:rsidR="00D6186D" w:rsidRPr="00244D65">
        <w:rPr>
          <w:noProof/>
        </w:rPr>
        <w:t>, which should progressively become the case for many decarbonisation technologies.</w:t>
      </w:r>
      <w:r w:rsidR="00AA3B72" w:rsidRPr="00244D65">
        <w:rPr>
          <w:noProof/>
        </w:rPr>
        <w:t xml:space="preserve"> Administrative schemes </w:t>
      </w:r>
      <w:r w:rsidR="006008F8" w:rsidRPr="00244D65">
        <w:rPr>
          <w:noProof/>
        </w:rPr>
        <w:t xml:space="preserve">should </w:t>
      </w:r>
      <w:r w:rsidR="00AA3B72" w:rsidRPr="00244D65">
        <w:rPr>
          <w:noProof/>
        </w:rPr>
        <w:t>be needed in the early years of the IDB operation when uncertainties are the highest and the business case the most difficult</w:t>
      </w:r>
      <w:r w:rsidR="006008F8" w:rsidRPr="00244D65">
        <w:rPr>
          <w:noProof/>
        </w:rPr>
        <w:t>.</w:t>
      </w:r>
    </w:p>
    <w:p w14:paraId="4FDFAF1D" w14:textId="7B116049" w:rsidR="00D13A56" w:rsidRPr="00244D65" w:rsidRDefault="7BD9A835" w:rsidP="0085595C">
      <w:pPr>
        <w:rPr>
          <w:noProof/>
        </w:rPr>
      </w:pPr>
      <w:r w:rsidRPr="00244D65">
        <w:rPr>
          <w:noProof/>
        </w:rPr>
        <w:t xml:space="preserve">The </w:t>
      </w:r>
      <w:r w:rsidR="6D5EAE75" w:rsidRPr="00244D65">
        <w:rPr>
          <w:noProof/>
        </w:rPr>
        <w:t xml:space="preserve">analysis </w:t>
      </w:r>
      <w:r w:rsidR="00BB6E93" w:rsidRPr="00244D65">
        <w:rPr>
          <w:noProof/>
        </w:rPr>
        <w:t xml:space="preserve">performed for this Impact Assessment </w:t>
      </w:r>
      <w:r w:rsidR="004F6B4B" w:rsidRPr="00244D65">
        <w:rPr>
          <w:noProof/>
        </w:rPr>
        <w:t xml:space="preserve">is a simulation of the impact of the IDB </w:t>
      </w:r>
      <w:r w:rsidR="00FA1AB2" w:rsidRPr="00244D65">
        <w:rPr>
          <w:noProof/>
        </w:rPr>
        <w:t>once it operates</w:t>
      </w:r>
      <w:r w:rsidR="006521F2" w:rsidRPr="00244D65">
        <w:rPr>
          <w:noProof/>
        </w:rPr>
        <w:t xml:space="preserve"> through competitive calls for proposals/auctions and </w:t>
      </w:r>
      <w:r w:rsidR="006122D9" w:rsidRPr="00244D65">
        <w:rPr>
          <w:noProof/>
        </w:rPr>
        <w:t xml:space="preserve">using as inputs the main results of </w:t>
      </w:r>
      <w:r w:rsidR="006521F2" w:rsidRPr="00244D65">
        <w:rPr>
          <w:noProof/>
        </w:rPr>
        <w:t>2040 climate target modelling</w:t>
      </w:r>
      <w:r w:rsidR="006008F8" w:rsidRPr="00244D65">
        <w:rPr>
          <w:noProof/>
        </w:rPr>
        <w:t xml:space="preserve"> (e.g. electricity or carbon prices)</w:t>
      </w:r>
      <w:r w:rsidR="006521F2" w:rsidRPr="00244D65">
        <w:rPr>
          <w:noProof/>
        </w:rPr>
        <w:t>. This</w:t>
      </w:r>
      <w:r w:rsidRPr="00244D65">
        <w:rPr>
          <w:noProof/>
        </w:rPr>
        <w:t xml:space="preserve"> </w:t>
      </w:r>
      <w:r w:rsidR="6D5EAE75" w:rsidRPr="00244D65">
        <w:rPr>
          <w:noProof/>
        </w:rPr>
        <w:t xml:space="preserve">analysis </w:t>
      </w:r>
      <w:r w:rsidRPr="00244D65">
        <w:rPr>
          <w:noProof/>
        </w:rPr>
        <w:t>indicate</w:t>
      </w:r>
      <w:r w:rsidR="447C23D8" w:rsidRPr="00244D65">
        <w:rPr>
          <w:noProof/>
        </w:rPr>
        <w:t>s a</w:t>
      </w:r>
      <w:r w:rsidRPr="00244D65">
        <w:rPr>
          <w:noProof/>
        </w:rPr>
        <w:t xml:space="preserve"> cumulative GHG emission abatement of </w:t>
      </w:r>
      <w:r w:rsidR="007A0586" w:rsidRPr="00244D65">
        <w:rPr>
          <w:noProof/>
        </w:rPr>
        <w:t>1630</w:t>
      </w:r>
      <w:r w:rsidRPr="00244D65">
        <w:rPr>
          <w:noProof/>
        </w:rPr>
        <w:t xml:space="preserve"> MtCO</w:t>
      </w:r>
      <w:r w:rsidRPr="00244D65">
        <w:rPr>
          <w:noProof/>
          <w:vertAlign w:val="subscript"/>
        </w:rPr>
        <w:t>2</w:t>
      </w:r>
      <w:r w:rsidRPr="00244D65">
        <w:rPr>
          <w:noProof/>
        </w:rPr>
        <w:t xml:space="preserve"> over a ten</w:t>
      </w:r>
      <w:r w:rsidR="00775BE9" w:rsidRPr="00244D65">
        <w:rPr>
          <w:noProof/>
        </w:rPr>
        <w:t>-</w:t>
      </w:r>
      <w:r w:rsidRPr="00244D65">
        <w:rPr>
          <w:noProof/>
        </w:rPr>
        <w:t xml:space="preserve">year period, based on a total budget of EUR 100 </w:t>
      </w:r>
      <w:r>
        <w:rPr>
          <w:noProof/>
        </w:rPr>
        <w:t>billion</w:t>
      </w:r>
      <w:r w:rsidRPr="00244D65">
        <w:rPr>
          <w:noProof/>
        </w:rPr>
        <w:t xml:space="preserve"> allocated across ten </w:t>
      </w:r>
      <w:r w:rsidR="16F8C28E" w:rsidRPr="00244D65">
        <w:rPr>
          <w:noProof/>
        </w:rPr>
        <w:t xml:space="preserve">yearly </w:t>
      </w:r>
      <w:r w:rsidRPr="00244D65">
        <w:rPr>
          <w:noProof/>
        </w:rPr>
        <w:t>auction rounds</w:t>
      </w:r>
      <w:r w:rsidR="00340F34" w:rsidRPr="00244D65">
        <w:rPr>
          <w:noProof/>
        </w:rPr>
        <w:t xml:space="preserve">, each </w:t>
      </w:r>
      <w:r w:rsidR="4C538345" w:rsidRPr="00244D65">
        <w:rPr>
          <w:noProof/>
        </w:rPr>
        <w:t>of</w:t>
      </w:r>
      <w:r w:rsidRPr="00244D65">
        <w:rPr>
          <w:noProof/>
        </w:rPr>
        <w:t xml:space="preserve"> EUR 10 </w:t>
      </w:r>
      <w:r>
        <w:rPr>
          <w:noProof/>
        </w:rPr>
        <w:t>billion</w:t>
      </w:r>
      <w:r w:rsidRPr="00244D65">
        <w:rPr>
          <w:noProof/>
        </w:rPr>
        <w:t xml:space="preserve"> funding volume. </w:t>
      </w:r>
      <w:r w:rsidR="2F736B10" w:rsidRPr="00244D65">
        <w:rPr>
          <w:noProof/>
        </w:rPr>
        <w:t>T</w:t>
      </w:r>
      <w:r w:rsidR="00DC2441" w:rsidRPr="00244D65">
        <w:rPr>
          <w:rFonts w:eastAsia="Aptos"/>
          <w:noProof/>
        </w:rPr>
        <w:t xml:space="preserve">he support </w:t>
      </w:r>
      <w:r w:rsidR="00783C17" w:rsidRPr="00244D65">
        <w:rPr>
          <w:rFonts w:eastAsia="Aptos"/>
          <w:noProof/>
        </w:rPr>
        <w:t>would</w:t>
      </w:r>
      <w:r w:rsidR="1893E7F1" w:rsidRPr="00244D65">
        <w:rPr>
          <w:rFonts w:eastAsia="Aptos"/>
          <w:noProof/>
        </w:rPr>
        <w:t xml:space="preserve"> target, among others,</w:t>
      </w:r>
      <w:r w:rsidR="00DC2441" w:rsidRPr="00244D65">
        <w:rPr>
          <w:rFonts w:eastAsia="Aptos"/>
          <w:noProof/>
        </w:rPr>
        <w:t xml:space="preserve"> process heat electrification </w:t>
      </w:r>
      <w:r w:rsidR="00CC5EC1" w:rsidRPr="00244D65">
        <w:rPr>
          <w:rFonts w:eastAsia="Aptos"/>
          <w:noProof/>
        </w:rPr>
        <w:t>both for</w:t>
      </w:r>
      <w:r w:rsidR="00DC2441" w:rsidRPr="00244D65">
        <w:rPr>
          <w:rFonts w:eastAsia="Aptos"/>
          <w:noProof/>
        </w:rPr>
        <w:t xml:space="preserve"> medium</w:t>
      </w:r>
      <w:r w:rsidR="000C653C" w:rsidRPr="00244D65">
        <w:rPr>
          <w:rFonts w:eastAsia="Aptos"/>
          <w:noProof/>
        </w:rPr>
        <w:t xml:space="preserve"> </w:t>
      </w:r>
      <w:r w:rsidR="00DC2441" w:rsidRPr="00244D65">
        <w:rPr>
          <w:rFonts w:eastAsia="Aptos"/>
          <w:noProof/>
        </w:rPr>
        <w:t xml:space="preserve">and </w:t>
      </w:r>
      <w:bookmarkStart w:id="144" w:name="_Int_1YXLjee0"/>
      <w:r w:rsidR="00DC2441" w:rsidRPr="00244D65">
        <w:rPr>
          <w:rFonts w:eastAsia="Aptos"/>
          <w:noProof/>
        </w:rPr>
        <w:t>high temperature</w:t>
      </w:r>
      <w:bookmarkEnd w:id="144"/>
      <w:r w:rsidR="00CC5EC1" w:rsidRPr="00244D65">
        <w:rPr>
          <w:rFonts w:eastAsia="Aptos"/>
          <w:noProof/>
        </w:rPr>
        <w:t xml:space="preserve"> </w:t>
      </w:r>
      <w:r w:rsidR="515AFF54" w:rsidRPr="00244D65">
        <w:rPr>
          <w:rFonts w:eastAsia="Aptos"/>
          <w:noProof/>
        </w:rPr>
        <w:t>applications</w:t>
      </w:r>
      <w:r w:rsidR="00DC2441" w:rsidRPr="00244D65">
        <w:rPr>
          <w:rFonts w:eastAsia="Aptos"/>
          <w:noProof/>
        </w:rPr>
        <w:t xml:space="preserve">. </w:t>
      </w:r>
      <w:r w:rsidR="0444EB29" w:rsidRPr="00244D65">
        <w:rPr>
          <w:rFonts w:eastAsia="Aptos"/>
          <w:noProof/>
        </w:rPr>
        <w:t xml:space="preserve">It will also support low-carbon primary steel production via </w:t>
      </w:r>
      <w:r w:rsidR="22745894" w:rsidRPr="00244D65">
        <w:rPr>
          <w:noProof/>
        </w:rPr>
        <w:t>hydrogen</w:t>
      </w:r>
      <w:r w:rsidR="22745894" w:rsidRPr="00244D65">
        <w:rPr>
          <w:rFonts w:eastAsia="Aptos"/>
          <w:noProof/>
        </w:rPr>
        <w:t>-based</w:t>
      </w:r>
      <w:r w:rsidR="00DC2441" w:rsidRPr="00244D65">
        <w:rPr>
          <w:rFonts w:eastAsia="Aptos"/>
          <w:noProof/>
        </w:rPr>
        <w:t xml:space="preserve"> direct reduction</w:t>
      </w:r>
      <w:r w:rsidR="471DAF6D" w:rsidRPr="00244D65">
        <w:rPr>
          <w:rFonts w:eastAsia="Aptos"/>
          <w:noProof/>
        </w:rPr>
        <w:t>, as well as</w:t>
      </w:r>
      <w:r w:rsidR="00DC2441" w:rsidRPr="00244D65">
        <w:rPr>
          <w:rFonts w:eastAsia="Aptos"/>
          <w:noProof/>
        </w:rPr>
        <w:t xml:space="preserve"> </w:t>
      </w:r>
      <w:r w:rsidR="323160D7" w:rsidRPr="00244D65">
        <w:rPr>
          <w:rFonts w:eastAsia="Aptos"/>
          <w:noProof/>
        </w:rPr>
        <w:t>c</w:t>
      </w:r>
      <w:r w:rsidR="00DC2441" w:rsidRPr="00244D65">
        <w:rPr>
          <w:rFonts w:eastAsia="Aptos"/>
          <w:noProof/>
        </w:rPr>
        <w:t xml:space="preserve">arbon capture and </w:t>
      </w:r>
      <w:r w:rsidR="425E02A9" w:rsidRPr="00244D65">
        <w:rPr>
          <w:rFonts w:eastAsia="Aptos"/>
          <w:noProof/>
        </w:rPr>
        <w:t>s</w:t>
      </w:r>
      <w:r w:rsidR="00DC2441" w:rsidRPr="00244D65">
        <w:rPr>
          <w:rFonts w:eastAsia="Aptos"/>
          <w:noProof/>
        </w:rPr>
        <w:t xml:space="preserve">torage </w:t>
      </w:r>
      <w:r w:rsidR="1EB5AA5B" w:rsidRPr="00244D65">
        <w:rPr>
          <w:rFonts w:eastAsia="Aptos"/>
          <w:noProof/>
        </w:rPr>
        <w:t>solutions</w:t>
      </w:r>
      <w:r w:rsidR="00DC2441" w:rsidRPr="00244D65">
        <w:rPr>
          <w:rFonts w:eastAsia="Aptos"/>
          <w:noProof/>
        </w:rPr>
        <w:t xml:space="preserve"> in </w:t>
      </w:r>
      <w:r w:rsidR="1EB5AA5B" w:rsidRPr="00244D65">
        <w:rPr>
          <w:rFonts w:eastAsia="Aptos"/>
          <w:noProof/>
        </w:rPr>
        <w:t>energy-intensive sectors such as</w:t>
      </w:r>
      <w:r w:rsidR="00DC2441" w:rsidRPr="00244D65">
        <w:rPr>
          <w:rFonts w:eastAsia="Aptos"/>
          <w:noProof/>
        </w:rPr>
        <w:t xml:space="preserve"> cement </w:t>
      </w:r>
      <w:r w:rsidR="52411943" w:rsidRPr="00244D65">
        <w:rPr>
          <w:rFonts w:eastAsia="Aptos"/>
          <w:noProof/>
        </w:rPr>
        <w:t xml:space="preserve">and </w:t>
      </w:r>
      <w:r w:rsidR="00DC2441" w:rsidRPr="00244D65">
        <w:rPr>
          <w:rFonts w:eastAsia="Aptos"/>
          <w:noProof/>
        </w:rPr>
        <w:t>lime</w:t>
      </w:r>
      <w:r w:rsidR="4F51014D" w:rsidRPr="00244D65">
        <w:rPr>
          <w:rFonts w:eastAsia="Aptos"/>
          <w:noProof/>
        </w:rPr>
        <w:t>.</w:t>
      </w:r>
      <w:r w:rsidR="006521F2" w:rsidRPr="00244D65">
        <w:rPr>
          <w:rFonts w:eastAsia="Aptos"/>
          <w:noProof/>
        </w:rPr>
        <w:t xml:space="preserve"> </w:t>
      </w:r>
      <w:r w:rsidRPr="00244D65">
        <w:rPr>
          <w:noProof/>
        </w:rPr>
        <w:t xml:space="preserve">Over the assumed support period of ten years, the resulting weighted average awarded support amounts to EUR </w:t>
      </w:r>
      <w:r w:rsidR="00283BC6" w:rsidRPr="00244D65">
        <w:rPr>
          <w:noProof/>
        </w:rPr>
        <w:t>60</w:t>
      </w:r>
      <w:r w:rsidRPr="00244D65">
        <w:rPr>
          <w:noProof/>
        </w:rPr>
        <w:t>/tCO</w:t>
      </w:r>
      <w:r w:rsidRPr="00244D65">
        <w:rPr>
          <w:noProof/>
          <w:vertAlign w:val="subscript"/>
        </w:rPr>
        <w:t>2</w:t>
      </w:r>
      <w:r w:rsidRPr="00244D65">
        <w:rPr>
          <w:noProof/>
        </w:rPr>
        <w:t xml:space="preserve"> abated. </w:t>
      </w:r>
      <w:r w:rsidR="003331D3" w:rsidRPr="00244D65">
        <w:rPr>
          <w:noProof/>
        </w:rPr>
        <w:t xml:space="preserve">In the early years </w:t>
      </w:r>
      <w:r w:rsidR="00760659" w:rsidRPr="00244D65">
        <w:rPr>
          <w:noProof/>
        </w:rPr>
        <w:t>when</w:t>
      </w:r>
      <w:r w:rsidR="003331D3" w:rsidRPr="00244D65">
        <w:rPr>
          <w:noProof/>
        </w:rPr>
        <w:t xml:space="preserve"> the administrative schemes are applied</w:t>
      </w:r>
      <w:r w:rsidR="00742D8A" w:rsidRPr="00244D65">
        <w:rPr>
          <w:noProof/>
        </w:rPr>
        <w:t>, the impact would</w:t>
      </w:r>
      <w:r w:rsidR="2D2AFB26" w:rsidRPr="00244D65">
        <w:rPr>
          <w:noProof/>
        </w:rPr>
        <w:t xml:space="preserve"> likely</w:t>
      </w:r>
      <w:r w:rsidR="00742D8A" w:rsidRPr="00244D65">
        <w:rPr>
          <w:noProof/>
        </w:rPr>
        <w:t xml:space="preserve"> be lower.</w:t>
      </w:r>
      <w:r w:rsidR="00072A83" w:rsidRPr="00244D65">
        <w:rPr>
          <w:noProof/>
        </w:rPr>
        <w:t xml:space="preserve"> </w:t>
      </w:r>
      <w:r w:rsidR="00C81739" w:rsidRPr="00244D65">
        <w:rPr>
          <w:noProof/>
        </w:rPr>
        <w:t>This analysis is illustrative because the actual impact of the IDB wi</w:t>
      </w:r>
      <w:r w:rsidR="00D2380A" w:rsidRPr="00244D65">
        <w:rPr>
          <w:noProof/>
        </w:rPr>
        <w:t xml:space="preserve">ll depend on </w:t>
      </w:r>
      <w:r w:rsidR="006E76B3" w:rsidRPr="00244D65">
        <w:rPr>
          <w:noProof/>
        </w:rPr>
        <w:t>the final IDB design</w:t>
      </w:r>
      <w:r w:rsidR="00005B42" w:rsidRPr="00244D65">
        <w:rPr>
          <w:noProof/>
        </w:rPr>
        <w:t xml:space="preserve">, the specific design of </w:t>
      </w:r>
      <w:r w:rsidR="006A18E3" w:rsidRPr="00244D65">
        <w:rPr>
          <w:noProof/>
        </w:rPr>
        <w:t>funding r</w:t>
      </w:r>
      <w:r w:rsidR="00B10B28" w:rsidRPr="00244D65">
        <w:rPr>
          <w:noProof/>
        </w:rPr>
        <w:t>ounds as well as necessary infrastructure availability</w:t>
      </w:r>
      <w:r w:rsidR="00110FC1" w:rsidRPr="00244D65">
        <w:rPr>
          <w:noProof/>
        </w:rPr>
        <w:t>, demand for low-carbon products and project delivery risks.</w:t>
      </w:r>
    </w:p>
    <w:p w14:paraId="5BCEBD23" w14:textId="0098E614" w:rsidR="00D13A56" w:rsidRPr="00244D65" w:rsidRDefault="006B6147" w:rsidP="0085595C">
      <w:pPr>
        <w:rPr>
          <w:noProof/>
        </w:rPr>
      </w:pPr>
      <w:r w:rsidRPr="00244D65">
        <w:rPr>
          <w:noProof/>
        </w:rPr>
        <w:t xml:space="preserve">The </w:t>
      </w:r>
      <w:r w:rsidR="00056FD1" w:rsidRPr="00244D65">
        <w:rPr>
          <w:noProof/>
        </w:rPr>
        <w:t>calculation of impacts</w:t>
      </w:r>
      <w:r w:rsidRPr="00244D65">
        <w:rPr>
          <w:noProof/>
        </w:rPr>
        <w:t xml:space="preserve"> </w:t>
      </w:r>
      <w:r w:rsidR="009E2D79" w:rsidRPr="00244D65">
        <w:rPr>
          <w:noProof/>
        </w:rPr>
        <w:t>is based on t</w:t>
      </w:r>
      <w:r w:rsidR="0022683C" w:rsidRPr="00244D65">
        <w:rPr>
          <w:noProof/>
        </w:rPr>
        <w:t>he assumption that the IDB</w:t>
      </w:r>
      <w:r w:rsidR="7BD9A835" w:rsidRPr="00244D65">
        <w:rPr>
          <w:noProof/>
        </w:rPr>
        <w:t xml:space="preserve"> support bridges the remaining cost </w:t>
      </w:r>
      <w:r w:rsidR="7BD9A835" w:rsidRPr="00244D65">
        <w:rPr>
          <w:rFonts w:eastAsia="Times New Roman"/>
          <w:noProof/>
        </w:rPr>
        <w:t>gap</w:t>
      </w:r>
      <w:r w:rsidR="7BD9A835" w:rsidRPr="00244D65">
        <w:rPr>
          <w:noProof/>
        </w:rPr>
        <w:t xml:space="preserve"> </w:t>
      </w:r>
      <w:r w:rsidR="0022683C" w:rsidRPr="00244D65">
        <w:rPr>
          <w:noProof/>
        </w:rPr>
        <w:t>(</w:t>
      </w:r>
      <w:r w:rsidR="7BD9A835" w:rsidRPr="00244D65">
        <w:rPr>
          <w:noProof/>
        </w:rPr>
        <w:t>covering both CAPEX and OPEX</w:t>
      </w:r>
      <w:r w:rsidR="0022683C" w:rsidRPr="00244D65">
        <w:rPr>
          <w:noProof/>
        </w:rPr>
        <w:t>)</w:t>
      </w:r>
      <w:r w:rsidR="7BD9A835" w:rsidRPr="00244D65">
        <w:rPr>
          <w:noProof/>
        </w:rPr>
        <w:t xml:space="preserve"> of the low-emission technologies deployed in </w:t>
      </w:r>
      <w:r w:rsidR="0022683C" w:rsidRPr="00244D65">
        <w:rPr>
          <w:noProof/>
        </w:rPr>
        <w:t>IDB-</w:t>
      </w:r>
      <w:r w:rsidR="7BD9A835" w:rsidRPr="00244D65">
        <w:rPr>
          <w:noProof/>
        </w:rPr>
        <w:t>funded projects</w:t>
      </w:r>
      <w:r w:rsidR="0022683C" w:rsidRPr="00244D65">
        <w:rPr>
          <w:noProof/>
        </w:rPr>
        <w:t xml:space="preserve"> compared to their fossil fuels-based</w:t>
      </w:r>
      <w:r w:rsidR="00450D20" w:rsidRPr="00244D65">
        <w:rPr>
          <w:noProof/>
        </w:rPr>
        <w:t xml:space="preserve"> incumbent technologies.</w:t>
      </w:r>
      <w:r w:rsidR="00406E4E" w:rsidRPr="00244D65">
        <w:rPr>
          <w:noProof/>
        </w:rPr>
        <w:t xml:space="preserve"> The IDB support</w:t>
      </w:r>
      <w:r w:rsidR="7BD9A835" w:rsidRPr="00244D65">
        <w:rPr>
          <w:noProof/>
        </w:rPr>
        <w:t xml:space="preserve"> account</w:t>
      </w:r>
      <w:r w:rsidR="00406E4E" w:rsidRPr="00244D65">
        <w:rPr>
          <w:noProof/>
        </w:rPr>
        <w:t>s</w:t>
      </w:r>
      <w:r w:rsidR="7BD9A835" w:rsidRPr="00244D65">
        <w:rPr>
          <w:noProof/>
        </w:rPr>
        <w:t xml:space="preserve"> for the average ETS price</w:t>
      </w:r>
      <w:r w:rsidR="005902D6" w:rsidRPr="00244D65">
        <w:rPr>
          <w:rStyle w:val="FootnoteReference"/>
          <w:noProof/>
        </w:rPr>
        <w:footnoteReference w:id="42"/>
      </w:r>
      <w:r w:rsidR="7BD9A835" w:rsidRPr="00244D65">
        <w:rPr>
          <w:noProof/>
        </w:rPr>
        <w:t xml:space="preserve"> faced by the incumbent fossil-based alternative (conventional technology)</w:t>
      </w:r>
      <w:r w:rsidR="005D4C4D" w:rsidRPr="00244D65">
        <w:rPr>
          <w:noProof/>
        </w:rPr>
        <w:t>.</w:t>
      </w:r>
    </w:p>
    <w:p w14:paraId="3F23351C" w14:textId="612DB8BF" w:rsidR="00D13A56" w:rsidRPr="00244D65" w:rsidRDefault="00340F34" w:rsidP="00244D65">
      <w:pPr>
        <w:pStyle w:val="Figuretitle"/>
        <w:rPr>
          <w:noProof/>
        </w:rPr>
      </w:pPr>
      <w:bookmarkStart w:id="145" w:name="_Toc234496403"/>
      <w:bookmarkStart w:id="146" w:name="_Toc232754559"/>
      <w:r w:rsidRPr="00244D65">
        <w:rPr>
          <w:noProof/>
        </w:rPr>
        <w:t xml:space="preserve">Illustration of </w:t>
      </w:r>
      <w:r w:rsidR="1D569971" w:rsidRPr="00244D65">
        <w:rPr>
          <w:noProof/>
        </w:rPr>
        <w:t>support logic for two consecutive funding rounds</w:t>
      </w:r>
      <w:r w:rsidRPr="00244D65">
        <w:rPr>
          <w:noProof/>
        </w:rPr>
        <w:t xml:space="preserve"> of the IDB</w:t>
      </w:r>
      <w:bookmarkEnd w:id="145"/>
      <w:bookmarkEnd w:id="146"/>
    </w:p>
    <w:p w14:paraId="068207C9" w14:textId="4D3F2318" w:rsidR="00D13A56" w:rsidRPr="00244D65" w:rsidRDefault="1D569971" w:rsidP="0085595C">
      <w:pPr>
        <w:keepNext/>
        <w:rPr>
          <w:rFonts w:ascii="Aptos" w:eastAsia="Aptos" w:hAnsi="Aptos" w:cs="Aptos"/>
          <w:noProof/>
          <w:color w:val="000000" w:themeColor="text1"/>
          <w:sz w:val="22"/>
          <w:szCs w:val="22"/>
        </w:rPr>
      </w:pPr>
      <w:r w:rsidRPr="00244D65">
        <w:rPr>
          <w:noProof/>
          <w:lang w:eastAsia="en-GB"/>
        </w:rPr>
        <w:drawing>
          <wp:inline distT="0" distB="0" distL="0" distR="0" wp14:anchorId="5A9C72A7" wp14:editId="76460CF7">
            <wp:extent cx="6134100" cy="2600325"/>
            <wp:effectExtent l="0" t="0" r="0" b="0"/>
            <wp:docPr id="1068162283" name="drawing" title="A diagram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162283" name="Picture 1068162283"/>
                    <pic:cNvPicPr/>
                  </pic:nvPicPr>
                  <pic:blipFill>
                    <a:blip r:embed="rId26">
                      <a:extLst>
                        <a:ext uri="{28A0092B-C50C-407E-A947-70E740481C1C}">
                          <a14:useLocalDpi xmlns:a14="http://schemas.microsoft.com/office/drawing/2010/main"/>
                        </a:ext>
                      </a:extLst>
                    </a:blip>
                    <a:stretch>
                      <a:fillRect/>
                    </a:stretch>
                  </pic:blipFill>
                  <pic:spPr>
                    <a:xfrm>
                      <a:off x="0" y="0"/>
                      <a:ext cx="6134100" cy="2600325"/>
                    </a:xfrm>
                    <a:prstGeom prst="rect">
                      <a:avLst/>
                    </a:prstGeom>
                  </pic:spPr>
                </pic:pic>
              </a:graphicData>
            </a:graphic>
          </wp:inline>
        </w:drawing>
      </w:r>
    </w:p>
    <w:p w14:paraId="0397042B" w14:textId="60340FC9" w:rsidR="00691804" w:rsidRPr="00244D65" w:rsidRDefault="00340F34" w:rsidP="0085595C">
      <w:pPr>
        <w:jc w:val="left"/>
        <w:rPr>
          <w:i/>
          <w:noProof/>
          <w:sz w:val="20"/>
          <w:szCs w:val="20"/>
        </w:rPr>
      </w:pPr>
      <w:r w:rsidRPr="00244D65">
        <w:rPr>
          <w:i/>
          <w:iCs/>
          <w:noProof/>
          <w:sz w:val="20"/>
          <w:szCs w:val="20"/>
        </w:rPr>
        <w:t>Source: Frau</w:t>
      </w:r>
      <w:r w:rsidR="00C73444" w:rsidRPr="00244D65">
        <w:rPr>
          <w:i/>
          <w:iCs/>
          <w:noProof/>
          <w:sz w:val="20"/>
          <w:szCs w:val="20"/>
        </w:rPr>
        <w:t>n</w:t>
      </w:r>
      <w:r w:rsidRPr="00244D65">
        <w:rPr>
          <w:i/>
          <w:iCs/>
          <w:noProof/>
          <w:sz w:val="20"/>
          <w:szCs w:val="20"/>
        </w:rPr>
        <w:t>hofer</w:t>
      </w:r>
    </w:p>
    <w:p w14:paraId="23A7D574" w14:textId="4F4E60C9" w:rsidR="00516F08" w:rsidRPr="00244D65" w:rsidRDefault="00516F08" w:rsidP="0085595C">
      <w:pPr>
        <w:rPr>
          <w:noProof/>
        </w:rPr>
      </w:pPr>
      <w:r w:rsidRPr="00244D65">
        <w:rPr>
          <w:noProof/>
        </w:rPr>
        <w:t>In the</w:t>
      </w:r>
      <w:r w:rsidR="007619B4" w:rsidRPr="00244D65">
        <w:rPr>
          <w:noProof/>
        </w:rPr>
        <w:t xml:space="preserve"> </w:t>
      </w:r>
      <w:r w:rsidR="2931A204" w:rsidRPr="00244D65">
        <w:rPr>
          <w:noProof/>
        </w:rPr>
        <w:t xml:space="preserve">absence of the </w:t>
      </w:r>
      <w:r w:rsidR="582235F1" w:rsidRPr="00244D65">
        <w:rPr>
          <w:noProof/>
        </w:rPr>
        <w:t>IDB</w:t>
      </w:r>
      <w:r w:rsidR="17BFE74A" w:rsidRPr="00244D65">
        <w:rPr>
          <w:noProof/>
        </w:rPr>
        <w:t>,</w:t>
      </w:r>
      <w:r w:rsidR="2931A204" w:rsidRPr="00244D65">
        <w:rPr>
          <w:noProof/>
        </w:rPr>
        <w:t xml:space="preserve"> </w:t>
      </w:r>
      <w:r w:rsidR="007619B4" w:rsidRPr="00244D65">
        <w:rPr>
          <w:noProof/>
        </w:rPr>
        <w:t xml:space="preserve">the ETS revenues are set aside </w:t>
      </w:r>
      <w:r w:rsidR="0C95ABF1" w:rsidRPr="00244D65">
        <w:rPr>
          <w:noProof/>
        </w:rPr>
        <w:t xml:space="preserve">solely </w:t>
      </w:r>
      <w:r w:rsidR="007619B4" w:rsidRPr="00244D65">
        <w:rPr>
          <w:noProof/>
        </w:rPr>
        <w:t>for the I</w:t>
      </w:r>
      <w:r w:rsidR="00112241" w:rsidRPr="00244D65">
        <w:rPr>
          <w:noProof/>
        </w:rPr>
        <w:t>F</w:t>
      </w:r>
      <w:r w:rsidR="009D4075" w:rsidRPr="00244D65">
        <w:rPr>
          <w:noProof/>
        </w:rPr>
        <w:t xml:space="preserve">, which would imply </w:t>
      </w:r>
      <w:r w:rsidR="00A348A3" w:rsidRPr="00244D65">
        <w:rPr>
          <w:noProof/>
        </w:rPr>
        <w:t>broader eligibility (</w:t>
      </w:r>
      <w:r w:rsidR="00200D5E" w:rsidRPr="00244D65">
        <w:rPr>
          <w:noProof/>
        </w:rPr>
        <w:t xml:space="preserve">beyond the EIIs) and </w:t>
      </w:r>
      <w:r w:rsidR="00112241" w:rsidRPr="00244D65">
        <w:rPr>
          <w:noProof/>
        </w:rPr>
        <w:t>focus on innovation with</w:t>
      </w:r>
      <w:r w:rsidR="00200D5E" w:rsidRPr="00244D65">
        <w:rPr>
          <w:noProof/>
        </w:rPr>
        <w:t xml:space="preserve"> continuation of the </w:t>
      </w:r>
      <w:r w:rsidR="4461992D" w:rsidRPr="00244D65">
        <w:rPr>
          <w:noProof/>
        </w:rPr>
        <w:t xml:space="preserve">existing </w:t>
      </w:r>
      <w:r w:rsidR="00AF751D" w:rsidRPr="00244D65">
        <w:rPr>
          <w:noProof/>
        </w:rPr>
        <w:t xml:space="preserve">allocation mechanism and support formats of the </w:t>
      </w:r>
      <w:r w:rsidR="00112241" w:rsidRPr="00244D65">
        <w:rPr>
          <w:noProof/>
        </w:rPr>
        <w:t xml:space="preserve">IF. The needs of the decarbonisation technologies roll-out </w:t>
      </w:r>
      <w:r w:rsidR="73414C27" w:rsidRPr="00244D65">
        <w:rPr>
          <w:noProof/>
        </w:rPr>
        <w:t>for EIIs</w:t>
      </w:r>
      <w:r w:rsidR="00112241" w:rsidRPr="00244D65">
        <w:rPr>
          <w:noProof/>
        </w:rPr>
        <w:t xml:space="preserve"> would not be fulfilled, there could be also a diminishing attractiveness of the IF calls for proposals</w:t>
      </w:r>
      <w:r w:rsidR="00184372" w:rsidRPr="00244D65">
        <w:rPr>
          <w:noProof/>
        </w:rPr>
        <w:t xml:space="preserve"> considering that </w:t>
      </w:r>
      <w:r w:rsidR="008C5E34" w:rsidRPr="00244D65">
        <w:rPr>
          <w:noProof/>
        </w:rPr>
        <w:t xml:space="preserve">large share of </w:t>
      </w:r>
      <w:r w:rsidR="00830618" w:rsidRPr="00244D65">
        <w:rPr>
          <w:noProof/>
        </w:rPr>
        <w:t xml:space="preserve">the </w:t>
      </w:r>
      <w:r w:rsidR="00184372" w:rsidRPr="00244D65">
        <w:rPr>
          <w:noProof/>
        </w:rPr>
        <w:t>decarbonisation technologie</w:t>
      </w:r>
      <w:r w:rsidR="000E4F3B" w:rsidRPr="00244D65">
        <w:rPr>
          <w:noProof/>
        </w:rPr>
        <w:t>s</w:t>
      </w:r>
      <w:r w:rsidR="00A648FD" w:rsidRPr="00244D65">
        <w:rPr>
          <w:noProof/>
        </w:rPr>
        <w:t xml:space="preserve"> would be entering </w:t>
      </w:r>
      <w:r w:rsidR="001B65BF" w:rsidRPr="00244D65">
        <w:rPr>
          <w:noProof/>
        </w:rPr>
        <w:t>the roll-out phase post-2030.</w:t>
      </w:r>
    </w:p>
    <w:p w14:paraId="300ABA22" w14:textId="52257D60" w:rsidR="00754093" w:rsidRPr="00244D65" w:rsidRDefault="001E00A6" w:rsidP="0085595C">
      <w:pPr>
        <w:rPr>
          <w:rFonts w:eastAsia="Times New Roman"/>
          <w:noProof/>
        </w:rPr>
      </w:pPr>
      <w:r w:rsidRPr="00244D65">
        <w:rPr>
          <w:noProof/>
        </w:rPr>
        <w:t>For the Modernisation Fund, a</w:t>
      </w:r>
      <w:r w:rsidR="04BD93FC" w:rsidRPr="00244D65">
        <w:rPr>
          <w:noProof/>
        </w:rPr>
        <w:t>ll considered Policy Options, which m</w:t>
      </w:r>
      <w:r w:rsidR="6E9BBA69" w:rsidRPr="00244D65">
        <w:rPr>
          <w:noProof/>
        </w:rPr>
        <w:t xml:space="preserve">aintain the </w:t>
      </w:r>
      <w:r w:rsidR="6E9BBA69" w:rsidRPr="00244D65">
        <w:rPr>
          <w:b/>
          <w:bCs/>
          <w:noProof/>
        </w:rPr>
        <w:t>Modernisation Fund</w:t>
      </w:r>
      <w:r w:rsidR="6E9BBA69" w:rsidRPr="00244D65">
        <w:rPr>
          <w:noProof/>
        </w:rPr>
        <w:t xml:space="preserve"> after 2030</w:t>
      </w:r>
      <w:r w:rsidR="152D988C" w:rsidRPr="00244D65">
        <w:rPr>
          <w:noProof/>
        </w:rPr>
        <w:t>,</w:t>
      </w:r>
      <w:r w:rsidR="6E9BBA69" w:rsidRPr="00244D65">
        <w:rPr>
          <w:noProof/>
        </w:rPr>
        <w:t xml:space="preserve"> would have positive impacts on the reduction of GHG </w:t>
      </w:r>
      <w:r w:rsidR="000C653C" w:rsidRPr="00244D65">
        <w:rPr>
          <w:noProof/>
        </w:rPr>
        <w:t>emissions. Those</w:t>
      </w:r>
      <w:r w:rsidR="37F2CC22" w:rsidRPr="00244D65">
        <w:rPr>
          <w:noProof/>
        </w:rPr>
        <w:t xml:space="preserve"> impacts </w:t>
      </w:r>
      <w:r w:rsidR="673F3C59" w:rsidRPr="00244D65">
        <w:rPr>
          <w:noProof/>
        </w:rPr>
        <w:t xml:space="preserve">are </w:t>
      </w:r>
      <w:r w:rsidR="5AF442AE" w:rsidRPr="00244D65">
        <w:rPr>
          <w:noProof/>
        </w:rPr>
        <w:t xml:space="preserve">expected </w:t>
      </w:r>
      <w:r w:rsidR="673F3C59" w:rsidRPr="00244D65">
        <w:rPr>
          <w:noProof/>
        </w:rPr>
        <w:t>to</w:t>
      </w:r>
      <w:r w:rsidR="37F2CC22" w:rsidRPr="00244D65">
        <w:rPr>
          <w:noProof/>
        </w:rPr>
        <w:t xml:space="preserve"> be comparable to the benefits reported in the MF </w:t>
      </w:r>
      <w:r w:rsidR="003E2084" w:rsidRPr="00244D65">
        <w:rPr>
          <w:noProof/>
        </w:rPr>
        <w:t>e</w:t>
      </w:r>
      <w:r w:rsidR="37F2CC22" w:rsidRPr="00244D65">
        <w:rPr>
          <w:noProof/>
        </w:rPr>
        <w:t>valuation</w:t>
      </w:r>
      <w:r w:rsidR="3B54D3F6" w:rsidRPr="00244D65">
        <w:rPr>
          <w:noProof/>
        </w:rPr>
        <w:t xml:space="preserve">, which </w:t>
      </w:r>
      <w:r w:rsidR="000071EA" w:rsidRPr="00244D65">
        <w:rPr>
          <w:noProof/>
        </w:rPr>
        <w:t xml:space="preserve">found that the MF </w:t>
      </w:r>
      <w:r w:rsidR="3F1EE966" w:rsidRPr="00244D65">
        <w:rPr>
          <w:noProof/>
        </w:rPr>
        <w:t>will</w:t>
      </w:r>
      <w:r w:rsidR="117D3A8B" w:rsidRPr="00244D65">
        <w:rPr>
          <w:noProof/>
        </w:rPr>
        <w:t xml:space="preserve"> </w:t>
      </w:r>
      <w:r w:rsidR="117D3A8B" w:rsidRPr="00244D65">
        <w:rPr>
          <w:rFonts w:eastAsia="Times New Roman"/>
          <w:noProof/>
        </w:rPr>
        <w:t>deliver</w:t>
      </w:r>
      <w:r w:rsidR="6C7E2933" w:rsidRPr="00244D65">
        <w:rPr>
          <w:rFonts w:eastAsia="Times New Roman"/>
          <w:noProof/>
        </w:rPr>
        <w:t xml:space="preserve"> an annual average </w:t>
      </w:r>
      <w:r w:rsidR="3B54D3F6" w:rsidRPr="00244D65">
        <w:rPr>
          <w:rFonts w:eastAsia="Times New Roman"/>
          <w:noProof/>
        </w:rPr>
        <w:t xml:space="preserve">reduction </w:t>
      </w:r>
      <w:r w:rsidR="6C7E2933" w:rsidRPr="00244D65">
        <w:rPr>
          <w:rFonts w:eastAsia="Times New Roman"/>
          <w:noProof/>
        </w:rPr>
        <w:t xml:space="preserve">of </w:t>
      </w:r>
      <w:r w:rsidR="117D3A8B" w:rsidRPr="00244D65">
        <w:rPr>
          <w:rFonts w:eastAsia="Times New Roman"/>
          <w:noProof/>
        </w:rPr>
        <w:t>about</w:t>
      </w:r>
      <w:r w:rsidR="6C7E2933" w:rsidRPr="00244D65">
        <w:rPr>
          <w:rFonts w:eastAsia="Times New Roman"/>
          <w:noProof/>
        </w:rPr>
        <w:t xml:space="preserve"> 84.8 MtCO₂eq</w:t>
      </w:r>
      <w:r w:rsidR="117D3A8B" w:rsidRPr="00244D65">
        <w:rPr>
          <w:rFonts w:eastAsia="Times New Roman"/>
          <w:noProof/>
        </w:rPr>
        <w:t xml:space="preserve">, corresponding to roughly </w:t>
      </w:r>
      <w:r w:rsidR="6C7E2933" w:rsidRPr="00244D65">
        <w:rPr>
          <w:rFonts w:eastAsia="Times New Roman"/>
          <w:noProof/>
        </w:rPr>
        <w:t xml:space="preserve">32% of </w:t>
      </w:r>
      <w:r w:rsidR="117D3A8B" w:rsidRPr="00244D65">
        <w:rPr>
          <w:rFonts w:eastAsia="Times New Roman"/>
          <w:noProof/>
        </w:rPr>
        <w:t>2020</w:t>
      </w:r>
      <w:r w:rsidR="6C7E2933" w:rsidRPr="00244D65">
        <w:rPr>
          <w:rFonts w:eastAsia="Times New Roman"/>
          <w:noProof/>
        </w:rPr>
        <w:t xml:space="preserve"> emissions </w:t>
      </w:r>
      <w:r w:rsidR="3B54D3F6" w:rsidRPr="00244D65">
        <w:rPr>
          <w:rFonts w:eastAsia="Times New Roman"/>
          <w:noProof/>
        </w:rPr>
        <w:t>from</w:t>
      </w:r>
      <w:r w:rsidR="6C7E2933" w:rsidRPr="00244D65">
        <w:rPr>
          <w:rFonts w:eastAsia="Times New Roman"/>
          <w:noProof/>
        </w:rPr>
        <w:t xml:space="preserve"> the electricity, gas, steam and air-conditioning sector in </w:t>
      </w:r>
      <w:r w:rsidR="117D3A8B" w:rsidRPr="00244D65">
        <w:rPr>
          <w:rFonts w:eastAsia="Times New Roman"/>
          <w:noProof/>
        </w:rPr>
        <w:t xml:space="preserve">beneficiary Member </w:t>
      </w:r>
      <w:r w:rsidR="117D3A8B" w:rsidRPr="00244D65">
        <w:rPr>
          <w:noProof/>
        </w:rPr>
        <w:t>States</w:t>
      </w:r>
      <w:r w:rsidR="117D3A8B" w:rsidRPr="00244D65">
        <w:rPr>
          <w:rFonts w:eastAsia="Times New Roman"/>
          <w:noProof/>
        </w:rPr>
        <w:t xml:space="preserve"> (</w:t>
      </w:r>
      <w:r w:rsidR="00A05C12" w:rsidRPr="00244D65">
        <w:rPr>
          <w:rFonts w:eastAsia="Times New Roman"/>
          <w:noProof/>
        </w:rPr>
        <w:t>265</w:t>
      </w:r>
      <w:r w:rsidR="117D3A8B" w:rsidRPr="00244D65">
        <w:rPr>
          <w:rFonts w:eastAsia="Times New Roman"/>
          <w:noProof/>
        </w:rPr>
        <w:t xml:space="preserve"> MtCO₂eq)</w:t>
      </w:r>
      <w:r w:rsidR="5728D01F" w:rsidRPr="00244D65">
        <w:rPr>
          <w:rFonts w:eastAsia="Times New Roman"/>
          <w:noProof/>
        </w:rPr>
        <w:t>.</w:t>
      </w:r>
      <w:r w:rsidR="005F3B27" w:rsidRPr="00244D65">
        <w:rPr>
          <w:rFonts w:eastAsia="Times New Roman"/>
          <w:noProof/>
        </w:rPr>
        <w:t xml:space="preserve"> </w:t>
      </w:r>
      <w:r w:rsidR="00930A07" w:rsidRPr="00244D65">
        <w:rPr>
          <w:noProof/>
        </w:rPr>
        <w:t>I</w:t>
      </w:r>
      <w:r w:rsidR="00930A07" w:rsidRPr="00244D65">
        <w:rPr>
          <w:rFonts w:eastAsia="Times New Roman"/>
          <w:noProof/>
        </w:rPr>
        <w:t>n the absence of Modernisation Fund, the additional auctioning allowances received by beneficiary Member States</w:t>
      </w:r>
      <w:r w:rsidR="00492A3F" w:rsidRPr="00244D65">
        <w:rPr>
          <w:rStyle w:val="FootnoteReference"/>
          <w:rFonts w:eastAsia="Times New Roman"/>
          <w:noProof/>
        </w:rPr>
        <w:footnoteReference w:id="43"/>
      </w:r>
      <w:r w:rsidR="00930A07" w:rsidRPr="00244D65">
        <w:rPr>
          <w:rFonts w:eastAsia="Times New Roman"/>
          <w:noProof/>
        </w:rPr>
        <w:t xml:space="preserve"> would be spent by all Member States under the broader scope of uses that applies to the general pool of auctioning revenues. </w:t>
      </w:r>
      <w:r w:rsidR="006B5793" w:rsidRPr="00244D65">
        <w:rPr>
          <w:rFonts w:eastAsia="Times New Roman"/>
          <w:noProof/>
        </w:rPr>
        <w:t xml:space="preserve">However, </w:t>
      </w:r>
      <w:r w:rsidR="008C0F20" w:rsidRPr="00244D65">
        <w:rPr>
          <w:rFonts w:eastAsia="Times New Roman"/>
          <w:noProof/>
        </w:rPr>
        <w:t xml:space="preserve">MF </w:t>
      </w:r>
      <w:r w:rsidR="00182EB7" w:rsidRPr="00244D65">
        <w:rPr>
          <w:rFonts w:eastAsia="Times New Roman"/>
          <w:noProof/>
        </w:rPr>
        <w:t xml:space="preserve">investments </w:t>
      </w:r>
      <w:r w:rsidR="0B78FE85" w:rsidRPr="00244D65">
        <w:rPr>
          <w:rFonts w:eastAsia="Times New Roman"/>
          <w:noProof/>
        </w:rPr>
        <w:t>are concentrated</w:t>
      </w:r>
      <w:r w:rsidR="00182EB7" w:rsidRPr="00244D65">
        <w:rPr>
          <w:rFonts w:eastAsia="Times New Roman"/>
          <w:noProof/>
        </w:rPr>
        <w:t xml:space="preserve"> </w:t>
      </w:r>
      <w:r w:rsidR="00BF6E77" w:rsidRPr="00244D65">
        <w:rPr>
          <w:rFonts w:eastAsia="Times New Roman"/>
          <w:noProof/>
        </w:rPr>
        <w:t xml:space="preserve">in </w:t>
      </w:r>
      <w:r w:rsidR="5A5DCBA7" w:rsidRPr="00244D65">
        <w:rPr>
          <w:rFonts w:eastAsia="Times New Roman"/>
          <w:noProof/>
        </w:rPr>
        <w:t>low</w:t>
      </w:r>
      <w:r w:rsidR="5BA1AB30" w:rsidRPr="00244D65">
        <w:rPr>
          <w:rFonts w:eastAsia="Times New Roman"/>
          <w:noProof/>
        </w:rPr>
        <w:t>-</w:t>
      </w:r>
      <w:r w:rsidR="5A5DCBA7" w:rsidRPr="00244D65">
        <w:rPr>
          <w:rFonts w:eastAsia="Times New Roman"/>
          <w:noProof/>
        </w:rPr>
        <w:t>income countries where the challenges to decarbonise are higher and</w:t>
      </w:r>
      <w:r w:rsidR="59861928" w:rsidRPr="00244D65">
        <w:rPr>
          <w:rFonts w:eastAsia="Times New Roman"/>
          <w:noProof/>
        </w:rPr>
        <w:t xml:space="preserve"> </w:t>
      </w:r>
      <w:r w:rsidR="2EE5B977" w:rsidRPr="00244D65">
        <w:rPr>
          <w:rFonts w:eastAsia="Times New Roman"/>
          <w:noProof/>
        </w:rPr>
        <w:t>in sectors where</w:t>
      </w:r>
      <w:r w:rsidR="59861928" w:rsidRPr="00244D65">
        <w:rPr>
          <w:rFonts w:eastAsia="Times New Roman"/>
          <w:noProof/>
        </w:rPr>
        <w:t xml:space="preserve"> the </w:t>
      </w:r>
      <w:r w:rsidR="7BB9C344" w:rsidRPr="00244D65">
        <w:rPr>
          <w:rFonts w:eastAsia="Times New Roman"/>
          <w:noProof/>
        </w:rPr>
        <w:t xml:space="preserve">resulting </w:t>
      </w:r>
      <w:r w:rsidR="59861928" w:rsidRPr="00244D65">
        <w:rPr>
          <w:rFonts w:eastAsia="Times New Roman"/>
          <w:noProof/>
        </w:rPr>
        <w:t>GHG reductions</w:t>
      </w:r>
      <w:r w:rsidR="437868A3" w:rsidRPr="00244D65">
        <w:rPr>
          <w:rFonts w:eastAsia="Times New Roman"/>
          <w:noProof/>
        </w:rPr>
        <w:t xml:space="preserve"> </w:t>
      </w:r>
      <w:r w:rsidR="0D683513" w:rsidRPr="00244D65">
        <w:rPr>
          <w:rFonts w:eastAsia="Times New Roman"/>
          <w:noProof/>
        </w:rPr>
        <w:t xml:space="preserve">are </w:t>
      </w:r>
      <w:r w:rsidR="191CB8D4" w:rsidRPr="00244D65">
        <w:rPr>
          <w:rFonts w:eastAsia="Times New Roman"/>
          <w:noProof/>
        </w:rPr>
        <w:t xml:space="preserve">economy-wide and </w:t>
      </w:r>
      <w:r w:rsidR="0D683513" w:rsidRPr="00244D65">
        <w:rPr>
          <w:rFonts w:eastAsia="Times New Roman"/>
          <w:noProof/>
        </w:rPr>
        <w:t>structural</w:t>
      </w:r>
      <w:r w:rsidR="59861928" w:rsidRPr="00244D65">
        <w:rPr>
          <w:rFonts w:eastAsia="Times New Roman"/>
          <w:noProof/>
        </w:rPr>
        <w:t>.</w:t>
      </w:r>
    </w:p>
    <w:p w14:paraId="3BA807B0" w14:textId="51208FF4" w:rsidR="00754093" w:rsidRPr="00244D65" w:rsidRDefault="61C96859" w:rsidP="0085595C">
      <w:pPr>
        <w:rPr>
          <w:noProof/>
        </w:rPr>
      </w:pPr>
      <w:r w:rsidRPr="00244D65">
        <w:rPr>
          <w:noProof/>
        </w:rPr>
        <w:t>Through allocating revenues for investments in energy efficiency (including in buildings, transp</w:t>
      </w:r>
      <w:r w:rsidR="7C159941" w:rsidRPr="00244D65">
        <w:rPr>
          <w:noProof/>
        </w:rPr>
        <w:t>ort, etc)</w:t>
      </w:r>
      <w:r w:rsidRPr="00244D65">
        <w:rPr>
          <w:noProof/>
        </w:rPr>
        <w:t xml:space="preserve">, renewables </w:t>
      </w:r>
      <w:r w:rsidR="0E3EECA5" w:rsidRPr="00244D65">
        <w:rPr>
          <w:noProof/>
        </w:rPr>
        <w:t xml:space="preserve">deployment </w:t>
      </w:r>
      <w:r w:rsidRPr="00244D65">
        <w:rPr>
          <w:noProof/>
        </w:rPr>
        <w:t xml:space="preserve">and modernisation </w:t>
      </w:r>
      <w:r w:rsidR="74FDA623" w:rsidRPr="00244D65">
        <w:rPr>
          <w:noProof/>
        </w:rPr>
        <w:t>of the en</w:t>
      </w:r>
      <w:r w:rsidR="4F49667E" w:rsidRPr="00244D65">
        <w:rPr>
          <w:noProof/>
        </w:rPr>
        <w:t>e</w:t>
      </w:r>
      <w:r w:rsidR="74FDA623" w:rsidRPr="00244D65">
        <w:rPr>
          <w:noProof/>
        </w:rPr>
        <w:t>rgy</w:t>
      </w:r>
      <w:r w:rsidR="45C62120" w:rsidRPr="00244D65">
        <w:rPr>
          <w:noProof/>
        </w:rPr>
        <w:t xml:space="preserve"> grids</w:t>
      </w:r>
      <w:r w:rsidR="74FDA623" w:rsidRPr="00244D65">
        <w:rPr>
          <w:noProof/>
        </w:rPr>
        <w:t>,</w:t>
      </w:r>
      <w:r w:rsidRPr="00244D65">
        <w:rPr>
          <w:noProof/>
        </w:rPr>
        <w:t xml:space="preserve"> the </w:t>
      </w:r>
      <w:r w:rsidR="45A807D6" w:rsidRPr="00244D65">
        <w:rPr>
          <w:noProof/>
        </w:rPr>
        <w:t>F</w:t>
      </w:r>
      <w:r w:rsidRPr="00244D65">
        <w:rPr>
          <w:noProof/>
        </w:rPr>
        <w:t xml:space="preserve">und would </w:t>
      </w:r>
      <w:r w:rsidR="096EB3DC" w:rsidRPr="00244D65">
        <w:rPr>
          <w:noProof/>
        </w:rPr>
        <w:t>continue its contribution</w:t>
      </w:r>
      <w:r w:rsidRPr="00244D65">
        <w:rPr>
          <w:noProof/>
        </w:rPr>
        <w:t xml:space="preserve"> to lowering greenhouse gas emissions in Member States</w:t>
      </w:r>
      <w:r w:rsidR="08967D47" w:rsidRPr="00244D65">
        <w:rPr>
          <w:noProof/>
        </w:rPr>
        <w:t xml:space="preserve"> with high carbon intensity </w:t>
      </w:r>
      <w:r w:rsidRPr="00244D65">
        <w:rPr>
          <w:noProof/>
        </w:rPr>
        <w:t>under</w:t>
      </w:r>
      <w:r w:rsidR="75F1B3C5" w:rsidRPr="00244D65">
        <w:rPr>
          <w:noProof/>
        </w:rPr>
        <w:t xml:space="preserve"> both the ETS and</w:t>
      </w:r>
      <w:r w:rsidRPr="00244D65">
        <w:rPr>
          <w:noProof/>
        </w:rPr>
        <w:t xml:space="preserve"> the non</w:t>
      </w:r>
      <w:r w:rsidR="0062651C" w:rsidRPr="00244D65">
        <w:rPr>
          <w:noProof/>
        </w:rPr>
        <w:t>-</w:t>
      </w:r>
      <w:r w:rsidRPr="00244D65">
        <w:rPr>
          <w:noProof/>
        </w:rPr>
        <w:t xml:space="preserve">ETS sectors. The fund would also </w:t>
      </w:r>
      <w:r w:rsidR="4B05C79A" w:rsidRPr="00244D65">
        <w:rPr>
          <w:noProof/>
        </w:rPr>
        <w:t>contribute to</w:t>
      </w:r>
      <w:r w:rsidRPr="00244D65">
        <w:rPr>
          <w:noProof/>
        </w:rPr>
        <w:t xml:space="preserve"> modernising the power sector</w:t>
      </w:r>
      <w:r w:rsidR="6764A93D" w:rsidRPr="00244D65">
        <w:rPr>
          <w:noProof/>
        </w:rPr>
        <w:t>.</w:t>
      </w:r>
      <w:r w:rsidR="000F4610" w:rsidRPr="00244D65">
        <w:rPr>
          <w:noProof/>
        </w:rPr>
        <w:t xml:space="preserve"> Energy efficiency measures in ETS2 sectors </w:t>
      </w:r>
      <w:r w:rsidR="00587E32" w:rsidRPr="00244D65">
        <w:rPr>
          <w:noProof/>
        </w:rPr>
        <w:t xml:space="preserve">would </w:t>
      </w:r>
      <w:r w:rsidR="00862904" w:rsidRPr="00244D65">
        <w:rPr>
          <w:noProof/>
        </w:rPr>
        <w:t xml:space="preserve">address the </w:t>
      </w:r>
      <w:r w:rsidR="00D135A5" w:rsidRPr="00244D65">
        <w:rPr>
          <w:noProof/>
        </w:rPr>
        <w:t>investment needs that</w:t>
      </w:r>
      <w:r w:rsidR="00587E32" w:rsidRPr="00244D65">
        <w:rPr>
          <w:noProof/>
        </w:rPr>
        <w:t xml:space="preserve"> lower income M</w:t>
      </w:r>
      <w:r w:rsidR="00880FEE" w:rsidRPr="00244D65">
        <w:rPr>
          <w:noProof/>
        </w:rPr>
        <w:t xml:space="preserve">ember </w:t>
      </w:r>
      <w:r w:rsidR="00587E32" w:rsidRPr="00244D65">
        <w:rPr>
          <w:noProof/>
        </w:rPr>
        <w:t>S</w:t>
      </w:r>
      <w:r w:rsidR="00880FEE" w:rsidRPr="00244D65">
        <w:rPr>
          <w:noProof/>
        </w:rPr>
        <w:t>tates</w:t>
      </w:r>
      <w:r w:rsidR="00587E32" w:rsidRPr="00244D65">
        <w:rPr>
          <w:noProof/>
        </w:rPr>
        <w:t xml:space="preserve"> </w:t>
      </w:r>
      <w:r w:rsidR="00D135A5" w:rsidRPr="00244D65">
        <w:rPr>
          <w:noProof/>
        </w:rPr>
        <w:t xml:space="preserve">still </w:t>
      </w:r>
      <w:r w:rsidR="000238F5" w:rsidRPr="00244D65">
        <w:rPr>
          <w:noProof/>
        </w:rPr>
        <w:t xml:space="preserve">face </w:t>
      </w:r>
      <w:r w:rsidR="00357FE6" w:rsidRPr="00244D65">
        <w:rPr>
          <w:noProof/>
        </w:rPr>
        <w:t xml:space="preserve">to </w:t>
      </w:r>
      <w:r w:rsidR="003B6CED" w:rsidRPr="00244D65">
        <w:rPr>
          <w:noProof/>
        </w:rPr>
        <w:t xml:space="preserve">continue their </w:t>
      </w:r>
      <w:r w:rsidR="00A64F2A" w:rsidRPr="00244D65">
        <w:rPr>
          <w:noProof/>
        </w:rPr>
        <w:t xml:space="preserve">industrial </w:t>
      </w:r>
      <w:r w:rsidR="00E65BE5" w:rsidRPr="00244D65">
        <w:rPr>
          <w:noProof/>
        </w:rPr>
        <w:t>decarboni</w:t>
      </w:r>
      <w:r w:rsidR="0099147C" w:rsidRPr="00244D65">
        <w:rPr>
          <w:noProof/>
        </w:rPr>
        <w:t>sation efforts</w:t>
      </w:r>
      <w:r w:rsidR="00041916" w:rsidRPr="00244D65">
        <w:rPr>
          <w:noProof/>
        </w:rPr>
        <w:t xml:space="preserve"> (including buildings and </w:t>
      </w:r>
      <w:r w:rsidR="00DB0CA8" w:rsidRPr="00244D65">
        <w:rPr>
          <w:noProof/>
        </w:rPr>
        <w:t>all types of transport)</w:t>
      </w:r>
      <w:r w:rsidR="0099147C" w:rsidRPr="00244D65">
        <w:rPr>
          <w:noProof/>
        </w:rPr>
        <w:t xml:space="preserve">, </w:t>
      </w:r>
      <w:r w:rsidR="00E85BE2" w:rsidRPr="00244D65">
        <w:rPr>
          <w:noProof/>
        </w:rPr>
        <w:t>as compared to the Social Climate Fund which only covers</w:t>
      </w:r>
      <w:r w:rsidR="00EC1458" w:rsidRPr="00244D65">
        <w:rPr>
          <w:noProof/>
        </w:rPr>
        <w:t xml:space="preserve"> </w:t>
      </w:r>
      <w:bookmarkStart w:id="147" w:name="_Int_Pj5MgaYd"/>
      <w:r w:rsidR="00EC1458" w:rsidRPr="00244D65">
        <w:rPr>
          <w:noProof/>
        </w:rPr>
        <w:t>very small</w:t>
      </w:r>
      <w:bookmarkEnd w:id="147"/>
      <w:r w:rsidR="00EC1458" w:rsidRPr="00244D65">
        <w:rPr>
          <w:noProof/>
        </w:rPr>
        <w:t xml:space="preserve"> businesses and most </w:t>
      </w:r>
      <w:r w:rsidR="003E0E97" w:rsidRPr="00244D65">
        <w:rPr>
          <w:noProof/>
        </w:rPr>
        <w:t xml:space="preserve">vulnerable households. </w:t>
      </w:r>
      <w:r w:rsidR="001F33A9" w:rsidRPr="00244D65">
        <w:rPr>
          <w:noProof/>
        </w:rPr>
        <w:t xml:space="preserve">The deployment of renewable energy still needs support in </w:t>
      </w:r>
      <w:r w:rsidR="00E464CE" w:rsidRPr="00244D65">
        <w:rPr>
          <w:noProof/>
        </w:rPr>
        <w:t xml:space="preserve">certain Member States, either through grid reinforcement or </w:t>
      </w:r>
      <w:r w:rsidR="00F16A5E" w:rsidRPr="00244D65">
        <w:rPr>
          <w:noProof/>
        </w:rPr>
        <w:t>energy storage</w:t>
      </w:r>
      <w:r w:rsidR="008830D0" w:rsidRPr="00244D65">
        <w:rPr>
          <w:noProof/>
        </w:rPr>
        <w:t xml:space="preserve"> deployment, </w:t>
      </w:r>
      <w:r w:rsidR="002B5DFF" w:rsidRPr="00244D65">
        <w:rPr>
          <w:noProof/>
        </w:rPr>
        <w:t xml:space="preserve">and </w:t>
      </w:r>
      <w:r w:rsidR="008830D0" w:rsidRPr="00244D65">
        <w:rPr>
          <w:noProof/>
        </w:rPr>
        <w:t>it did not reach its full p</w:t>
      </w:r>
      <w:r w:rsidR="002B5DFF" w:rsidRPr="00244D65">
        <w:rPr>
          <w:noProof/>
        </w:rPr>
        <w:t>otential</w:t>
      </w:r>
      <w:r w:rsidR="008830D0" w:rsidRPr="00244D65">
        <w:rPr>
          <w:noProof/>
        </w:rPr>
        <w:t>.</w:t>
      </w:r>
      <w:r w:rsidR="00A74899" w:rsidRPr="00244D65">
        <w:rPr>
          <w:noProof/>
        </w:rPr>
        <w:t xml:space="preserve"> </w:t>
      </w:r>
      <w:r w:rsidR="00933152" w:rsidRPr="00244D65">
        <w:rPr>
          <w:noProof/>
        </w:rPr>
        <w:t>The MF evaluation show</w:t>
      </w:r>
      <w:r w:rsidR="00F00C2B" w:rsidRPr="00244D65">
        <w:rPr>
          <w:noProof/>
        </w:rPr>
        <w:t>s</w:t>
      </w:r>
      <w:r w:rsidR="00933152" w:rsidRPr="00244D65">
        <w:rPr>
          <w:noProof/>
        </w:rPr>
        <w:t xml:space="preserve"> that </w:t>
      </w:r>
      <w:r w:rsidR="00B02B63" w:rsidRPr="00244D65">
        <w:rPr>
          <w:noProof/>
        </w:rPr>
        <w:t>a</w:t>
      </w:r>
      <w:r w:rsidR="00933152" w:rsidRPr="00244D65">
        <w:rPr>
          <w:noProof/>
        </w:rPr>
        <w:t>lthough the progress in the deployment of renewables differs across Member States, there is an overall deployment gap for many of them to reach the 2030 renewable energy target of 42.5%</w:t>
      </w:r>
      <w:r w:rsidR="00411CCB" w:rsidRPr="00244D65">
        <w:rPr>
          <w:noProof/>
        </w:rPr>
        <w:t xml:space="preserve"> </w:t>
      </w:r>
      <w:r w:rsidR="00E06710" w:rsidRPr="00244D65">
        <w:rPr>
          <w:noProof/>
        </w:rPr>
        <w:t>and that their</w:t>
      </w:r>
      <w:r w:rsidR="005A45D3" w:rsidRPr="00244D65">
        <w:rPr>
          <w:noProof/>
        </w:rPr>
        <w:t xml:space="preserve"> energy mix </w:t>
      </w:r>
      <w:r w:rsidR="00933152" w:rsidRPr="00244D65">
        <w:rPr>
          <w:noProof/>
        </w:rPr>
        <w:t>still largely relying on</w:t>
      </w:r>
      <w:r w:rsidR="00933152" w:rsidRPr="00244D65" w:rsidDel="005A45D3">
        <w:rPr>
          <w:noProof/>
        </w:rPr>
        <w:t xml:space="preserve"> </w:t>
      </w:r>
      <w:r w:rsidR="005A45D3" w:rsidRPr="00244D65">
        <w:rPr>
          <w:noProof/>
        </w:rPr>
        <w:t>fossil fuels</w:t>
      </w:r>
      <w:r w:rsidR="00933152" w:rsidRPr="00244D65">
        <w:rPr>
          <w:rStyle w:val="FootnoteReference"/>
          <w:noProof/>
        </w:rPr>
        <w:footnoteReference w:id="44"/>
      </w:r>
      <w:r w:rsidR="00933152" w:rsidRPr="00244D65">
        <w:rPr>
          <w:noProof/>
        </w:rPr>
        <w:t xml:space="preserve">. Decarbonising heating and cooling is </w:t>
      </w:r>
      <w:r w:rsidR="00B02B63" w:rsidRPr="00244D65">
        <w:rPr>
          <w:noProof/>
        </w:rPr>
        <w:t xml:space="preserve">still </w:t>
      </w:r>
      <w:r w:rsidR="00933152" w:rsidRPr="00244D65">
        <w:rPr>
          <w:noProof/>
        </w:rPr>
        <w:t>a major challenge for the 13 beneficiary Member States.</w:t>
      </w:r>
    </w:p>
    <w:p w14:paraId="023A1C58" w14:textId="06A0D544" w:rsidR="00754093" w:rsidRPr="00244D65" w:rsidRDefault="098B92C4" w:rsidP="0085595C">
      <w:pPr>
        <w:rPr>
          <w:rFonts w:eastAsia="Times New Roman"/>
          <w:noProof/>
        </w:rPr>
      </w:pPr>
      <w:r w:rsidRPr="00244D65">
        <w:rPr>
          <w:rFonts w:eastAsia="Times New Roman"/>
          <w:noProof/>
        </w:rPr>
        <w:t>EU ETS allowances spent in the context</w:t>
      </w:r>
      <w:r w:rsidR="784FE4E2" w:rsidRPr="00244D65">
        <w:rPr>
          <w:rFonts w:eastAsia="Times New Roman"/>
          <w:noProof/>
        </w:rPr>
        <w:t xml:space="preserve"> of the </w:t>
      </w:r>
      <w:r w:rsidRPr="00244D65">
        <w:rPr>
          <w:rFonts w:eastAsia="Times New Roman"/>
          <w:noProof/>
        </w:rPr>
        <w:t xml:space="preserve">Modernisation Fund are subject to </w:t>
      </w:r>
      <w:r w:rsidR="3B1FEF41" w:rsidRPr="00244D65">
        <w:rPr>
          <w:rFonts w:eastAsia="Times New Roman"/>
          <w:noProof/>
        </w:rPr>
        <w:t>ex-ante verification at EU level through both</w:t>
      </w:r>
      <w:r w:rsidRPr="00244D65">
        <w:rPr>
          <w:rFonts w:eastAsia="Times New Roman"/>
          <w:noProof/>
        </w:rPr>
        <w:t xml:space="preserve"> </w:t>
      </w:r>
      <w:r w:rsidR="2C01B3FD" w:rsidRPr="00244D65">
        <w:rPr>
          <w:rFonts w:eastAsia="Times New Roman"/>
          <w:noProof/>
        </w:rPr>
        <w:t xml:space="preserve">state aid compliance </w:t>
      </w:r>
      <w:r w:rsidR="1BC93D7F" w:rsidRPr="00244D65">
        <w:rPr>
          <w:rFonts w:eastAsia="Times New Roman"/>
          <w:noProof/>
        </w:rPr>
        <w:t>check</w:t>
      </w:r>
      <w:r w:rsidR="2C01B3FD" w:rsidRPr="00244D65">
        <w:rPr>
          <w:rFonts w:eastAsia="Times New Roman"/>
          <w:noProof/>
        </w:rPr>
        <w:t xml:space="preserve"> and </w:t>
      </w:r>
      <w:r w:rsidRPr="00244D65">
        <w:rPr>
          <w:rFonts w:eastAsia="Times New Roman"/>
          <w:noProof/>
        </w:rPr>
        <w:t xml:space="preserve">a review by the EIB </w:t>
      </w:r>
      <w:r w:rsidR="1366D96B" w:rsidRPr="00244D65">
        <w:rPr>
          <w:rFonts w:eastAsia="Times New Roman"/>
          <w:noProof/>
        </w:rPr>
        <w:t>as an outcome</w:t>
      </w:r>
      <w:r w:rsidRPr="00244D65">
        <w:rPr>
          <w:rFonts w:eastAsia="Times New Roman"/>
          <w:noProof/>
        </w:rPr>
        <w:t xml:space="preserve"> of which the EIB confirms that the investments </w:t>
      </w:r>
      <w:r w:rsidR="584749CA" w:rsidRPr="00244D65">
        <w:rPr>
          <w:rFonts w:eastAsia="Times New Roman"/>
          <w:noProof/>
        </w:rPr>
        <w:t xml:space="preserve">proposed by </w:t>
      </w:r>
      <w:r w:rsidR="3E263ABA" w:rsidRPr="00244D65">
        <w:rPr>
          <w:rFonts w:eastAsia="Times New Roman"/>
          <w:noProof/>
        </w:rPr>
        <w:t xml:space="preserve">beneficiary Member States are in line with the objectives </w:t>
      </w:r>
      <w:r w:rsidR="3E263ABA" w:rsidRPr="00244D65">
        <w:rPr>
          <w:noProof/>
        </w:rPr>
        <w:t>of</w:t>
      </w:r>
      <w:r w:rsidR="3E263ABA" w:rsidRPr="00244D65">
        <w:rPr>
          <w:rFonts w:eastAsia="Times New Roman"/>
          <w:noProof/>
        </w:rPr>
        <w:t xml:space="preserve"> the </w:t>
      </w:r>
      <w:r w:rsidR="00F83E57" w:rsidRPr="00244D65">
        <w:rPr>
          <w:rFonts w:eastAsia="Times New Roman"/>
          <w:noProof/>
        </w:rPr>
        <w:t>ETS Directive</w:t>
      </w:r>
      <w:r w:rsidR="3E263ABA" w:rsidRPr="00244D65">
        <w:rPr>
          <w:rFonts w:eastAsia="Times New Roman"/>
          <w:noProof/>
        </w:rPr>
        <w:t xml:space="preserve">. For </w:t>
      </w:r>
      <w:r w:rsidR="52E67F8D" w:rsidRPr="00244D65">
        <w:rPr>
          <w:rFonts w:eastAsia="Times New Roman"/>
          <w:noProof/>
        </w:rPr>
        <w:t>p</w:t>
      </w:r>
      <w:r w:rsidR="3E263ABA" w:rsidRPr="00244D65">
        <w:rPr>
          <w:rFonts w:eastAsia="Times New Roman"/>
          <w:noProof/>
        </w:rPr>
        <w:t>riority investments, this includes falling in</w:t>
      </w:r>
      <w:r w:rsidR="48A66FAE" w:rsidRPr="00244D65">
        <w:rPr>
          <w:rFonts w:eastAsia="Times New Roman"/>
          <w:noProof/>
        </w:rPr>
        <w:t>to the priority areas defined by the Directive.</w:t>
      </w:r>
      <w:r w:rsidR="3E263ABA" w:rsidRPr="00244D65">
        <w:rPr>
          <w:rFonts w:eastAsia="Times New Roman"/>
          <w:noProof/>
        </w:rPr>
        <w:t xml:space="preserve"> For </w:t>
      </w:r>
      <w:r w:rsidR="25B2D817" w:rsidRPr="00244D65">
        <w:rPr>
          <w:rFonts w:eastAsia="Times New Roman"/>
          <w:noProof/>
        </w:rPr>
        <w:t>n</w:t>
      </w:r>
      <w:r w:rsidR="3E263ABA" w:rsidRPr="00244D65">
        <w:rPr>
          <w:rFonts w:eastAsia="Times New Roman"/>
          <w:noProof/>
        </w:rPr>
        <w:t>on-</w:t>
      </w:r>
      <w:r w:rsidR="7FAC89E4" w:rsidRPr="00244D65">
        <w:rPr>
          <w:rFonts w:eastAsia="Times New Roman"/>
          <w:noProof/>
        </w:rPr>
        <w:t>p</w:t>
      </w:r>
      <w:r w:rsidR="3E263ABA" w:rsidRPr="00244D65">
        <w:rPr>
          <w:rFonts w:eastAsia="Times New Roman"/>
          <w:noProof/>
        </w:rPr>
        <w:t>rio</w:t>
      </w:r>
      <w:r w:rsidR="496DBD0E" w:rsidRPr="00244D65">
        <w:rPr>
          <w:rFonts w:eastAsia="Times New Roman"/>
          <w:noProof/>
        </w:rPr>
        <w:t>rity area,</w:t>
      </w:r>
      <w:r w:rsidR="23DD7F04" w:rsidRPr="00244D65">
        <w:rPr>
          <w:rFonts w:eastAsia="Times New Roman"/>
          <w:noProof/>
        </w:rPr>
        <w:t xml:space="preserve"> this includes a due diligence and assessment of planned GHG emissi</w:t>
      </w:r>
      <w:r w:rsidR="0A875AD5" w:rsidRPr="00244D65">
        <w:rPr>
          <w:rFonts w:eastAsia="Times New Roman"/>
          <w:noProof/>
        </w:rPr>
        <w:t>o</w:t>
      </w:r>
      <w:r w:rsidR="23DD7F04" w:rsidRPr="00244D65">
        <w:rPr>
          <w:rFonts w:eastAsia="Times New Roman"/>
          <w:noProof/>
        </w:rPr>
        <w:t xml:space="preserve">ns reductions. </w:t>
      </w:r>
    </w:p>
    <w:p w14:paraId="412FEFC4" w14:textId="3F846471" w:rsidR="00754093" w:rsidRPr="00244D65" w:rsidRDefault="23DAC093" w:rsidP="0085595C">
      <w:pPr>
        <w:rPr>
          <w:noProof/>
        </w:rPr>
      </w:pPr>
      <w:r w:rsidRPr="00244D65">
        <w:rPr>
          <w:noProof/>
        </w:rPr>
        <w:t>Furthermore, all policy options considered increase the level of climate ambition in terms of reducing GHG emissions insofar as they all exclude</w:t>
      </w:r>
      <w:r w:rsidR="0299EE65" w:rsidRPr="00244D65">
        <w:rPr>
          <w:noProof/>
        </w:rPr>
        <w:t xml:space="preserve"> support to </w:t>
      </w:r>
      <w:r w:rsidR="5C3D8672" w:rsidRPr="00244D65">
        <w:rPr>
          <w:noProof/>
        </w:rPr>
        <w:t xml:space="preserve">investments involving natural </w:t>
      </w:r>
      <w:r w:rsidR="0299EE65" w:rsidRPr="00244D65">
        <w:rPr>
          <w:noProof/>
        </w:rPr>
        <w:t xml:space="preserve">gas and waste-to-energy </w:t>
      </w:r>
      <w:r w:rsidR="537533C9" w:rsidRPr="00244D65">
        <w:rPr>
          <w:noProof/>
        </w:rPr>
        <w:t>as priority investments.</w:t>
      </w:r>
      <w:r w:rsidR="2312CBE7" w:rsidRPr="00244D65">
        <w:rPr>
          <w:noProof/>
        </w:rPr>
        <w:t xml:space="preserve"> </w:t>
      </w:r>
      <w:r w:rsidR="00D2226E" w:rsidRPr="00244D65">
        <w:rPr>
          <w:noProof/>
        </w:rPr>
        <w:t>Expanding</w:t>
      </w:r>
      <w:r w:rsidR="00831C39" w:rsidRPr="00244D65">
        <w:rPr>
          <w:noProof/>
        </w:rPr>
        <w:t xml:space="preserve"> the scope of the Fund to CCS and direct electrification </w:t>
      </w:r>
      <w:r w:rsidR="0004581E" w:rsidRPr="00244D65">
        <w:rPr>
          <w:noProof/>
        </w:rPr>
        <w:t>for industry ac</w:t>
      </w:r>
      <w:r w:rsidR="004161A9" w:rsidRPr="00244D65">
        <w:rPr>
          <w:noProof/>
        </w:rPr>
        <w:t>ro</w:t>
      </w:r>
      <w:r w:rsidR="0004581E" w:rsidRPr="00244D65">
        <w:rPr>
          <w:noProof/>
        </w:rPr>
        <w:t xml:space="preserve">ss all policy options </w:t>
      </w:r>
      <w:r w:rsidR="004161A9" w:rsidRPr="00244D65">
        <w:rPr>
          <w:noProof/>
        </w:rPr>
        <w:t xml:space="preserve">is expected to </w:t>
      </w:r>
      <w:r w:rsidR="00080887" w:rsidRPr="00244D65">
        <w:rPr>
          <w:noProof/>
        </w:rPr>
        <w:t>reinforce the positive impact on</w:t>
      </w:r>
      <w:r w:rsidR="00064568" w:rsidRPr="00244D65">
        <w:rPr>
          <w:noProof/>
        </w:rPr>
        <w:t xml:space="preserve"> GHG reductions. </w:t>
      </w:r>
      <w:r w:rsidR="00281D5E" w:rsidRPr="00244D65">
        <w:rPr>
          <w:noProof/>
        </w:rPr>
        <w:t>PO</w:t>
      </w:r>
      <w:r w:rsidR="537533C9" w:rsidRPr="00244D65">
        <w:rPr>
          <w:noProof/>
        </w:rPr>
        <w:t>3 brings the highest climate benefits in terms of potential GHG emissions reductio</w:t>
      </w:r>
      <w:r w:rsidR="257DDF90" w:rsidRPr="00244D65">
        <w:rPr>
          <w:noProof/>
        </w:rPr>
        <w:t>n insofar as</w:t>
      </w:r>
      <w:r w:rsidR="537533C9" w:rsidRPr="00244D65">
        <w:rPr>
          <w:noProof/>
        </w:rPr>
        <w:t xml:space="preserve"> it</w:t>
      </w:r>
      <w:r w:rsidR="0299EE65" w:rsidRPr="00244D65">
        <w:rPr>
          <w:noProof/>
        </w:rPr>
        <w:t xml:space="preserve"> </w:t>
      </w:r>
      <w:r w:rsidR="02D51FF3" w:rsidRPr="00244D65">
        <w:rPr>
          <w:noProof/>
        </w:rPr>
        <w:t>excludes all types of investments involving gas and waste-to-energy, inclu</w:t>
      </w:r>
      <w:r w:rsidR="03006C9E" w:rsidRPr="00244D65">
        <w:rPr>
          <w:noProof/>
        </w:rPr>
        <w:t>d</w:t>
      </w:r>
      <w:r w:rsidR="02D51FF3" w:rsidRPr="00244D65">
        <w:rPr>
          <w:noProof/>
        </w:rPr>
        <w:t>ing as non-priority investments</w:t>
      </w:r>
      <w:r w:rsidR="58DBD514" w:rsidRPr="00244D65">
        <w:rPr>
          <w:noProof/>
        </w:rPr>
        <w:t>, while bringing the share of prior</w:t>
      </w:r>
      <w:r w:rsidR="3A1D05CB" w:rsidRPr="00244D65">
        <w:rPr>
          <w:noProof/>
        </w:rPr>
        <w:t>i</w:t>
      </w:r>
      <w:r w:rsidR="58DBD514" w:rsidRPr="00244D65">
        <w:rPr>
          <w:noProof/>
        </w:rPr>
        <w:t>ty investment to 100%</w:t>
      </w:r>
      <w:r w:rsidR="02D51FF3" w:rsidRPr="00244D65">
        <w:rPr>
          <w:noProof/>
        </w:rPr>
        <w:t xml:space="preserve">. </w:t>
      </w:r>
      <w:r w:rsidR="00281D5E" w:rsidRPr="00244D65">
        <w:rPr>
          <w:noProof/>
        </w:rPr>
        <w:t>PO</w:t>
      </w:r>
      <w:r w:rsidR="02D51FF3" w:rsidRPr="00244D65">
        <w:rPr>
          <w:noProof/>
        </w:rPr>
        <w:t xml:space="preserve">2 </w:t>
      </w:r>
      <w:r w:rsidR="11A5F4A8" w:rsidRPr="00244D65">
        <w:rPr>
          <w:noProof/>
        </w:rPr>
        <w:t>also brings high climate benefits as it importantly restricts the share</w:t>
      </w:r>
      <w:r w:rsidR="27EE86C2" w:rsidRPr="00244D65">
        <w:rPr>
          <w:noProof/>
        </w:rPr>
        <w:t xml:space="preserve"> of non</w:t>
      </w:r>
      <w:r w:rsidR="79A894DB" w:rsidRPr="00244D65">
        <w:rPr>
          <w:noProof/>
        </w:rPr>
        <w:t>-</w:t>
      </w:r>
      <w:r w:rsidR="27EE86C2" w:rsidRPr="00244D65">
        <w:rPr>
          <w:noProof/>
        </w:rPr>
        <w:t xml:space="preserve">priority investments (to 5%) while </w:t>
      </w:r>
      <w:r w:rsidR="3C3F7089" w:rsidRPr="00244D65">
        <w:rPr>
          <w:noProof/>
        </w:rPr>
        <w:t>excluding any support to gas infrastructure</w:t>
      </w:r>
      <w:r w:rsidR="6D8AE2E1" w:rsidRPr="00244D65">
        <w:rPr>
          <w:noProof/>
        </w:rPr>
        <w:t xml:space="preserve"> or any support to waste-to-energy which would not be in the conditions of high efficiency combined heat and power</w:t>
      </w:r>
      <w:r w:rsidR="3C3F7089" w:rsidRPr="00244D65">
        <w:rPr>
          <w:noProof/>
        </w:rPr>
        <w:t>.</w:t>
      </w:r>
      <w:r w:rsidR="009865D6" w:rsidRPr="00244D65">
        <w:rPr>
          <w:noProof/>
        </w:rPr>
        <w:t xml:space="preserve"> </w:t>
      </w:r>
    </w:p>
    <w:p w14:paraId="09790B79" w14:textId="34D046DE" w:rsidR="00754093" w:rsidRPr="00244D65" w:rsidRDefault="449293F5" w:rsidP="0085595C">
      <w:pPr>
        <w:rPr>
          <w:noProof/>
        </w:rPr>
      </w:pPr>
      <w:r w:rsidRPr="00244D65">
        <w:rPr>
          <w:noProof/>
        </w:rPr>
        <w:t xml:space="preserve">Finally, </w:t>
      </w:r>
      <w:r w:rsidR="00281D5E" w:rsidRPr="00244D65">
        <w:rPr>
          <w:noProof/>
        </w:rPr>
        <w:t>PO</w:t>
      </w:r>
      <w:r w:rsidRPr="00244D65">
        <w:rPr>
          <w:noProof/>
        </w:rPr>
        <w:t xml:space="preserve">1 brings </w:t>
      </w:r>
      <w:r w:rsidR="60C8EA20" w:rsidRPr="00244D65">
        <w:rPr>
          <w:noProof/>
        </w:rPr>
        <w:t xml:space="preserve">more </w:t>
      </w:r>
      <w:r w:rsidRPr="00244D65">
        <w:rPr>
          <w:noProof/>
        </w:rPr>
        <w:t>limited benefits in terms of GHG emissions reduction potential compared to the current MF set up – but still important ones compared to the b</w:t>
      </w:r>
      <w:r w:rsidR="63D8C1DA" w:rsidRPr="00244D65">
        <w:rPr>
          <w:noProof/>
        </w:rPr>
        <w:t xml:space="preserve">aseline where the MF is absent – as it </w:t>
      </w:r>
      <w:r w:rsidR="081145DD" w:rsidRPr="00244D65">
        <w:rPr>
          <w:noProof/>
        </w:rPr>
        <w:t xml:space="preserve">still </w:t>
      </w:r>
      <w:r w:rsidR="63D8C1DA" w:rsidRPr="00244D65">
        <w:rPr>
          <w:noProof/>
        </w:rPr>
        <w:t>allows</w:t>
      </w:r>
      <w:r w:rsidR="2BBD3071" w:rsidRPr="00244D65">
        <w:rPr>
          <w:noProof/>
        </w:rPr>
        <w:t xml:space="preserve"> for</w:t>
      </w:r>
      <w:r w:rsidR="609C1F78" w:rsidRPr="00244D65">
        <w:rPr>
          <w:noProof/>
        </w:rPr>
        <w:t xml:space="preserve"> 10% </w:t>
      </w:r>
      <w:r w:rsidR="0299EE65" w:rsidRPr="00244D65">
        <w:rPr>
          <w:noProof/>
        </w:rPr>
        <w:t xml:space="preserve">of </w:t>
      </w:r>
      <w:r w:rsidR="006109FB" w:rsidRPr="00244D65">
        <w:rPr>
          <w:noProof/>
        </w:rPr>
        <w:t>non-priority investments</w:t>
      </w:r>
      <w:r w:rsidR="609C1F78" w:rsidRPr="00244D65">
        <w:rPr>
          <w:noProof/>
        </w:rPr>
        <w:t xml:space="preserve"> and the possibility to fund investments supporting </w:t>
      </w:r>
      <w:r w:rsidR="0299EE65" w:rsidRPr="00244D65">
        <w:rPr>
          <w:noProof/>
        </w:rPr>
        <w:t xml:space="preserve">gas and waste-to-energy </w:t>
      </w:r>
      <w:r w:rsidR="609C1F78" w:rsidRPr="00244D65">
        <w:rPr>
          <w:noProof/>
        </w:rPr>
        <w:t>with these</w:t>
      </w:r>
      <w:r w:rsidR="0299EE65" w:rsidRPr="00244D65">
        <w:rPr>
          <w:noProof/>
        </w:rPr>
        <w:t xml:space="preserve"> 10</w:t>
      </w:r>
      <w:r w:rsidR="609C1F78" w:rsidRPr="00244D65">
        <w:rPr>
          <w:noProof/>
        </w:rPr>
        <w:t>%.</w:t>
      </w:r>
      <w:r w:rsidR="0299EE65" w:rsidRPr="00244D65">
        <w:rPr>
          <w:noProof/>
        </w:rPr>
        <w:t xml:space="preserve"> </w:t>
      </w:r>
    </w:p>
    <w:p w14:paraId="58B33AB0" w14:textId="10402226" w:rsidR="00474B23" w:rsidRPr="00244D65" w:rsidRDefault="000B2B13" w:rsidP="0085595C">
      <w:pPr>
        <w:pStyle w:val="Heading4"/>
        <w:rPr>
          <w:noProof/>
        </w:rPr>
      </w:pPr>
      <w:r w:rsidRPr="00244D65">
        <w:rPr>
          <w:noProof/>
        </w:rPr>
        <w:t xml:space="preserve"> </w:t>
      </w:r>
      <w:r w:rsidR="00474B23" w:rsidRPr="00244D65">
        <w:rPr>
          <w:noProof/>
        </w:rPr>
        <w:t>Aviation</w:t>
      </w:r>
    </w:p>
    <w:p w14:paraId="46AA8E45" w14:textId="03F7C892" w:rsidR="00AF68CC" w:rsidRPr="00244D65" w:rsidRDefault="00320FE2" w:rsidP="0085595C">
      <w:pPr>
        <w:rPr>
          <w:noProof/>
          <w:u w:val="single"/>
        </w:rPr>
      </w:pPr>
      <w:r w:rsidRPr="00244D65">
        <w:rPr>
          <w:noProof/>
        </w:rPr>
        <w:t>If SAF is counted as zero emissions</w:t>
      </w:r>
      <w:r w:rsidRPr="00244D65">
        <w:rPr>
          <w:rStyle w:val="FootnoteReference"/>
          <w:noProof/>
        </w:rPr>
        <w:footnoteReference w:id="45"/>
      </w:r>
      <w:r w:rsidRPr="00244D65">
        <w:rPr>
          <w:noProof/>
        </w:rPr>
        <w:t xml:space="preserve">, we expect </w:t>
      </w:r>
      <w:r w:rsidR="00A82325" w:rsidRPr="00244D65">
        <w:rPr>
          <w:noProof/>
        </w:rPr>
        <w:t xml:space="preserve">aviation’s </w:t>
      </w:r>
      <w:r w:rsidRPr="00244D65">
        <w:rPr>
          <w:noProof/>
        </w:rPr>
        <w:t>global international CO</w:t>
      </w:r>
      <w:r w:rsidRPr="00244D65">
        <w:rPr>
          <w:noProof/>
          <w:vertAlign w:val="subscript"/>
        </w:rPr>
        <w:t>2</w:t>
      </w:r>
      <w:r w:rsidRPr="00244D65">
        <w:rPr>
          <w:noProof/>
        </w:rPr>
        <w:t xml:space="preserve"> emissions </w:t>
      </w:r>
      <w:r w:rsidR="00F756D0" w:rsidRPr="00244D65">
        <w:rPr>
          <w:noProof/>
        </w:rPr>
        <w:t>to</w:t>
      </w:r>
      <w:r w:rsidRPr="00244D65">
        <w:rPr>
          <w:noProof/>
        </w:rPr>
        <w:t xml:space="preserve"> reduc</w:t>
      </w:r>
      <w:r w:rsidR="00F756D0" w:rsidRPr="00244D65">
        <w:rPr>
          <w:noProof/>
        </w:rPr>
        <w:t>e</w:t>
      </w:r>
      <w:r w:rsidRPr="00244D65">
        <w:rPr>
          <w:noProof/>
        </w:rPr>
        <w:t xml:space="preserve"> </w:t>
      </w:r>
      <w:r w:rsidR="00F756D0" w:rsidRPr="00244D65">
        <w:rPr>
          <w:noProof/>
        </w:rPr>
        <w:t>by</w:t>
      </w:r>
      <w:r w:rsidRPr="00244D65">
        <w:rPr>
          <w:noProof/>
        </w:rPr>
        <w:t xml:space="preserve"> 14% </w:t>
      </w:r>
      <w:r w:rsidR="00F756D0" w:rsidRPr="00244D65">
        <w:rPr>
          <w:noProof/>
        </w:rPr>
        <w:t>between 2024 and 2040</w:t>
      </w:r>
      <w:r w:rsidRPr="00244D65">
        <w:rPr>
          <w:noProof/>
        </w:rPr>
        <w:t>.</w:t>
      </w:r>
      <w:r w:rsidR="00F756D0" w:rsidRPr="00244D65">
        <w:rPr>
          <w:noProof/>
        </w:rPr>
        <w:t xml:space="preserve"> </w:t>
      </w:r>
      <w:r w:rsidR="00E34BD4" w:rsidRPr="00244D65">
        <w:rPr>
          <w:noProof/>
        </w:rPr>
        <w:t>W</w:t>
      </w:r>
      <w:r w:rsidR="00462C01" w:rsidRPr="00244D65">
        <w:rPr>
          <w:noProof/>
        </w:rPr>
        <w:t xml:space="preserve">ithout </w:t>
      </w:r>
      <w:r w:rsidR="00FB5DEB" w:rsidRPr="00244D65">
        <w:rPr>
          <w:noProof/>
        </w:rPr>
        <w:t>accounting for the</w:t>
      </w:r>
      <w:r w:rsidR="00462C01" w:rsidRPr="00244D65">
        <w:rPr>
          <w:noProof/>
        </w:rPr>
        <w:t xml:space="preserve"> use of SAF, </w:t>
      </w:r>
      <w:r w:rsidR="006F071D" w:rsidRPr="00244D65">
        <w:rPr>
          <w:noProof/>
        </w:rPr>
        <w:t>these aviation emissions</w:t>
      </w:r>
      <w:r w:rsidR="00462C01" w:rsidRPr="00244D65">
        <w:rPr>
          <w:noProof/>
        </w:rPr>
        <w:t xml:space="preserve"> are projected to grow around 12% </w:t>
      </w:r>
      <w:r w:rsidR="006F071D" w:rsidRPr="00244D65">
        <w:rPr>
          <w:noProof/>
        </w:rPr>
        <w:t>in the same timeframe.</w:t>
      </w:r>
      <w:r w:rsidR="00462C01" w:rsidRPr="00244D65">
        <w:rPr>
          <w:noProof/>
        </w:rPr>
        <w:t xml:space="preserve"> </w:t>
      </w:r>
      <w:r w:rsidR="54AE3A73" w:rsidRPr="00244D65">
        <w:rPr>
          <w:noProof/>
        </w:rPr>
        <w:t>EASA</w:t>
      </w:r>
      <w:r w:rsidR="00B13C68" w:rsidRPr="00244D65">
        <w:rPr>
          <w:noProof/>
        </w:rPr>
        <w:t xml:space="preserve"> reports</w:t>
      </w:r>
      <w:r w:rsidR="00B13C68" w:rsidRPr="00244D65">
        <w:rPr>
          <w:rStyle w:val="FootnoteReference"/>
          <w:noProof/>
        </w:rPr>
        <w:footnoteReference w:id="46"/>
      </w:r>
      <w:r w:rsidR="00B13C68" w:rsidRPr="00244D65">
        <w:rPr>
          <w:noProof/>
        </w:rPr>
        <w:t xml:space="preserve"> confirm this</w:t>
      </w:r>
      <w:r w:rsidR="66F76F1A" w:rsidRPr="00244D65">
        <w:rPr>
          <w:noProof/>
        </w:rPr>
        <w:t xml:space="preserve"> </w:t>
      </w:r>
      <w:r w:rsidR="108A758A" w:rsidRPr="00244D65">
        <w:rPr>
          <w:noProof/>
        </w:rPr>
        <w:t>upward</w:t>
      </w:r>
      <w:r w:rsidR="66F76F1A" w:rsidRPr="00244D65">
        <w:rPr>
          <w:noProof/>
        </w:rPr>
        <w:t xml:space="preserve"> trend</w:t>
      </w:r>
      <w:r w:rsidR="00B13C68" w:rsidRPr="00244D65">
        <w:rPr>
          <w:noProof/>
        </w:rPr>
        <w:t>, which is</w:t>
      </w:r>
      <w:r w:rsidR="66F76F1A" w:rsidRPr="00244D65">
        <w:rPr>
          <w:noProof/>
        </w:rPr>
        <w:t xml:space="preserve"> in place</w:t>
      </w:r>
      <w:r w:rsidR="4DA8E503" w:rsidRPr="00244D65">
        <w:rPr>
          <w:noProof/>
        </w:rPr>
        <w:t xml:space="preserve"> since the 1990s</w:t>
      </w:r>
      <w:r w:rsidR="66F76F1A" w:rsidRPr="00244D65">
        <w:rPr>
          <w:noProof/>
        </w:rPr>
        <w:t>.</w:t>
      </w:r>
      <w:r w:rsidR="73C62F5C" w:rsidRPr="00244D65">
        <w:rPr>
          <w:noProof/>
        </w:rPr>
        <w:t xml:space="preserve"> </w:t>
      </w:r>
      <w:r w:rsidR="21786525" w:rsidRPr="00244D65">
        <w:rPr>
          <w:noProof/>
        </w:rPr>
        <w:t>In particular</w:t>
      </w:r>
      <w:r w:rsidR="00D20908" w:rsidRPr="00244D65">
        <w:rPr>
          <w:noProof/>
        </w:rPr>
        <w:t>,</w:t>
      </w:r>
      <w:r w:rsidR="21786525" w:rsidRPr="00244D65">
        <w:rPr>
          <w:noProof/>
        </w:rPr>
        <w:t xml:space="preserve"> </w:t>
      </w:r>
      <w:r w:rsidR="7E285EF8" w:rsidRPr="00244D65">
        <w:rPr>
          <w:noProof/>
        </w:rPr>
        <w:t xml:space="preserve">emissions from international aviation are expected to increase through </w:t>
      </w:r>
      <w:r w:rsidR="31C1699C" w:rsidRPr="00244D65">
        <w:rPr>
          <w:noProof/>
        </w:rPr>
        <w:t xml:space="preserve">2040, </w:t>
      </w:r>
      <w:r w:rsidR="7E285EF8" w:rsidRPr="00244D65">
        <w:rPr>
          <w:noProof/>
        </w:rPr>
        <w:t xml:space="preserve">2050 </w:t>
      </w:r>
      <w:r w:rsidR="1BD4901E" w:rsidRPr="00244D65">
        <w:rPr>
          <w:noProof/>
        </w:rPr>
        <w:t>and beyond</w:t>
      </w:r>
      <w:r w:rsidR="00AF68CC" w:rsidRPr="00244D65">
        <w:rPr>
          <w:rStyle w:val="FootnoteReference"/>
          <w:noProof/>
        </w:rPr>
        <w:footnoteReference w:id="47"/>
      </w:r>
      <w:r w:rsidR="00411CCB" w:rsidRPr="00244D65">
        <w:rPr>
          <w:noProof/>
        </w:rPr>
        <w:t>.</w:t>
      </w:r>
      <w:r w:rsidR="7E285EF8" w:rsidRPr="00244D65">
        <w:rPr>
          <w:noProof/>
        </w:rPr>
        <w:t xml:space="preserve"> </w:t>
      </w:r>
      <w:r w:rsidR="0096564F" w:rsidRPr="00244D65">
        <w:rPr>
          <w:noProof/>
        </w:rPr>
        <w:t xml:space="preserve">Alongside </w:t>
      </w:r>
      <w:r w:rsidR="00951460" w:rsidRPr="00244D65">
        <w:rPr>
          <w:noProof/>
        </w:rPr>
        <w:t xml:space="preserve">carbon pricing, </w:t>
      </w:r>
      <w:r w:rsidR="0096564F" w:rsidRPr="00244D65">
        <w:rPr>
          <w:noProof/>
        </w:rPr>
        <w:t xml:space="preserve">deployment of </w:t>
      </w:r>
      <w:r w:rsidR="00547678" w:rsidRPr="00244D65">
        <w:rPr>
          <w:noProof/>
        </w:rPr>
        <w:t xml:space="preserve">clean </w:t>
      </w:r>
      <w:r w:rsidR="0096564F" w:rsidRPr="00244D65">
        <w:rPr>
          <w:noProof/>
        </w:rPr>
        <w:t xml:space="preserve">aircraft and </w:t>
      </w:r>
      <w:r w:rsidR="00547678" w:rsidRPr="00244D65">
        <w:rPr>
          <w:noProof/>
        </w:rPr>
        <w:t xml:space="preserve">innovative </w:t>
      </w:r>
      <w:r w:rsidR="0096564F" w:rsidRPr="00244D65">
        <w:rPr>
          <w:noProof/>
        </w:rPr>
        <w:t>operation</w:t>
      </w:r>
      <w:r w:rsidR="00547678" w:rsidRPr="00244D65">
        <w:rPr>
          <w:noProof/>
        </w:rPr>
        <w:t>s</w:t>
      </w:r>
      <w:r w:rsidR="0096564F" w:rsidRPr="00244D65">
        <w:rPr>
          <w:noProof/>
        </w:rPr>
        <w:t xml:space="preserve">, SAF </w:t>
      </w:r>
      <w:r w:rsidR="00547678" w:rsidRPr="00244D65">
        <w:rPr>
          <w:noProof/>
        </w:rPr>
        <w:t xml:space="preserve">use </w:t>
      </w:r>
      <w:r w:rsidR="0096564F" w:rsidRPr="00244D65">
        <w:rPr>
          <w:noProof/>
        </w:rPr>
        <w:t xml:space="preserve">at global scale is </w:t>
      </w:r>
      <w:r w:rsidR="004440CA" w:rsidRPr="00244D65">
        <w:rPr>
          <w:noProof/>
        </w:rPr>
        <w:t xml:space="preserve">key </w:t>
      </w:r>
      <w:r w:rsidR="0096564F" w:rsidRPr="00244D65">
        <w:rPr>
          <w:noProof/>
        </w:rPr>
        <w:t xml:space="preserve">to </w:t>
      </w:r>
      <w:r w:rsidR="002C3657" w:rsidRPr="00244D65">
        <w:rPr>
          <w:noProof/>
        </w:rPr>
        <w:t>reduce</w:t>
      </w:r>
      <w:r w:rsidR="0096564F" w:rsidRPr="00244D65">
        <w:rPr>
          <w:noProof/>
        </w:rPr>
        <w:t xml:space="preserve"> emissions. This section examines the effects of carbon pricing and SAF use.</w:t>
      </w:r>
    </w:p>
    <w:p w14:paraId="4C31A1A2" w14:textId="77777777" w:rsidR="0030198A" w:rsidRPr="00244D65" w:rsidRDefault="0030198A" w:rsidP="0085595C">
      <w:pPr>
        <w:pStyle w:val="ListParagraph"/>
        <w:numPr>
          <w:ilvl w:val="0"/>
          <w:numId w:val="13"/>
        </w:numPr>
        <w:rPr>
          <w:b/>
          <w:bCs/>
          <w:noProof/>
        </w:rPr>
      </w:pPr>
      <w:r w:rsidRPr="00244D65">
        <w:rPr>
          <w:b/>
          <w:bCs/>
          <w:noProof/>
        </w:rPr>
        <w:t>Carbon pricing</w:t>
      </w:r>
    </w:p>
    <w:p w14:paraId="1820C064" w14:textId="7BD1609C" w:rsidR="00AF68CC" w:rsidRPr="00244D65" w:rsidRDefault="7E285EF8" w:rsidP="0085595C">
      <w:pPr>
        <w:rPr>
          <w:noProof/>
        </w:rPr>
      </w:pPr>
      <w:r w:rsidRPr="00244D65">
        <w:rPr>
          <w:noProof/>
        </w:rPr>
        <w:t xml:space="preserve">The policy options assessed differ on the extent to which the </w:t>
      </w:r>
      <w:r w:rsidR="00F54968" w:rsidRPr="00244D65">
        <w:rPr>
          <w:noProof/>
        </w:rPr>
        <w:t xml:space="preserve">effect of </w:t>
      </w:r>
      <w:r w:rsidRPr="00244D65">
        <w:rPr>
          <w:noProof/>
        </w:rPr>
        <w:t xml:space="preserve">aviation </w:t>
      </w:r>
      <w:r w:rsidR="00F54968" w:rsidRPr="00244D65">
        <w:rPr>
          <w:noProof/>
        </w:rPr>
        <w:t>CO</w:t>
      </w:r>
      <w:r w:rsidR="00F54968" w:rsidRPr="00244D65">
        <w:rPr>
          <w:noProof/>
          <w:vertAlign w:val="subscript"/>
        </w:rPr>
        <w:t>2</w:t>
      </w:r>
      <w:r w:rsidR="00F54968" w:rsidRPr="00244D65">
        <w:rPr>
          <w:noProof/>
        </w:rPr>
        <w:t xml:space="preserve"> emissions </w:t>
      </w:r>
      <w:r w:rsidRPr="00244D65">
        <w:rPr>
          <w:noProof/>
        </w:rPr>
        <w:t>on the environment is internalised. Airlines can directly reduce their emissions or use market-based measures outside the aviation sector</w:t>
      </w:r>
      <w:r w:rsidR="00AF68CC" w:rsidRPr="00244D65">
        <w:rPr>
          <w:rStyle w:val="FootnoteReference"/>
          <w:noProof/>
        </w:rPr>
        <w:footnoteReference w:id="48"/>
      </w:r>
      <w:r w:rsidRPr="00244D65">
        <w:rPr>
          <w:noProof/>
        </w:rPr>
        <w:t xml:space="preserve">. </w:t>
      </w:r>
      <w:r w:rsidR="69C92FF5" w:rsidRPr="00244D65">
        <w:rPr>
          <w:noProof/>
        </w:rPr>
        <w:t>The options have different coverage of emissions by CORSIA and the EU ETS</w:t>
      </w:r>
      <w:r w:rsidR="00644774" w:rsidRPr="00244D65">
        <w:rPr>
          <w:noProof/>
          <w:vertAlign w:val="superscript"/>
        </w:rPr>
        <w:footnoteReference w:id="49"/>
      </w:r>
      <w:r w:rsidR="69C92FF5" w:rsidRPr="00244D65">
        <w:rPr>
          <w:noProof/>
        </w:rPr>
        <w:t xml:space="preserve">, resulting in different price signals, and different levels of support for the uptake of eligible </w:t>
      </w:r>
      <w:r w:rsidR="00F84EE2" w:rsidRPr="00244D65">
        <w:rPr>
          <w:noProof/>
        </w:rPr>
        <w:t>SAF</w:t>
      </w:r>
      <w:r w:rsidR="69C92FF5" w:rsidRPr="00244D65">
        <w:rPr>
          <w:noProof/>
        </w:rPr>
        <w:t xml:space="preserve">. </w:t>
      </w:r>
      <w:r w:rsidR="43E85489" w:rsidRPr="00244D65">
        <w:rPr>
          <w:noProof/>
        </w:rPr>
        <w:t>T</w:t>
      </w:r>
      <w:r w:rsidRPr="00244D65">
        <w:rPr>
          <w:noProof/>
        </w:rPr>
        <w:t xml:space="preserve">his </w:t>
      </w:r>
      <w:r w:rsidR="00B16BD3" w:rsidRPr="00244D65">
        <w:rPr>
          <w:noProof/>
        </w:rPr>
        <w:t>environmental</w:t>
      </w:r>
      <w:r w:rsidRPr="00244D65">
        <w:rPr>
          <w:noProof/>
        </w:rPr>
        <w:t xml:space="preserve"> impact </w:t>
      </w:r>
      <w:r w:rsidR="33B6E41A" w:rsidRPr="00244D65">
        <w:rPr>
          <w:noProof/>
        </w:rPr>
        <w:t xml:space="preserve">of the policy options </w:t>
      </w:r>
      <w:r w:rsidR="00B16BD3" w:rsidRPr="00244D65">
        <w:rPr>
          <w:noProof/>
        </w:rPr>
        <w:t xml:space="preserve">is </w:t>
      </w:r>
      <w:r w:rsidR="33B6E41A" w:rsidRPr="00244D65">
        <w:rPr>
          <w:noProof/>
        </w:rPr>
        <w:t xml:space="preserve">considered </w:t>
      </w:r>
      <w:r w:rsidR="00B16BD3" w:rsidRPr="00244D65">
        <w:rPr>
          <w:noProof/>
        </w:rPr>
        <w:t xml:space="preserve">for </w:t>
      </w:r>
      <w:r w:rsidRPr="00244D65">
        <w:rPr>
          <w:noProof/>
        </w:rPr>
        <w:t>CO</w:t>
      </w:r>
      <w:r w:rsidRPr="00244D65">
        <w:rPr>
          <w:noProof/>
          <w:vertAlign w:val="subscript"/>
        </w:rPr>
        <w:t>2</w:t>
      </w:r>
      <w:r w:rsidRPr="00244D65">
        <w:rPr>
          <w:noProof/>
        </w:rPr>
        <w:t xml:space="preserve"> emissions </w:t>
      </w:r>
      <w:r w:rsidR="00B16BD3" w:rsidRPr="00244D65">
        <w:rPr>
          <w:noProof/>
        </w:rPr>
        <w:t>of</w:t>
      </w:r>
      <w:r w:rsidRPr="00244D65">
        <w:rPr>
          <w:noProof/>
        </w:rPr>
        <w:t xml:space="preserve"> global </w:t>
      </w:r>
      <w:r w:rsidR="4AE449CA" w:rsidRPr="00244D65">
        <w:rPr>
          <w:noProof/>
        </w:rPr>
        <w:t xml:space="preserve">international </w:t>
      </w:r>
      <w:r w:rsidRPr="00244D65">
        <w:rPr>
          <w:noProof/>
        </w:rPr>
        <w:t>aviation</w:t>
      </w:r>
      <w:r w:rsidR="00A60902" w:rsidRPr="00244D65">
        <w:rPr>
          <w:noProof/>
          <w:vertAlign w:val="superscript"/>
        </w:rPr>
        <w:footnoteReference w:id="50"/>
      </w:r>
      <w:r w:rsidR="00E27D0A" w:rsidRPr="00244D65">
        <w:rPr>
          <w:noProof/>
        </w:rPr>
        <w:t xml:space="preserve">. </w:t>
      </w:r>
      <w:r w:rsidR="0077206F" w:rsidRPr="00244D65">
        <w:rPr>
          <w:noProof/>
        </w:rPr>
        <w:t>W</w:t>
      </w:r>
      <w:r w:rsidR="00E6466A" w:rsidRPr="00244D65">
        <w:rPr>
          <w:noProof/>
        </w:rPr>
        <w:t>hat amount of CO</w:t>
      </w:r>
      <w:r w:rsidR="00E6466A" w:rsidRPr="00244D65">
        <w:rPr>
          <w:noProof/>
          <w:vertAlign w:val="subscript"/>
        </w:rPr>
        <w:t>2</w:t>
      </w:r>
      <w:r w:rsidR="00E6466A" w:rsidRPr="00244D65">
        <w:rPr>
          <w:noProof/>
        </w:rPr>
        <w:t xml:space="preserve"> emissions would remain unaddressed by carbon pricing (ETS, CORSIA) under each option</w:t>
      </w:r>
      <w:r w:rsidR="0077206F" w:rsidRPr="00244D65">
        <w:rPr>
          <w:noProof/>
        </w:rPr>
        <w:t xml:space="preserve"> is also </w:t>
      </w:r>
      <w:r w:rsidR="00C77132" w:rsidRPr="00244D65">
        <w:rPr>
          <w:noProof/>
        </w:rPr>
        <w:t>shown</w:t>
      </w:r>
      <w:r w:rsidRPr="00244D65">
        <w:rPr>
          <w:noProof/>
        </w:rPr>
        <w:t xml:space="preserve">. </w:t>
      </w:r>
      <w:r w:rsidR="00BD0326" w:rsidRPr="00244D65">
        <w:rPr>
          <w:noProof/>
        </w:rPr>
        <w:t xml:space="preserve">Not considered are </w:t>
      </w:r>
      <w:r w:rsidR="00E07D86" w:rsidRPr="00244D65">
        <w:rPr>
          <w:noProof/>
        </w:rPr>
        <w:t xml:space="preserve">aviation’s </w:t>
      </w:r>
      <w:r w:rsidR="00BD0326" w:rsidRPr="00244D65">
        <w:rPr>
          <w:noProof/>
        </w:rPr>
        <w:t>non-CO</w:t>
      </w:r>
      <w:r w:rsidR="00BD0326" w:rsidRPr="00244D65">
        <w:rPr>
          <w:noProof/>
          <w:vertAlign w:val="subscript"/>
        </w:rPr>
        <w:t>2</w:t>
      </w:r>
      <w:r w:rsidR="00BD0326" w:rsidRPr="00244D65">
        <w:rPr>
          <w:noProof/>
        </w:rPr>
        <w:t xml:space="preserve"> emissions: </w:t>
      </w:r>
      <w:r w:rsidR="00856010" w:rsidRPr="00244D65">
        <w:rPr>
          <w:noProof/>
        </w:rPr>
        <w:t>i</w:t>
      </w:r>
      <w:r w:rsidRPr="00244D65">
        <w:rPr>
          <w:noProof/>
        </w:rPr>
        <w:t xml:space="preserve">n-depth analysis considers that </w:t>
      </w:r>
      <w:r w:rsidR="005C0903" w:rsidRPr="00244D65">
        <w:rPr>
          <w:noProof/>
        </w:rPr>
        <w:t xml:space="preserve">aviation’s </w:t>
      </w:r>
      <w:r w:rsidR="00CD0917" w:rsidRPr="00244D65">
        <w:rPr>
          <w:noProof/>
        </w:rPr>
        <w:t>non-CO</w:t>
      </w:r>
      <w:r w:rsidR="00CD0917" w:rsidRPr="00244D65">
        <w:rPr>
          <w:noProof/>
          <w:vertAlign w:val="subscript"/>
        </w:rPr>
        <w:t>2</w:t>
      </w:r>
      <w:r w:rsidR="00CD0917" w:rsidRPr="00244D65">
        <w:rPr>
          <w:noProof/>
        </w:rPr>
        <w:t xml:space="preserve"> emissions </w:t>
      </w:r>
      <w:r w:rsidR="005C0903" w:rsidRPr="00244D65">
        <w:rPr>
          <w:noProof/>
        </w:rPr>
        <w:t xml:space="preserve">have at least double </w:t>
      </w:r>
      <w:r w:rsidRPr="00244D65">
        <w:rPr>
          <w:noProof/>
        </w:rPr>
        <w:t>climate</w:t>
      </w:r>
      <w:r w:rsidRPr="00244D65" w:rsidDel="007E21AD">
        <w:rPr>
          <w:noProof/>
        </w:rPr>
        <w:t xml:space="preserve"> </w:t>
      </w:r>
      <w:r w:rsidR="008917D6" w:rsidRPr="00244D65">
        <w:rPr>
          <w:noProof/>
        </w:rPr>
        <w:t xml:space="preserve">effect of </w:t>
      </w:r>
      <w:r w:rsidRPr="00244D65">
        <w:rPr>
          <w:noProof/>
        </w:rPr>
        <w:t>aviation CO</w:t>
      </w:r>
      <w:r w:rsidRPr="00244D65">
        <w:rPr>
          <w:noProof/>
          <w:vertAlign w:val="subscript"/>
        </w:rPr>
        <w:t>2</w:t>
      </w:r>
      <w:r w:rsidRPr="00244D65">
        <w:rPr>
          <w:noProof/>
        </w:rPr>
        <w:t xml:space="preserve"> emissions alone</w:t>
      </w:r>
      <w:r w:rsidR="008917D6" w:rsidRPr="00244D65">
        <w:rPr>
          <w:noProof/>
        </w:rPr>
        <w:t xml:space="preserve"> (so CO</w:t>
      </w:r>
      <w:r w:rsidR="008917D6" w:rsidRPr="00244D65">
        <w:rPr>
          <w:noProof/>
          <w:vertAlign w:val="subscript"/>
        </w:rPr>
        <w:t>2</w:t>
      </w:r>
      <w:r w:rsidR="008917D6" w:rsidRPr="00244D65">
        <w:rPr>
          <w:noProof/>
        </w:rPr>
        <w:t xml:space="preserve"> emissions figures would need to be multiplied by three to obtain the full climate impact).</w:t>
      </w:r>
    </w:p>
    <w:p w14:paraId="3B816F34" w14:textId="40AD4AA4" w:rsidR="00AF68CC" w:rsidRPr="00244D65" w:rsidRDefault="00474EC5" w:rsidP="0085595C">
      <w:pPr>
        <w:rPr>
          <w:b/>
          <w:noProof/>
        </w:rPr>
      </w:pPr>
      <w:r w:rsidRPr="00244D65">
        <w:rPr>
          <w:b/>
          <w:noProof/>
        </w:rPr>
        <w:t>I</w:t>
      </w:r>
      <w:r w:rsidR="00F647E6" w:rsidRPr="00244D65">
        <w:rPr>
          <w:b/>
          <w:noProof/>
        </w:rPr>
        <w:t>n the baseline and</w:t>
      </w:r>
      <w:r w:rsidR="00AF68CC" w:rsidRPr="00244D65">
        <w:rPr>
          <w:b/>
          <w:noProof/>
        </w:rPr>
        <w:t xml:space="preserve"> all options, </w:t>
      </w:r>
      <w:r w:rsidR="008A3292" w:rsidRPr="00244D65">
        <w:rPr>
          <w:b/>
          <w:noProof/>
        </w:rPr>
        <w:t xml:space="preserve">global international </w:t>
      </w:r>
      <w:r w:rsidR="00AF68CC" w:rsidRPr="00244D65">
        <w:rPr>
          <w:b/>
          <w:noProof/>
        </w:rPr>
        <w:t xml:space="preserve">aviation </w:t>
      </w:r>
      <w:r w:rsidR="00713AA8" w:rsidRPr="00244D65">
        <w:rPr>
          <w:b/>
          <w:noProof/>
        </w:rPr>
        <w:t>CO</w:t>
      </w:r>
      <w:r w:rsidR="00713AA8" w:rsidRPr="00244D65">
        <w:rPr>
          <w:b/>
          <w:noProof/>
          <w:vertAlign w:val="subscript"/>
        </w:rPr>
        <w:t>2</w:t>
      </w:r>
      <w:r w:rsidR="00713AA8" w:rsidRPr="00244D65">
        <w:rPr>
          <w:b/>
          <w:noProof/>
        </w:rPr>
        <w:t xml:space="preserve"> emissions </w:t>
      </w:r>
      <w:r w:rsidR="7A4EE725" w:rsidRPr="00244D65">
        <w:rPr>
          <w:b/>
          <w:bCs/>
          <w:noProof/>
        </w:rPr>
        <w:t xml:space="preserve">decrease </w:t>
      </w:r>
      <w:r w:rsidR="00AF68CC" w:rsidRPr="00244D65">
        <w:rPr>
          <w:b/>
          <w:noProof/>
        </w:rPr>
        <w:t xml:space="preserve">between </w:t>
      </w:r>
      <w:r w:rsidR="00AF68CC" w:rsidRPr="00244D65">
        <w:rPr>
          <w:b/>
          <w:bCs/>
          <w:noProof/>
        </w:rPr>
        <w:t>202</w:t>
      </w:r>
      <w:r w:rsidR="585086F8" w:rsidRPr="00244D65">
        <w:rPr>
          <w:b/>
          <w:bCs/>
          <w:noProof/>
        </w:rPr>
        <w:t>4</w:t>
      </w:r>
      <w:r w:rsidR="00AF68CC" w:rsidRPr="00244D65">
        <w:rPr>
          <w:b/>
          <w:noProof/>
        </w:rPr>
        <w:t xml:space="preserve"> and 2040</w:t>
      </w:r>
      <w:r w:rsidR="35DD9CCC" w:rsidRPr="00244D65">
        <w:rPr>
          <w:b/>
          <w:bCs/>
          <w:noProof/>
        </w:rPr>
        <w:t xml:space="preserve"> by 13-15%</w:t>
      </w:r>
      <w:r w:rsidR="00C8639F" w:rsidRPr="00244D65">
        <w:rPr>
          <w:b/>
          <w:bCs/>
          <w:noProof/>
        </w:rPr>
        <w:t>,</w:t>
      </w:r>
      <w:r w:rsidR="00C8639F" w:rsidRPr="00244D65">
        <w:rPr>
          <w:b/>
          <w:noProof/>
        </w:rPr>
        <w:t xml:space="preserve"> both for </w:t>
      </w:r>
      <w:r w:rsidR="008970DE" w:rsidRPr="00244D65">
        <w:rPr>
          <w:b/>
          <w:noProof/>
        </w:rPr>
        <w:t xml:space="preserve">extra-EEA </w:t>
      </w:r>
      <w:r w:rsidR="00C8639F" w:rsidRPr="00244D65">
        <w:rPr>
          <w:b/>
          <w:noProof/>
        </w:rPr>
        <w:t>departing flights and global international aviation</w:t>
      </w:r>
      <w:r w:rsidR="00AF68CC" w:rsidRPr="00244D65">
        <w:rPr>
          <w:noProof/>
        </w:rPr>
        <w:t xml:space="preserve"> </w:t>
      </w:r>
      <w:r w:rsidR="1C618CF4" w:rsidRPr="00244D65">
        <w:rPr>
          <w:noProof/>
        </w:rPr>
        <w:t>w</w:t>
      </w:r>
      <w:r w:rsidR="009068E6" w:rsidRPr="00244D65">
        <w:rPr>
          <w:noProof/>
        </w:rPr>
        <w:t>he</w:t>
      </w:r>
      <w:r w:rsidR="00503333" w:rsidRPr="00244D65">
        <w:rPr>
          <w:noProof/>
        </w:rPr>
        <w:t xml:space="preserve">n discounting the impact of </w:t>
      </w:r>
      <w:r w:rsidR="00B17D21" w:rsidRPr="00244D65">
        <w:rPr>
          <w:noProof/>
        </w:rPr>
        <w:t xml:space="preserve">projected </w:t>
      </w:r>
      <w:r w:rsidR="00503333" w:rsidRPr="00244D65">
        <w:rPr>
          <w:noProof/>
        </w:rPr>
        <w:t>SAF</w:t>
      </w:r>
      <w:r w:rsidR="00B17D21" w:rsidRPr="00244D65">
        <w:rPr>
          <w:noProof/>
        </w:rPr>
        <w:t xml:space="preserve"> uptake</w:t>
      </w:r>
      <w:r w:rsidR="009D4C70" w:rsidRPr="00244D65">
        <w:rPr>
          <w:noProof/>
        </w:rPr>
        <w:t xml:space="preserve"> in Europe and globally</w:t>
      </w:r>
      <w:r w:rsidR="004E52D3" w:rsidRPr="00244D65">
        <w:rPr>
          <w:rStyle w:val="FootnoteReference"/>
          <w:noProof/>
        </w:rPr>
        <w:footnoteReference w:id="51"/>
      </w:r>
      <w:r w:rsidR="003D2CB4" w:rsidRPr="00244D65">
        <w:rPr>
          <w:noProof/>
        </w:rPr>
        <w:t>.</w:t>
      </w:r>
      <w:r w:rsidR="00366B8B" w:rsidRPr="00244D65">
        <w:rPr>
          <w:noProof/>
        </w:rPr>
        <w:t xml:space="preserve"> </w:t>
      </w:r>
      <w:r w:rsidR="000E33E6" w:rsidRPr="00244D65">
        <w:rPr>
          <w:noProof/>
        </w:rPr>
        <w:t>In</w:t>
      </w:r>
      <w:r w:rsidR="00AF68CC" w:rsidRPr="00244D65">
        <w:rPr>
          <w:noProof/>
        </w:rPr>
        <w:t xml:space="preserve"> the baseline most flights are covered by the </w:t>
      </w:r>
      <w:r w:rsidR="00F909E3" w:rsidRPr="00244D65">
        <w:rPr>
          <w:noProof/>
        </w:rPr>
        <w:t>EU ETS</w:t>
      </w:r>
      <w:r w:rsidR="00AF68CC" w:rsidRPr="00244D65">
        <w:rPr>
          <w:noProof/>
        </w:rPr>
        <w:t xml:space="preserve"> carbon price, and emissions </w:t>
      </w:r>
      <w:r w:rsidR="00366B8B" w:rsidRPr="00244D65">
        <w:rPr>
          <w:noProof/>
        </w:rPr>
        <w:t>are</w:t>
      </w:r>
      <w:r w:rsidR="00AF68CC" w:rsidRPr="00244D65">
        <w:rPr>
          <w:noProof/>
        </w:rPr>
        <w:t xml:space="preserve"> </w:t>
      </w:r>
      <w:r w:rsidR="00F749DB" w:rsidRPr="00244D65">
        <w:rPr>
          <w:noProof/>
        </w:rPr>
        <w:t>lowest</w:t>
      </w:r>
      <w:r w:rsidR="00AF68CC" w:rsidRPr="00244D65">
        <w:rPr>
          <w:noProof/>
        </w:rPr>
        <w:t xml:space="preserve">. Emissions </w:t>
      </w:r>
      <w:r w:rsidR="00366B8B" w:rsidRPr="00244D65">
        <w:rPr>
          <w:noProof/>
        </w:rPr>
        <w:t>are</w:t>
      </w:r>
      <w:r w:rsidR="00AF68CC" w:rsidRPr="00244D65">
        <w:rPr>
          <w:noProof/>
        </w:rPr>
        <w:t xml:space="preserve"> </w:t>
      </w:r>
      <w:r w:rsidR="00366B8B" w:rsidRPr="00244D65">
        <w:rPr>
          <w:noProof/>
        </w:rPr>
        <w:t>highe</w:t>
      </w:r>
      <w:r w:rsidR="00C20F92" w:rsidRPr="00244D65">
        <w:rPr>
          <w:noProof/>
        </w:rPr>
        <w:t>st</w:t>
      </w:r>
      <w:r w:rsidR="00AF68CC" w:rsidRPr="00244D65">
        <w:rPr>
          <w:noProof/>
        </w:rPr>
        <w:t xml:space="preserve"> under PO1, where the </w:t>
      </w:r>
      <w:r w:rsidR="00E56C16" w:rsidRPr="00244D65">
        <w:rPr>
          <w:noProof/>
        </w:rPr>
        <w:t xml:space="preserve">ETS </w:t>
      </w:r>
      <w:r w:rsidR="00AF68CC" w:rsidRPr="00244D65">
        <w:rPr>
          <w:noProof/>
        </w:rPr>
        <w:t xml:space="preserve">geographic scope of 2026 continues to apply, and no extra support for the uplift of </w:t>
      </w:r>
      <w:r w:rsidR="007D5B6B" w:rsidRPr="00244D65">
        <w:rPr>
          <w:noProof/>
        </w:rPr>
        <w:t>SAF</w:t>
      </w:r>
      <w:r w:rsidR="00AF68CC" w:rsidRPr="00244D65">
        <w:rPr>
          <w:noProof/>
        </w:rPr>
        <w:t xml:space="preserve"> is set aside.</w:t>
      </w:r>
    </w:p>
    <w:p w14:paraId="05FD6F69" w14:textId="73C70A26" w:rsidR="0005254B" w:rsidRPr="00244D65" w:rsidRDefault="00F21E2F" w:rsidP="0085595C">
      <w:pPr>
        <w:rPr>
          <w:noProof/>
        </w:rPr>
      </w:pPr>
      <w:r w:rsidRPr="00244D65">
        <w:rPr>
          <w:noProof/>
        </w:rPr>
        <w:t>Global international aviation emissions have the biggest climate impact and the highest level of CO</w:t>
      </w:r>
      <w:r w:rsidRPr="00244D65">
        <w:rPr>
          <w:noProof/>
          <w:vertAlign w:val="subscript"/>
        </w:rPr>
        <w:t>2</w:t>
      </w:r>
      <w:r w:rsidRPr="00244D65">
        <w:rPr>
          <w:noProof/>
        </w:rPr>
        <w:t xml:space="preserve"> emissions</w:t>
      </w:r>
      <w:r w:rsidRPr="00244D65">
        <w:rPr>
          <w:noProof/>
          <w:vertAlign w:val="superscript"/>
        </w:rPr>
        <w:footnoteReference w:id="52"/>
      </w:r>
      <w:r w:rsidRPr="00244D65">
        <w:rPr>
          <w:noProof/>
        </w:rPr>
        <w:t xml:space="preserve">. They are defined as: </w:t>
      </w:r>
      <w:r w:rsidR="00CC37C9" w:rsidRPr="00244D65">
        <w:rPr>
          <w:noProof/>
        </w:rPr>
        <w:t>CO</w:t>
      </w:r>
      <w:r w:rsidR="00CC37C9" w:rsidRPr="00244D65">
        <w:rPr>
          <w:noProof/>
          <w:vertAlign w:val="subscript"/>
        </w:rPr>
        <w:t>2</w:t>
      </w:r>
      <w:r w:rsidR="00CC37C9" w:rsidRPr="00244D65">
        <w:rPr>
          <w:noProof/>
        </w:rPr>
        <w:t xml:space="preserve"> emissions from flights </w:t>
      </w:r>
      <w:r w:rsidRPr="00244D65">
        <w:rPr>
          <w:noProof/>
        </w:rPr>
        <w:t xml:space="preserve">inside Europe, and </w:t>
      </w:r>
      <w:r w:rsidR="00235524" w:rsidRPr="00244D65">
        <w:rPr>
          <w:noProof/>
        </w:rPr>
        <w:t xml:space="preserve">from international flights </w:t>
      </w:r>
      <w:r w:rsidRPr="00244D65">
        <w:rPr>
          <w:noProof/>
        </w:rPr>
        <w:t xml:space="preserve">outside Europe. </w:t>
      </w:r>
      <w:r w:rsidR="00235524" w:rsidRPr="00244D65">
        <w:rPr>
          <w:noProof/>
        </w:rPr>
        <w:t xml:space="preserve">Flights inside Europe </w:t>
      </w:r>
      <w:r w:rsidRPr="00244D65">
        <w:rPr>
          <w:noProof/>
        </w:rPr>
        <w:t xml:space="preserve">include </w:t>
      </w:r>
      <w:r w:rsidR="00235524" w:rsidRPr="00244D65">
        <w:rPr>
          <w:noProof/>
        </w:rPr>
        <w:t>departing flights to Switzerland and the UK</w:t>
      </w:r>
      <w:r w:rsidR="007D61D1" w:rsidRPr="00244D65">
        <w:rPr>
          <w:noProof/>
        </w:rPr>
        <w:t>. Examples</w:t>
      </w:r>
      <w:r w:rsidR="008A75D0" w:rsidRPr="00244D65">
        <w:rPr>
          <w:noProof/>
        </w:rPr>
        <w:t xml:space="preserve"> include</w:t>
      </w:r>
      <w:r w:rsidR="0092597D" w:rsidRPr="00244D65">
        <w:rPr>
          <w:noProof/>
        </w:rPr>
        <w:t xml:space="preserve"> </w:t>
      </w:r>
      <w:r w:rsidRPr="00244D65">
        <w:rPr>
          <w:noProof/>
        </w:rPr>
        <w:t xml:space="preserve">flights from Berlin to Munich, </w:t>
      </w:r>
      <w:r w:rsidR="00684781" w:rsidRPr="00244D65">
        <w:rPr>
          <w:noProof/>
        </w:rPr>
        <w:t>Sofia to Brussels</w:t>
      </w:r>
      <w:r w:rsidR="009F36A3" w:rsidRPr="00244D65">
        <w:rPr>
          <w:noProof/>
        </w:rPr>
        <w:t xml:space="preserve"> and Madrid to London</w:t>
      </w:r>
      <w:r w:rsidR="0092597D" w:rsidRPr="00244D65">
        <w:rPr>
          <w:noProof/>
        </w:rPr>
        <w:t xml:space="preserve">. International </w:t>
      </w:r>
      <w:r w:rsidR="00A871F9" w:rsidRPr="00244D65">
        <w:rPr>
          <w:noProof/>
        </w:rPr>
        <w:t xml:space="preserve">flights outside Europe </w:t>
      </w:r>
      <w:r w:rsidR="00015E4D" w:rsidRPr="00244D65">
        <w:rPr>
          <w:noProof/>
        </w:rPr>
        <w:t>include flights</w:t>
      </w:r>
      <w:r w:rsidR="00EC712D" w:rsidRPr="00244D65">
        <w:rPr>
          <w:noProof/>
        </w:rPr>
        <w:t xml:space="preserve"> from </w:t>
      </w:r>
      <w:r w:rsidRPr="00244D65">
        <w:rPr>
          <w:noProof/>
        </w:rPr>
        <w:t xml:space="preserve">Paris to </w:t>
      </w:r>
      <w:r w:rsidR="007A1FFC" w:rsidRPr="00244D65">
        <w:rPr>
          <w:noProof/>
        </w:rPr>
        <w:t>Toronto</w:t>
      </w:r>
      <w:r w:rsidRPr="00244D65">
        <w:rPr>
          <w:noProof/>
        </w:rPr>
        <w:t xml:space="preserve">, </w:t>
      </w:r>
      <w:r w:rsidR="00E363C7" w:rsidRPr="00244D65">
        <w:rPr>
          <w:noProof/>
        </w:rPr>
        <w:t>or from</w:t>
      </w:r>
      <w:r w:rsidRPr="00244D65">
        <w:rPr>
          <w:noProof/>
        </w:rPr>
        <w:t xml:space="preserve"> </w:t>
      </w:r>
      <w:r w:rsidR="008C3E60" w:rsidRPr="00244D65">
        <w:rPr>
          <w:noProof/>
        </w:rPr>
        <w:t>Beijing</w:t>
      </w:r>
      <w:r w:rsidRPr="00244D65">
        <w:rPr>
          <w:noProof/>
        </w:rPr>
        <w:t xml:space="preserve"> to </w:t>
      </w:r>
      <w:r w:rsidR="005123B6" w:rsidRPr="00244D65">
        <w:rPr>
          <w:noProof/>
        </w:rPr>
        <w:t>Dubai</w:t>
      </w:r>
      <w:r w:rsidRPr="00244D65">
        <w:rPr>
          <w:noProof/>
        </w:rPr>
        <w:t xml:space="preserve"> (but they </w:t>
      </w:r>
      <w:r w:rsidR="00E363C7" w:rsidRPr="00244D65">
        <w:rPr>
          <w:noProof/>
        </w:rPr>
        <w:t>exclude domestic flights</w:t>
      </w:r>
      <w:r w:rsidR="00A447B6" w:rsidRPr="00244D65">
        <w:rPr>
          <w:noProof/>
        </w:rPr>
        <w:t xml:space="preserve"> outside Europe</w:t>
      </w:r>
      <w:r w:rsidR="00E363C7" w:rsidRPr="00244D65">
        <w:rPr>
          <w:noProof/>
        </w:rPr>
        <w:t>, such as</w:t>
      </w:r>
      <w:r w:rsidRPr="00244D65">
        <w:rPr>
          <w:noProof/>
        </w:rPr>
        <w:t xml:space="preserve"> </w:t>
      </w:r>
      <w:r w:rsidR="00AF2B0A" w:rsidRPr="00244D65">
        <w:rPr>
          <w:noProof/>
        </w:rPr>
        <w:t>Toronto</w:t>
      </w:r>
      <w:r w:rsidRPr="00244D65">
        <w:rPr>
          <w:noProof/>
        </w:rPr>
        <w:t xml:space="preserve"> to </w:t>
      </w:r>
      <w:r w:rsidR="00AF2B0A" w:rsidRPr="00244D65">
        <w:rPr>
          <w:noProof/>
        </w:rPr>
        <w:t>Vancouver</w:t>
      </w:r>
      <w:r w:rsidRPr="00244D65">
        <w:rPr>
          <w:noProof/>
        </w:rPr>
        <w:t xml:space="preserve">). </w:t>
      </w:r>
      <w:r w:rsidRPr="00244D65">
        <w:rPr>
          <w:b/>
          <w:noProof/>
        </w:rPr>
        <w:t>Currently</w:t>
      </w:r>
      <w:r w:rsidR="008A75D0" w:rsidRPr="00244D65">
        <w:rPr>
          <w:b/>
          <w:noProof/>
        </w:rPr>
        <w:t>,</w:t>
      </w:r>
      <w:r w:rsidRPr="00244D65">
        <w:rPr>
          <w:b/>
          <w:noProof/>
        </w:rPr>
        <w:t xml:space="preserve"> </w:t>
      </w:r>
      <w:r w:rsidR="00A35769" w:rsidRPr="00244D65">
        <w:rPr>
          <w:b/>
          <w:noProof/>
        </w:rPr>
        <w:t xml:space="preserve">the ETS </w:t>
      </w:r>
      <w:r w:rsidR="004100F7" w:rsidRPr="00244D65">
        <w:rPr>
          <w:b/>
          <w:noProof/>
        </w:rPr>
        <w:t xml:space="preserve">carbon price </w:t>
      </w:r>
      <w:r w:rsidR="00A46FBB" w:rsidRPr="00244D65">
        <w:rPr>
          <w:b/>
          <w:noProof/>
        </w:rPr>
        <w:t>appl</w:t>
      </w:r>
      <w:r w:rsidR="00474DF1" w:rsidRPr="00244D65">
        <w:rPr>
          <w:b/>
          <w:noProof/>
        </w:rPr>
        <w:t>ies within Europe and</w:t>
      </w:r>
      <w:r w:rsidR="00A46FBB" w:rsidRPr="00244D65">
        <w:rPr>
          <w:b/>
          <w:noProof/>
        </w:rPr>
        <w:t xml:space="preserve"> to </w:t>
      </w:r>
      <w:r w:rsidR="00474DF1" w:rsidRPr="00244D65">
        <w:rPr>
          <w:b/>
          <w:noProof/>
        </w:rPr>
        <w:t>departing</w:t>
      </w:r>
      <w:r w:rsidR="00A46FBB" w:rsidRPr="00244D65">
        <w:rPr>
          <w:b/>
          <w:noProof/>
        </w:rPr>
        <w:t xml:space="preserve"> flights </w:t>
      </w:r>
      <w:r w:rsidR="00A81BF9" w:rsidRPr="00244D65">
        <w:rPr>
          <w:b/>
          <w:noProof/>
        </w:rPr>
        <w:t xml:space="preserve">to </w:t>
      </w:r>
      <w:r w:rsidR="00474DF1" w:rsidRPr="00244D65">
        <w:rPr>
          <w:b/>
          <w:noProof/>
        </w:rPr>
        <w:t xml:space="preserve">Switzerland and the UK, but not to </w:t>
      </w:r>
      <w:r w:rsidR="002931F7" w:rsidRPr="00244D65">
        <w:rPr>
          <w:b/>
          <w:noProof/>
        </w:rPr>
        <w:t xml:space="preserve">other </w:t>
      </w:r>
      <w:r w:rsidR="00E209D4" w:rsidRPr="00244D65">
        <w:rPr>
          <w:b/>
          <w:noProof/>
        </w:rPr>
        <w:t>third countries</w:t>
      </w:r>
      <w:r w:rsidRPr="00244D65">
        <w:rPr>
          <w:noProof/>
        </w:rPr>
        <w:t xml:space="preserve">. </w:t>
      </w:r>
      <w:r w:rsidR="009E0C7E" w:rsidRPr="00244D65">
        <w:rPr>
          <w:b/>
          <w:bCs/>
          <w:noProof/>
        </w:rPr>
        <w:t xml:space="preserve">Policy options differ in how they address </w:t>
      </w:r>
      <w:r w:rsidR="00E209D4" w:rsidRPr="00244D65">
        <w:rPr>
          <w:b/>
          <w:bCs/>
          <w:noProof/>
        </w:rPr>
        <w:t>CO</w:t>
      </w:r>
      <w:r w:rsidR="00E209D4" w:rsidRPr="00244D65">
        <w:rPr>
          <w:b/>
          <w:bCs/>
          <w:noProof/>
          <w:vertAlign w:val="subscript"/>
        </w:rPr>
        <w:t>2</w:t>
      </w:r>
      <w:r w:rsidR="00E209D4" w:rsidRPr="00244D65">
        <w:rPr>
          <w:b/>
          <w:bCs/>
          <w:noProof/>
        </w:rPr>
        <w:t xml:space="preserve"> emissions from flights to other third countries</w:t>
      </w:r>
      <w:r w:rsidR="00525D43" w:rsidRPr="00244D65">
        <w:rPr>
          <w:b/>
          <w:bCs/>
          <w:noProof/>
        </w:rPr>
        <w:t>.</w:t>
      </w:r>
      <w:r w:rsidRPr="00244D65">
        <w:rPr>
          <w:noProof/>
        </w:rPr>
        <w:t xml:space="preserve"> </w:t>
      </w:r>
      <w:r w:rsidR="002F10C2" w:rsidRPr="00244D65">
        <w:rPr>
          <w:noProof/>
        </w:rPr>
        <w:t>In PO1,</w:t>
      </w:r>
      <w:r w:rsidR="00717009" w:rsidRPr="00244D65">
        <w:rPr>
          <w:noProof/>
        </w:rPr>
        <w:t xml:space="preserve"> </w:t>
      </w:r>
      <w:r w:rsidR="005A7162" w:rsidRPr="00244D65">
        <w:rPr>
          <w:noProof/>
        </w:rPr>
        <w:t xml:space="preserve">the ETS carbon price does not apply to </w:t>
      </w:r>
      <w:r w:rsidR="009A2059" w:rsidRPr="00244D65">
        <w:rPr>
          <w:noProof/>
        </w:rPr>
        <w:t>international</w:t>
      </w:r>
      <w:r w:rsidR="00643D44" w:rsidRPr="00244D65">
        <w:rPr>
          <w:noProof/>
        </w:rPr>
        <w:t xml:space="preserve"> emissions</w:t>
      </w:r>
      <w:r w:rsidR="00A6707B" w:rsidRPr="00244D65">
        <w:rPr>
          <w:noProof/>
        </w:rPr>
        <w:t xml:space="preserve">, </w:t>
      </w:r>
      <w:r w:rsidR="009A2059" w:rsidRPr="00244D65">
        <w:rPr>
          <w:noProof/>
        </w:rPr>
        <w:t xml:space="preserve">but </w:t>
      </w:r>
      <w:r w:rsidR="00FC63B9" w:rsidRPr="00244D65">
        <w:rPr>
          <w:noProof/>
        </w:rPr>
        <w:t xml:space="preserve">CORSIA applies to </w:t>
      </w:r>
      <w:r w:rsidR="006F7B7F" w:rsidRPr="00244D65">
        <w:rPr>
          <w:noProof/>
        </w:rPr>
        <w:t>a part</w:t>
      </w:r>
      <w:r w:rsidR="009A2059" w:rsidRPr="00244D65">
        <w:rPr>
          <w:noProof/>
        </w:rPr>
        <w:t xml:space="preserve"> of the</w:t>
      </w:r>
      <w:r w:rsidR="006F7B7F" w:rsidRPr="00244D65">
        <w:rPr>
          <w:noProof/>
        </w:rPr>
        <w:t>se</w:t>
      </w:r>
      <w:r w:rsidR="00C43BB2" w:rsidRPr="00244D65">
        <w:rPr>
          <w:noProof/>
        </w:rPr>
        <w:t xml:space="preserve"> emissions</w:t>
      </w:r>
      <w:r w:rsidR="00613C2E" w:rsidRPr="00244D65">
        <w:rPr>
          <w:rStyle w:val="FootnoteReference"/>
          <w:noProof/>
        </w:rPr>
        <w:footnoteReference w:id="53"/>
      </w:r>
      <w:r w:rsidR="00C6525C" w:rsidRPr="00244D65">
        <w:rPr>
          <w:noProof/>
        </w:rPr>
        <w:t>.</w:t>
      </w:r>
      <w:r w:rsidR="00370842" w:rsidRPr="00244D65">
        <w:rPr>
          <w:noProof/>
        </w:rPr>
        <w:t xml:space="preserve"> </w:t>
      </w:r>
      <w:r w:rsidR="00C43BB2" w:rsidRPr="00244D65">
        <w:rPr>
          <w:noProof/>
        </w:rPr>
        <w:t>In PO2 and PO3,</w:t>
      </w:r>
      <w:r w:rsidR="00046393" w:rsidRPr="00244D65">
        <w:rPr>
          <w:noProof/>
        </w:rPr>
        <w:t xml:space="preserve"> </w:t>
      </w:r>
      <w:r w:rsidR="00721981" w:rsidRPr="00244D65">
        <w:rPr>
          <w:noProof/>
        </w:rPr>
        <w:t xml:space="preserve">the ETS carbon </w:t>
      </w:r>
      <w:r w:rsidR="00046393" w:rsidRPr="00244D65">
        <w:rPr>
          <w:noProof/>
        </w:rPr>
        <w:t>price</w:t>
      </w:r>
      <w:r w:rsidR="00F14AE1" w:rsidRPr="00244D65">
        <w:rPr>
          <w:noProof/>
        </w:rPr>
        <w:t xml:space="preserve"> </w:t>
      </w:r>
      <w:r w:rsidR="00C43BB2" w:rsidRPr="00244D65">
        <w:rPr>
          <w:noProof/>
        </w:rPr>
        <w:t xml:space="preserve">addresses </w:t>
      </w:r>
      <w:r w:rsidR="000473C2" w:rsidRPr="00244D65">
        <w:rPr>
          <w:noProof/>
        </w:rPr>
        <w:t>emissions from flights that depart from Europe (</w:t>
      </w:r>
      <w:r w:rsidR="007D61D1" w:rsidRPr="00244D65">
        <w:rPr>
          <w:noProof/>
        </w:rPr>
        <w:t xml:space="preserve">Paris to Toronto, but not </w:t>
      </w:r>
      <w:r w:rsidR="00BD2842" w:rsidRPr="00244D65">
        <w:rPr>
          <w:noProof/>
        </w:rPr>
        <w:t xml:space="preserve">Toronto to Paris, and neither </w:t>
      </w:r>
      <w:r w:rsidR="007D61D1" w:rsidRPr="00244D65">
        <w:rPr>
          <w:noProof/>
        </w:rPr>
        <w:t>Beijing to Dubai</w:t>
      </w:r>
      <w:r w:rsidR="00BD2842" w:rsidRPr="00244D65">
        <w:rPr>
          <w:noProof/>
        </w:rPr>
        <w:t>).</w:t>
      </w:r>
      <w:r w:rsidR="00A80BB6" w:rsidRPr="00244D65">
        <w:rPr>
          <w:noProof/>
        </w:rPr>
        <w:t xml:space="preserve"> </w:t>
      </w:r>
      <w:r w:rsidR="00A86A0F" w:rsidRPr="00244D65">
        <w:rPr>
          <w:noProof/>
        </w:rPr>
        <w:t>In PO2 and PO3</w:t>
      </w:r>
      <w:r w:rsidR="00487F5A" w:rsidRPr="00244D65">
        <w:rPr>
          <w:noProof/>
        </w:rPr>
        <w:t>,</w:t>
      </w:r>
      <w:r w:rsidR="00A86A0F" w:rsidRPr="00244D65">
        <w:rPr>
          <w:noProof/>
        </w:rPr>
        <w:t xml:space="preserve"> the ETS scope is the same as</w:t>
      </w:r>
      <w:r w:rsidR="0084165F" w:rsidRPr="00244D65">
        <w:rPr>
          <w:noProof/>
        </w:rPr>
        <w:t xml:space="preserve"> the ReFuelEU Regulation</w:t>
      </w:r>
      <w:r w:rsidR="00017841" w:rsidRPr="00244D65">
        <w:rPr>
          <w:rStyle w:val="FootnoteReference"/>
          <w:noProof/>
        </w:rPr>
        <w:footnoteReference w:id="54"/>
      </w:r>
      <w:r w:rsidR="00A86A0F" w:rsidRPr="00244D65">
        <w:rPr>
          <w:noProof/>
        </w:rPr>
        <w:t>, which</w:t>
      </w:r>
      <w:r w:rsidR="0084165F" w:rsidRPr="00244D65">
        <w:rPr>
          <w:noProof/>
        </w:rPr>
        <w:t xml:space="preserve"> mandates increasing </w:t>
      </w:r>
      <w:r w:rsidR="00D63D2E" w:rsidRPr="00244D65">
        <w:rPr>
          <w:noProof/>
        </w:rPr>
        <w:t xml:space="preserve">production </w:t>
      </w:r>
      <w:r w:rsidR="00034EE5" w:rsidRPr="00244D65">
        <w:rPr>
          <w:noProof/>
        </w:rPr>
        <w:t xml:space="preserve">of SAF </w:t>
      </w:r>
      <w:r w:rsidR="00D63D2E" w:rsidRPr="00244D65">
        <w:rPr>
          <w:noProof/>
        </w:rPr>
        <w:t xml:space="preserve">and </w:t>
      </w:r>
      <w:r w:rsidR="00843AE2" w:rsidRPr="00244D65">
        <w:rPr>
          <w:noProof/>
        </w:rPr>
        <w:t xml:space="preserve">requires airlines to </w:t>
      </w:r>
      <w:r w:rsidR="00D63D2E" w:rsidRPr="00244D65">
        <w:rPr>
          <w:noProof/>
        </w:rPr>
        <w:t xml:space="preserve">uptake </w:t>
      </w:r>
      <w:r w:rsidR="00D5070F" w:rsidRPr="00244D65">
        <w:rPr>
          <w:noProof/>
        </w:rPr>
        <w:t xml:space="preserve">fuel </w:t>
      </w:r>
      <w:r w:rsidR="00307557" w:rsidRPr="00244D65">
        <w:rPr>
          <w:noProof/>
        </w:rPr>
        <w:t>at Union airports</w:t>
      </w:r>
      <w:r w:rsidR="00277716" w:rsidRPr="00244D65">
        <w:rPr>
          <w:noProof/>
        </w:rPr>
        <w:t xml:space="preserve">. Use </w:t>
      </w:r>
      <w:r w:rsidR="00D63D2E" w:rsidRPr="00244D65">
        <w:rPr>
          <w:noProof/>
        </w:rPr>
        <w:t xml:space="preserve">of SAF reduces </w:t>
      </w:r>
      <w:r w:rsidR="00277716" w:rsidRPr="00244D65">
        <w:rPr>
          <w:noProof/>
        </w:rPr>
        <w:t>emissions</w:t>
      </w:r>
      <w:r w:rsidR="006E39C3" w:rsidRPr="00244D65">
        <w:rPr>
          <w:noProof/>
        </w:rPr>
        <w:t xml:space="preserve"> significantly</w:t>
      </w:r>
      <w:r w:rsidR="008F5A4E" w:rsidRPr="00244D65">
        <w:rPr>
          <w:noProof/>
        </w:rPr>
        <w:t xml:space="preserve">, but </w:t>
      </w:r>
      <w:r w:rsidR="00B51A82" w:rsidRPr="00244D65">
        <w:rPr>
          <w:noProof/>
        </w:rPr>
        <w:t xml:space="preserve">industry </w:t>
      </w:r>
      <w:r w:rsidR="00056C13" w:rsidRPr="00244D65">
        <w:rPr>
          <w:noProof/>
        </w:rPr>
        <w:t xml:space="preserve">have </w:t>
      </w:r>
      <w:r w:rsidR="0026634E" w:rsidRPr="00244D65">
        <w:rPr>
          <w:noProof/>
        </w:rPr>
        <w:t>claim</w:t>
      </w:r>
      <w:r w:rsidR="00056C13" w:rsidRPr="00244D65">
        <w:rPr>
          <w:noProof/>
        </w:rPr>
        <w:t>ed</w:t>
      </w:r>
      <w:r w:rsidR="0026634E" w:rsidRPr="00244D65">
        <w:rPr>
          <w:noProof/>
        </w:rPr>
        <w:t xml:space="preserve"> </w:t>
      </w:r>
      <w:r w:rsidR="00295897" w:rsidRPr="00244D65">
        <w:rPr>
          <w:noProof/>
        </w:rPr>
        <w:t xml:space="preserve">they </w:t>
      </w:r>
      <w:r w:rsidR="00056C13" w:rsidRPr="00244D65">
        <w:rPr>
          <w:noProof/>
        </w:rPr>
        <w:t>may fail to</w:t>
      </w:r>
      <w:r w:rsidR="00F17BE0" w:rsidRPr="00244D65">
        <w:rPr>
          <w:noProof/>
        </w:rPr>
        <w:t xml:space="preserve"> meet </w:t>
      </w:r>
      <w:r w:rsidR="00505AFD" w:rsidRPr="00244D65">
        <w:rPr>
          <w:noProof/>
        </w:rPr>
        <w:t>ReFuelEU</w:t>
      </w:r>
      <w:r w:rsidR="0026634E" w:rsidRPr="00244D65">
        <w:rPr>
          <w:noProof/>
        </w:rPr>
        <w:t xml:space="preserve"> </w:t>
      </w:r>
      <w:r w:rsidR="00527523" w:rsidRPr="00244D65">
        <w:rPr>
          <w:noProof/>
        </w:rPr>
        <w:t>mandates</w:t>
      </w:r>
      <w:r w:rsidR="00995A05" w:rsidRPr="00244D65">
        <w:rPr>
          <w:noProof/>
        </w:rPr>
        <w:t xml:space="preserve">, </w:t>
      </w:r>
      <w:r w:rsidR="00F17BE0" w:rsidRPr="00244D65">
        <w:rPr>
          <w:noProof/>
        </w:rPr>
        <w:t>unless</w:t>
      </w:r>
      <w:r w:rsidR="00995A05" w:rsidRPr="00244D65">
        <w:rPr>
          <w:noProof/>
        </w:rPr>
        <w:t xml:space="preserve"> </w:t>
      </w:r>
      <w:r w:rsidR="00D3597A" w:rsidRPr="00244D65">
        <w:rPr>
          <w:noProof/>
        </w:rPr>
        <w:t xml:space="preserve">they receive </w:t>
      </w:r>
      <w:r w:rsidR="00995A05" w:rsidRPr="00244D65">
        <w:rPr>
          <w:noProof/>
        </w:rPr>
        <w:t xml:space="preserve">additional </w:t>
      </w:r>
      <w:r w:rsidR="00527523" w:rsidRPr="00244D65">
        <w:rPr>
          <w:noProof/>
        </w:rPr>
        <w:t>financial support</w:t>
      </w:r>
      <w:r w:rsidR="001B1A9D" w:rsidRPr="00244D65">
        <w:rPr>
          <w:rStyle w:val="FootnoteReference"/>
          <w:noProof/>
        </w:rPr>
        <w:footnoteReference w:id="55"/>
      </w:r>
      <w:r w:rsidR="0089402B" w:rsidRPr="00244D65">
        <w:rPr>
          <w:noProof/>
        </w:rPr>
        <w:t>.</w:t>
      </w:r>
      <w:r w:rsidR="00752639" w:rsidRPr="00244D65">
        <w:rPr>
          <w:noProof/>
        </w:rPr>
        <w:t xml:space="preserve"> </w:t>
      </w:r>
      <w:r w:rsidR="00995A05" w:rsidRPr="00244D65">
        <w:rPr>
          <w:noProof/>
        </w:rPr>
        <w:t>ReFuelEU is a separate regulation, not part of the ETS Directive, and therefore outside the scope of this review. Our modelling assumes ReFuelEU mandates are met, with the resulting emissions reductions</w:t>
      </w:r>
      <w:r w:rsidR="00425843" w:rsidRPr="00244D65">
        <w:rPr>
          <w:noProof/>
        </w:rPr>
        <w:t xml:space="preserve"> having a larger impact than the carbon price</w:t>
      </w:r>
      <w:r w:rsidR="00ED362B" w:rsidRPr="00244D65">
        <w:rPr>
          <w:noProof/>
        </w:rPr>
        <w:t xml:space="preserve"> alone</w:t>
      </w:r>
      <w:r w:rsidR="00426BB7" w:rsidRPr="00244D65">
        <w:rPr>
          <w:noProof/>
        </w:rPr>
        <w:t>.</w:t>
      </w:r>
    </w:p>
    <w:p w14:paraId="4169BB08" w14:textId="1AB5EF96" w:rsidR="008A75E3" w:rsidRPr="00244D65" w:rsidRDefault="00466D65" w:rsidP="0085595C">
      <w:pPr>
        <w:rPr>
          <w:noProof/>
        </w:rPr>
      </w:pPr>
      <w:r w:rsidRPr="00244D65">
        <w:rPr>
          <w:noProof/>
        </w:rPr>
        <w:t>A</w:t>
      </w:r>
      <w:r w:rsidR="00E01AB8" w:rsidRPr="00244D65">
        <w:rPr>
          <w:noProof/>
        </w:rPr>
        <w:t xml:space="preserve"> larger </w:t>
      </w:r>
      <w:r w:rsidR="009F158B" w:rsidRPr="00244D65">
        <w:rPr>
          <w:noProof/>
        </w:rPr>
        <w:t>scope of application of the ETS carbon price</w:t>
      </w:r>
      <w:r w:rsidR="00F21E2F" w:rsidRPr="00244D65">
        <w:rPr>
          <w:noProof/>
        </w:rPr>
        <w:t xml:space="preserve"> </w:t>
      </w:r>
      <w:r w:rsidR="00782736" w:rsidRPr="00244D65">
        <w:rPr>
          <w:noProof/>
        </w:rPr>
        <w:t xml:space="preserve">slightly </w:t>
      </w:r>
      <w:r w:rsidR="00C67DBF" w:rsidRPr="00244D65">
        <w:rPr>
          <w:noProof/>
        </w:rPr>
        <w:t xml:space="preserve">reduces </w:t>
      </w:r>
      <w:r w:rsidR="00FB0D04" w:rsidRPr="00244D65">
        <w:rPr>
          <w:b/>
          <w:bCs/>
          <w:noProof/>
        </w:rPr>
        <w:t xml:space="preserve">global </w:t>
      </w:r>
      <w:r w:rsidR="00F21E2F" w:rsidRPr="00244D65">
        <w:rPr>
          <w:b/>
          <w:noProof/>
        </w:rPr>
        <w:t>international</w:t>
      </w:r>
      <w:r w:rsidR="00F21E2F" w:rsidRPr="00244D65">
        <w:rPr>
          <w:b/>
          <w:bCs/>
          <w:noProof/>
        </w:rPr>
        <w:t xml:space="preserve"> aviation emissions</w:t>
      </w:r>
      <w:r w:rsidR="009B42C0" w:rsidRPr="00244D65">
        <w:rPr>
          <w:noProof/>
        </w:rPr>
        <w:t>.</w:t>
      </w:r>
      <w:r w:rsidR="00F21E2F" w:rsidRPr="00244D65">
        <w:rPr>
          <w:noProof/>
        </w:rPr>
        <w:t xml:space="preserve"> </w:t>
      </w:r>
      <w:r w:rsidR="003D7787" w:rsidRPr="00244D65">
        <w:rPr>
          <w:noProof/>
        </w:rPr>
        <w:t>Most emissions growth is projected to occur outside Europe</w:t>
      </w:r>
      <w:r w:rsidR="003D7787" w:rsidRPr="00244D65">
        <w:rPr>
          <w:noProof/>
          <w:vertAlign w:val="superscript"/>
        </w:rPr>
        <w:footnoteReference w:id="56"/>
      </w:r>
      <w:r w:rsidR="003D7787" w:rsidRPr="00244D65">
        <w:rPr>
          <w:noProof/>
        </w:rPr>
        <w:t xml:space="preserve">, i.e. for flights that neither take off </w:t>
      </w:r>
      <w:r w:rsidR="005442E6" w:rsidRPr="00244D65">
        <w:rPr>
          <w:noProof/>
        </w:rPr>
        <w:t>n</w:t>
      </w:r>
      <w:r w:rsidR="003D7787" w:rsidRPr="00244D65">
        <w:rPr>
          <w:noProof/>
        </w:rPr>
        <w:t xml:space="preserve">or land in an EEA </w:t>
      </w:r>
      <w:r w:rsidR="001525B8" w:rsidRPr="00244D65">
        <w:rPr>
          <w:noProof/>
        </w:rPr>
        <w:t>country and</w:t>
      </w:r>
      <w:r w:rsidR="00A256D4" w:rsidRPr="00244D65">
        <w:rPr>
          <w:noProof/>
        </w:rPr>
        <w:t xml:space="preserve"> is therefore not affected by the ETS price signal</w:t>
      </w:r>
      <w:r w:rsidR="0024627E" w:rsidRPr="00244D65">
        <w:rPr>
          <w:noProof/>
        </w:rPr>
        <w:t xml:space="preserve"> or ReFuelEU</w:t>
      </w:r>
      <w:r w:rsidR="00A256D4" w:rsidRPr="00244D65">
        <w:rPr>
          <w:noProof/>
        </w:rPr>
        <w:t>.</w:t>
      </w:r>
    </w:p>
    <w:p w14:paraId="10A3019E" w14:textId="64A7CB7A" w:rsidR="00F21E2F" w:rsidRPr="00244D65" w:rsidDel="00160D49" w:rsidRDefault="008A1C46" w:rsidP="0085595C">
      <w:pPr>
        <w:rPr>
          <w:noProof/>
        </w:rPr>
      </w:pPr>
      <w:r w:rsidRPr="00244D65">
        <w:rPr>
          <w:noProof/>
        </w:rPr>
        <w:t>T</w:t>
      </w:r>
      <w:r w:rsidR="00F21E2F" w:rsidRPr="00244D65">
        <w:rPr>
          <w:noProof/>
        </w:rPr>
        <w:t xml:space="preserve">he Commission review focuses on flights that are connected to </w:t>
      </w:r>
      <w:r w:rsidR="00EC60D9" w:rsidRPr="00244D65">
        <w:rPr>
          <w:noProof/>
        </w:rPr>
        <w:t xml:space="preserve">the </w:t>
      </w:r>
      <w:r w:rsidR="00F21E2F" w:rsidRPr="00244D65">
        <w:rPr>
          <w:noProof/>
        </w:rPr>
        <w:t>European territory, i.e. take off in Europe</w:t>
      </w:r>
      <w:r w:rsidR="00FA5614" w:rsidRPr="00244D65">
        <w:rPr>
          <w:noProof/>
        </w:rPr>
        <w:t xml:space="preserve">, and can be directly affected by </w:t>
      </w:r>
      <w:r w:rsidR="00EF2FEB" w:rsidRPr="00244D65">
        <w:rPr>
          <w:noProof/>
        </w:rPr>
        <w:t>our policies</w:t>
      </w:r>
      <w:r w:rsidR="00F21E2F" w:rsidRPr="00244D65">
        <w:rPr>
          <w:noProof/>
        </w:rPr>
        <w:t>. It is therefore interesting to single out CO</w:t>
      </w:r>
      <w:r w:rsidR="00F21E2F" w:rsidRPr="00244D65">
        <w:rPr>
          <w:noProof/>
          <w:vertAlign w:val="subscript"/>
        </w:rPr>
        <w:t>2</w:t>
      </w:r>
      <w:r w:rsidR="00F21E2F" w:rsidRPr="00244D65">
        <w:rPr>
          <w:noProof/>
        </w:rPr>
        <w:t xml:space="preserve"> emissions of </w:t>
      </w:r>
      <w:r w:rsidR="00F21E2F" w:rsidRPr="00244D65">
        <w:rPr>
          <w:b/>
          <w:bCs/>
          <w:noProof/>
        </w:rPr>
        <w:t>extra-EEA departing flights</w:t>
      </w:r>
      <w:r w:rsidR="001F5116" w:rsidRPr="00244D65">
        <w:rPr>
          <w:noProof/>
        </w:rPr>
        <w:t>, because that is a key difference between policy options</w:t>
      </w:r>
      <w:r w:rsidR="00F21E2F" w:rsidRPr="00244D65">
        <w:rPr>
          <w:noProof/>
        </w:rPr>
        <w:t xml:space="preserve">. Impacts of policy options follow the same pattern </w:t>
      </w:r>
      <w:r w:rsidRPr="00244D65">
        <w:rPr>
          <w:noProof/>
        </w:rPr>
        <w:t xml:space="preserve">as </w:t>
      </w:r>
      <w:r w:rsidR="00141165" w:rsidRPr="00244D65">
        <w:rPr>
          <w:noProof/>
        </w:rPr>
        <w:t>for global international emissions</w:t>
      </w:r>
      <w:r w:rsidRPr="00244D65">
        <w:rPr>
          <w:noProof/>
        </w:rPr>
        <w:t xml:space="preserve"> </w:t>
      </w:r>
      <w:r w:rsidR="00F21E2F" w:rsidRPr="00244D65">
        <w:rPr>
          <w:noProof/>
        </w:rPr>
        <w:t xml:space="preserve">but are more </w:t>
      </w:r>
      <w:r w:rsidR="007C66B2" w:rsidRPr="00244D65">
        <w:rPr>
          <w:noProof/>
        </w:rPr>
        <w:t>pronounced</w:t>
      </w:r>
      <w:r w:rsidR="00F21E2F" w:rsidRPr="00244D65">
        <w:rPr>
          <w:noProof/>
        </w:rPr>
        <w:t>. In the baseline, ETS scope is broadest, and CO</w:t>
      </w:r>
      <w:r w:rsidR="00F21E2F" w:rsidRPr="00244D65">
        <w:rPr>
          <w:noProof/>
          <w:vertAlign w:val="subscript"/>
        </w:rPr>
        <w:t>2</w:t>
      </w:r>
      <w:r w:rsidR="00F21E2F" w:rsidRPr="00244D65">
        <w:rPr>
          <w:noProof/>
        </w:rPr>
        <w:t xml:space="preserve"> emissions </w:t>
      </w:r>
      <w:r w:rsidR="00607BD9" w:rsidRPr="00244D65">
        <w:rPr>
          <w:noProof/>
        </w:rPr>
        <w:t>decrease most</w:t>
      </w:r>
      <w:r w:rsidR="00F21E2F" w:rsidRPr="00244D65">
        <w:rPr>
          <w:noProof/>
        </w:rPr>
        <w:t xml:space="preserve">. Under PO1, ETS scope is smallest (it does not apply at all to departing flights), resulting in the </w:t>
      </w:r>
      <w:r w:rsidR="00243172" w:rsidRPr="00244D65">
        <w:rPr>
          <w:noProof/>
        </w:rPr>
        <w:t>smallest reduction</w:t>
      </w:r>
      <w:r w:rsidR="00F427E0" w:rsidRPr="00244D65">
        <w:rPr>
          <w:noProof/>
        </w:rPr>
        <w:t>.</w:t>
      </w:r>
      <w:r w:rsidR="00945841" w:rsidRPr="00244D65">
        <w:rPr>
          <w:noProof/>
        </w:rPr>
        <w:t xml:space="preserve"> </w:t>
      </w:r>
      <w:r w:rsidR="00F21E2F" w:rsidRPr="00244D65">
        <w:rPr>
          <w:noProof/>
        </w:rPr>
        <w:t>Table</w:t>
      </w:r>
      <w:r w:rsidR="0C46E913" w:rsidRPr="00244D65">
        <w:rPr>
          <w:noProof/>
        </w:rPr>
        <w:t xml:space="preserve"> </w:t>
      </w:r>
      <w:r>
        <w:rPr>
          <w:noProof/>
        </w:rPr>
        <w:t>5</w:t>
      </w:r>
      <w:r w:rsidR="00F21E2F" w:rsidRPr="00244D65">
        <w:rPr>
          <w:noProof/>
        </w:rPr>
        <w:t xml:space="preserve"> below presents the policy options and </w:t>
      </w:r>
      <w:r w:rsidR="002F6BF7" w:rsidRPr="00244D65">
        <w:rPr>
          <w:noProof/>
        </w:rPr>
        <w:t>modelled</w:t>
      </w:r>
      <w:r w:rsidR="005C43F4" w:rsidRPr="00244D65">
        <w:rPr>
          <w:noProof/>
        </w:rPr>
        <w:t xml:space="preserve"> CO</w:t>
      </w:r>
      <w:r w:rsidR="005C43F4" w:rsidRPr="00244D65">
        <w:rPr>
          <w:noProof/>
          <w:vertAlign w:val="subscript"/>
        </w:rPr>
        <w:t>2</w:t>
      </w:r>
      <w:r w:rsidR="00F21E2F" w:rsidRPr="00244D65">
        <w:rPr>
          <w:noProof/>
        </w:rPr>
        <w:t xml:space="preserve"> emissions</w:t>
      </w:r>
      <w:r w:rsidR="00A97002" w:rsidRPr="00244D65">
        <w:rPr>
          <w:noProof/>
        </w:rPr>
        <w:t xml:space="preserve"> rounded to the nearest </w:t>
      </w:r>
      <w:r w:rsidR="00BC0F4A" w:rsidRPr="00244D65">
        <w:rPr>
          <w:noProof/>
        </w:rPr>
        <w:t>5Mt</w:t>
      </w:r>
      <w:r w:rsidR="00F21E2F" w:rsidRPr="00244D65">
        <w:rPr>
          <w:noProof/>
        </w:rPr>
        <w:t>.</w:t>
      </w:r>
      <w:r w:rsidR="005C43F4" w:rsidRPr="00244D65">
        <w:rPr>
          <w:noProof/>
        </w:rPr>
        <w:t xml:space="preserve"> </w:t>
      </w:r>
    </w:p>
    <w:p w14:paraId="096F6C8B" w14:textId="34217A26" w:rsidR="00622FA5" w:rsidRPr="00244D65" w:rsidRDefault="00127328" w:rsidP="005E4778">
      <w:pPr>
        <w:pStyle w:val="Tabletitle"/>
        <w:rPr>
          <w:noProof/>
        </w:rPr>
      </w:pPr>
      <w:bookmarkStart w:id="148" w:name="_Toc234496385"/>
      <w:bookmarkStart w:id="149" w:name="_Toc232754565"/>
      <w:r w:rsidRPr="00244D65">
        <w:rPr>
          <w:noProof/>
        </w:rPr>
        <w:t xml:space="preserve">Policy options and global </w:t>
      </w:r>
      <w:r w:rsidR="00886141" w:rsidRPr="00244D65">
        <w:rPr>
          <w:noProof/>
        </w:rPr>
        <w:t xml:space="preserve">international </w:t>
      </w:r>
      <w:r w:rsidRPr="00244D65">
        <w:rPr>
          <w:noProof/>
        </w:rPr>
        <w:t xml:space="preserve">aviation emissions (inside Europe: domestic and </w:t>
      </w:r>
      <w:r w:rsidR="00147D91" w:rsidRPr="00244D65">
        <w:rPr>
          <w:noProof/>
        </w:rPr>
        <w:t>international</w:t>
      </w:r>
      <w:r w:rsidRPr="00244D65">
        <w:rPr>
          <w:noProof/>
        </w:rPr>
        <w:t xml:space="preserve">; outside Europe: </w:t>
      </w:r>
      <w:r w:rsidR="00147D91" w:rsidRPr="00244D65">
        <w:rPr>
          <w:noProof/>
        </w:rPr>
        <w:t>international</w:t>
      </w:r>
      <w:r w:rsidRPr="00244D65">
        <w:rPr>
          <w:noProof/>
        </w:rPr>
        <w:t xml:space="preserve"> only)</w:t>
      </w:r>
      <w:bookmarkEnd w:id="148"/>
      <w:bookmarkEnd w:id="149"/>
      <w:r w:rsidRPr="00244D65" w:rsidDel="00127328">
        <w:rPr>
          <w:noProof/>
        </w:rPr>
        <w:t xml:space="preserve"> </w:t>
      </w:r>
    </w:p>
    <w:tbl>
      <w:tblPr>
        <w:tblW w:w="0" w:type="auto"/>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ook w:val="04A0" w:firstRow="1" w:lastRow="0" w:firstColumn="1" w:lastColumn="0" w:noHBand="0" w:noVBand="1"/>
      </w:tblPr>
      <w:tblGrid>
        <w:gridCol w:w="2193"/>
        <w:gridCol w:w="2271"/>
        <w:gridCol w:w="2271"/>
        <w:gridCol w:w="2271"/>
      </w:tblGrid>
      <w:tr w:rsidR="00432527" w:rsidRPr="00244D65" w14:paraId="76E163F6" w14:textId="77777777" w:rsidTr="0370B517">
        <w:tc>
          <w:tcPr>
            <w:tcW w:w="0" w:type="auto"/>
          </w:tcPr>
          <w:p w14:paraId="5E176977" w14:textId="52F26C5E" w:rsidR="00D61F8F" w:rsidRPr="00244D65" w:rsidRDefault="00D61F8F" w:rsidP="0085595C">
            <w:pPr>
              <w:rPr>
                <w:b/>
                <w:noProof/>
                <w:sz w:val="22"/>
                <w:szCs w:val="22"/>
              </w:rPr>
            </w:pPr>
            <w:r w:rsidRPr="00244D65">
              <w:rPr>
                <w:b/>
                <w:noProof/>
                <w:sz w:val="22"/>
                <w:szCs w:val="22"/>
              </w:rPr>
              <w:t>202</w:t>
            </w:r>
            <w:r w:rsidR="00C0168A" w:rsidRPr="00244D65">
              <w:rPr>
                <w:b/>
                <w:noProof/>
                <w:sz w:val="22"/>
                <w:szCs w:val="22"/>
              </w:rPr>
              <w:t>4</w:t>
            </w:r>
            <w:r w:rsidRPr="00244D65">
              <w:rPr>
                <w:b/>
                <w:noProof/>
                <w:sz w:val="22"/>
                <w:szCs w:val="22"/>
              </w:rPr>
              <w:t xml:space="preserve"> emissions</w:t>
            </w:r>
          </w:p>
          <w:p w14:paraId="4335E1A2" w14:textId="06C850B9" w:rsidR="00D61F8F" w:rsidRPr="00244D65" w:rsidRDefault="00767F8A" w:rsidP="0085595C">
            <w:pPr>
              <w:rPr>
                <w:b/>
                <w:noProof/>
                <w:sz w:val="22"/>
                <w:szCs w:val="22"/>
              </w:rPr>
            </w:pPr>
            <w:r w:rsidRPr="00244D65">
              <w:rPr>
                <w:b/>
                <w:noProof/>
                <w:sz w:val="22"/>
                <w:szCs w:val="22"/>
              </w:rPr>
              <w:t>6</w:t>
            </w:r>
            <w:r w:rsidR="00D7040A" w:rsidRPr="00244D65">
              <w:rPr>
                <w:b/>
                <w:noProof/>
                <w:sz w:val="22"/>
                <w:szCs w:val="22"/>
              </w:rPr>
              <w:t>90</w:t>
            </w:r>
            <w:r w:rsidR="00D61F8F" w:rsidRPr="00244D65">
              <w:rPr>
                <w:b/>
                <w:noProof/>
                <w:sz w:val="22"/>
                <w:szCs w:val="22"/>
              </w:rPr>
              <w:t xml:space="preserve"> Mt CO</w:t>
            </w:r>
            <w:r w:rsidR="00D61F8F" w:rsidRPr="00244D65">
              <w:rPr>
                <w:b/>
                <w:noProof/>
                <w:sz w:val="22"/>
                <w:szCs w:val="22"/>
                <w:vertAlign w:val="subscript"/>
              </w:rPr>
              <w:t>2</w:t>
            </w:r>
          </w:p>
        </w:tc>
        <w:tc>
          <w:tcPr>
            <w:tcW w:w="0" w:type="auto"/>
          </w:tcPr>
          <w:p w14:paraId="051DD0CF" w14:textId="77777777" w:rsidR="00D61F8F" w:rsidRPr="00244D65" w:rsidRDefault="00D61F8F" w:rsidP="005E4778">
            <w:pPr>
              <w:jc w:val="center"/>
              <w:rPr>
                <w:b/>
                <w:noProof/>
                <w:sz w:val="22"/>
                <w:szCs w:val="22"/>
              </w:rPr>
            </w:pPr>
            <w:r w:rsidRPr="00244D65">
              <w:rPr>
                <w:b/>
                <w:noProof/>
                <w:sz w:val="22"/>
                <w:szCs w:val="22"/>
              </w:rPr>
              <w:t>Emissions 2030</w:t>
            </w:r>
          </w:p>
          <w:p w14:paraId="63E03737" w14:textId="77777777" w:rsidR="00D61F8F" w:rsidRPr="00244D65" w:rsidRDefault="00D61F8F" w:rsidP="005E4778">
            <w:pPr>
              <w:jc w:val="center"/>
              <w:rPr>
                <w:b/>
                <w:noProof/>
                <w:sz w:val="22"/>
                <w:szCs w:val="22"/>
              </w:rPr>
            </w:pPr>
            <w:r w:rsidRPr="00244D65">
              <w:rPr>
                <w:b/>
                <w:noProof/>
                <w:sz w:val="22"/>
                <w:szCs w:val="22"/>
              </w:rPr>
              <w:t>in Mt CO</w:t>
            </w:r>
            <w:r w:rsidRPr="00244D65">
              <w:rPr>
                <w:b/>
                <w:noProof/>
                <w:sz w:val="22"/>
                <w:szCs w:val="22"/>
                <w:vertAlign w:val="subscript"/>
              </w:rPr>
              <w:t>2</w:t>
            </w:r>
          </w:p>
        </w:tc>
        <w:tc>
          <w:tcPr>
            <w:tcW w:w="0" w:type="auto"/>
          </w:tcPr>
          <w:p w14:paraId="2BB324A7" w14:textId="77777777" w:rsidR="00D61F8F" w:rsidRPr="00244D65" w:rsidRDefault="00D61F8F" w:rsidP="005E4778">
            <w:pPr>
              <w:jc w:val="center"/>
              <w:rPr>
                <w:b/>
                <w:noProof/>
                <w:sz w:val="22"/>
                <w:szCs w:val="22"/>
              </w:rPr>
            </w:pPr>
            <w:r w:rsidRPr="00244D65">
              <w:rPr>
                <w:b/>
                <w:noProof/>
                <w:sz w:val="22"/>
                <w:szCs w:val="22"/>
              </w:rPr>
              <w:t>Emissions 2035</w:t>
            </w:r>
          </w:p>
          <w:p w14:paraId="1291F52F" w14:textId="77777777" w:rsidR="00D61F8F" w:rsidRPr="00244D65" w:rsidRDefault="00D61F8F" w:rsidP="005E4778">
            <w:pPr>
              <w:jc w:val="center"/>
              <w:rPr>
                <w:b/>
                <w:noProof/>
                <w:sz w:val="22"/>
                <w:szCs w:val="22"/>
              </w:rPr>
            </w:pPr>
            <w:r w:rsidRPr="00244D65">
              <w:rPr>
                <w:b/>
                <w:noProof/>
                <w:sz w:val="22"/>
                <w:szCs w:val="22"/>
              </w:rPr>
              <w:t>in Mt CO</w:t>
            </w:r>
            <w:r w:rsidRPr="00244D65">
              <w:rPr>
                <w:b/>
                <w:noProof/>
                <w:sz w:val="22"/>
                <w:szCs w:val="22"/>
                <w:vertAlign w:val="subscript"/>
              </w:rPr>
              <w:t>2</w:t>
            </w:r>
          </w:p>
        </w:tc>
        <w:tc>
          <w:tcPr>
            <w:tcW w:w="0" w:type="auto"/>
          </w:tcPr>
          <w:p w14:paraId="0477CFBD" w14:textId="77777777" w:rsidR="00D61F8F" w:rsidRPr="00244D65" w:rsidRDefault="00D61F8F" w:rsidP="005E4778">
            <w:pPr>
              <w:jc w:val="center"/>
              <w:rPr>
                <w:b/>
                <w:noProof/>
                <w:sz w:val="22"/>
                <w:szCs w:val="22"/>
              </w:rPr>
            </w:pPr>
            <w:r w:rsidRPr="00244D65">
              <w:rPr>
                <w:b/>
                <w:noProof/>
                <w:sz w:val="22"/>
                <w:szCs w:val="22"/>
              </w:rPr>
              <w:t>Emissions 2040</w:t>
            </w:r>
          </w:p>
          <w:p w14:paraId="036939F7" w14:textId="77777777" w:rsidR="00D61F8F" w:rsidRPr="00244D65" w:rsidRDefault="00D61F8F" w:rsidP="005E4778">
            <w:pPr>
              <w:jc w:val="center"/>
              <w:rPr>
                <w:b/>
                <w:noProof/>
                <w:sz w:val="22"/>
                <w:szCs w:val="22"/>
              </w:rPr>
            </w:pPr>
            <w:r w:rsidRPr="00244D65">
              <w:rPr>
                <w:b/>
                <w:noProof/>
                <w:sz w:val="22"/>
                <w:szCs w:val="22"/>
              </w:rPr>
              <w:t>in Mt CO</w:t>
            </w:r>
            <w:r w:rsidRPr="00244D65">
              <w:rPr>
                <w:b/>
                <w:noProof/>
                <w:sz w:val="22"/>
                <w:szCs w:val="22"/>
                <w:vertAlign w:val="subscript"/>
              </w:rPr>
              <w:t>2</w:t>
            </w:r>
          </w:p>
        </w:tc>
      </w:tr>
      <w:tr w:rsidR="00432527" w:rsidRPr="00244D65" w14:paraId="5C9F0E1A" w14:textId="77777777" w:rsidTr="0370B517">
        <w:tc>
          <w:tcPr>
            <w:tcW w:w="0" w:type="auto"/>
          </w:tcPr>
          <w:p w14:paraId="3FC4CD27" w14:textId="77777777" w:rsidR="00D61F8F" w:rsidRPr="00244D65" w:rsidRDefault="00D61F8F" w:rsidP="0085595C">
            <w:pPr>
              <w:rPr>
                <w:b/>
                <w:bCs/>
                <w:noProof/>
                <w:sz w:val="22"/>
                <w:szCs w:val="22"/>
              </w:rPr>
            </w:pPr>
            <w:r w:rsidRPr="00244D65">
              <w:rPr>
                <w:b/>
                <w:bCs/>
                <w:noProof/>
                <w:sz w:val="22"/>
                <w:szCs w:val="22"/>
              </w:rPr>
              <w:t>Baseline</w:t>
            </w:r>
          </w:p>
        </w:tc>
        <w:tc>
          <w:tcPr>
            <w:tcW w:w="0" w:type="auto"/>
          </w:tcPr>
          <w:p w14:paraId="7BFF2383" w14:textId="4DCD8AFE" w:rsidR="00D61F8F" w:rsidRPr="00244D65" w:rsidRDefault="00D4126E" w:rsidP="005E4778">
            <w:pPr>
              <w:jc w:val="center"/>
              <w:rPr>
                <w:noProof/>
                <w:sz w:val="22"/>
                <w:szCs w:val="22"/>
              </w:rPr>
            </w:pPr>
            <w:r w:rsidRPr="00244D65">
              <w:rPr>
                <w:noProof/>
                <w:sz w:val="22"/>
                <w:szCs w:val="22"/>
              </w:rPr>
              <w:t>59</w:t>
            </w:r>
            <w:r w:rsidR="00767F8A" w:rsidRPr="00244D65">
              <w:rPr>
                <w:noProof/>
                <w:sz w:val="22"/>
                <w:szCs w:val="22"/>
              </w:rPr>
              <w:t>0</w:t>
            </w:r>
          </w:p>
        </w:tc>
        <w:tc>
          <w:tcPr>
            <w:tcW w:w="0" w:type="auto"/>
          </w:tcPr>
          <w:p w14:paraId="06024A56" w14:textId="615A1E8B" w:rsidR="00D61F8F" w:rsidRPr="00244D65" w:rsidRDefault="00767F8A" w:rsidP="005E4778">
            <w:pPr>
              <w:jc w:val="center"/>
              <w:rPr>
                <w:noProof/>
                <w:sz w:val="22"/>
                <w:szCs w:val="22"/>
              </w:rPr>
            </w:pPr>
            <w:r w:rsidRPr="00244D65">
              <w:rPr>
                <w:noProof/>
                <w:sz w:val="22"/>
                <w:szCs w:val="22"/>
              </w:rPr>
              <w:t>600</w:t>
            </w:r>
          </w:p>
        </w:tc>
        <w:tc>
          <w:tcPr>
            <w:tcW w:w="0" w:type="auto"/>
          </w:tcPr>
          <w:p w14:paraId="20EA6E88" w14:textId="5952A664" w:rsidR="00D61F8F" w:rsidRPr="00244D65" w:rsidRDefault="00767F8A" w:rsidP="005E4778">
            <w:pPr>
              <w:jc w:val="center"/>
              <w:rPr>
                <w:noProof/>
                <w:sz w:val="22"/>
                <w:szCs w:val="22"/>
              </w:rPr>
            </w:pPr>
            <w:r w:rsidRPr="00244D65">
              <w:rPr>
                <w:noProof/>
                <w:sz w:val="22"/>
                <w:szCs w:val="22"/>
              </w:rPr>
              <w:t>590</w:t>
            </w:r>
          </w:p>
        </w:tc>
      </w:tr>
      <w:tr w:rsidR="00D61F8F" w:rsidRPr="00244D65" w14:paraId="082EBB9F" w14:textId="77777777" w:rsidTr="0370B517">
        <w:trPr>
          <w:trHeight w:val="780"/>
        </w:trPr>
        <w:tc>
          <w:tcPr>
            <w:tcW w:w="0" w:type="auto"/>
            <w:gridSpan w:val="4"/>
          </w:tcPr>
          <w:p w14:paraId="5CECEC36" w14:textId="5DE188F9" w:rsidR="00D61F8F" w:rsidRPr="00244D65" w:rsidRDefault="00D61F8F" w:rsidP="0085595C">
            <w:pPr>
              <w:rPr>
                <w:bCs/>
                <w:noProof/>
                <w:sz w:val="22"/>
                <w:szCs w:val="22"/>
              </w:rPr>
            </w:pPr>
            <w:r w:rsidRPr="00244D65">
              <w:rPr>
                <w:i/>
                <w:noProof/>
                <w:sz w:val="22"/>
                <w:szCs w:val="22"/>
              </w:rPr>
              <w:t>Return to full legal scope</w:t>
            </w:r>
            <w:r w:rsidRPr="00244D65">
              <w:rPr>
                <w:bCs/>
                <w:noProof/>
                <w:sz w:val="22"/>
                <w:szCs w:val="22"/>
              </w:rPr>
              <w:t>, where the EU ETS applies to flights within Member States, between Member States and extra-EEA flights to and from Member States. Flights to-</w:t>
            </w:r>
            <w:r w:rsidR="00D46937" w:rsidRPr="00244D65">
              <w:rPr>
                <w:bCs/>
                <w:noProof/>
                <w:sz w:val="22"/>
                <w:szCs w:val="22"/>
              </w:rPr>
              <w:t>,</w:t>
            </w:r>
            <w:r w:rsidRPr="00244D65">
              <w:rPr>
                <w:bCs/>
                <w:noProof/>
                <w:sz w:val="22"/>
                <w:szCs w:val="22"/>
              </w:rPr>
              <w:t xml:space="preserve"> from and between Outermost Regions are included from January 2031. </w:t>
            </w:r>
          </w:p>
        </w:tc>
      </w:tr>
      <w:tr w:rsidR="00432527" w:rsidRPr="00244D65" w14:paraId="45F9DBA3" w14:textId="77777777" w:rsidTr="0370B517">
        <w:tc>
          <w:tcPr>
            <w:tcW w:w="0" w:type="auto"/>
          </w:tcPr>
          <w:p w14:paraId="03E07ABD" w14:textId="77777777" w:rsidR="00D61F8F" w:rsidRPr="00244D65" w:rsidRDefault="00D61F8F" w:rsidP="0085595C">
            <w:pPr>
              <w:rPr>
                <w:bCs/>
                <w:noProof/>
                <w:sz w:val="22"/>
                <w:szCs w:val="22"/>
              </w:rPr>
            </w:pPr>
            <w:r w:rsidRPr="00244D65">
              <w:rPr>
                <w:b/>
                <w:bCs/>
                <w:noProof/>
                <w:sz w:val="22"/>
                <w:szCs w:val="22"/>
              </w:rPr>
              <w:t>PO1</w:t>
            </w:r>
          </w:p>
        </w:tc>
        <w:tc>
          <w:tcPr>
            <w:tcW w:w="0" w:type="auto"/>
          </w:tcPr>
          <w:p w14:paraId="55D14C12" w14:textId="75F21E4E" w:rsidR="00D61F8F" w:rsidRPr="00244D65" w:rsidRDefault="00D4126E" w:rsidP="005E4778">
            <w:pPr>
              <w:jc w:val="center"/>
              <w:rPr>
                <w:noProof/>
                <w:sz w:val="22"/>
                <w:szCs w:val="22"/>
              </w:rPr>
            </w:pPr>
            <w:r w:rsidRPr="00244D65">
              <w:rPr>
                <w:noProof/>
                <w:sz w:val="22"/>
                <w:szCs w:val="22"/>
              </w:rPr>
              <w:t>605</w:t>
            </w:r>
          </w:p>
        </w:tc>
        <w:tc>
          <w:tcPr>
            <w:tcW w:w="0" w:type="auto"/>
          </w:tcPr>
          <w:p w14:paraId="59603D35" w14:textId="52C639BF" w:rsidR="00D61F8F" w:rsidRPr="00244D65" w:rsidRDefault="00767F8A" w:rsidP="005E4778">
            <w:pPr>
              <w:jc w:val="center"/>
              <w:rPr>
                <w:noProof/>
                <w:sz w:val="22"/>
                <w:szCs w:val="22"/>
              </w:rPr>
            </w:pPr>
            <w:r w:rsidRPr="00244D65">
              <w:rPr>
                <w:noProof/>
                <w:sz w:val="22"/>
                <w:szCs w:val="22"/>
              </w:rPr>
              <w:t>605</w:t>
            </w:r>
          </w:p>
        </w:tc>
        <w:tc>
          <w:tcPr>
            <w:tcW w:w="0" w:type="auto"/>
          </w:tcPr>
          <w:p w14:paraId="5C18FEF5" w14:textId="19A2320D" w:rsidR="00D61F8F" w:rsidRPr="00244D65" w:rsidRDefault="00767F8A" w:rsidP="005E4778">
            <w:pPr>
              <w:jc w:val="center"/>
              <w:rPr>
                <w:noProof/>
                <w:sz w:val="22"/>
                <w:szCs w:val="22"/>
              </w:rPr>
            </w:pPr>
            <w:r w:rsidRPr="00244D65">
              <w:rPr>
                <w:noProof/>
                <w:sz w:val="22"/>
                <w:szCs w:val="22"/>
              </w:rPr>
              <w:t>600</w:t>
            </w:r>
          </w:p>
        </w:tc>
      </w:tr>
      <w:tr w:rsidR="00D61F8F" w:rsidRPr="00244D65" w14:paraId="6B033ACB" w14:textId="77777777" w:rsidTr="0370B517">
        <w:tc>
          <w:tcPr>
            <w:tcW w:w="0" w:type="auto"/>
            <w:gridSpan w:val="4"/>
          </w:tcPr>
          <w:p w14:paraId="4F5E2D78" w14:textId="08E95C9E" w:rsidR="00D61F8F" w:rsidRPr="00244D65" w:rsidRDefault="00D61F8F" w:rsidP="0085595C">
            <w:pPr>
              <w:rPr>
                <w:bCs/>
                <w:noProof/>
                <w:sz w:val="22"/>
                <w:szCs w:val="22"/>
              </w:rPr>
            </w:pPr>
            <w:r w:rsidRPr="00244D65">
              <w:rPr>
                <w:i/>
                <w:noProof/>
                <w:sz w:val="22"/>
                <w:szCs w:val="22"/>
              </w:rPr>
              <w:t>Continuation of clean-cut subject to CORSIA implementation</w:t>
            </w:r>
            <w:r w:rsidRPr="00244D65">
              <w:rPr>
                <w:bCs/>
                <w:noProof/>
                <w:sz w:val="22"/>
                <w:szCs w:val="22"/>
              </w:rPr>
              <w:t>: Existing EU policy implementation: the EU ETS applies to flights within Member States and between Member States, as well as to departing flights to the UK and Switzerland. Flights to-</w:t>
            </w:r>
            <w:r w:rsidR="0033316E" w:rsidRPr="00244D65">
              <w:rPr>
                <w:bCs/>
                <w:noProof/>
                <w:sz w:val="22"/>
                <w:szCs w:val="22"/>
              </w:rPr>
              <w:t>,</w:t>
            </w:r>
            <w:r w:rsidRPr="00244D65">
              <w:rPr>
                <w:bCs/>
                <w:noProof/>
                <w:sz w:val="22"/>
                <w:szCs w:val="22"/>
              </w:rPr>
              <w:t xml:space="preserve"> from and between Outermost Regions are included from January 2031.</w:t>
            </w:r>
            <w:r w:rsidR="000532EB" w:rsidRPr="00244D65">
              <w:rPr>
                <w:bCs/>
                <w:noProof/>
                <w:sz w:val="22"/>
                <w:szCs w:val="22"/>
              </w:rPr>
              <w:t xml:space="preserve"> </w:t>
            </w:r>
            <w:r w:rsidRPr="00244D65">
              <w:rPr>
                <w:bCs/>
                <w:noProof/>
                <w:sz w:val="22"/>
                <w:szCs w:val="22"/>
              </w:rPr>
              <w:t xml:space="preserve">CORSIA is implemented by others under high participation assumption (all those who should implement CORSIA from 2027 do so, and all those who voluntarily participate in 2025 </w:t>
            </w:r>
            <w:r w:rsidR="00177299" w:rsidRPr="00244D65">
              <w:rPr>
                <w:bCs/>
                <w:noProof/>
                <w:sz w:val="22"/>
                <w:szCs w:val="22"/>
              </w:rPr>
              <w:t xml:space="preserve">do also </w:t>
            </w:r>
            <w:r w:rsidRPr="00244D65">
              <w:rPr>
                <w:bCs/>
                <w:noProof/>
                <w:sz w:val="22"/>
                <w:szCs w:val="22"/>
              </w:rPr>
              <w:t xml:space="preserve">implement CORSIA). </w:t>
            </w:r>
          </w:p>
        </w:tc>
      </w:tr>
      <w:tr w:rsidR="00432527" w:rsidRPr="00244D65" w14:paraId="1F554F6D" w14:textId="77777777" w:rsidTr="0370B517">
        <w:tc>
          <w:tcPr>
            <w:tcW w:w="0" w:type="auto"/>
          </w:tcPr>
          <w:p w14:paraId="75F374A8" w14:textId="77777777" w:rsidR="00D61F8F" w:rsidRPr="00244D65" w:rsidRDefault="00D61F8F" w:rsidP="0085595C">
            <w:pPr>
              <w:rPr>
                <w:bCs/>
                <w:noProof/>
                <w:sz w:val="22"/>
                <w:szCs w:val="22"/>
              </w:rPr>
            </w:pPr>
            <w:r w:rsidRPr="00244D65">
              <w:rPr>
                <w:b/>
                <w:bCs/>
                <w:noProof/>
                <w:sz w:val="22"/>
                <w:szCs w:val="22"/>
              </w:rPr>
              <w:t>PO2</w:t>
            </w:r>
          </w:p>
        </w:tc>
        <w:tc>
          <w:tcPr>
            <w:tcW w:w="0" w:type="auto"/>
          </w:tcPr>
          <w:p w14:paraId="17CF3510" w14:textId="7E66D225" w:rsidR="00D61F8F" w:rsidRPr="00244D65" w:rsidRDefault="00767F8A" w:rsidP="0085595C">
            <w:pPr>
              <w:rPr>
                <w:noProof/>
                <w:sz w:val="22"/>
                <w:szCs w:val="22"/>
              </w:rPr>
            </w:pPr>
            <w:r w:rsidRPr="00244D65">
              <w:rPr>
                <w:noProof/>
                <w:sz w:val="22"/>
                <w:szCs w:val="22"/>
              </w:rPr>
              <w:t>600</w:t>
            </w:r>
          </w:p>
        </w:tc>
        <w:tc>
          <w:tcPr>
            <w:tcW w:w="0" w:type="auto"/>
          </w:tcPr>
          <w:p w14:paraId="03336D2D" w14:textId="4998C2D6" w:rsidR="00D61F8F" w:rsidRPr="00244D65" w:rsidRDefault="00767F8A" w:rsidP="0085595C">
            <w:pPr>
              <w:rPr>
                <w:noProof/>
                <w:sz w:val="22"/>
                <w:szCs w:val="22"/>
              </w:rPr>
            </w:pPr>
            <w:r w:rsidRPr="00244D65">
              <w:rPr>
                <w:noProof/>
                <w:sz w:val="22"/>
                <w:szCs w:val="22"/>
              </w:rPr>
              <w:t>605</w:t>
            </w:r>
          </w:p>
        </w:tc>
        <w:tc>
          <w:tcPr>
            <w:tcW w:w="0" w:type="auto"/>
          </w:tcPr>
          <w:p w14:paraId="66EFF9F6" w14:textId="354F7741" w:rsidR="00D61F8F" w:rsidRPr="00244D65" w:rsidRDefault="004E1EF6" w:rsidP="0085595C">
            <w:pPr>
              <w:rPr>
                <w:noProof/>
                <w:sz w:val="22"/>
                <w:szCs w:val="22"/>
              </w:rPr>
            </w:pPr>
            <w:r w:rsidRPr="00244D65">
              <w:rPr>
                <w:noProof/>
                <w:sz w:val="22"/>
                <w:szCs w:val="22"/>
              </w:rPr>
              <w:t>595</w:t>
            </w:r>
          </w:p>
        </w:tc>
      </w:tr>
      <w:tr w:rsidR="00D61F8F" w:rsidRPr="00244D65" w14:paraId="32964EA5" w14:textId="77777777" w:rsidTr="0370B517">
        <w:tc>
          <w:tcPr>
            <w:tcW w:w="0" w:type="auto"/>
            <w:gridSpan w:val="4"/>
          </w:tcPr>
          <w:p w14:paraId="359BBC5F" w14:textId="608E1218" w:rsidR="00D61F8F" w:rsidRPr="00244D65" w:rsidRDefault="00D61F8F" w:rsidP="0085595C">
            <w:pPr>
              <w:rPr>
                <w:bCs/>
                <w:noProof/>
                <w:sz w:val="22"/>
                <w:szCs w:val="22"/>
              </w:rPr>
            </w:pPr>
            <w:r w:rsidRPr="00244D65">
              <w:rPr>
                <w:i/>
                <w:noProof/>
                <w:sz w:val="22"/>
                <w:szCs w:val="22"/>
              </w:rPr>
              <w:t>Departing flights &amp; SAF support extension by a medium amount</w:t>
            </w:r>
            <w:r w:rsidRPr="00244D65">
              <w:rPr>
                <w:bCs/>
                <w:noProof/>
                <w:sz w:val="22"/>
                <w:szCs w:val="22"/>
              </w:rPr>
              <w:t>: The EU ETS applies to flights within Europe, and to departing international flights. Flights to-</w:t>
            </w:r>
            <w:r w:rsidR="00161E47" w:rsidRPr="00244D65">
              <w:rPr>
                <w:bCs/>
                <w:noProof/>
                <w:sz w:val="22"/>
                <w:szCs w:val="22"/>
              </w:rPr>
              <w:t>,</w:t>
            </w:r>
            <w:r w:rsidRPr="00244D65">
              <w:rPr>
                <w:bCs/>
                <w:noProof/>
                <w:sz w:val="22"/>
                <w:szCs w:val="22"/>
              </w:rPr>
              <w:t xml:space="preserve"> from and between Outermost Regions are included from January 2031.</w:t>
            </w:r>
            <w:r w:rsidR="000532EB" w:rsidRPr="00244D65">
              <w:rPr>
                <w:bCs/>
                <w:noProof/>
                <w:sz w:val="22"/>
                <w:szCs w:val="22"/>
              </w:rPr>
              <w:t xml:space="preserve"> </w:t>
            </w:r>
            <w:r w:rsidRPr="00244D65">
              <w:rPr>
                <w:bCs/>
                <w:noProof/>
                <w:sz w:val="22"/>
                <w:szCs w:val="22"/>
              </w:rPr>
              <w:t>CORSIA is implemented by others, and offsetting costs can be deducted on relevant routes. ETS-financed SAF support is extended by a medium amount.</w:t>
            </w:r>
          </w:p>
        </w:tc>
      </w:tr>
      <w:tr w:rsidR="00432527" w:rsidRPr="00244D65" w14:paraId="74EF3DCC" w14:textId="77777777" w:rsidTr="0370B517">
        <w:tc>
          <w:tcPr>
            <w:tcW w:w="0" w:type="auto"/>
          </w:tcPr>
          <w:p w14:paraId="4B53EA61" w14:textId="77777777" w:rsidR="00D61F8F" w:rsidRPr="00244D65" w:rsidRDefault="00D61F8F" w:rsidP="0085595C">
            <w:pPr>
              <w:rPr>
                <w:bCs/>
                <w:noProof/>
                <w:sz w:val="22"/>
                <w:szCs w:val="22"/>
              </w:rPr>
            </w:pPr>
            <w:r w:rsidRPr="00244D65">
              <w:rPr>
                <w:b/>
                <w:bCs/>
                <w:noProof/>
                <w:sz w:val="22"/>
                <w:szCs w:val="22"/>
              </w:rPr>
              <w:t>PO3</w:t>
            </w:r>
          </w:p>
        </w:tc>
        <w:tc>
          <w:tcPr>
            <w:tcW w:w="0" w:type="auto"/>
          </w:tcPr>
          <w:p w14:paraId="6D536E4B" w14:textId="04776D14" w:rsidR="00D61F8F" w:rsidRPr="00244D65" w:rsidRDefault="00767F8A" w:rsidP="0085595C">
            <w:pPr>
              <w:rPr>
                <w:noProof/>
                <w:sz w:val="22"/>
                <w:szCs w:val="22"/>
              </w:rPr>
            </w:pPr>
            <w:r w:rsidRPr="00244D65">
              <w:rPr>
                <w:noProof/>
                <w:sz w:val="22"/>
                <w:szCs w:val="22"/>
              </w:rPr>
              <w:t>600</w:t>
            </w:r>
          </w:p>
        </w:tc>
        <w:tc>
          <w:tcPr>
            <w:tcW w:w="0" w:type="auto"/>
          </w:tcPr>
          <w:p w14:paraId="34BB1208" w14:textId="74A049DE" w:rsidR="00D61F8F" w:rsidRPr="00244D65" w:rsidRDefault="00767F8A" w:rsidP="0085595C">
            <w:pPr>
              <w:rPr>
                <w:noProof/>
                <w:sz w:val="22"/>
                <w:szCs w:val="22"/>
              </w:rPr>
            </w:pPr>
            <w:r w:rsidRPr="00244D65">
              <w:rPr>
                <w:noProof/>
                <w:sz w:val="22"/>
                <w:szCs w:val="22"/>
              </w:rPr>
              <w:t>605</w:t>
            </w:r>
          </w:p>
        </w:tc>
        <w:tc>
          <w:tcPr>
            <w:tcW w:w="0" w:type="auto"/>
          </w:tcPr>
          <w:p w14:paraId="07AF8E35" w14:textId="6C884915" w:rsidR="00D61F8F" w:rsidRPr="00244D65" w:rsidRDefault="00844CE7" w:rsidP="0085595C">
            <w:pPr>
              <w:rPr>
                <w:noProof/>
                <w:sz w:val="22"/>
                <w:szCs w:val="22"/>
              </w:rPr>
            </w:pPr>
            <w:r w:rsidRPr="00244D65">
              <w:rPr>
                <w:noProof/>
                <w:sz w:val="22"/>
                <w:szCs w:val="22"/>
              </w:rPr>
              <w:t>595</w:t>
            </w:r>
          </w:p>
        </w:tc>
      </w:tr>
      <w:tr w:rsidR="00D61F8F" w:rsidRPr="00244D65" w14:paraId="132D6663" w14:textId="77777777" w:rsidTr="0370B517">
        <w:tc>
          <w:tcPr>
            <w:tcW w:w="0" w:type="auto"/>
            <w:gridSpan w:val="4"/>
          </w:tcPr>
          <w:p w14:paraId="38183170" w14:textId="7B626D44" w:rsidR="00D61F8F" w:rsidRPr="00244D65" w:rsidRDefault="00D61F8F" w:rsidP="0085595C">
            <w:pPr>
              <w:rPr>
                <w:bCs/>
                <w:noProof/>
                <w:sz w:val="22"/>
                <w:szCs w:val="22"/>
              </w:rPr>
            </w:pPr>
            <w:r w:rsidRPr="00244D65">
              <w:rPr>
                <w:i/>
                <w:noProof/>
                <w:sz w:val="22"/>
                <w:szCs w:val="22"/>
              </w:rPr>
              <w:t>Departing flights &amp; SAF support extension by a larger amount</w:t>
            </w:r>
            <w:r w:rsidRPr="00244D65">
              <w:rPr>
                <w:bCs/>
                <w:noProof/>
                <w:sz w:val="22"/>
                <w:szCs w:val="22"/>
              </w:rPr>
              <w:t>: The EU ETS applies to flights within Europe, and to departing international flights. Flights to-</w:t>
            </w:r>
            <w:r w:rsidR="003A2801" w:rsidRPr="00244D65">
              <w:rPr>
                <w:bCs/>
                <w:noProof/>
                <w:sz w:val="22"/>
                <w:szCs w:val="22"/>
              </w:rPr>
              <w:t>,</w:t>
            </w:r>
            <w:r w:rsidRPr="00244D65">
              <w:rPr>
                <w:bCs/>
                <w:noProof/>
                <w:sz w:val="22"/>
                <w:szCs w:val="22"/>
              </w:rPr>
              <w:t xml:space="preserve"> from and between Outermost Regions are included from January 2031.</w:t>
            </w:r>
            <w:r w:rsidR="00DE05B5" w:rsidRPr="00244D65">
              <w:rPr>
                <w:bCs/>
                <w:noProof/>
                <w:sz w:val="22"/>
                <w:szCs w:val="22"/>
              </w:rPr>
              <w:t xml:space="preserve"> </w:t>
            </w:r>
            <w:r w:rsidRPr="00244D65">
              <w:rPr>
                <w:bCs/>
                <w:noProof/>
                <w:sz w:val="22"/>
                <w:szCs w:val="22"/>
              </w:rPr>
              <w:t>CORSIA is implemented by others, and offsetting costs can be deducted on relevant routes. ETS-financed SAF support is extended by a larger amount.</w:t>
            </w:r>
          </w:p>
        </w:tc>
      </w:tr>
      <w:tr w:rsidR="00FC27A6" w:rsidRPr="00244D65" w14:paraId="52A913C5" w14:textId="77777777" w:rsidTr="0370B517">
        <w:tc>
          <w:tcPr>
            <w:tcW w:w="0" w:type="auto"/>
            <w:gridSpan w:val="4"/>
          </w:tcPr>
          <w:p w14:paraId="53063E0B" w14:textId="55A854E0" w:rsidR="00FC27A6" w:rsidRPr="00244D65" w:rsidRDefault="00345AC1" w:rsidP="0085595C">
            <w:pPr>
              <w:rPr>
                <w:b/>
                <w:noProof/>
                <w:sz w:val="22"/>
                <w:szCs w:val="22"/>
              </w:rPr>
            </w:pPr>
            <w:r w:rsidRPr="00244D65">
              <w:rPr>
                <w:b/>
                <w:noProof/>
                <w:sz w:val="22"/>
                <w:szCs w:val="22"/>
              </w:rPr>
              <w:t>International i</w:t>
            </w:r>
            <w:r w:rsidR="0018165E" w:rsidRPr="00244D65">
              <w:rPr>
                <w:b/>
                <w:noProof/>
                <w:sz w:val="22"/>
                <w:szCs w:val="22"/>
              </w:rPr>
              <w:t>mpact</w:t>
            </w:r>
          </w:p>
          <w:p w14:paraId="2EEAFC6B" w14:textId="782BD8C1" w:rsidR="001F445E" w:rsidRPr="00244D65" w:rsidRDefault="006E14EB" w:rsidP="0085595C">
            <w:pPr>
              <w:pStyle w:val="ListParagraph"/>
              <w:numPr>
                <w:ilvl w:val="0"/>
                <w:numId w:val="13"/>
              </w:numPr>
              <w:rPr>
                <w:i/>
                <w:noProof/>
                <w:sz w:val="22"/>
                <w:szCs w:val="22"/>
              </w:rPr>
            </w:pPr>
            <w:r w:rsidRPr="00244D65">
              <w:rPr>
                <w:i/>
                <w:noProof/>
                <w:sz w:val="22"/>
                <w:szCs w:val="22"/>
              </w:rPr>
              <w:t>Least Developed Countries and Small Island Developing States</w:t>
            </w:r>
          </w:p>
          <w:p w14:paraId="122BBBE0" w14:textId="3EF8B7FF" w:rsidR="00787849" w:rsidRPr="00244D65" w:rsidRDefault="0060038A" w:rsidP="0085595C">
            <w:pPr>
              <w:rPr>
                <w:bCs/>
                <w:noProof/>
                <w:sz w:val="22"/>
                <w:szCs w:val="22"/>
              </w:rPr>
            </w:pPr>
            <w:r w:rsidRPr="00244D65">
              <w:rPr>
                <w:bCs/>
                <w:noProof/>
                <w:sz w:val="22"/>
                <w:szCs w:val="22"/>
              </w:rPr>
              <w:t xml:space="preserve">No impact: </w:t>
            </w:r>
            <w:r w:rsidR="00E26849" w:rsidRPr="00244D65">
              <w:rPr>
                <w:bCs/>
                <w:noProof/>
                <w:sz w:val="22"/>
                <w:szCs w:val="22"/>
              </w:rPr>
              <w:t>N</w:t>
            </w:r>
            <w:r w:rsidR="003A345B" w:rsidRPr="00244D65">
              <w:rPr>
                <w:bCs/>
                <w:noProof/>
                <w:sz w:val="22"/>
                <w:szCs w:val="22"/>
              </w:rPr>
              <w:t>o</w:t>
            </w:r>
            <w:r w:rsidR="003A345B" w:rsidRPr="00244D65">
              <w:rPr>
                <w:noProof/>
                <w:sz w:val="22"/>
                <w:szCs w:val="22"/>
              </w:rPr>
              <w:t xml:space="preserve"> carbon pricing applies to flights to-</w:t>
            </w:r>
            <w:r w:rsidR="00220B97" w:rsidRPr="00244D65">
              <w:rPr>
                <w:noProof/>
                <w:sz w:val="22"/>
                <w:szCs w:val="22"/>
              </w:rPr>
              <w:t>,</w:t>
            </w:r>
            <w:r w:rsidR="003A345B" w:rsidRPr="00244D65">
              <w:rPr>
                <w:noProof/>
                <w:sz w:val="22"/>
                <w:szCs w:val="22"/>
              </w:rPr>
              <w:t xml:space="preserve"> from- or between those countries</w:t>
            </w:r>
            <w:r w:rsidR="00E1638C" w:rsidRPr="00244D65">
              <w:rPr>
                <w:noProof/>
                <w:sz w:val="22"/>
                <w:szCs w:val="22"/>
              </w:rPr>
              <w:t xml:space="preserve">, unless they </w:t>
            </w:r>
            <w:r w:rsidR="00E1638C" w:rsidRPr="00244D65">
              <w:rPr>
                <w:bCs/>
                <w:noProof/>
                <w:sz w:val="22"/>
                <w:szCs w:val="22"/>
              </w:rPr>
              <w:t xml:space="preserve">voluntarily </w:t>
            </w:r>
            <w:r w:rsidR="005561B9" w:rsidRPr="00244D65">
              <w:rPr>
                <w:bCs/>
                <w:noProof/>
                <w:sz w:val="22"/>
                <w:szCs w:val="22"/>
              </w:rPr>
              <w:t>apply it</w:t>
            </w:r>
            <w:r w:rsidR="005D7798" w:rsidRPr="00244D65">
              <w:rPr>
                <w:bCs/>
                <w:noProof/>
                <w:sz w:val="22"/>
                <w:szCs w:val="22"/>
              </w:rPr>
              <w:t xml:space="preserve">. </w:t>
            </w:r>
            <w:r w:rsidR="006E6753" w:rsidRPr="00244D65">
              <w:rPr>
                <w:bCs/>
                <w:noProof/>
                <w:sz w:val="22"/>
                <w:szCs w:val="22"/>
              </w:rPr>
              <w:t>T</w:t>
            </w:r>
            <w:r w:rsidR="00F64DDC" w:rsidRPr="00244D65">
              <w:rPr>
                <w:bCs/>
                <w:noProof/>
                <w:sz w:val="22"/>
                <w:szCs w:val="22"/>
              </w:rPr>
              <w:t>hey are exempt from CORSIA and the ETS</w:t>
            </w:r>
            <w:r w:rsidR="000E4380" w:rsidRPr="00244D65">
              <w:rPr>
                <w:bCs/>
                <w:noProof/>
                <w:sz w:val="22"/>
                <w:szCs w:val="22"/>
              </w:rPr>
              <w:t xml:space="preserve"> in all policy options</w:t>
            </w:r>
            <w:r w:rsidR="00D7553B" w:rsidRPr="00244D65">
              <w:rPr>
                <w:bCs/>
                <w:noProof/>
                <w:sz w:val="22"/>
                <w:szCs w:val="22"/>
              </w:rPr>
              <w:t>.</w:t>
            </w:r>
          </w:p>
          <w:p w14:paraId="7DBBC833" w14:textId="23B70EE2" w:rsidR="00787849" w:rsidRPr="00244D65" w:rsidRDefault="00B64261" w:rsidP="0085595C">
            <w:pPr>
              <w:numPr>
                <w:ilvl w:val="0"/>
                <w:numId w:val="13"/>
              </w:numPr>
              <w:rPr>
                <w:i/>
                <w:noProof/>
                <w:sz w:val="22"/>
                <w:szCs w:val="22"/>
              </w:rPr>
            </w:pPr>
            <w:r w:rsidRPr="00244D65">
              <w:rPr>
                <w:i/>
                <w:noProof/>
                <w:sz w:val="22"/>
                <w:szCs w:val="22"/>
              </w:rPr>
              <w:t>Switzerland and the UK</w:t>
            </w:r>
          </w:p>
          <w:p w14:paraId="6656C223" w14:textId="32AB5AA7" w:rsidR="00A35A56" w:rsidRPr="00244D65" w:rsidRDefault="0060038A" w:rsidP="0085595C">
            <w:pPr>
              <w:rPr>
                <w:bCs/>
                <w:noProof/>
                <w:sz w:val="22"/>
                <w:szCs w:val="22"/>
              </w:rPr>
            </w:pPr>
            <w:r w:rsidRPr="00244D65">
              <w:rPr>
                <w:bCs/>
                <w:noProof/>
                <w:sz w:val="22"/>
                <w:szCs w:val="22"/>
              </w:rPr>
              <w:t xml:space="preserve">No change: </w:t>
            </w:r>
            <w:r w:rsidR="00B64261" w:rsidRPr="00244D65">
              <w:rPr>
                <w:bCs/>
                <w:noProof/>
                <w:sz w:val="22"/>
                <w:szCs w:val="22"/>
              </w:rPr>
              <w:t xml:space="preserve">Flights </w:t>
            </w:r>
            <w:r w:rsidR="00A35A56" w:rsidRPr="00244D65">
              <w:rPr>
                <w:bCs/>
                <w:noProof/>
                <w:sz w:val="22"/>
                <w:szCs w:val="22"/>
              </w:rPr>
              <w:t xml:space="preserve">from </w:t>
            </w:r>
            <w:r w:rsidR="00132269" w:rsidRPr="00244D65">
              <w:rPr>
                <w:bCs/>
                <w:noProof/>
                <w:sz w:val="22"/>
                <w:szCs w:val="22"/>
              </w:rPr>
              <w:t>Europe (meaning EEA countries)</w:t>
            </w:r>
            <w:r w:rsidR="00A35A56" w:rsidRPr="00244D65">
              <w:rPr>
                <w:bCs/>
                <w:noProof/>
                <w:sz w:val="22"/>
                <w:szCs w:val="22"/>
              </w:rPr>
              <w:t xml:space="preserve"> to Switzerland and the UK are currently covered by the ETS carbon price and remain so in all options.</w:t>
            </w:r>
          </w:p>
          <w:p w14:paraId="145EA0B1" w14:textId="325F26A4" w:rsidR="00C24506" w:rsidRPr="00244D65" w:rsidRDefault="00C24506" w:rsidP="0085595C">
            <w:pPr>
              <w:numPr>
                <w:ilvl w:val="0"/>
                <w:numId w:val="13"/>
              </w:numPr>
              <w:rPr>
                <w:i/>
                <w:noProof/>
                <w:sz w:val="22"/>
                <w:szCs w:val="22"/>
              </w:rPr>
            </w:pPr>
            <w:r w:rsidRPr="00244D65">
              <w:rPr>
                <w:i/>
                <w:noProof/>
                <w:sz w:val="22"/>
                <w:szCs w:val="22"/>
              </w:rPr>
              <w:t>Other third countries</w:t>
            </w:r>
          </w:p>
          <w:p w14:paraId="4F217C44" w14:textId="4FCA8D9A" w:rsidR="00FC27A6" w:rsidRPr="00244D65" w:rsidRDefault="00C623AC" w:rsidP="0085595C">
            <w:pPr>
              <w:rPr>
                <w:bCs/>
                <w:noProof/>
                <w:sz w:val="22"/>
                <w:szCs w:val="22"/>
              </w:rPr>
            </w:pPr>
            <w:r w:rsidRPr="00244D65">
              <w:rPr>
                <w:bCs/>
                <w:noProof/>
                <w:sz w:val="22"/>
                <w:szCs w:val="22"/>
              </w:rPr>
              <w:t xml:space="preserve">The options differ in the choice of carbon pricing tool(s) that apply to </w:t>
            </w:r>
            <w:r w:rsidR="00D81B60" w:rsidRPr="00244D65">
              <w:rPr>
                <w:bCs/>
                <w:noProof/>
                <w:sz w:val="22"/>
                <w:szCs w:val="22"/>
              </w:rPr>
              <w:t>CO</w:t>
            </w:r>
            <w:r w:rsidR="00D81B60" w:rsidRPr="00244D65">
              <w:rPr>
                <w:bCs/>
                <w:noProof/>
                <w:sz w:val="22"/>
                <w:szCs w:val="22"/>
                <w:vertAlign w:val="subscript"/>
              </w:rPr>
              <w:t>2</w:t>
            </w:r>
            <w:r w:rsidR="00D81B60" w:rsidRPr="00244D65">
              <w:rPr>
                <w:bCs/>
                <w:noProof/>
                <w:sz w:val="22"/>
                <w:szCs w:val="22"/>
              </w:rPr>
              <w:t xml:space="preserve"> emissions from flights departing from </w:t>
            </w:r>
            <w:r w:rsidR="003B0FD5" w:rsidRPr="00244D65">
              <w:rPr>
                <w:bCs/>
                <w:noProof/>
                <w:sz w:val="22"/>
                <w:szCs w:val="22"/>
              </w:rPr>
              <w:t>Europe</w:t>
            </w:r>
            <w:r w:rsidR="00AF3C4A" w:rsidRPr="00244D65">
              <w:rPr>
                <w:bCs/>
                <w:noProof/>
                <w:sz w:val="22"/>
                <w:szCs w:val="22"/>
              </w:rPr>
              <w:t xml:space="preserve"> to </w:t>
            </w:r>
            <w:r w:rsidR="00926E30" w:rsidRPr="00244D65">
              <w:rPr>
                <w:bCs/>
                <w:noProof/>
                <w:sz w:val="22"/>
                <w:szCs w:val="22"/>
              </w:rPr>
              <w:t>these countries</w:t>
            </w:r>
            <w:r w:rsidR="00AF3C4A" w:rsidRPr="00244D65">
              <w:rPr>
                <w:bCs/>
                <w:noProof/>
                <w:sz w:val="22"/>
                <w:szCs w:val="22"/>
              </w:rPr>
              <w:t xml:space="preserve">. </w:t>
            </w:r>
            <w:r w:rsidR="00A5533C" w:rsidRPr="00244D65">
              <w:rPr>
                <w:bCs/>
                <w:noProof/>
                <w:sz w:val="22"/>
                <w:szCs w:val="22"/>
              </w:rPr>
              <w:t xml:space="preserve">In any case, an effective carbon price </w:t>
            </w:r>
            <w:r w:rsidR="00EF6D51" w:rsidRPr="00244D65">
              <w:rPr>
                <w:bCs/>
                <w:noProof/>
                <w:sz w:val="22"/>
                <w:szCs w:val="22"/>
              </w:rPr>
              <w:t xml:space="preserve">should apply to those emissions, either if CORSIA </w:t>
            </w:r>
            <w:r w:rsidR="002A3567" w:rsidRPr="00244D65">
              <w:rPr>
                <w:bCs/>
                <w:noProof/>
                <w:sz w:val="22"/>
                <w:szCs w:val="22"/>
              </w:rPr>
              <w:t xml:space="preserve">satisfies the requirements of Article 28b ETS Directive (Policy Option 1), or through </w:t>
            </w:r>
            <w:r w:rsidR="002668E6" w:rsidRPr="00244D65">
              <w:rPr>
                <w:bCs/>
                <w:noProof/>
                <w:sz w:val="22"/>
                <w:szCs w:val="22"/>
              </w:rPr>
              <w:t>a combination of ETS and CORSIA</w:t>
            </w:r>
            <w:r w:rsidR="00330618" w:rsidRPr="00244D65">
              <w:rPr>
                <w:bCs/>
                <w:noProof/>
                <w:sz w:val="22"/>
                <w:szCs w:val="22"/>
              </w:rPr>
              <w:t xml:space="preserve"> (Policy Options 2 and 3).</w:t>
            </w:r>
            <w:r w:rsidR="001B7E48" w:rsidRPr="00244D65">
              <w:rPr>
                <w:bCs/>
                <w:noProof/>
                <w:sz w:val="22"/>
                <w:szCs w:val="22"/>
              </w:rPr>
              <w:t xml:space="preserve"> </w:t>
            </w:r>
            <w:r w:rsidR="00724A54" w:rsidRPr="00244D65">
              <w:rPr>
                <w:bCs/>
                <w:noProof/>
                <w:sz w:val="22"/>
                <w:szCs w:val="22"/>
              </w:rPr>
              <w:t>See</w:t>
            </w:r>
            <w:r w:rsidR="00BE6B40" w:rsidRPr="00244D65">
              <w:rPr>
                <w:noProof/>
                <w:sz w:val="22"/>
                <w:szCs w:val="22"/>
              </w:rPr>
              <w:t xml:space="preserve"> detail in Annex 10.</w:t>
            </w:r>
            <w:r w:rsidR="00E5656E" w:rsidRPr="00244D65">
              <w:rPr>
                <w:bCs/>
                <w:noProof/>
                <w:sz w:val="22"/>
                <w:szCs w:val="22"/>
              </w:rPr>
              <w:t xml:space="preserve"> </w:t>
            </w:r>
            <w:r w:rsidR="00E016BC" w:rsidRPr="00244D65">
              <w:rPr>
                <w:bCs/>
                <w:noProof/>
                <w:sz w:val="22"/>
                <w:szCs w:val="22"/>
              </w:rPr>
              <w:t>In Policy Option</w:t>
            </w:r>
            <w:r w:rsidR="00A15E14" w:rsidRPr="00244D65">
              <w:rPr>
                <w:bCs/>
                <w:noProof/>
                <w:sz w:val="22"/>
                <w:szCs w:val="22"/>
              </w:rPr>
              <w:t>s</w:t>
            </w:r>
            <w:r w:rsidR="00E016BC" w:rsidRPr="00244D65">
              <w:rPr>
                <w:bCs/>
                <w:noProof/>
                <w:sz w:val="22"/>
                <w:szCs w:val="22"/>
              </w:rPr>
              <w:t xml:space="preserve"> 2 and 3, some third country reactions can be expected</w:t>
            </w:r>
            <w:r w:rsidR="006B6C60" w:rsidRPr="00244D65">
              <w:rPr>
                <w:bCs/>
                <w:noProof/>
                <w:sz w:val="22"/>
                <w:szCs w:val="22"/>
              </w:rPr>
              <w:t xml:space="preserve">, because </w:t>
            </w:r>
            <w:r w:rsidR="00487848" w:rsidRPr="00244D65">
              <w:rPr>
                <w:bCs/>
                <w:noProof/>
                <w:sz w:val="22"/>
                <w:szCs w:val="22"/>
              </w:rPr>
              <w:t xml:space="preserve">due to equal treatment on routes, the ETS carbon price would </w:t>
            </w:r>
            <w:r w:rsidR="00505F25" w:rsidRPr="00244D65">
              <w:rPr>
                <w:bCs/>
                <w:noProof/>
                <w:sz w:val="22"/>
                <w:szCs w:val="22"/>
              </w:rPr>
              <w:t xml:space="preserve">apply in the same manner to </w:t>
            </w:r>
            <w:r w:rsidR="004733C5" w:rsidRPr="00244D65">
              <w:rPr>
                <w:bCs/>
                <w:noProof/>
                <w:sz w:val="22"/>
                <w:szCs w:val="22"/>
              </w:rPr>
              <w:t xml:space="preserve">all departing flights, </w:t>
            </w:r>
            <w:r w:rsidR="00E37EDB" w:rsidRPr="00244D65">
              <w:rPr>
                <w:bCs/>
                <w:noProof/>
                <w:sz w:val="22"/>
                <w:szCs w:val="22"/>
              </w:rPr>
              <w:t xml:space="preserve">independent from the </w:t>
            </w:r>
            <w:r w:rsidR="003214FA" w:rsidRPr="00244D65">
              <w:rPr>
                <w:bCs/>
                <w:noProof/>
                <w:sz w:val="22"/>
                <w:szCs w:val="22"/>
              </w:rPr>
              <w:t>nationality of the airlin</w:t>
            </w:r>
            <w:r w:rsidR="001B0B4C" w:rsidRPr="00244D65">
              <w:rPr>
                <w:bCs/>
                <w:noProof/>
                <w:sz w:val="22"/>
                <w:szCs w:val="22"/>
              </w:rPr>
              <w:t>e</w:t>
            </w:r>
            <w:r w:rsidR="00212D7D" w:rsidRPr="00244D65">
              <w:rPr>
                <w:bCs/>
                <w:noProof/>
                <w:sz w:val="22"/>
                <w:szCs w:val="22"/>
              </w:rPr>
              <w:t>. This equal treatment on routes maintains a level playing field.</w:t>
            </w:r>
            <w:r w:rsidR="00035FF9" w:rsidRPr="00244D65">
              <w:rPr>
                <w:bCs/>
                <w:noProof/>
                <w:sz w:val="22"/>
                <w:szCs w:val="22"/>
              </w:rPr>
              <w:t xml:space="preserve"> </w:t>
            </w:r>
            <w:r w:rsidR="00FF663F" w:rsidRPr="00244D65">
              <w:rPr>
                <w:bCs/>
                <w:noProof/>
                <w:sz w:val="22"/>
                <w:szCs w:val="22"/>
              </w:rPr>
              <w:t>All policy options take CORSIA into account</w:t>
            </w:r>
            <w:r w:rsidR="00E05F65" w:rsidRPr="00244D65">
              <w:rPr>
                <w:bCs/>
                <w:noProof/>
                <w:sz w:val="22"/>
                <w:szCs w:val="22"/>
              </w:rPr>
              <w:t xml:space="preserve"> – </w:t>
            </w:r>
            <w:r w:rsidR="00490A71" w:rsidRPr="00244D65">
              <w:rPr>
                <w:bCs/>
                <w:noProof/>
                <w:sz w:val="22"/>
                <w:szCs w:val="22"/>
              </w:rPr>
              <w:t>demonstrating c</w:t>
            </w:r>
            <w:r w:rsidR="00E05F65" w:rsidRPr="00244D65">
              <w:rPr>
                <w:bCs/>
                <w:noProof/>
                <w:sz w:val="22"/>
                <w:szCs w:val="22"/>
              </w:rPr>
              <w:t>ontinued EU support for CORSIA.</w:t>
            </w:r>
            <w:r w:rsidR="004D44F9" w:rsidRPr="00244D65">
              <w:rPr>
                <w:bCs/>
                <w:noProof/>
                <w:sz w:val="22"/>
                <w:szCs w:val="22"/>
              </w:rPr>
              <w:t xml:space="preserve"> ETS-financed SAF support would continue to be available </w:t>
            </w:r>
            <w:r w:rsidR="00835E48" w:rsidRPr="00244D65">
              <w:rPr>
                <w:bCs/>
                <w:noProof/>
                <w:sz w:val="22"/>
                <w:szCs w:val="22"/>
              </w:rPr>
              <w:t>to any airline covered by ETS carbon pricing: airlines are treated equally regardless of their home country.</w:t>
            </w:r>
          </w:p>
        </w:tc>
      </w:tr>
    </w:tbl>
    <w:p w14:paraId="016A0F64" w14:textId="3208C1DA" w:rsidR="00B858AD" w:rsidRPr="00244D65" w:rsidRDefault="00447F72" w:rsidP="0085595C">
      <w:pPr>
        <w:rPr>
          <w:noProof/>
        </w:rPr>
      </w:pPr>
      <w:r w:rsidRPr="00244D65">
        <w:rPr>
          <w:b/>
          <w:bCs/>
          <w:noProof/>
        </w:rPr>
        <w:t xml:space="preserve">Environmental effectiveness </w:t>
      </w:r>
      <w:r w:rsidR="00D60580" w:rsidRPr="00244D65">
        <w:rPr>
          <w:b/>
          <w:bCs/>
          <w:noProof/>
        </w:rPr>
        <w:t xml:space="preserve">of </w:t>
      </w:r>
      <w:r w:rsidR="00982BA4" w:rsidRPr="00244D65">
        <w:rPr>
          <w:b/>
          <w:bCs/>
          <w:noProof/>
        </w:rPr>
        <w:t>carbon pricing tools:</w:t>
      </w:r>
      <w:r w:rsidR="00877D13" w:rsidRPr="00244D65">
        <w:rPr>
          <w:noProof/>
        </w:rPr>
        <w:t xml:space="preserve"> </w:t>
      </w:r>
      <w:r w:rsidR="00D573DC" w:rsidRPr="00244D65">
        <w:rPr>
          <w:noProof/>
        </w:rPr>
        <w:t xml:space="preserve">CORSIA </w:t>
      </w:r>
      <w:r w:rsidR="004C46FE" w:rsidRPr="00244D65">
        <w:rPr>
          <w:noProof/>
        </w:rPr>
        <w:t>has global reach</w:t>
      </w:r>
      <w:r w:rsidR="00897C88" w:rsidRPr="00244D65">
        <w:rPr>
          <w:noProof/>
        </w:rPr>
        <w:t xml:space="preserve">, but </w:t>
      </w:r>
      <w:r w:rsidR="00F740CF" w:rsidRPr="00244D65">
        <w:rPr>
          <w:noProof/>
        </w:rPr>
        <w:t>analysis finds</w:t>
      </w:r>
      <w:r w:rsidR="00C70BCB" w:rsidRPr="00244D65">
        <w:rPr>
          <w:noProof/>
        </w:rPr>
        <w:t xml:space="preserve"> several </w:t>
      </w:r>
      <w:r w:rsidR="00F740CF" w:rsidRPr="00244D65">
        <w:rPr>
          <w:noProof/>
        </w:rPr>
        <w:t>limitations</w:t>
      </w:r>
      <w:r w:rsidR="00657582" w:rsidRPr="00244D65">
        <w:rPr>
          <w:noProof/>
        </w:rPr>
        <w:t xml:space="preserve"> (see detail in Annex 10</w:t>
      </w:r>
      <w:r w:rsidR="00BF1419" w:rsidRPr="00244D65">
        <w:rPr>
          <w:noProof/>
        </w:rPr>
        <w:t xml:space="preserve">, </w:t>
      </w:r>
      <w:r w:rsidR="00F66CE1" w:rsidRPr="00244D65">
        <w:rPr>
          <w:noProof/>
        </w:rPr>
        <w:t>S</w:t>
      </w:r>
      <w:r w:rsidR="00BF1419" w:rsidRPr="00244D65">
        <w:rPr>
          <w:noProof/>
        </w:rPr>
        <w:t>ection 5</w:t>
      </w:r>
      <w:r w:rsidR="00657582" w:rsidRPr="00244D65">
        <w:rPr>
          <w:noProof/>
        </w:rPr>
        <w:t>).</w:t>
      </w:r>
    </w:p>
    <w:p w14:paraId="2304FAA9" w14:textId="1435E402" w:rsidR="003C3D8F" w:rsidRPr="00244D65" w:rsidRDefault="00B858AD" w:rsidP="0085595C">
      <w:pPr>
        <w:pStyle w:val="ListParagraph"/>
        <w:numPr>
          <w:ilvl w:val="0"/>
          <w:numId w:val="13"/>
        </w:numPr>
        <w:rPr>
          <w:noProof/>
        </w:rPr>
      </w:pPr>
      <w:r w:rsidRPr="00244D65">
        <w:rPr>
          <w:b/>
          <w:bCs/>
          <w:noProof/>
        </w:rPr>
        <w:t>S</w:t>
      </w:r>
      <w:r w:rsidR="00B8635F" w:rsidRPr="00244D65">
        <w:rPr>
          <w:b/>
          <w:bCs/>
          <w:noProof/>
        </w:rPr>
        <w:t>tructural limit</w:t>
      </w:r>
      <w:r w:rsidRPr="00244D65">
        <w:rPr>
          <w:b/>
          <w:bCs/>
          <w:noProof/>
        </w:rPr>
        <w:t>ation:</w:t>
      </w:r>
      <w:r w:rsidR="00B8635F" w:rsidRPr="00244D65">
        <w:rPr>
          <w:noProof/>
        </w:rPr>
        <w:t xml:space="preserve"> CORSIA addresses </w:t>
      </w:r>
      <w:r w:rsidR="00E4655F" w:rsidRPr="00244D65">
        <w:rPr>
          <w:noProof/>
        </w:rPr>
        <w:t>emissions growth</w:t>
      </w:r>
      <w:r w:rsidR="003711A9" w:rsidRPr="00244D65">
        <w:rPr>
          <w:noProof/>
        </w:rPr>
        <w:t xml:space="preserve"> and </w:t>
      </w:r>
      <w:r w:rsidR="00DB246F" w:rsidRPr="00244D65">
        <w:rPr>
          <w:noProof/>
        </w:rPr>
        <w:t>exempts around 500</w:t>
      </w:r>
      <w:r w:rsidR="00A452D0" w:rsidRPr="00244D65">
        <w:rPr>
          <w:noProof/>
        </w:rPr>
        <w:t xml:space="preserve"> </w:t>
      </w:r>
      <w:r w:rsidR="00DB246F" w:rsidRPr="00244D65">
        <w:rPr>
          <w:noProof/>
        </w:rPr>
        <w:t>Mt CO</w:t>
      </w:r>
      <w:r w:rsidR="00DB246F" w:rsidRPr="00244D65">
        <w:rPr>
          <w:noProof/>
          <w:vertAlign w:val="subscript"/>
        </w:rPr>
        <w:t>2</w:t>
      </w:r>
      <w:r w:rsidR="00DB246F" w:rsidRPr="00244D65">
        <w:rPr>
          <w:noProof/>
        </w:rPr>
        <w:t xml:space="preserve"> emissions</w:t>
      </w:r>
      <w:r w:rsidR="00B57A49" w:rsidRPr="00244D65">
        <w:rPr>
          <w:noProof/>
        </w:rPr>
        <w:t xml:space="preserve"> each year. </w:t>
      </w:r>
      <w:r w:rsidR="00B11211" w:rsidRPr="00244D65">
        <w:rPr>
          <w:rFonts w:eastAsia="Aptos"/>
          <w:noProof/>
        </w:rPr>
        <w:t xml:space="preserve">Table </w:t>
      </w:r>
      <w:r>
        <w:rPr>
          <w:rFonts w:eastAsia="Aptos"/>
          <w:noProof/>
        </w:rPr>
        <w:t>6</w:t>
      </w:r>
      <w:r w:rsidR="00E54BDD" w:rsidRPr="00244D65">
        <w:rPr>
          <w:rFonts w:eastAsia="Aptos"/>
          <w:noProof/>
        </w:rPr>
        <w:t xml:space="preserve"> </w:t>
      </w:r>
      <w:r w:rsidR="00B11211" w:rsidRPr="00244D65">
        <w:rPr>
          <w:rFonts w:eastAsia="Aptos"/>
          <w:noProof/>
        </w:rPr>
        <w:t>below shows that in PO1</w:t>
      </w:r>
      <w:r w:rsidR="00DC225F" w:rsidRPr="00244D65">
        <w:rPr>
          <w:rFonts w:eastAsia="Aptos"/>
          <w:noProof/>
        </w:rPr>
        <w:t>, CORSIA covers more emissions than the EU ETS</w:t>
      </w:r>
      <w:r w:rsidR="000A4E0C" w:rsidRPr="00244D65">
        <w:rPr>
          <w:rFonts w:eastAsia="Aptos"/>
          <w:noProof/>
        </w:rPr>
        <w:t xml:space="preserve">. However, in </w:t>
      </w:r>
      <w:r w:rsidR="00B11211" w:rsidRPr="00244D65">
        <w:rPr>
          <w:rFonts w:eastAsia="Aptos"/>
          <w:noProof/>
        </w:rPr>
        <w:t xml:space="preserve">PO2 and PO3, </w:t>
      </w:r>
      <w:r w:rsidR="000A4E0C" w:rsidRPr="00244D65">
        <w:rPr>
          <w:rFonts w:eastAsia="Aptos"/>
          <w:noProof/>
        </w:rPr>
        <w:t>it</w:t>
      </w:r>
      <w:r w:rsidR="00B11211" w:rsidRPr="00244D65">
        <w:rPr>
          <w:rFonts w:eastAsia="Aptos"/>
          <w:noProof/>
        </w:rPr>
        <w:t xml:space="preserve"> covers </w:t>
      </w:r>
      <w:r w:rsidR="000A4E0C" w:rsidRPr="00244D65">
        <w:rPr>
          <w:rFonts w:eastAsia="Aptos"/>
          <w:noProof/>
        </w:rPr>
        <w:t>less</w:t>
      </w:r>
      <w:r w:rsidR="00B11211" w:rsidRPr="00244D65">
        <w:rPr>
          <w:rFonts w:eastAsia="Aptos"/>
          <w:noProof/>
        </w:rPr>
        <w:t xml:space="preserve"> despite its </w:t>
      </w:r>
      <w:r w:rsidR="000A4E0C" w:rsidRPr="00244D65">
        <w:rPr>
          <w:rFonts w:eastAsia="Aptos"/>
          <w:noProof/>
        </w:rPr>
        <w:t>broader</w:t>
      </w:r>
      <w:r w:rsidR="00B11211" w:rsidRPr="00244D65">
        <w:rPr>
          <w:rFonts w:eastAsia="Aptos"/>
          <w:noProof/>
        </w:rPr>
        <w:t xml:space="preserve"> geographic scope.</w:t>
      </w:r>
      <w:r w:rsidR="000A4E0C" w:rsidRPr="00244D65">
        <w:rPr>
          <w:rFonts w:eastAsia="Aptos"/>
          <w:noProof/>
        </w:rPr>
        <w:t xml:space="preserve"> </w:t>
      </w:r>
      <w:r w:rsidR="00240D7C" w:rsidRPr="00244D65">
        <w:rPr>
          <w:noProof/>
        </w:rPr>
        <w:t xml:space="preserve">In PO1, </w:t>
      </w:r>
      <w:r w:rsidR="003B1F20" w:rsidRPr="00244D65">
        <w:rPr>
          <w:noProof/>
        </w:rPr>
        <w:t>high</w:t>
      </w:r>
      <w:r w:rsidR="00240D7C" w:rsidRPr="00244D65">
        <w:rPr>
          <w:noProof/>
        </w:rPr>
        <w:t xml:space="preserve"> participation is assumed</w:t>
      </w:r>
      <w:r w:rsidR="00240D7C" w:rsidRPr="00244D65">
        <w:rPr>
          <w:rStyle w:val="FootnoteReference"/>
          <w:noProof/>
        </w:rPr>
        <w:footnoteReference w:id="57"/>
      </w:r>
      <w:r w:rsidR="00240D7C" w:rsidRPr="00244D65">
        <w:rPr>
          <w:noProof/>
        </w:rPr>
        <w:t xml:space="preserve">, which is </w:t>
      </w:r>
      <w:r w:rsidR="00AF78BF" w:rsidRPr="00244D65">
        <w:rPr>
          <w:noProof/>
        </w:rPr>
        <w:t>needed to meet</w:t>
      </w:r>
      <w:r w:rsidR="00240D7C" w:rsidRPr="00244D65">
        <w:rPr>
          <w:noProof/>
        </w:rPr>
        <w:t xml:space="preserve"> the emissions coverage test </w:t>
      </w:r>
      <w:r w:rsidR="007B7065" w:rsidRPr="00244D65">
        <w:rPr>
          <w:noProof/>
        </w:rPr>
        <w:t>in</w:t>
      </w:r>
      <w:r w:rsidR="00240D7C" w:rsidRPr="00244D65">
        <w:rPr>
          <w:noProof/>
        </w:rPr>
        <w:t xml:space="preserve"> Article 28b of the ETS Directive. </w:t>
      </w:r>
      <w:r w:rsidR="00D642F4" w:rsidRPr="00244D65">
        <w:rPr>
          <w:noProof/>
        </w:rPr>
        <w:t xml:space="preserve">As </w:t>
      </w:r>
      <w:r w:rsidR="00240D7C" w:rsidRPr="00244D65">
        <w:rPr>
          <w:rFonts w:eastAsia="Aptos"/>
          <w:noProof/>
        </w:rPr>
        <w:t>CORSIA is set to end in 2035, its emissions coverage is assumed as zero thereafter.</w:t>
      </w:r>
    </w:p>
    <w:p w14:paraId="3A567352" w14:textId="7AE2E2BD" w:rsidR="00692969" w:rsidRPr="00244D65" w:rsidRDefault="003C3D8F" w:rsidP="0085595C">
      <w:pPr>
        <w:pStyle w:val="ListParagraph"/>
        <w:numPr>
          <w:ilvl w:val="0"/>
          <w:numId w:val="13"/>
        </w:numPr>
        <w:rPr>
          <w:noProof/>
        </w:rPr>
      </w:pPr>
      <w:r w:rsidRPr="00244D65">
        <w:rPr>
          <w:b/>
          <w:bCs/>
          <w:noProof/>
        </w:rPr>
        <w:t>Quali</w:t>
      </w:r>
      <w:r w:rsidR="00850D05" w:rsidRPr="00244D65">
        <w:rPr>
          <w:b/>
          <w:bCs/>
          <w:noProof/>
        </w:rPr>
        <w:t>t</w:t>
      </w:r>
      <w:r w:rsidRPr="00244D65">
        <w:rPr>
          <w:b/>
          <w:bCs/>
          <w:noProof/>
        </w:rPr>
        <w:t xml:space="preserve">y of offset credits: </w:t>
      </w:r>
      <w:r w:rsidR="0043400F" w:rsidRPr="00244D65">
        <w:rPr>
          <w:rFonts w:eastAsia="Aptos"/>
          <w:noProof/>
        </w:rPr>
        <w:t>Environmental effectiveness depends also on the quality of units (offsets) used</w:t>
      </w:r>
      <w:r w:rsidR="00BB5609" w:rsidRPr="00244D65">
        <w:rPr>
          <w:rFonts w:eastAsia="Aptos"/>
          <w:noProof/>
        </w:rPr>
        <w:t>, i</w:t>
      </w:r>
      <w:r w:rsidR="00B02A39" w:rsidRPr="00244D65">
        <w:rPr>
          <w:rFonts w:eastAsia="Aptos"/>
          <w:noProof/>
        </w:rPr>
        <w:t>.</w:t>
      </w:r>
      <w:r w:rsidR="00B02A39" w:rsidRPr="00244D65">
        <w:rPr>
          <w:noProof/>
        </w:rPr>
        <w:t>e. a tonne purchased</w:t>
      </w:r>
      <w:r w:rsidR="008A1031" w:rsidRPr="00244D65">
        <w:rPr>
          <w:noProof/>
        </w:rPr>
        <w:t xml:space="preserve"> is a tonne reduced, and this reduction is permanent and counted only once. </w:t>
      </w:r>
      <w:r w:rsidR="00C07614" w:rsidRPr="00244D65">
        <w:rPr>
          <w:noProof/>
        </w:rPr>
        <w:t xml:space="preserve">However, as of </w:t>
      </w:r>
      <w:r w:rsidR="00006260" w:rsidRPr="00244D65">
        <w:rPr>
          <w:noProof/>
        </w:rPr>
        <w:t>March</w:t>
      </w:r>
      <w:r w:rsidR="00CC3365" w:rsidRPr="00244D65">
        <w:rPr>
          <w:noProof/>
        </w:rPr>
        <w:t xml:space="preserve"> 2026, </w:t>
      </w:r>
      <w:r w:rsidR="005B779D" w:rsidRPr="00244D65">
        <w:rPr>
          <w:noProof/>
        </w:rPr>
        <w:t>analys</w:t>
      </w:r>
      <w:r w:rsidR="002869CD" w:rsidRPr="00244D65">
        <w:rPr>
          <w:noProof/>
        </w:rPr>
        <w:t>e</w:t>
      </w:r>
      <w:r w:rsidR="005B779D" w:rsidRPr="00244D65">
        <w:rPr>
          <w:noProof/>
        </w:rPr>
        <w:t xml:space="preserve">s find </w:t>
      </w:r>
      <w:r w:rsidR="009130C4" w:rsidRPr="00244D65">
        <w:rPr>
          <w:noProof/>
        </w:rPr>
        <w:t>significant challenges with</w:t>
      </w:r>
      <w:r w:rsidR="00FE6F1F" w:rsidRPr="00244D65">
        <w:rPr>
          <w:noProof/>
        </w:rPr>
        <w:t xml:space="preserve"> </w:t>
      </w:r>
      <w:r w:rsidR="00A40313" w:rsidRPr="00244D65">
        <w:rPr>
          <w:noProof/>
        </w:rPr>
        <w:t>CORSIA-eligible offsets</w:t>
      </w:r>
      <w:r w:rsidR="00042A64" w:rsidRPr="00244D65">
        <w:rPr>
          <w:noProof/>
        </w:rPr>
        <w:t>. F</w:t>
      </w:r>
      <w:r w:rsidR="009130C4" w:rsidRPr="00244D65">
        <w:rPr>
          <w:noProof/>
        </w:rPr>
        <w:t>or example</w:t>
      </w:r>
      <w:r w:rsidR="00042A64" w:rsidRPr="00244D65">
        <w:rPr>
          <w:noProof/>
        </w:rPr>
        <w:t>,</w:t>
      </w:r>
      <w:r w:rsidR="009130C4" w:rsidRPr="00244D65">
        <w:rPr>
          <w:noProof/>
        </w:rPr>
        <w:t xml:space="preserve"> </w:t>
      </w:r>
      <w:r w:rsidR="00747308" w:rsidRPr="00244D65">
        <w:rPr>
          <w:noProof/>
        </w:rPr>
        <w:t xml:space="preserve">emissions reductions </w:t>
      </w:r>
      <w:r w:rsidR="00487508" w:rsidRPr="00244D65">
        <w:rPr>
          <w:noProof/>
        </w:rPr>
        <w:t xml:space="preserve">may be overestimated </w:t>
      </w:r>
      <w:r w:rsidR="00042A64" w:rsidRPr="00244D65">
        <w:rPr>
          <w:noProof/>
        </w:rPr>
        <w:t>(</w:t>
      </w:r>
      <w:r w:rsidR="00264AFA" w:rsidRPr="00244D65">
        <w:rPr>
          <w:noProof/>
        </w:rPr>
        <w:t xml:space="preserve">airlines would pay for a reduction of 1 tonne </w:t>
      </w:r>
      <w:r w:rsidR="002C5E1A" w:rsidRPr="00244D65">
        <w:rPr>
          <w:noProof/>
        </w:rPr>
        <w:t>CO</w:t>
      </w:r>
      <w:r w:rsidR="002C5E1A" w:rsidRPr="00244D65">
        <w:rPr>
          <w:noProof/>
          <w:vertAlign w:val="subscript"/>
        </w:rPr>
        <w:t>2</w:t>
      </w:r>
      <w:r w:rsidR="002C5E1A" w:rsidRPr="00244D65">
        <w:rPr>
          <w:noProof/>
        </w:rPr>
        <w:t xml:space="preserve"> </w:t>
      </w:r>
      <w:r w:rsidR="00264AFA" w:rsidRPr="00244D65">
        <w:rPr>
          <w:noProof/>
        </w:rPr>
        <w:t>but</w:t>
      </w:r>
      <w:r w:rsidR="00C31FEA" w:rsidRPr="00244D65">
        <w:rPr>
          <w:noProof/>
        </w:rPr>
        <w:t>,</w:t>
      </w:r>
      <w:r w:rsidR="00264AFA" w:rsidRPr="00244D65">
        <w:rPr>
          <w:noProof/>
        </w:rPr>
        <w:t xml:space="preserve"> in </w:t>
      </w:r>
      <w:bookmarkStart w:id="150" w:name="_Int_LlV0KFDg"/>
      <w:r w:rsidR="00264AFA" w:rsidRPr="00244D65">
        <w:rPr>
          <w:noProof/>
        </w:rPr>
        <w:t>reality</w:t>
      </w:r>
      <w:bookmarkEnd w:id="150"/>
      <w:r w:rsidR="00C31FEA" w:rsidRPr="00244D65">
        <w:rPr>
          <w:noProof/>
        </w:rPr>
        <w:t>,</w:t>
      </w:r>
      <w:r w:rsidR="00264AFA" w:rsidRPr="00244D65">
        <w:rPr>
          <w:noProof/>
        </w:rPr>
        <w:t xml:space="preserve"> no reduction or a much smaller reduction takes place). </w:t>
      </w:r>
      <w:r w:rsidR="004E3E9B" w:rsidRPr="00244D65">
        <w:rPr>
          <w:noProof/>
        </w:rPr>
        <w:t>See Annex 10</w:t>
      </w:r>
      <w:r w:rsidR="00B51E8C" w:rsidRPr="00244D65">
        <w:rPr>
          <w:noProof/>
        </w:rPr>
        <w:t xml:space="preserve">, </w:t>
      </w:r>
      <w:r w:rsidR="00F66CE1" w:rsidRPr="00244D65">
        <w:rPr>
          <w:noProof/>
        </w:rPr>
        <w:t>S</w:t>
      </w:r>
      <w:r w:rsidR="00B51E8C" w:rsidRPr="00244D65">
        <w:rPr>
          <w:noProof/>
        </w:rPr>
        <w:t>ection 5.1</w:t>
      </w:r>
      <w:r w:rsidR="004E3E9B" w:rsidRPr="00244D65">
        <w:rPr>
          <w:noProof/>
        </w:rPr>
        <w:t>.</w:t>
      </w:r>
    </w:p>
    <w:p w14:paraId="1C03C4D9" w14:textId="3748C160" w:rsidR="00191FC7" w:rsidRPr="00244D65" w:rsidRDefault="00526E56" w:rsidP="0085595C">
      <w:pPr>
        <w:pStyle w:val="ListParagraph"/>
        <w:numPr>
          <w:ilvl w:val="0"/>
          <w:numId w:val="13"/>
        </w:numPr>
        <w:rPr>
          <w:noProof/>
        </w:rPr>
      </w:pPr>
      <w:r w:rsidRPr="00244D65">
        <w:rPr>
          <w:rFonts w:eastAsia="Aptos"/>
          <w:b/>
          <w:bCs/>
          <w:noProof/>
        </w:rPr>
        <w:t>Enforceability:</w:t>
      </w:r>
      <w:r w:rsidR="009B3A48" w:rsidRPr="00244D65">
        <w:rPr>
          <w:rFonts w:eastAsia="Aptos"/>
          <w:b/>
          <w:bCs/>
          <w:noProof/>
        </w:rPr>
        <w:t xml:space="preserve"> </w:t>
      </w:r>
      <w:r w:rsidR="00191FC7" w:rsidRPr="00244D65">
        <w:rPr>
          <w:noProof/>
        </w:rPr>
        <w:t xml:space="preserve">The 2021 IA </w:t>
      </w:r>
      <w:r w:rsidR="00E57A7E" w:rsidRPr="00244D65">
        <w:rPr>
          <w:noProof/>
        </w:rPr>
        <w:t>gives</w:t>
      </w:r>
      <w:r w:rsidR="00191FC7" w:rsidRPr="00244D65">
        <w:rPr>
          <w:noProof/>
        </w:rPr>
        <w:t xml:space="preserve"> a legal analysis of why CORSIA is not binding unless implemented in national law. Analysis in Annex 10</w:t>
      </w:r>
      <w:r w:rsidR="00F208AE" w:rsidRPr="00244D65">
        <w:rPr>
          <w:noProof/>
        </w:rPr>
        <w:t xml:space="preserve">, </w:t>
      </w:r>
      <w:r w:rsidR="00F66CE1" w:rsidRPr="00244D65">
        <w:rPr>
          <w:noProof/>
        </w:rPr>
        <w:t>S</w:t>
      </w:r>
      <w:r w:rsidR="00F208AE" w:rsidRPr="00244D65">
        <w:rPr>
          <w:noProof/>
        </w:rPr>
        <w:t>ection 5.2</w:t>
      </w:r>
      <w:r w:rsidR="00191FC7" w:rsidRPr="00244D65">
        <w:rPr>
          <w:noProof/>
        </w:rPr>
        <w:t xml:space="preserve"> demonstrates that national implementation in ICAO member states varies widely and does not include major emitters like China, </w:t>
      </w:r>
      <w:bookmarkStart w:id="151" w:name="_Int_deI6SBNY"/>
      <w:r w:rsidR="00191FC7" w:rsidRPr="00244D65">
        <w:rPr>
          <w:noProof/>
        </w:rPr>
        <w:t>Russia</w:t>
      </w:r>
      <w:bookmarkEnd w:id="151"/>
      <w:r w:rsidR="00191FC7" w:rsidRPr="00244D65">
        <w:rPr>
          <w:noProof/>
        </w:rPr>
        <w:t xml:space="preserve"> or India, based on most recently available implementation data. According to this analysis, 21 countries have penalties for CORSIA non-compliance in place in 2025 (apart from EEA countries). This means that the certainty of the environmental impact is greater under options where EU ETS emissions coverage is greater (PO2 and PO3). It is the greatest </w:t>
      </w:r>
      <w:r w:rsidR="00371CB7" w:rsidRPr="00244D65">
        <w:rPr>
          <w:noProof/>
        </w:rPr>
        <w:t>in</w:t>
      </w:r>
      <w:r w:rsidR="00191FC7" w:rsidRPr="00244D65">
        <w:rPr>
          <w:noProof/>
        </w:rPr>
        <w:t xml:space="preserve"> the baseline. </w:t>
      </w:r>
    </w:p>
    <w:p w14:paraId="39626FC9" w14:textId="5177FB06" w:rsidR="00262D3D" w:rsidRPr="00244D65" w:rsidRDefault="00262D3D" w:rsidP="0085595C">
      <w:pPr>
        <w:pStyle w:val="ListParagraph"/>
        <w:numPr>
          <w:ilvl w:val="0"/>
          <w:numId w:val="13"/>
        </w:numPr>
        <w:rPr>
          <w:noProof/>
        </w:rPr>
      </w:pPr>
      <w:r w:rsidRPr="00244D65">
        <w:rPr>
          <w:rFonts w:eastAsia="Aptos"/>
          <w:b/>
          <w:bCs/>
          <w:noProof/>
        </w:rPr>
        <w:t>Fuels</w:t>
      </w:r>
      <w:r w:rsidRPr="00244D65">
        <w:rPr>
          <w:rFonts w:eastAsia="Aptos"/>
          <w:noProof/>
        </w:rPr>
        <w:t>:</w:t>
      </w:r>
      <w:r w:rsidR="00440574" w:rsidRPr="00244D65">
        <w:rPr>
          <w:rFonts w:eastAsia="Aptos"/>
          <w:noProof/>
        </w:rPr>
        <w:t xml:space="preserve"> </w:t>
      </w:r>
      <w:r w:rsidR="00EA063B" w:rsidRPr="00244D65">
        <w:rPr>
          <w:rFonts w:eastAsia="Aptos"/>
          <w:noProof/>
        </w:rPr>
        <w:t xml:space="preserve">Instead of </w:t>
      </w:r>
      <w:r w:rsidR="00576561" w:rsidRPr="00244D65">
        <w:rPr>
          <w:rFonts w:eastAsia="Aptos"/>
          <w:noProof/>
        </w:rPr>
        <w:t>relying on</w:t>
      </w:r>
      <w:r w:rsidR="00F17DE1" w:rsidRPr="00244D65">
        <w:rPr>
          <w:rFonts w:eastAsia="Aptos"/>
          <w:noProof/>
        </w:rPr>
        <w:t xml:space="preserve"> offsets, airlines </w:t>
      </w:r>
      <w:r w:rsidR="001C0852" w:rsidRPr="00244D65">
        <w:rPr>
          <w:rFonts w:eastAsia="Aptos"/>
          <w:noProof/>
        </w:rPr>
        <w:t xml:space="preserve">can </w:t>
      </w:r>
      <w:r w:rsidR="00576561" w:rsidRPr="00244D65">
        <w:rPr>
          <w:rFonts w:eastAsia="Aptos"/>
          <w:noProof/>
        </w:rPr>
        <w:t xml:space="preserve">use SAF to meet </w:t>
      </w:r>
      <w:r w:rsidR="00C930D2" w:rsidRPr="00244D65">
        <w:rPr>
          <w:rFonts w:eastAsia="Aptos"/>
          <w:noProof/>
        </w:rPr>
        <w:t xml:space="preserve">CORSIA offsetting requirements. </w:t>
      </w:r>
      <w:r w:rsidR="006959B8" w:rsidRPr="00244D65">
        <w:rPr>
          <w:rFonts w:eastAsia="Aptos"/>
          <w:noProof/>
        </w:rPr>
        <w:t>However,</w:t>
      </w:r>
      <w:r w:rsidR="00A86EC4" w:rsidRPr="00244D65">
        <w:rPr>
          <w:rFonts w:eastAsia="Aptos"/>
          <w:noProof/>
        </w:rPr>
        <w:t xml:space="preserve"> </w:t>
      </w:r>
      <w:r w:rsidR="007469D6" w:rsidRPr="00244D65">
        <w:rPr>
          <w:rFonts w:eastAsia="Aptos"/>
          <w:noProof/>
        </w:rPr>
        <w:t>it is far cheaper for airlines to rely on offsets</w:t>
      </w:r>
      <w:r w:rsidR="006269E7" w:rsidRPr="00244D65">
        <w:rPr>
          <w:rStyle w:val="FootnoteReference"/>
          <w:rFonts w:eastAsia="Aptos"/>
          <w:noProof/>
        </w:rPr>
        <w:footnoteReference w:id="58"/>
      </w:r>
      <w:r w:rsidR="00F91ADB" w:rsidRPr="00244D65">
        <w:rPr>
          <w:rFonts w:eastAsia="Aptos"/>
          <w:noProof/>
        </w:rPr>
        <w:t>.</w:t>
      </w:r>
    </w:p>
    <w:p w14:paraId="169A62CB" w14:textId="078EEC15" w:rsidR="000D0BD0" w:rsidRPr="00244D65" w:rsidRDefault="17EC81AF" w:rsidP="005E4778">
      <w:pPr>
        <w:pStyle w:val="Tabletitle"/>
        <w:rPr>
          <w:noProof/>
        </w:rPr>
      </w:pPr>
      <w:bookmarkStart w:id="152" w:name="_Toc234496386"/>
      <w:bookmarkStart w:id="153" w:name="_Toc232754566"/>
      <w:r w:rsidRPr="00244D65">
        <w:rPr>
          <w:noProof/>
        </w:rPr>
        <w:t xml:space="preserve">Global </w:t>
      </w:r>
      <w:r w:rsidR="274A51E2" w:rsidRPr="00244D65">
        <w:rPr>
          <w:noProof/>
        </w:rPr>
        <w:t>international a</w:t>
      </w:r>
      <w:r w:rsidR="00133B15" w:rsidRPr="00244D65">
        <w:rPr>
          <w:noProof/>
        </w:rPr>
        <w:t>viation</w:t>
      </w:r>
      <w:bookmarkStart w:id="154" w:name="_Toc222151236"/>
      <w:r w:rsidR="00133B15" w:rsidRPr="00244D65">
        <w:rPr>
          <w:noProof/>
        </w:rPr>
        <w:t xml:space="preserve"> CO</w:t>
      </w:r>
      <w:r w:rsidR="00133B15" w:rsidRPr="00244D65">
        <w:rPr>
          <w:noProof/>
          <w:vertAlign w:val="subscript"/>
        </w:rPr>
        <w:t>2</w:t>
      </w:r>
      <w:r w:rsidR="00133B15" w:rsidRPr="00244D65">
        <w:rPr>
          <w:noProof/>
        </w:rPr>
        <w:t xml:space="preserve"> </w:t>
      </w:r>
      <w:bookmarkEnd w:id="154"/>
      <w:r w:rsidR="0D714CA8" w:rsidRPr="00244D65">
        <w:rPr>
          <w:noProof/>
        </w:rPr>
        <w:t>emissions</w:t>
      </w:r>
      <w:bookmarkEnd w:id="152"/>
      <w:bookmarkEnd w:id="153"/>
    </w:p>
    <w:tbl>
      <w:tblPr>
        <w:tblW w:w="0" w:type="auto"/>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4A0" w:firstRow="1" w:lastRow="0" w:firstColumn="1" w:lastColumn="0" w:noHBand="0" w:noVBand="1"/>
      </w:tblPr>
      <w:tblGrid>
        <w:gridCol w:w="2400"/>
        <w:gridCol w:w="1268"/>
        <w:gridCol w:w="1268"/>
        <w:gridCol w:w="1268"/>
        <w:gridCol w:w="1268"/>
        <w:gridCol w:w="1269"/>
      </w:tblGrid>
      <w:tr w:rsidR="000A4A00" w:rsidRPr="00244D65" w14:paraId="61F6D369" w14:textId="77777777" w:rsidTr="000C653C">
        <w:trPr>
          <w:trHeight w:val="20"/>
        </w:trPr>
        <w:tc>
          <w:tcPr>
            <w:tcW w:w="8741" w:type="dxa"/>
            <w:gridSpan w:val="6"/>
            <w:vAlign w:val="center"/>
          </w:tcPr>
          <w:p w14:paraId="7F790D0E" w14:textId="1748FEFE" w:rsidR="000A4A00" w:rsidRPr="00244D65" w:rsidRDefault="000A4A00" w:rsidP="0085595C">
            <w:pPr>
              <w:jc w:val="center"/>
              <w:rPr>
                <w:rFonts w:eastAsia="Times New Roman"/>
                <w:b/>
                <w:noProof/>
                <w:sz w:val="22"/>
                <w:szCs w:val="22"/>
                <w:lang w:eastAsia="en-IE"/>
              </w:rPr>
            </w:pPr>
            <w:r w:rsidRPr="00244D65">
              <w:rPr>
                <w:rFonts w:eastAsia="Times New Roman"/>
                <w:b/>
                <w:noProof/>
                <w:sz w:val="22"/>
                <w:szCs w:val="22"/>
                <w:lang w:eastAsia="en-IE"/>
              </w:rPr>
              <w:t xml:space="preserve">Global </w:t>
            </w:r>
            <w:r w:rsidR="00AB5200" w:rsidRPr="00244D65">
              <w:rPr>
                <w:rFonts w:eastAsia="Times New Roman"/>
                <w:b/>
                <w:noProof/>
                <w:sz w:val="22"/>
                <w:szCs w:val="22"/>
                <w:lang w:eastAsia="en-IE"/>
              </w:rPr>
              <w:t xml:space="preserve">international </w:t>
            </w:r>
            <w:r w:rsidRPr="00244D65">
              <w:rPr>
                <w:rFonts w:eastAsia="Times New Roman"/>
                <w:b/>
                <w:noProof/>
                <w:sz w:val="22"/>
                <w:szCs w:val="22"/>
                <w:lang w:eastAsia="en-IE"/>
              </w:rPr>
              <w:t>aviation CO</w:t>
            </w:r>
            <w:r w:rsidRPr="00244D65">
              <w:rPr>
                <w:rFonts w:eastAsia="Times New Roman"/>
                <w:b/>
                <w:noProof/>
                <w:sz w:val="22"/>
                <w:szCs w:val="22"/>
                <w:vertAlign w:val="subscript"/>
                <w:lang w:eastAsia="en-IE"/>
              </w:rPr>
              <w:t>2</w:t>
            </w:r>
            <w:r w:rsidRPr="00244D65">
              <w:rPr>
                <w:rFonts w:eastAsia="Times New Roman"/>
                <w:b/>
                <w:noProof/>
                <w:sz w:val="22"/>
                <w:szCs w:val="22"/>
                <w:lang w:eastAsia="en-IE"/>
              </w:rPr>
              <w:t xml:space="preserve"> emissions</w:t>
            </w:r>
          </w:p>
        </w:tc>
      </w:tr>
      <w:tr w:rsidR="000A4A00" w:rsidRPr="00244D65" w14:paraId="6D1AF90F" w14:textId="77777777" w:rsidTr="000C653C">
        <w:trPr>
          <w:trHeight w:val="20"/>
        </w:trPr>
        <w:tc>
          <w:tcPr>
            <w:tcW w:w="2400" w:type="dxa"/>
            <w:vAlign w:val="center"/>
            <w:hideMark/>
          </w:tcPr>
          <w:p w14:paraId="066F7065" w14:textId="666B0A0C" w:rsidR="000A4A00" w:rsidRPr="00244D65" w:rsidRDefault="000A4A00" w:rsidP="005E4778">
            <w:pPr>
              <w:jc w:val="left"/>
              <w:rPr>
                <w:rFonts w:eastAsia="Times New Roman"/>
                <w:b/>
                <w:noProof/>
                <w:sz w:val="22"/>
                <w:szCs w:val="22"/>
                <w:lang w:eastAsia="en-IE"/>
              </w:rPr>
            </w:pPr>
            <w:bookmarkStart w:id="155" w:name="RANGE!A1"/>
            <w:r w:rsidRPr="00244D65">
              <w:rPr>
                <w:rFonts w:eastAsia="Times New Roman"/>
                <w:b/>
                <w:noProof/>
                <w:sz w:val="22"/>
                <w:szCs w:val="22"/>
                <w:lang w:eastAsia="en-IE"/>
              </w:rPr>
              <w:t>Policy Option</w:t>
            </w:r>
            <w:bookmarkEnd w:id="155"/>
          </w:p>
          <w:p w14:paraId="5ED5715F" w14:textId="3DD5816A" w:rsidR="000A4A00" w:rsidRPr="00244D65" w:rsidRDefault="002B6812" w:rsidP="005E4778">
            <w:pPr>
              <w:jc w:val="left"/>
              <w:rPr>
                <w:rFonts w:eastAsia="Times New Roman"/>
                <w:i/>
                <w:noProof/>
                <w:sz w:val="22"/>
                <w:szCs w:val="22"/>
                <w:lang w:eastAsia="en-IE"/>
              </w:rPr>
            </w:pPr>
            <w:r w:rsidRPr="00244D65">
              <w:rPr>
                <w:rFonts w:eastAsia="Times New Roman"/>
                <w:i/>
                <w:noProof/>
                <w:sz w:val="22"/>
                <w:szCs w:val="22"/>
                <w:lang w:eastAsia="en-IE"/>
              </w:rPr>
              <w:t>All emissions per year</w:t>
            </w:r>
            <w:r w:rsidR="00AB5200" w:rsidRPr="00244D65">
              <w:rPr>
                <w:rFonts w:eastAsia="Times New Roman"/>
                <w:i/>
                <w:noProof/>
                <w:sz w:val="22"/>
                <w:szCs w:val="22"/>
                <w:lang w:eastAsia="en-IE"/>
              </w:rPr>
              <w:t xml:space="preserve"> in MtCO</w:t>
            </w:r>
            <w:r w:rsidR="00AB5200" w:rsidRPr="00244D65">
              <w:rPr>
                <w:rFonts w:eastAsia="Times New Roman"/>
                <w:i/>
                <w:noProof/>
                <w:sz w:val="22"/>
                <w:szCs w:val="22"/>
                <w:vertAlign w:val="subscript"/>
                <w:lang w:eastAsia="en-IE"/>
              </w:rPr>
              <w:t>2</w:t>
            </w:r>
          </w:p>
        </w:tc>
        <w:tc>
          <w:tcPr>
            <w:tcW w:w="1268" w:type="dxa"/>
            <w:vAlign w:val="center"/>
            <w:hideMark/>
          </w:tcPr>
          <w:p w14:paraId="3D6B1FAE" w14:textId="77777777" w:rsidR="000A4A00" w:rsidRPr="00244D65" w:rsidRDefault="000A4A00" w:rsidP="0085595C">
            <w:pPr>
              <w:jc w:val="center"/>
              <w:rPr>
                <w:rFonts w:eastAsia="Times New Roman"/>
                <w:b/>
                <w:noProof/>
                <w:sz w:val="22"/>
                <w:szCs w:val="22"/>
                <w:lang w:eastAsia="en-IE"/>
              </w:rPr>
            </w:pPr>
            <w:r w:rsidRPr="00244D65">
              <w:rPr>
                <w:rFonts w:eastAsia="Times New Roman"/>
                <w:b/>
                <w:noProof/>
                <w:sz w:val="22"/>
                <w:szCs w:val="22"/>
                <w:lang w:eastAsia="en-IE"/>
              </w:rPr>
              <w:t>Year</w:t>
            </w:r>
          </w:p>
        </w:tc>
        <w:tc>
          <w:tcPr>
            <w:tcW w:w="1268" w:type="dxa"/>
            <w:vAlign w:val="center"/>
            <w:hideMark/>
          </w:tcPr>
          <w:p w14:paraId="51AB2BB4" w14:textId="41923F56" w:rsidR="000A4A00" w:rsidRPr="00244D65" w:rsidRDefault="001B664A" w:rsidP="00545B9E">
            <w:pPr>
              <w:jc w:val="center"/>
              <w:rPr>
                <w:rFonts w:eastAsia="Times New Roman"/>
                <w:b/>
                <w:noProof/>
                <w:sz w:val="22"/>
                <w:szCs w:val="22"/>
                <w:lang w:eastAsia="en-IE"/>
              </w:rPr>
            </w:pPr>
            <w:r w:rsidRPr="00244D65">
              <w:rPr>
                <w:rFonts w:eastAsia="Times New Roman"/>
                <w:b/>
                <w:noProof/>
                <w:sz w:val="22"/>
                <w:szCs w:val="22"/>
                <w:lang w:eastAsia="en-IE"/>
              </w:rPr>
              <w:t>Global</w:t>
            </w:r>
            <w:r w:rsidR="000A4A00" w:rsidRPr="00244D65">
              <w:rPr>
                <w:rFonts w:eastAsia="Times New Roman"/>
                <w:b/>
                <w:noProof/>
                <w:sz w:val="22"/>
                <w:szCs w:val="22"/>
                <w:lang w:eastAsia="en-IE"/>
              </w:rPr>
              <w:t xml:space="preserve"> emissions</w:t>
            </w:r>
          </w:p>
        </w:tc>
        <w:tc>
          <w:tcPr>
            <w:tcW w:w="1268" w:type="dxa"/>
            <w:vAlign w:val="center"/>
            <w:hideMark/>
          </w:tcPr>
          <w:p w14:paraId="2EB87BE6" w14:textId="1E40B533" w:rsidR="000A4A00" w:rsidRPr="00244D65" w:rsidRDefault="00776EEA" w:rsidP="00545B9E">
            <w:pPr>
              <w:jc w:val="center"/>
              <w:rPr>
                <w:rFonts w:eastAsia="Times New Roman"/>
                <w:b/>
                <w:noProof/>
                <w:sz w:val="22"/>
                <w:szCs w:val="22"/>
                <w:lang w:eastAsia="en-IE"/>
              </w:rPr>
            </w:pPr>
            <w:r w:rsidRPr="00244D65">
              <w:rPr>
                <w:rFonts w:eastAsia="Times New Roman"/>
                <w:b/>
                <w:noProof/>
                <w:sz w:val="22"/>
                <w:szCs w:val="22"/>
                <w:lang w:eastAsia="en-IE"/>
              </w:rPr>
              <w:t>ETS coverage</w:t>
            </w:r>
          </w:p>
        </w:tc>
        <w:tc>
          <w:tcPr>
            <w:tcW w:w="1268" w:type="dxa"/>
            <w:vAlign w:val="center"/>
            <w:hideMark/>
          </w:tcPr>
          <w:p w14:paraId="7675E26B" w14:textId="4EB38493" w:rsidR="000A4A00" w:rsidRPr="00244D65" w:rsidRDefault="008225D6" w:rsidP="00545B9E">
            <w:pPr>
              <w:jc w:val="center"/>
              <w:rPr>
                <w:rFonts w:eastAsia="Times New Roman"/>
                <w:b/>
                <w:noProof/>
                <w:sz w:val="22"/>
                <w:szCs w:val="22"/>
                <w:lang w:eastAsia="en-IE"/>
              </w:rPr>
            </w:pPr>
            <w:r w:rsidRPr="00244D65">
              <w:rPr>
                <w:rFonts w:eastAsia="Times New Roman"/>
                <w:b/>
                <w:noProof/>
                <w:sz w:val="22"/>
                <w:szCs w:val="22"/>
                <w:lang w:eastAsia="en-IE"/>
              </w:rPr>
              <w:t>CORSIA coverage</w:t>
            </w:r>
          </w:p>
        </w:tc>
        <w:tc>
          <w:tcPr>
            <w:tcW w:w="1269" w:type="dxa"/>
            <w:vAlign w:val="center"/>
            <w:hideMark/>
          </w:tcPr>
          <w:p w14:paraId="237C2818" w14:textId="0923BFD0" w:rsidR="000A4A00" w:rsidRPr="00244D65" w:rsidRDefault="00443564" w:rsidP="00545B9E">
            <w:pPr>
              <w:jc w:val="center"/>
              <w:rPr>
                <w:rFonts w:eastAsia="Times New Roman"/>
                <w:b/>
                <w:noProof/>
                <w:sz w:val="22"/>
                <w:szCs w:val="22"/>
                <w:lang w:eastAsia="en-IE"/>
              </w:rPr>
            </w:pPr>
            <w:r w:rsidRPr="00244D65">
              <w:rPr>
                <w:rFonts w:eastAsia="Times New Roman"/>
                <w:b/>
                <w:noProof/>
                <w:sz w:val="22"/>
                <w:szCs w:val="22"/>
                <w:lang w:eastAsia="en-IE"/>
              </w:rPr>
              <w:t xml:space="preserve">Non-priced </w:t>
            </w:r>
            <w:r w:rsidR="000A4A00" w:rsidRPr="00244D65">
              <w:rPr>
                <w:rFonts w:eastAsia="Times New Roman"/>
                <w:b/>
                <w:noProof/>
                <w:sz w:val="22"/>
                <w:szCs w:val="22"/>
                <w:lang w:eastAsia="en-IE"/>
              </w:rPr>
              <w:t>emissions</w:t>
            </w:r>
          </w:p>
        </w:tc>
      </w:tr>
      <w:tr w:rsidR="004D24F8" w:rsidRPr="00244D65" w14:paraId="19E0C383" w14:textId="77777777" w:rsidTr="000C653C">
        <w:trPr>
          <w:trHeight w:val="20"/>
        </w:trPr>
        <w:tc>
          <w:tcPr>
            <w:tcW w:w="2400" w:type="dxa"/>
            <w:vMerge w:val="restart"/>
            <w:vAlign w:val="center"/>
            <w:hideMark/>
          </w:tcPr>
          <w:p w14:paraId="4D495B6B" w14:textId="114E72BC" w:rsidR="000A4A00" w:rsidRPr="00244D65" w:rsidRDefault="00183DC5" w:rsidP="005E4778">
            <w:pPr>
              <w:jc w:val="left"/>
              <w:rPr>
                <w:rFonts w:eastAsia="Times New Roman"/>
                <w:b/>
                <w:noProof/>
                <w:sz w:val="22"/>
                <w:szCs w:val="22"/>
                <w:lang w:eastAsia="en-IE"/>
              </w:rPr>
            </w:pPr>
            <w:r w:rsidRPr="00244D65">
              <w:rPr>
                <w:rFonts w:eastAsia="Times New Roman"/>
                <w:b/>
                <w:noProof/>
                <w:sz w:val="22"/>
                <w:szCs w:val="22"/>
                <w:lang w:eastAsia="en-IE"/>
              </w:rPr>
              <w:t>Baseline (full scope)</w:t>
            </w:r>
          </w:p>
        </w:tc>
        <w:tc>
          <w:tcPr>
            <w:tcW w:w="1268" w:type="dxa"/>
            <w:vAlign w:val="center"/>
            <w:hideMark/>
          </w:tcPr>
          <w:p w14:paraId="1244F250" w14:textId="77777777" w:rsidR="000A4A00" w:rsidRPr="00244D65" w:rsidRDefault="000A4A00" w:rsidP="0085595C">
            <w:pPr>
              <w:jc w:val="center"/>
              <w:rPr>
                <w:rFonts w:eastAsia="Times New Roman"/>
                <w:b/>
                <w:noProof/>
                <w:sz w:val="22"/>
                <w:szCs w:val="22"/>
                <w:lang w:eastAsia="en-IE"/>
              </w:rPr>
            </w:pPr>
            <w:r w:rsidRPr="00244D65">
              <w:rPr>
                <w:rFonts w:eastAsia="Times New Roman"/>
                <w:b/>
                <w:noProof/>
                <w:sz w:val="22"/>
                <w:szCs w:val="22"/>
                <w:lang w:eastAsia="en-IE"/>
              </w:rPr>
              <w:t>2035</w:t>
            </w:r>
          </w:p>
        </w:tc>
        <w:tc>
          <w:tcPr>
            <w:tcW w:w="1268" w:type="dxa"/>
            <w:vAlign w:val="center"/>
            <w:hideMark/>
          </w:tcPr>
          <w:p w14:paraId="7A10A3C0" w14:textId="5BA4311C" w:rsidR="000A4A00" w:rsidRPr="00244D65" w:rsidRDefault="001812CF" w:rsidP="00545B9E">
            <w:pPr>
              <w:jc w:val="center"/>
              <w:rPr>
                <w:rFonts w:eastAsia="Times New Roman"/>
                <w:noProof/>
                <w:sz w:val="22"/>
                <w:szCs w:val="22"/>
                <w:lang w:eastAsia="en-IE"/>
              </w:rPr>
            </w:pPr>
            <w:r w:rsidRPr="00244D65">
              <w:rPr>
                <w:rFonts w:eastAsia="Times New Roman"/>
                <w:noProof/>
                <w:sz w:val="22"/>
                <w:szCs w:val="22"/>
                <w:lang w:eastAsia="en-IE"/>
              </w:rPr>
              <w:t>600</w:t>
            </w:r>
          </w:p>
        </w:tc>
        <w:tc>
          <w:tcPr>
            <w:tcW w:w="1268" w:type="dxa"/>
            <w:vAlign w:val="center"/>
            <w:hideMark/>
          </w:tcPr>
          <w:p w14:paraId="6B6701E5" w14:textId="44FCF87B" w:rsidR="000A4A00" w:rsidRPr="00244D65" w:rsidRDefault="00716A78" w:rsidP="00545B9E">
            <w:pPr>
              <w:jc w:val="center"/>
              <w:rPr>
                <w:rFonts w:eastAsia="Times New Roman"/>
                <w:noProof/>
                <w:sz w:val="22"/>
                <w:szCs w:val="22"/>
                <w:lang w:eastAsia="en-IE"/>
              </w:rPr>
            </w:pPr>
            <w:r w:rsidRPr="00244D65">
              <w:rPr>
                <w:rFonts w:eastAsia="Times New Roman"/>
                <w:noProof/>
                <w:sz w:val="22"/>
                <w:szCs w:val="22"/>
                <w:lang w:eastAsia="en-IE"/>
              </w:rPr>
              <w:t>170</w:t>
            </w:r>
          </w:p>
        </w:tc>
        <w:tc>
          <w:tcPr>
            <w:tcW w:w="1268" w:type="dxa"/>
            <w:vAlign w:val="center"/>
            <w:hideMark/>
          </w:tcPr>
          <w:p w14:paraId="69C0A5DA" w14:textId="37D56372" w:rsidR="000A4A00" w:rsidRPr="00244D65" w:rsidRDefault="00716A78" w:rsidP="00545B9E">
            <w:pPr>
              <w:jc w:val="center"/>
              <w:rPr>
                <w:rFonts w:eastAsia="Times New Roman"/>
                <w:noProof/>
                <w:sz w:val="22"/>
                <w:szCs w:val="22"/>
                <w:lang w:eastAsia="en-IE"/>
              </w:rPr>
            </w:pPr>
            <w:r w:rsidRPr="00244D65">
              <w:rPr>
                <w:rFonts w:eastAsia="Times New Roman"/>
                <w:noProof/>
                <w:sz w:val="22"/>
                <w:szCs w:val="22"/>
                <w:lang w:eastAsia="en-IE"/>
              </w:rPr>
              <w:t>60</w:t>
            </w:r>
          </w:p>
        </w:tc>
        <w:tc>
          <w:tcPr>
            <w:tcW w:w="1269" w:type="dxa"/>
            <w:vAlign w:val="center"/>
            <w:hideMark/>
          </w:tcPr>
          <w:p w14:paraId="1EA7792F" w14:textId="1054E150" w:rsidR="000A4A00" w:rsidRPr="00244D65" w:rsidRDefault="00716A78" w:rsidP="00545B9E">
            <w:pPr>
              <w:jc w:val="center"/>
              <w:rPr>
                <w:rFonts w:eastAsia="Times New Roman"/>
                <w:noProof/>
                <w:sz w:val="22"/>
                <w:szCs w:val="22"/>
                <w:lang w:eastAsia="en-IE"/>
              </w:rPr>
            </w:pPr>
            <w:r w:rsidRPr="00244D65">
              <w:rPr>
                <w:rFonts w:eastAsia="Times New Roman"/>
                <w:noProof/>
                <w:sz w:val="22"/>
                <w:szCs w:val="22"/>
                <w:lang w:eastAsia="en-IE"/>
              </w:rPr>
              <w:t>365</w:t>
            </w:r>
          </w:p>
        </w:tc>
      </w:tr>
      <w:tr w:rsidR="004D24F8" w:rsidRPr="00244D65" w14:paraId="20524B98" w14:textId="77777777" w:rsidTr="000C653C">
        <w:trPr>
          <w:trHeight w:val="20"/>
        </w:trPr>
        <w:tc>
          <w:tcPr>
            <w:tcW w:w="2400" w:type="dxa"/>
            <w:vMerge/>
            <w:vAlign w:val="center"/>
            <w:hideMark/>
          </w:tcPr>
          <w:p w14:paraId="5EB93E59" w14:textId="0510EA85" w:rsidR="000A4A00" w:rsidRPr="00244D65" w:rsidRDefault="000A4A00" w:rsidP="005E4778">
            <w:pPr>
              <w:jc w:val="left"/>
              <w:rPr>
                <w:rFonts w:eastAsia="Times New Roman"/>
                <w:b/>
                <w:noProof/>
                <w:sz w:val="22"/>
                <w:szCs w:val="22"/>
                <w:lang w:eastAsia="en-IE"/>
              </w:rPr>
            </w:pPr>
          </w:p>
        </w:tc>
        <w:tc>
          <w:tcPr>
            <w:tcW w:w="1268" w:type="dxa"/>
            <w:vAlign w:val="center"/>
            <w:hideMark/>
          </w:tcPr>
          <w:p w14:paraId="0399BA4C" w14:textId="7278EEA6" w:rsidR="000A4A00" w:rsidRPr="00244D65" w:rsidRDefault="000A4A00" w:rsidP="0085595C">
            <w:pPr>
              <w:jc w:val="center"/>
              <w:rPr>
                <w:rFonts w:eastAsia="Times New Roman"/>
                <w:b/>
                <w:noProof/>
                <w:sz w:val="22"/>
                <w:szCs w:val="22"/>
                <w:lang w:eastAsia="en-IE"/>
              </w:rPr>
            </w:pPr>
            <w:r w:rsidRPr="00244D65">
              <w:rPr>
                <w:rFonts w:eastAsia="Times New Roman"/>
                <w:b/>
                <w:noProof/>
                <w:sz w:val="22"/>
                <w:szCs w:val="22"/>
                <w:lang w:eastAsia="en-IE"/>
              </w:rPr>
              <w:t xml:space="preserve">2040 </w:t>
            </w:r>
            <w:r>
              <w:rPr>
                <w:rFonts w:eastAsia="Times New Roman"/>
                <w:b/>
                <w:noProof/>
                <w:sz w:val="22"/>
                <w:szCs w:val="22"/>
                <w:lang w:eastAsia="en-IE"/>
              </w:rPr>
              <w:t>(87%)</w:t>
            </w:r>
          </w:p>
        </w:tc>
        <w:tc>
          <w:tcPr>
            <w:tcW w:w="1268" w:type="dxa"/>
            <w:vAlign w:val="center"/>
            <w:hideMark/>
          </w:tcPr>
          <w:p w14:paraId="3B8CA08B" w14:textId="235465D3" w:rsidR="000A4A00" w:rsidRPr="00244D65" w:rsidRDefault="00E22A7A" w:rsidP="00545B9E">
            <w:pPr>
              <w:jc w:val="center"/>
              <w:rPr>
                <w:rFonts w:eastAsia="Times New Roman"/>
                <w:noProof/>
                <w:sz w:val="22"/>
                <w:szCs w:val="22"/>
                <w:lang w:eastAsia="en-IE"/>
              </w:rPr>
            </w:pPr>
            <w:r w:rsidRPr="00244D65">
              <w:rPr>
                <w:rFonts w:eastAsia="Times New Roman"/>
                <w:noProof/>
                <w:sz w:val="22"/>
                <w:szCs w:val="22"/>
                <w:lang w:eastAsia="en-IE"/>
              </w:rPr>
              <w:t>590</w:t>
            </w:r>
          </w:p>
        </w:tc>
        <w:tc>
          <w:tcPr>
            <w:tcW w:w="1268" w:type="dxa"/>
            <w:vAlign w:val="center"/>
            <w:hideMark/>
          </w:tcPr>
          <w:p w14:paraId="1CF7D169" w14:textId="77D3061F" w:rsidR="000A4A00" w:rsidRPr="00244D65" w:rsidRDefault="00716A78" w:rsidP="00545B9E">
            <w:pPr>
              <w:jc w:val="center"/>
              <w:rPr>
                <w:rFonts w:eastAsia="Times New Roman"/>
                <w:noProof/>
                <w:sz w:val="22"/>
                <w:szCs w:val="22"/>
                <w:lang w:eastAsia="en-IE"/>
              </w:rPr>
            </w:pPr>
            <w:r w:rsidRPr="00244D65">
              <w:rPr>
                <w:rFonts w:eastAsia="Times New Roman"/>
                <w:noProof/>
                <w:sz w:val="22"/>
                <w:szCs w:val="22"/>
                <w:lang w:eastAsia="en-IE"/>
              </w:rPr>
              <w:t>155</w:t>
            </w:r>
          </w:p>
        </w:tc>
        <w:tc>
          <w:tcPr>
            <w:tcW w:w="1268" w:type="dxa"/>
            <w:vAlign w:val="center"/>
            <w:hideMark/>
          </w:tcPr>
          <w:p w14:paraId="6A29659C" w14:textId="77777777" w:rsidR="000A4A00" w:rsidRPr="00244D65" w:rsidRDefault="000A4A00" w:rsidP="00545B9E">
            <w:pPr>
              <w:jc w:val="center"/>
              <w:rPr>
                <w:rFonts w:eastAsia="Times New Roman"/>
                <w:noProof/>
                <w:sz w:val="22"/>
                <w:szCs w:val="22"/>
                <w:lang w:eastAsia="en-IE"/>
              </w:rPr>
            </w:pPr>
            <w:r w:rsidRPr="00244D65">
              <w:rPr>
                <w:rFonts w:eastAsia="Times New Roman"/>
                <w:noProof/>
                <w:sz w:val="22"/>
                <w:szCs w:val="22"/>
                <w:lang w:eastAsia="en-IE"/>
              </w:rPr>
              <w:t>0</w:t>
            </w:r>
          </w:p>
        </w:tc>
        <w:tc>
          <w:tcPr>
            <w:tcW w:w="1269" w:type="dxa"/>
            <w:vAlign w:val="center"/>
            <w:hideMark/>
          </w:tcPr>
          <w:p w14:paraId="512C01EA" w14:textId="759ED57C" w:rsidR="000A4A00" w:rsidRPr="00244D65" w:rsidRDefault="00716A78" w:rsidP="00545B9E">
            <w:pPr>
              <w:jc w:val="center"/>
              <w:rPr>
                <w:rFonts w:eastAsia="Times New Roman"/>
                <w:noProof/>
                <w:sz w:val="22"/>
                <w:szCs w:val="22"/>
                <w:lang w:eastAsia="en-IE"/>
              </w:rPr>
            </w:pPr>
            <w:r w:rsidRPr="00244D65">
              <w:rPr>
                <w:rFonts w:eastAsia="Times New Roman"/>
                <w:noProof/>
                <w:sz w:val="22"/>
                <w:szCs w:val="22"/>
                <w:lang w:eastAsia="en-IE"/>
              </w:rPr>
              <w:t>435</w:t>
            </w:r>
          </w:p>
        </w:tc>
      </w:tr>
      <w:tr w:rsidR="004D24F8" w:rsidRPr="00244D65" w14:paraId="3E389599" w14:textId="77777777" w:rsidTr="000C653C">
        <w:trPr>
          <w:trHeight w:val="20"/>
        </w:trPr>
        <w:tc>
          <w:tcPr>
            <w:tcW w:w="2400" w:type="dxa"/>
            <w:vMerge w:val="restart"/>
            <w:vAlign w:val="center"/>
            <w:hideMark/>
          </w:tcPr>
          <w:p w14:paraId="31FEEDF0" w14:textId="1C31DC53" w:rsidR="000A4A00" w:rsidRPr="00244D65" w:rsidRDefault="00183DC5" w:rsidP="005E4778">
            <w:pPr>
              <w:jc w:val="left"/>
              <w:rPr>
                <w:rFonts w:eastAsia="Times New Roman"/>
                <w:b/>
                <w:noProof/>
                <w:sz w:val="22"/>
                <w:szCs w:val="22"/>
                <w:lang w:eastAsia="en-IE"/>
              </w:rPr>
            </w:pPr>
            <w:r w:rsidRPr="00244D65">
              <w:rPr>
                <w:rFonts w:eastAsia="Times New Roman"/>
                <w:b/>
                <w:noProof/>
                <w:sz w:val="22"/>
                <w:szCs w:val="22"/>
                <w:lang w:eastAsia="en-IE"/>
              </w:rPr>
              <w:t>PO1 (clean cut)</w:t>
            </w:r>
          </w:p>
        </w:tc>
        <w:tc>
          <w:tcPr>
            <w:tcW w:w="1268" w:type="dxa"/>
            <w:vAlign w:val="center"/>
            <w:hideMark/>
          </w:tcPr>
          <w:p w14:paraId="1BFAF126" w14:textId="77777777" w:rsidR="000A4A00" w:rsidRPr="00244D65" w:rsidRDefault="000A4A00" w:rsidP="0085595C">
            <w:pPr>
              <w:jc w:val="center"/>
              <w:rPr>
                <w:rFonts w:eastAsia="Times New Roman"/>
                <w:b/>
                <w:noProof/>
                <w:sz w:val="22"/>
                <w:szCs w:val="22"/>
                <w:lang w:eastAsia="en-IE"/>
              </w:rPr>
            </w:pPr>
            <w:r w:rsidRPr="00244D65">
              <w:rPr>
                <w:rFonts w:eastAsia="Times New Roman"/>
                <w:b/>
                <w:noProof/>
                <w:sz w:val="22"/>
                <w:szCs w:val="22"/>
                <w:lang w:eastAsia="en-IE"/>
              </w:rPr>
              <w:t>2035</w:t>
            </w:r>
          </w:p>
        </w:tc>
        <w:tc>
          <w:tcPr>
            <w:tcW w:w="1268" w:type="dxa"/>
            <w:vAlign w:val="center"/>
            <w:hideMark/>
          </w:tcPr>
          <w:p w14:paraId="0501F3EF" w14:textId="6970EA8F" w:rsidR="000A4A00" w:rsidRPr="00244D65" w:rsidRDefault="00F168B3" w:rsidP="00545B9E">
            <w:pPr>
              <w:jc w:val="center"/>
              <w:rPr>
                <w:rFonts w:eastAsia="Times New Roman"/>
                <w:noProof/>
                <w:sz w:val="22"/>
                <w:szCs w:val="22"/>
                <w:lang w:eastAsia="en-IE"/>
              </w:rPr>
            </w:pPr>
            <w:r w:rsidRPr="00244D65">
              <w:rPr>
                <w:rFonts w:eastAsia="Times New Roman"/>
                <w:noProof/>
                <w:sz w:val="22"/>
                <w:szCs w:val="22"/>
                <w:lang w:eastAsia="en-IE"/>
              </w:rPr>
              <w:t>6</w:t>
            </w:r>
            <w:r w:rsidR="00291EFD" w:rsidRPr="00244D65">
              <w:rPr>
                <w:rFonts w:eastAsia="Times New Roman"/>
                <w:noProof/>
                <w:sz w:val="22"/>
                <w:szCs w:val="22"/>
                <w:lang w:eastAsia="en-IE"/>
              </w:rPr>
              <w:t>05</w:t>
            </w:r>
          </w:p>
        </w:tc>
        <w:tc>
          <w:tcPr>
            <w:tcW w:w="1268" w:type="dxa"/>
            <w:vAlign w:val="center"/>
            <w:hideMark/>
          </w:tcPr>
          <w:p w14:paraId="36F7C2FC" w14:textId="2BE35B2C" w:rsidR="000A4A00" w:rsidRPr="00244D65" w:rsidRDefault="00716A78" w:rsidP="00545B9E">
            <w:pPr>
              <w:jc w:val="center"/>
              <w:rPr>
                <w:rFonts w:eastAsia="Times New Roman"/>
                <w:noProof/>
                <w:sz w:val="22"/>
                <w:szCs w:val="22"/>
                <w:lang w:eastAsia="en-IE"/>
              </w:rPr>
            </w:pPr>
            <w:r w:rsidRPr="00244D65">
              <w:rPr>
                <w:rFonts w:eastAsia="Times New Roman"/>
                <w:noProof/>
                <w:sz w:val="22"/>
                <w:szCs w:val="22"/>
                <w:lang w:eastAsia="en-IE"/>
              </w:rPr>
              <w:t>50</w:t>
            </w:r>
          </w:p>
        </w:tc>
        <w:tc>
          <w:tcPr>
            <w:tcW w:w="1268" w:type="dxa"/>
            <w:vAlign w:val="center"/>
            <w:hideMark/>
          </w:tcPr>
          <w:p w14:paraId="5A000900" w14:textId="2A729149" w:rsidR="000A4A00" w:rsidRPr="00244D65" w:rsidRDefault="00A14875" w:rsidP="00545B9E">
            <w:pPr>
              <w:jc w:val="center"/>
              <w:rPr>
                <w:rFonts w:eastAsia="Times New Roman"/>
                <w:noProof/>
                <w:sz w:val="22"/>
                <w:szCs w:val="22"/>
                <w:lang w:eastAsia="en-IE"/>
              </w:rPr>
            </w:pPr>
            <w:r w:rsidRPr="00244D65">
              <w:rPr>
                <w:rFonts w:eastAsia="Times New Roman"/>
                <w:noProof/>
                <w:sz w:val="22"/>
                <w:szCs w:val="22"/>
                <w:lang w:eastAsia="en-IE"/>
              </w:rPr>
              <w:t>140</w:t>
            </w:r>
          </w:p>
        </w:tc>
        <w:tc>
          <w:tcPr>
            <w:tcW w:w="1269" w:type="dxa"/>
            <w:vAlign w:val="center"/>
            <w:hideMark/>
          </w:tcPr>
          <w:p w14:paraId="4E661B77" w14:textId="4C2D7E0D" w:rsidR="000A4A00" w:rsidRPr="00244D65" w:rsidRDefault="00716A78" w:rsidP="00545B9E">
            <w:pPr>
              <w:jc w:val="center"/>
              <w:rPr>
                <w:rFonts w:eastAsia="Times New Roman"/>
                <w:noProof/>
                <w:sz w:val="22"/>
                <w:szCs w:val="22"/>
                <w:lang w:eastAsia="en-IE"/>
              </w:rPr>
            </w:pPr>
            <w:r w:rsidRPr="00244D65">
              <w:rPr>
                <w:rFonts w:eastAsia="Times New Roman"/>
                <w:noProof/>
                <w:sz w:val="22"/>
                <w:szCs w:val="22"/>
                <w:lang w:eastAsia="en-IE"/>
              </w:rPr>
              <w:t>415</w:t>
            </w:r>
          </w:p>
        </w:tc>
      </w:tr>
      <w:tr w:rsidR="004D24F8" w:rsidRPr="00244D65" w14:paraId="4DFA96A1" w14:textId="77777777" w:rsidTr="000C653C">
        <w:trPr>
          <w:trHeight w:val="20"/>
        </w:trPr>
        <w:tc>
          <w:tcPr>
            <w:tcW w:w="2400" w:type="dxa"/>
            <w:vMerge/>
            <w:vAlign w:val="center"/>
            <w:hideMark/>
          </w:tcPr>
          <w:p w14:paraId="1BCFE19B" w14:textId="1CB99184" w:rsidR="000A4A00" w:rsidRPr="00244D65" w:rsidRDefault="000A4A00" w:rsidP="005E4778">
            <w:pPr>
              <w:jc w:val="left"/>
              <w:rPr>
                <w:rFonts w:eastAsia="Times New Roman"/>
                <w:b/>
                <w:noProof/>
                <w:sz w:val="22"/>
                <w:szCs w:val="22"/>
                <w:lang w:eastAsia="en-IE"/>
              </w:rPr>
            </w:pPr>
          </w:p>
        </w:tc>
        <w:tc>
          <w:tcPr>
            <w:tcW w:w="1268" w:type="dxa"/>
            <w:vAlign w:val="center"/>
            <w:hideMark/>
          </w:tcPr>
          <w:p w14:paraId="110EB4AE" w14:textId="246852EA" w:rsidR="000A4A00" w:rsidRPr="00244D65" w:rsidRDefault="000A4A00" w:rsidP="0085595C">
            <w:pPr>
              <w:jc w:val="center"/>
              <w:rPr>
                <w:rFonts w:eastAsia="Times New Roman"/>
                <w:b/>
                <w:noProof/>
                <w:sz w:val="22"/>
                <w:szCs w:val="22"/>
                <w:lang w:eastAsia="en-IE"/>
              </w:rPr>
            </w:pPr>
            <w:r w:rsidRPr="00244D65">
              <w:rPr>
                <w:rFonts w:eastAsia="Times New Roman"/>
                <w:b/>
                <w:noProof/>
                <w:sz w:val="22"/>
                <w:szCs w:val="22"/>
                <w:lang w:eastAsia="en-IE"/>
              </w:rPr>
              <w:t xml:space="preserve">2040 </w:t>
            </w:r>
            <w:r>
              <w:rPr>
                <w:rFonts w:eastAsia="Times New Roman"/>
                <w:b/>
                <w:noProof/>
                <w:sz w:val="22"/>
                <w:szCs w:val="22"/>
                <w:lang w:eastAsia="en-IE"/>
              </w:rPr>
              <w:t>(87%)</w:t>
            </w:r>
          </w:p>
        </w:tc>
        <w:tc>
          <w:tcPr>
            <w:tcW w:w="1268" w:type="dxa"/>
            <w:vAlign w:val="center"/>
            <w:hideMark/>
          </w:tcPr>
          <w:p w14:paraId="7C36219E" w14:textId="0849951D" w:rsidR="000A4A00" w:rsidRPr="00244D65" w:rsidRDefault="00F168B3" w:rsidP="00545B9E">
            <w:pPr>
              <w:jc w:val="center"/>
              <w:rPr>
                <w:rFonts w:eastAsia="Times New Roman"/>
                <w:noProof/>
                <w:sz w:val="22"/>
                <w:szCs w:val="22"/>
                <w:lang w:eastAsia="en-IE"/>
              </w:rPr>
            </w:pPr>
            <w:r w:rsidRPr="00244D65">
              <w:rPr>
                <w:rFonts w:eastAsia="Times New Roman"/>
                <w:noProof/>
                <w:sz w:val="22"/>
                <w:szCs w:val="22"/>
                <w:lang w:eastAsia="en-IE"/>
              </w:rPr>
              <w:t>600</w:t>
            </w:r>
          </w:p>
        </w:tc>
        <w:tc>
          <w:tcPr>
            <w:tcW w:w="1268" w:type="dxa"/>
            <w:vAlign w:val="center"/>
            <w:hideMark/>
          </w:tcPr>
          <w:p w14:paraId="43B4A342" w14:textId="09EA2B97" w:rsidR="000A4A00" w:rsidRPr="00244D65" w:rsidRDefault="00716A78" w:rsidP="00545B9E">
            <w:pPr>
              <w:jc w:val="center"/>
              <w:rPr>
                <w:rFonts w:eastAsia="Times New Roman"/>
                <w:noProof/>
                <w:sz w:val="22"/>
                <w:szCs w:val="22"/>
                <w:lang w:eastAsia="en-IE"/>
              </w:rPr>
            </w:pPr>
            <w:r w:rsidRPr="00244D65">
              <w:rPr>
                <w:rFonts w:eastAsia="Times New Roman"/>
                <w:noProof/>
                <w:sz w:val="22"/>
                <w:szCs w:val="22"/>
                <w:lang w:eastAsia="en-IE"/>
              </w:rPr>
              <w:t>45</w:t>
            </w:r>
          </w:p>
        </w:tc>
        <w:tc>
          <w:tcPr>
            <w:tcW w:w="1268" w:type="dxa"/>
            <w:vAlign w:val="center"/>
            <w:hideMark/>
          </w:tcPr>
          <w:p w14:paraId="03E7F45F" w14:textId="77777777" w:rsidR="000A4A00" w:rsidRPr="00244D65" w:rsidRDefault="000A4A00" w:rsidP="00545B9E">
            <w:pPr>
              <w:jc w:val="center"/>
              <w:rPr>
                <w:rFonts w:eastAsia="Times New Roman"/>
                <w:noProof/>
                <w:sz w:val="22"/>
                <w:szCs w:val="22"/>
                <w:lang w:eastAsia="en-IE"/>
              </w:rPr>
            </w:pPr>
            <w:r w:rsidRPr="00244D65">
              <w:rPr>
                <w:rFonts w:eastAsia="Times New Roman"/>
                <w:noProof/>
                <w:sz w:val="22"/>
                <w:szCs w:val="22"/>
                <w:lang w:eastAsia="en-IE"/>
              </w:rPr>
              <w:t>0</w:t>
            </w:r>
          </w:p>
        </w:tc>
        <w:tc>
          <w:tcPr>
            <w:tcW w:w="1269" w:type="dxa"/>
            <w:vAlign w:val="center"/>
            <w:hideMark/>
          </w:tcPr>
          <w:p w14:paraId="7496885F" w14:textId="77970037" w:rsidR="000A4A00" w:rsidRPr="00244D65" w:rsidRDefault="00716A78" w:rsidP="00545B9E">
            <w:pPr>
              <w:jc w:val="center"/>
              <w:rPr>
                <w:rFonts w:eastAsia="Times New Roman"/>
                <w:noProof/>
                <w:sz w:val="22"/>
                <w:szCs w:val="22"/>
                <w:lang w:eastAsia="en-IE"/>
              </w:rPr>
            </w:pPr>
            <w:r w:rsidRPr="00244D65">
              <w:rPr>
                <w:rFonts w:eastAsia="Times New Roman"/>
                <w:noProof/>
                <w:sz w:val="22"/>
                <w:szCs w:val="22"/>
                <w:lang w:eastAsia="en-IE"/>
              </w:rPr>
              <w:t>555</w:t>
            </w:r>
          </w:p>
        </w:tc>
      </w:tr>
      <w:tr w:rsidR="004D24F8" w:rsidRPr="00244D65" w14:paraId="3E855CAF" w14:textId="77777777" w:rsidTr="000C653C">
        <w:trPr>
          <w:trHeight w:val="20"/>
        </w:trPr>
        <w:tc>
          <w:tcPr>
            <w:tcW w:w="2400" w:type="dxa"/>
            <w:vMerge w:val="restart"/>
            <w:vAlign w:val="center"/>
            <w:hideMark/>
          </w:tcPr>
          <w:p w14:paraId="471CAE72" w14:textId="031B4A74" w:rsidR="000A4A00" w:rsidRPr="00244D65" w:rsidRDefault="00183DC5" w:rsidP="005E4778">
            <w:pPr>
              <w:jc w:val="left"/>
              <w:rPr>
                <w:rFonts w:eastAsia="Times New Roman"/>
                <w:b/>
                <w:noProof/>
                <w:sz w:val="22"/>
                <w:szCs w:val="22"/>
                <w:lang w:eastAsia="en-IE"/>
              </w:rPr>
            </w:pPr>
            <w:r w:rsidRPr="00244D65">
              <w:rPr>
                <w:rFonts w:eastAsia="Times New Roman"/>
                <w:b/>
                <w:noProof/>
                <w:sz w:val="22"/>
                <w:szCs w:val="22"/>
                <w:lang w:eastAsia="en-IE"/>
              </w:rPr>
              <w:t>PO2 (departing flights, medium SAF support)</w:t>
            </w:r>
          </w:p>
        </w:tc>
        <w:tc>
          <w:tcPr>
            <w:tcW w:w="1268" w:type="dxa"/>
            <w:vAlign w:val="center"/>
            <w:hideMark/>
          </w:tcPr>
          <w:p w14:paraId="325D2674" w14:textId="77777777" w:rsidR="000A4A00" w:rsidRPr="00244D65" w:rsidRDefault="000A4A00" w:rsidP="0085595C">
            <w:pPr>
              <w:jc w:val="center"/>
              <w:rPr>
                <w:rFonts w:eastAsia="Times New Roman"/>
                <w:b/>
                <w:noProof/>
                <w:sz w:val="22"/>
                <w:szCs w:val="22"/>
                <w:lang w:eastAsia="en-IE"/>
              </w:rPr>
            </w:pPr>
            <w:r w:rsidRPr="00244D65">
              <w:rPr>
                <w:rFonts w:eastAsia="Times New Roman"/>
                <w:b/>
                <w:noProof/>
                <w:sz w:val="22"/>
                <w:szCs w:val="22"/>
                <w:lang w:eastAsia="en-IE"/>
              </w:rPr>
              <w:t>2035</w:t>
            </w:r>
          </w:p>
        </w:tc>
        <w:tc>
          <w:tcPr>
            <w:tcW w:w="1268" w:type="dxa"/>
            <w:vAlign w:val="center"/>
            <w:hideMark/>
          </w:tcPr>
          <w:p w14:paraId="3A98FE37" w14:textId="76F03F4E" w:rsidR="000A4A00" w:rsidRPr="00244D65" w:rsidRDefault="00754E55" w:rsidP="00545B9E">
            <w:pPr>
              <w:jc w:val="center"/>
              <w:rPr>
                <w:rFonts w:eastAsia="Times New Roman"/>
                <w:noProof/>
                <w:sz w:val="22"/>
                <w:szCs w:val="22"/>
                <w:lang w:eastAsia="en-IE"/>
              </w:rPr>
            </w:pPr>
            <w:r w:rsidRPr="00244D65">
              <w:rPr>
                <w:rFonts w:eastAsia="Times New Roman"/>
                <w:noProof/>
                <w:sz w:val="22"/>
                <w:szCs w:val="22"/>
                <w:lang w:eastAsia="en-IE"/>
              </w:rPr>
              <w:t>60</w:t>
            </w:r>
            <w:r w:rsidR="00A03BC3" w:rsidRPr="00244D65">
              <w:rPr>
                <w:rFonts w:eastAsia="Times New Roman"/>
                <w:noProof/>
                <w:sz w:val="22"/>
                <w:szCs w:val="22"/>
                <w:lang w:eastAsia="en-IE"/>
              </w:rPr>
              <w:t>5</w:t>
            </w:r>
          </w:p>
        </w:tc>
        <w:tc>
          <w:tcPr>
            <w:tcW w:w="1268" w:type="dxa"/>
            <w:vAlign w:val="center"/>
            <w:hideMark/>
          </w:tcPr>
          <w:p w14:paraId="1A5D682A" w14:textId="79B980F4" w:rsidR="000A4A00" w:rsidRPr="00244D65" w:rsidRDefault="00716A78" w:rsidP="00545B9E">
            <w:pPr>
              <w:jc w:val="center"/>
              <w:rPr>
                <w:rFonts w:eastAsia="Times New Roman"/>
                <w:noProof/>
                <w:sz w:val="22"/>
                <w:szCs w:val="22"/>
                <w:lang w:eastAsia="en-IE"/>
              </w:rPr>
            </w:pPr>
            <w:r w:rsidRPr="00244D65">
              <w:rPr>
                <w:rFonts w:eastAsia="Times New Roman"/>
                <w:noProof/>
                <w:sz w:val="22"/>
                <w:szCs w:val="22"/>
                <w:lang w:eastAsia="en-IE"/>
              </w:rPr>
              <w:t>110</w:t>
            </w:r>
          </w:p>
        </w:tc>
        <w:tc>
          <w:tcPr>
            <w:tcW w:w="1268" w:type="dxa"/>
            <w:vAlign w:val="center"/>
            <w:hideMark/>
          </w:tcPr>
          <w:p w14:paraId="0C71C11E" w14:textId="536493DC" w:rsidR="000A4A00" w:rsidRPr="00244D65" w:rsidRDefault="00C4334A" w:rsidP="00545B9E">
            <w:pPr>
              <w:jc w:val="center"/>
              <w:rPr>
                <w:rFonts w:eastAsia="Times New Roman"/>
                <w:noProof/>
                <w:sz w:val="22"/>
                <w:szCs w:val="22"/>
                <w:lang w:eastAsia="en-IE"/>
              </w:rPr>
            </w:pPr>
            <w:r w:rsidRPr="00244D65">
              <w:rPr>
                <w:rFonts w:eastAsia="Times New Roman"/>
                <w:noProof/>
                <w:sz w:val="22"/>
                <w:szCs w:val="22"/>
                <w:lang w:eastAsia="en-IE"/>
              </w:rPr>
              <w:t>75</w:t>
            </w:r>
          </w:p>
        </w:tc>
        <w:tc>
          <w:tcPr>
            <w:tcW w:w="1269" w:type="dxa"/>
            <w:vAlign w:val="center"/>
            <w:hideMark/>
          </w:tcPr>
          <w:p w14:paraId="030A55AC" w14:textId="5C9506F3" w:rsidR="000A4A00" w:rsidRPr="00244D65" w:rsidRDefault="00716A78" w:rsidP="00545B9E">
            <w:pPr>
              <w:jc w:val="center"/>
              <w:rPr>
                <w:rFonts w:eastAsia="Times New Roman"/>
                <w:noProof/>
                <w:sz w:val="22"/>
                <w:szCs w:val="22"/>
                <w:lang w:eastAsia="en-IE"/>
              </w:rPr>
            </w:pPr>
            <w:r w:rsidRPr="00244D65">
              <w:rPr>
                <w:rFonts w:eastAsia="Times New Roman"/>
                <w:noProof/>
                <w:sz w:val="22"/>
                <w:szCs w:val="22"/>
                <w:lang w:eastAsia="en-IE"/>
              </w:rPr>
              <w:t>420</w:t>
            </w:r>
          </w:p>
        </w:tc>
      </w:tr>
      <w:tr w:rsidR="004D24F8" w:rsidRPr="00244D65" w14:paraId="1A95F394" w14:textId="77777777" w:rsidTr="000C653C">
        <w:trPr>
          <w:trHeight w:val="20"/>
        </w:trPr>
        <w:tc>
          <w:tcPr>
            <w:tcW w:w="2400" w:type="dxa"/>
            <w:vMerge/>
            <w:vAlign w:val="center"/>
          </w:tcPr>
          <w:p w14:paraId="1D417E12" w14:textId="2B714094" w:rsidR="000A4A00" w:rsidRPr="00244D65" w:rsidRDefault="000A4A00" w:rsidP="005E4778">
            <w:pPr>
              <w:jc w:val="left"/>
              <w:rPr>
                <w:rFonts w:eastAsia="Times New Roman"/>
                <w:b/>
                <w:noProof/>
                <w:sz w:val="22"/>
                <w:szCs w:val="22"/>
                <w:lang w:eastAsia="en-IE"/>
              </w:rPr>
            </w:pPr>
          </w:p>
        </w:tc>
        <w:tc>
          <w:tcPr>
            <w:tcW w:w="1268" w:type="dxa"/>
            <w:vAlign w:val="center"/>
            <w:hideMark/>
          </w:tcPr>
          <w:p w14:paraId="748E3082" w14:textId="5141912E" w:rsidR="000A4A00" w:rsidRPr="00244D65" w:rsidRDefault="000A4A00" w:rsidP="0085595C">
            <w:pPr>
              <w:jc w:val="center"/>
              <w:rPr>
                <w:rFonts w:eastAsia="Times New Roman"/>
                <w:b/>
                <w:noProof/>
                <w:sz w:val="22"/>
                <w:szCs w:val="22"/>
                <w:lang w:eastAsia="en-IE"/>
              </w:rPr>
            </w:pPr>
            <w:r w:rsidRPr="00244D65">
              <w:rPr>
                <w:rFonts w:eastAsia="Times New Roman"/>
                <w:b/>
                <w:noProof/>
                <w:sz w:val="22"/>
                <w:szCs w:val="22"/>
                <w:lang w:eastAsia="en-IE"/>
              </w:rPr>
              <w:t xml:space="preserve">2040 </w:t>
            </w:r>
            <w:r>
              <w:rPr>
                <w:rFonts w:eastAsia="Times New Roman"/>
                <w:b/>
                <w:noProof/>
                <w:sz w:val="22"/>
                <w:szCs w:val="22"/>
                <w:lang w:eastAsia="en-IE"/>
              </w:rPr>
              <w:t>(87%)</w:t>
            </w:r>
          </w:p>
        </w:tc>
        <w:tc>
          <w:tcPr>
            <w:tcW w:w="1268" w:type="dxa"/>
            <w:vAlign w:val="center"/>
            <w:hideMark/>
          </w:tcPr>
          <w:p w14:paraId="0DE7DF5E" w14:textId="11BE947F" w:rsidR="000A4A00" w:rsidRPr="00244D65" w:rsidRDefault="003B5DEE" w:rsidP="00545B9E">
            <w:pPr>
              <w:jc w:val="center"/>
              <w:rPr>
                <w:rFonts w:eastAsia="Times New Roman"/>
                <w:noProof/>
                <w:sz w:val="22"/>
                <w:szCs w:val="22"/>
                <w:lang w:eastAsia="en-IE"/>
              </w:rPr>
            </w:pPr>
            <w:r w:rsidRPr="00244D65">
              <w:rPr>
                <w:rFonts w:eastAsia="Times New Roman"/>
                <w:noProof/>
                <w:sz w:val="22"/>
                <w:szCs w:val="22"/>
                <w:lang w:eastAsia="en-IE"/>
              </w:rPr>
              <w:t>595</w:t>
            </w:r>
          </w:p>
        </w:tc>
        <w:tc>
          <w:tcPr>
            <w:tcW w:w="1268" w:type="dxa"/>
            <w:vAlign w:val="center"/>
            <w:hideMark/>
          </w:tcPr>
          <w:p w14:paraId="1370E19B" w14:textId="5C389149" w:rsidR="000A4A00" w:rsidRPr="00244D65" w:rsidRDefault="00716A78" w:rsidP="00545B9E">
            <w:pPr>
              <w:jc w:val="center"/>
              <w:rPr>
                <w:rFonts w:eastAsia="Times New Roman"/>
                <w:noProof/>
                <w:sz w:val="22"/>
                <w:szCs w:val="22"/>
                <w:lang w:eastAsia="en-IE"/>
              </w:rPr>
            </w:pPr>
            <w:r w:rsidRPr="00244D65">
              <w:rPr>
                <w:rFonts w:eastAsia="Times New Roman"/>
                <w:noProof/>
                <w:sz w:val="22"/>
                <w:szCs w:val="22"/>
                <w:lang w:eastAsia="en-IE"/>
              </w:rPr>
              <w:t>95</w:t>
            </w:r>
          </w:p>
        </w:tc>
        <w:tc>
          <w:tcPr>
            <w:tcW w:w="1268" w:type="dxa"/>
            <w:vAlign w:val="center"/>
            <w:hideMark/>
          </w:tcPr>
          <w:p w14:paraId="6C8BC395" w14:textId="77777777" w:rsidR="000A4A00" w:rsidRPr="00244D65" w:rsidRDefault="000A4A00" w:rsidP="00545B9E">
            <w:pPr>
              <w:jc w:val="center"/>
              <w:rPr>
                <w:rFonts w:eastAsia="Times New Roman"/>
                <w:noProof/>
                <w:sz w:val="22"/>
                <w:szCs w:val="22"/>
                <w:lang w:eastAsia="en-IE"/>
              </w:rPr>
            </w:pPr>
            <w:r w:rsidRPr="00244D65">
              <w:rPr>
                <w:rFonts w:eastAsia="Times New Roman"/>
                <w:noProof/>
                <w:sz w:val="22"/>
                <w:szCs w:val="22"/>
                <w:lang w:eastAsia="en-IE"/>
              </w:rPr>
              <w:t>0</w:t>
            </w:r>
          </w:p>
        </w:tc>
        <w:tc>
          <w:tcPr>
            <w:tcW w:w="1269" w:type="dxa"/>
            <w:vAlign w:val="center"/>
            <w:hideMark/>
          </w:tcPr>
          <w:p w14:paraId="48DB27E2" w14:textId="012A84C6" w:rsidR="000A4A00" w:rsidRPr="00244D65" w:rsidRDefault="00716A78" w:rsidP="00545B9E">
            <w:pPr>
              <w:jc w:val="center"/>
              <w:rPr>
                <w:rFonts w:eastAsia="Times New Roman"/>
                <w:noProof/>
                <w:sz w:val="22"/>
                <w:szCs w:val="22"/>
                <w:lang w:eastAsia="en-IE"/>
              </w:rPr>
            </w:pPr>
            <w:r w:rsidRPr="00244D65">
              <w:rPr>
                <w:rFonts w:eastAsia="Times New Roman"/>
                <w:noProof/>
                <w:sz w:val="22"/>
                <w:szCs w:val="22"/>
                <w:lang w:eastAsia="en-IE"/>
              </w:rPr>
              <w:t>500</w:t>
            </w:r>
          </w:p>
        </w:tc>
      </w:tr>
      <w:tr w:rsidR="004D24F8" w:rsidRPr="00244D65" w14:paraId="2F588B94" w14:textId="77777777" w:rsidTr="000C653C">
        <w:trPr>
          <w:trHeight w:val="20"/>
        </w:trPr>
        <w:tc>
          <w:tcPr>
            <w:tcW w:w="2400" w:type="dxa"/>
            <w:vMerge w:val="restart"/>
            <w:vAlign w:val="center"/>
            <w:hideMark/>
          </w:tcPr>
          <w:p w14:paraId="53221D1C" w14:textId="7DE05746" w:rsidR="000A4A00" w:rsidRPr="00244D65" w:rsidRDefault="00183DC5" w:rsidP="005E4778">
            <w:pPr>
              <w:jc w:val="left"/>
              <w:rPr>
                <w:rFonts w:eastAsia="Times New Roman"/>
                <w:b/>
                <w:noProof/>
                <w:sz w:val="22"/>
                <w:szCs w:val="22"/>
                <w:lang w:eastAsia="en-IE"/>
              </w:rPr>
            </w:pPr>
            <w:r w:rsidRPr="00244D65">
              <w:rPr>
                <w:rFonts w:eastAsia="Times New Roman"/>
                <w:b/>
                <w:noProof/>
                <w:sz w:val="22"/>
                <w:szCs w:val="22"/>
                <w:lang w:eastAsia="en-IE"/>
              </w:rPr>
              <w:t>PO3 (departing flights, larger SAF support)</w:t>
            </w:r>
          </w:p>
        </w:tc>
        <w:tc>
          <w:tcPr>
            <w:tcW w:w="1268" w:type="dxa"/>
            <w:vAlign w:val="center"/>
            <w:hideMark/>
          </w:tcPr>
          <w:p w14:paraId="5EC38DF7" w14:textId="77777777" w:rsidR="000A4A00" w:rsidRPr="00244D65" w:rsidRDefault="000A4A00" w:rsidP="0085595C">
            <w:pPr>
              <w:jc w:val="center"/>
              <w:rPr>
                <w:rFonts w:eastAsia="Times New Roman"/>
                <w:b/>
                <w:noProof/>
                <w:sz w:val="22"/>
                <w:szCs w:val="22"/>
                <w:lang w:eastAsia="en-IE"/>
              </w:rPr>
            </w:pPr>
            <w:r w:rsidRPr="00244D65">
              <w:rPr>
                <w:rFonts w:eastAsia="Times New Roman"/>
                <w:b/>
                <w:noProof/>
                <w:sz w:val="22"/>
                <w:szCs w:val="22"/>
                <w:lang w:eastAsia="en-IE"/>
              </w:rPr>
              <w:t>2035</w:t>
            </w:r>
          </w:p>
        </w:tc>
        <w:tc>
          <w:tcPr>
            <w:tcW w:w="1268" w:type="dxa"/>
            <w:vAlign w:val="center"/>
            <w:hideMark/>
          </w:tcPr>
          <w:p w14:paraId="0F2A31EC" w14:textId="57345EF1" w:rsidR="000A4A00" w:rsidRPr="00244D65" w:rsidRDefault="002B3C2E" w:rsidP="00545B9E">
            <w:pPr>
              <w:jc w:val="center"/>
              <w:rPr>
                <w:rFonts w:eastAsia="Times New Roman"/>
                <w:noProof/>
                <w:sz w:val="22"/>
                <w:szCs w:val="22"/>
                <w:lang w:eastAsia="en-IE"/>
              </w:rPr>
            </w:pPr>
            <w:r w:rsidRPr="00244D65">
              <w:rPr>
                <w:rFonts w:eastAsia="Times New Roman"/>
                <w:noProof/>
                <w:sz w:val="22"/>
                <w:szCs w:val="22"/>
                <w:lang w:eastAsia="en-IE"/>
              </w:rPr>
              <w:t>605</w:t>
            </w:r>
          </w:p>
        </w:tc>
        <w:tc>
          <w:tcPr>
            <w:tcW w:w="1268" w:type="dxa"/>
            <w:vAlign w:val="center"/>
            <w:hideMark/>
          </w:tcPr>
          <w:p w14:paraId="60C9E181" w14:textId="0F2B3A8B" w:rsidR="000A4A00" w:rsidRPr="00244D65" w:rsidRDefault="00A62675" w:rsidP="00545B9E">
            <w:pPr>
              <w:jc w:val="center"/>
              <w:rPr>
                <w:rFonts w:eastAsia="Times New Roman"/>
                <w:noProof/>
                <w:sz w:val="22"/>
                <w:szCs w:val="22"/>
                <w:lang w:eastAsia="en-IE"/>
              </w:rPr>
            </w:pPr>
            <w:r w:rsidRPr="00244D65">
              <w:rPr>
                <w:rFonts w:eastAsia="Times New Roman"/>
                <w:noProof/>
                <w:sz w:val="22"/>
                <w:szCs w:val="22"/>
                <w:lang w:eastAsia="en-IE"/>
              </w:rPr>
              <w:t>110</w:t>
            </w:r>
          </w:p>
        </w:tc>
        <w:tc>
          <w:tcPr>
            <w:tcW w:w="1268" w:type="dxa"/>
            <w:vAlign w:val="center"/>
            <w:hideMark/>
          </w:tcPr>
          <w:p w14:paraId="3BDD0999" w14:textId="08719029" w:rsidR="000A4A00" w:rsidRPr="00244D65" w:rsidRDefault="00716A78" w:rsidP="00545B9E">
            <w:pPr>
              <w:jc w:val="center"/>
              <w:rPr>
                <w:rFonts w:eastAsia="Times New Roman"/>
                <w:noProof/>
                <w:sz w:val="22"/>
                <w:szCs w:val="22"/>
                <w:lang w:eastAsia="en-IE"/>
              </w:rPr>
            </w:pPr>
            <w:r w:rsidRPr="00244D65">
              <w:rPr>
                <w:rFonts w:eastAsia="Times New Roman"/>
                <w:noProof/>
                <w:sz w:val="22"/>
                <w:szCs w:val="22"/>
                <w:lang w:eastAsia="en-IE"/>
              </w:rPr>
              <w:t>75</w:t>
            </w:r>
          </w:p>
        </w:tc>
        <w:tc>
          <w:tcPr>
            <w:tcW w:w="1269" w:type="dxa"/>
            <w:vAlign w:val="center"/>
            <w:hideMark/>
          </w:tcPr>
          <w:p w14:paraId="29C61677" w14:textId="07B42813" w:rsidR="000A4A00" w:rsidRPr="00244D65" w:rsidRDefault="00716A78" w:rsidP="00545B9E">
            <w:pPr>
              <w:jc w:val="center"/>
              <w:rPr>
                <w:rFonts w:eastAsia="Times New Roman"/>
                <w:noProof/>
                <w:sz w:val="22"/>
                <w:szCs w:val="22"/>
                <w:lang w:eastAsia="en-IE"/>
              </w:rPr>
            </w:pPr>
            <w:r w:rsidRPr="00244D65">
              <w:rPr>
                <w:rFonts w:eastAsia="Times New Roman"/>
                <w:noProof/>
                <w:sz w:val="22"/>
                <w:szCs w:val="22"/>
                <w:lang w:eastAsia="en-IE"/>
              </w:rPr>
              <w:t>420</w:t>
            </w:r>
          </w:p>
        </w:tc>
      </w:tr>
      <w:tr w:rsidR="000A4A00" w:rsidRPr="00244D65" w14:paraId="0181ABFF" w14:textId="77777777">
        <w:trPr>
          <w:trHeight w:val="20"/>
        </w:trPr>
        <w:tc>
          <w:tcPr>
            <w:tcW w:w="2400" w:type="dxa"/>
            <w:vMerge/>
            <w:vAlign w:val="center"/>
            <w:hideMark/>
          </w:tcPr>
          <w:p w14:paraId="72EF7704" w14:textId="7618D956" w:rsidR="000A4A00" w:rsidRPr="00244D65" w:rsidRDefault="000A4A00" w:rsidP="0085595C">
            <w:pPr>
              <w:jc w:val="left"/>
              <w:rPr>
                <w:rFonts w:eastAsia="Times New Roman"/>
                <w:b/>
                <w:noProof/>
                <w:sz w:val="22"/>
                <w:szCs w:val="22"/>
                <w:lang w:eastAsia="en-IE"/>
              </w:rPr>
            </w:pPr>
          </w:p>
        </w:tc>
        <w:tc>
          <w:tcPr>
            <w:tcW w:w="1268" w:type="dxa"/>
            <w:vAlign w:val="center"/>
            <w:hideMark/>
          </w:tcPr>
          <w:p w14:paraId="67B5D4E1" w14:textId="5B6B7810" w:rsidR="000A4A00" w:rsidRPr="00244D65" w:rsidRDefault="000A4A00" w:rsidP="0085595C">
            <w:pPr>
              <w:jc w:val="center"/>
              <w:rPr>
                <w:rFonts w:eastAsia="Times New Roman"/>
                <w:b/>
                <w:noProof/>
                <w:sz w:val="22"/>
                <w:szCs w:val="22"/>
                <w:lang w:eastAsia="en-IE"/>
              </w:rPr>
            </w:pPr>
            <w:r w:rsidRPr="00244D65">
              <w:rPr>
                <w:rFonts w:eastAsia="Times New Roman"/>
                <w:b/>
                <w:noProof/>
                <w:sz w:val="22"/>
                <w:szCs w:val="22"/>
                <w:lang w:eastAsia="en-IE"/>
              </w:rPr>
              <w:t xml:space="preserve">2040 </w:t>
            </w:r>
            <w:r>
              <w:rPr>
                <w:rFonts w:eastAsia="Times New Roman"/>
                <w:b/>
                <w:noProof/>
                <w:sz w:val="22"/>
                <w:szCs w:val="22"/>
                <w:lang w:eastAsia="en-IE"/>
              </w:rPr>
              <w:t>(87%)</w:t>
            </w:r>
          </w:p>
        </w:tc>
        <w:tc>
          <w:tcPr>
            <w:tcW w:w="1268" w:type="dxa"/>
            <w:vAlign w:val="center"/>
            <w:hideMark/>
          </w:tcPr>
          <w:p w14:paraId="45B4A277" w14:textId="5697681B" w:rsidR="000A4A00" w:rsidRPr="00244D65" w:rsidRDefault="00A30CE9" w:rsidP="00545B9E">
            <w:pPr>
              <w:jc w:val="center"/>
              <w:rPr>
                <w:rFonts w:eastAsia="Times New Roman"/>
                <w:noProof/>
                <w:sz w:val="22"/>
                <w:szCs w:val="22"/>
                <w:lang w:eastAsia="en-IE"/>
              </w:rPr>
            </w:pPr>
            <w:r w:rsidRPr="00244D65">
              <w:rPr>
                <w:rFonts w:eastAsia="Times New Roman"/>
                <w:noProof/>
                <w:sz w:val="22"/>
                <w:szCs w:val="22"/>
                <w:lang w:eastAsia="en-IE"/>
              </w:rPr>
              <w:t>595</w:t>
            </w:r>
          </w:p>
        </w:tc>
        <w:tc>
          <w:tcPr>
            <w:tcW w:w="1268" w:type="dxa"/>
            <w:vAlign w:val="center"/>
            <w:hideMark/>
          </w:tcPr>
          <w:p w14:paraId="3DC98A32" w14:textId="257216B4" w:rsidR="000A4A00" w:rsidRPr="00244D65" w:rsidRDefault="00D9671B" w:rsidP="00545B9E">
            <w:pPr>
              <w:jc w:val="center"/>
              <w:rPr>
                <w:rFonts w:eastAsia="Times New Roman"/>
                <w:noProof/>
                <w:sz w:val="22"/>
                <w:szCs w:val="22"/>
                <w:lang w:eastAsia="en-IE"/>
              </w:rPr>
            </w:pPr>
            <w:r w:rsidRPr="00244D65">
              <w:rPr>
                <w:rFonts w:eastAsia="Times New Roman"/>
                <w:noProof/>
                <w:sz w:val="22"/>
                <w:szCs w:val="22"/>
                <w:lang w:eastAsia="en-IE"/>
              </w:rPr>
              <w:t>95</w:t>
            </w:r>
          </w:p>
        </w:tc>
        <w:tc>
          <w:tcPr>
            <w:tcW w:w="1268" w:type="dxa"/>
            <w:vAlign w:val="center"/>
            <w:hideMark/>
          </w:tcPr>
          <w:p w14:paraId="77C76745" w14:textId="77777777" w:rsidR="000A4A00" w:rsidRPr="00244D65" w:rsidRDefault="000A4A00" w:rsidP="00545B9E">
            <w:pPr>
              <w:jc w:val="center"/>
              <w:rPr>
                <w:rFonts w:eastAsia="Times New Roman"/>
                <w:noProof/>
                <w:sz w:val="22"/>
                <w:szCs w:val="22"/>
                <w:lang w:eastAsia="en-IE"/>
              </w:rPr>
            </w:pPr>
            <w:r w:rsidRPr="00244D65">
              <w:rPr>
                <w:rFonts w:eastAsia="Times New Roman"/>
                <w:noProof/>
                <w:sz w:val="22"/>
                <w:szCs w:val="22"/>
                <w:lang w:eastAsia="en-IE"/>
              </w:rPr>
              <w:t>0</w:t>
            </w:r>
          </w:p>
        </w:tc>
        <w:tc>
          <w:tcPr>
            <w:tcW w:w="1269" w:type="dxa"/>
            <w:vAlign w:val="center"/>
            <w:hideMark/>
          </w:tcPr>
          <w:p w14:paraId="37D1AA5E" w14:textId="24DDBAE7" w:rsidR="000A4A00" w:rsidRPr="00244D65" w:rsidRDefault="003027DD" w:rsidP="00545B9E">
            <w:pPr>
              <w:jc w:val="center"/>
              <w:rPr>
                <w:rFonts w:eastAsia="Times New Roman"/>
                <w:noProof/>
                <w:sz w:val="22"/>
                <w:szCs w:val="22"/>
                <w:lang w:eastAsia="en-IE"/>
              </w:rPr>
            </w:pPr>
            <w:r w:rsidRPr="00244D65">
              <w:rPr>
                <w:rFonts w:eastAsia="Times New Roman"/>
                <w:noProof/>
                <w:sz w:val="22"/>
                <w:szCs w:val="22"/>
                <w:lang w:eastAsia="en-IE"/>
              </w:rPr>
              <w:t>500</w:t>
            </w:r>
          </w:p>
        </w:tc>
      </w:tr>
    </w:tbl>
    <w:p w14:paraId="4B126596" w14:textId="2208B69C" w:rsidR="00F40B4C" w:rsidRPr="00244D65" w:rsidRDefault="000905A1" w:rsidP="0085595C">
      <w:pPr>
        <w:rPr>
          <w:i/>
          <w:iCs/>
          <w:noProof/>
        </w:rPr>
      </w:pPr>
      <w:r w:rsidRPr="00244D65">
        <w:rPr>
          <w:i/>
          <w:iCs/>
          <w:noProof/>
        </w:rPr>
        <w:t xml:space="preserve">Global international aviation emissions </w:t>
      </w:r>
      <w:r w:rsidR="00EE6102" w:rsidRPr="00244D65">
        <w:rPr>
          <w:i/>
          <w:iCs/>
          <w:noProof/>
        </w:rPr>
        <w:t>cover inside Europe: domestic and non-domestic; outside Europe: non-domestic only.</w:t>
      </w:r>
      <w:r w:rsidR="004E5753" w:rsidRPr="00244D65">
        <w:rPr>
          <w:i/>
          <w:iCs/>
          <w:noProof/>
        </w:rPr>
        <w:t xml:space="preserve"> The </w:t>
      </w:r>
      <w:r w:rsidR="000C653C" w:rsidRPr="00244D65">
        <w:rPr>
          <w:i/>
          <w:iCs/>
          <w:noProof/>
        </w:rPr>
        <w:t>far-right</w:t>
      </w:r>
      <w:r w:rsidR="004E5753" w:rsidRPr="00244D65">
        <w:rPr>
          <w:i/>
          <w:iCs/>
          <w:noProof/>
        </w:rPr>
        <w:t xml:space="preserve"> column shows emissions that remain without a carbon price.</w:t>
      </w:r>
      <w:r w:rsidR="003027DD" w:rsidRPr="00244D65">
        <w:rPr>
          <w:i/>
          <w:iCs/>
          <w:noProof/>
        </w:rPr>
        <w:t xml:space="preserve"> Numbers rounded to the nearest 5Mt.</w:t>
      </w:r>
    </w:p>
    <w:p w14:paraId="1D286D75" w14:textId="081216F3" w:rsidR="0030198A" w:rsidRPr="00244D65" w:rsidRDefault="0030198A" w:rsidP="0085595C">
      <w:pPr>
        <w:pStyle w:val="ListParagraph"/>
        <w:numPr>
          <w:ilvl w:val="0"/>
          <w:numId w:val="20"/>
        </w:numPr>
        <w:rPr>
          <w:b/>
          <w:bCs/>
          <w:noProof/>
        </w:rPr>
      </w:pPr>
      <w:r w:rsidRPr="00244D65">
        <w:rPr>
          <w:b/>
          <w:bCs/>
          <w:noProof/>
        </w:rPr>
        <w:t>SAF use</w:t>
      </w:r>
    </w:p>
    <w:p w14:paraId="79362EFF" w14:textId="3408CDE8" w:rsidR="00C06675" w:rsidRPr="00244D65" w:rsidRDefault="3AD5D485" w:rsidP="0085595C">
      <w:pPr>
        <w:rPr>
          <w:noProof/>
        </w:rPr>
      </w:pPr>
      <w:r w:rsidRPr="00244D65">
        <w:rPr>
          <w:noProof/>
        </w:rPr>
        <w:t xml:space="preserve">On </w:t>
      </w:r>
      <w:r w:rsidRPr="00244D65">
        <w:rPr>
          <w:b/>
          <w:bCs/>
          <w:noProof/>
        </w:rPr>
        <w:t>support for the uptake of eligible fuels</w:t>
      </w:r>
      <w:r w:rsidR="009635DB" w:rsidRPr="00244D65">
        <w:rPr>
          <w:noProof/>
        </w:rPr>
        <w:t>, b</w:t>
      </w:r>
      <w:r w:rsidR="3179CDB9" w:rsidRPr="00244D65">
        <w:rPr>
          <w:noProof/>
        </w:rPr>
        <w:t xml:space="preserve">etween </w:t>
      </w:r>
      <w:r w:rsidR="0DCE4C85" w:rsidRPr="00244D65">
        <w:rPr>
          <w:noProof/>
        </w:rPr>
        <w:t>20</w:t>
      </w:r>
      <w:r w:rsidR="333AFD00" w:rsidRPr="00244D65">
        <w:rPr>
          <w:noProof/>
        </w:rPr>
        <w:t>28</w:t>
      </w:r>
      <w:r w:rsidR="3179CDB9" w:rsidRPr="00244D65">
        <w:rPr>
          <w:noProof/>
        </w:rPr>
        <w:t xml:space="preserve"> and 2035, around </w:t>
      </w:r>
      <w:r w:rsidR="3DFBC792" w:rsidRPr="00244D65">
        <w:rPr>
          <w:noProof/>
        </w:rPr>
        <w:t>4</w:t>
      </w:r>
      <w:r w:rsidR="00557158" w:rsidRPr="00244D65">
        <w:rPr>
          <w:noProof/>
        </w:rPr>
        <w:t>0</w:t>
      </w:r>
      <w:r w:rsidR="3179CDB9" w:rsidRPr="00244D65">
        <w:rPr>
          <w:noProof/>
        </w:rPr>
        <w:t xml:space="preserve"> Mt of sustainable aviation fuel (including </w:t>
      </w:r>
      <w:r w:rsidR="1D09D0F4" w:rsidRPr="00244D65">
        <w:rPr>
          <w:noProof/>
        </w:rPr>
        <w:t>6</w:t>
      </w:r>
      <w:r w:rsidR="3179CDB9" w:rsidRPr="00244D65">
        <w:rPr>
          <w:noProof/>
        </w:rPr>
        <w:t xml:space="preserve"> Mt of synthetic fuels) compliant with ReFuelEU Aviation Regulation would be used. This SAF use decreases the emissions covered by EU ETS allowances by </w:t>
      </w:r>
      <w:r w:rsidR="000862FB" w:rsidRPr="00244D65">
        <w:rPr>
          <w:noProof/>
        </w:rPr>
        <w:t xml:space="preserve">130 </w:t>
      </w:r>
      <w:r w:rsidR="3179CDB9" w:rsidRPr="00244D65">
        <w:rPr>
          <w:noProof/>
        </w:rPr>
        <w:t>Mt</w:t>
      </w:r>
      <w:r w:rsidR="00C06675" w:rsidRPr="00244D65">
        <w:rPr>
          <w:noProof/>
          <w:vertAlign w:val="superscript"/>
        </w:rPr>
        <w:footnoteReference w:id="59"/>
      </w:r>
      <w:r w:rsidR="3179CDB9" w:rsidRPr="00244D65">
        <w:rPr>
          <w:noProof/>
        </w:rPr>
        <w:t>.</w:t>
      </w:r>
      <w:r w:rsidR="576062E6" w:rsidRPr="00244D65">
        <w:rPr>
          <w:noProof/>
        </w:rPr>
        <w:t xml:space="preserve"> </w:t>
      </w:r>
      <w:r w:rsidR="02F10718" w:rsidRPr="00244D65">
        <w:rPr>
          <w:noProof/>
        </w:rPr>
        <w:t xml:space="preserve">All options assume uptake and use of SAF on flights departing </w:t>
      </w:r>
      <w:r w:rsidR="008D42F7" w:rsidRPr="00244D65">
        <w:rPr>
          <w:noProof/>
        </w:rPr>
        <w:t xml:space="preserve">the </w:t>
      </w:r>
      <w:r w:rsidR="02F10718" w:rsidRPr="00244D65">
        <w:rPr>
          <w:noProof/>
        </w:rPr>
        <w:t xml:space="preserve">EEA in line with the ReFuelEU Aviation mandates. While </w:t>
      </w:r>
      <w:r w:rsidR="005F6D2F" w:rsidRPr="00244D65">
        <w:rPr>
          <w:noProof/>
        </w:rPr>
        <w:t>ETS-financed</w:t>
      </w:r>
      <w:r w:rsidR="02F10718" w:rsidRPr="00244D65">
        <w:rPr>
          <w:noProof/>
        </w:rPr>
        <w:t xml:space="preserve"> SAF support </w:t>
      </w:r>
      <w:r w:rsidR="005F6D2F" w:rsidRPr="00244D65">
        <w:rPr>
          <w:noProof/>
        </w:rPr>
        <w:t xml:space="preserve">may </w:t>
      </w:r>
      <w:r w:rsidR="02F10718" w:rsidRPr="00244D65">
        <w:rPr>
          <w:noProof/>
        </w:rPr>
        <w:t>incentivise higher uptake of SAF, this is not modelled</w:t>
      </w:r>
      <w:r w:rsidR="00E744AD" w:rsidRPr="00244D65">
        <w:rPr>
          <w:noProof/>
        </w:rPr>
        <w:t xml:space="preserve"> </w:t>
      </w:r>
      <w:r w:rsidR="00C3763F" w:rsidRPr="00244D65">
        <w:rPr>
          <w:noProof/>
        </w:rPr>
        <w:t>given large uncertainties in this nascent market, high price differentials with fossil kerosene, and to avoid overestimating available supply.</w:t>
      </w:r>
      <w:r w:rsidR="02F10718" w:rsidRPr="00244D65">
        <w:rPr>
          <w:noProof/>
        </w:rPr>
        <w:t xml:space="preserve"> However, under PO2 and PO3, the extension of SAF support offers an additional incentive over PO1, making PO3 with </w:t>
      </w:r>
      <w:r w:rsidR="00EB1045" w:rsidRPr="00244D65">
        <w:rPr>
          <w:noProof/>
        </w:rPr>
        <w:t xml:space="preserve">a </w:t>
      </w:r>
      <w:r w:rsidR="02F10718" w:rsidRPr="00244D65">
        <w:rPr>
          <w:noProof/>
        </w:rPr>
        <w:t>larger amount of SAF support the option with the highest potential for impact on emission reductions</w:t>
      </w:r>
      <w:r w:rsidR="576062E6" w:rsidRPr="00244D65">
        <w:rPr>
          <w:noProof/>
        </w:rPr>
        <w:t>.</w:t>
      </w:r>
      <w:r w:rsidR="007F2D22" w:rsidRPr="00244D65">
        <w:rPr>
          <w:noProof/>
        </w:rPr>
        <w:t xml:space="preserve"> In </w:t>
      </w:r>
      <w:r w:rsidR="00F8031C" w:rsidRPr="00244D65">
        <w:rPr>
          <w:noProof/>
        </w:rPr>
        <w:t xml:space="preserve">the </w:t>
      </w:r>
      <w:r w:rsidR="007F2D22" w:rsidRPr="00244D65">
        <w:rPr>
          <w:noProof/>
        </w:rPr>
        <w:t>modelling</w:t>
      </w:r>
      <w:r w:rsidR="006C6271" w:rsidRPr="00244D65">
        <w:rPr>
          <w:noProof/>
        </w:rPr>
        <w:t>,</w:t>
      </w:r>
      <w:r w:rsidR="007F2D22" w:rsidRPr="00244D65">
        <w:rPr>
          <w:noProof/>
        </w:rPr>
        <w:t xml:space="preserve"> this impact is </w:t>
      </w:r>
      <w:r w:rsidR="00BB6AEB" w:rsidRPr="00244D65">
        <w:rPr>
          <w:noProof/>
        </w:rPr>
        <w:t xml:space="preserve">offset by an overall increase in traffic, so </w:t>
      </w:r>
      <w:r w:rsidR="00893935" w:rsidRPr="00244D65">
        <w:rPr>
          <w:noProof/>
        </w:rPr>
        <w:t>when comparing PO2 and PO3, overall PO3 leads to higher emissions</w:t>
      </w:r>
      <w:r w:rsidR="000143FA" w:rsidRPr="00244D65">
        <w:rPr>
          <w:noProof/>
        </w:rPr>
        <w:t xml:space="preserve">. This is because SAF </w:t>
      </w:r>
      <w:r w:rsidR="00856954" w:rsidRPr="00244D65">
        <w:rPr>
          <w:noProof/>
        </w:rPr>
        <w:t xml:space="preserve">is </w:t>
      </w:r>
      <w:r w:rsidR="00594326" w:rsidRPr="00244D65">
        <w:rPr>
          <w:noProof/>
        </w:rPr>
        <w:t>mixed</w:t>
      </w:r>
      <w:r w:rsidR="00856954" w:rsidRPr="00244D65">
        <w:rPr>
          <w:noProof/>
        </w:rPr>
        <w:t xml:space="preserve"> with </w:t>
      </w:r>
      <w:r w:rsidR="008F351D" w:rsidRPr="00244D65">
        <w:rPr>
          <w:noProof/>
        </w:rPr>
        <w:t>Jet-A (</w:t>
      </w:r>
      <w:r w:rsidR="00856954" w:rsidRPr="00244D65">
        <w:rPr>
          <w:noProof/>
        </w:rPr>
        <w:t>kerosene</w:t>
      </w:r>
      <w:r w:rsidR="008F351D" w:rsidRPr="00244D65">
        <w:rPr>
          <w:noProof/>
        </w:rPr>
        <w:t>),</w:t>
      </w:r>
      <w:r w:rsidR="00856954" w:rsidRPr="00244D65">
        <w:rPr>
          <w:noProof/>
        </w:rPr>
        <w:t xml:space="preserve"> and</w:t>
      </w:r>
      <w:r w:rsidR="000143FA" w:rsidRPr="00244D65">
        <w:rPr>
          <w:noProof/>
        </w:rPr>
        <w:t xml:space="preserve"> </w:t>
      </w:r>
      <w:r w:rsidR="008F351D" w:rsidRPr="00244D65">
        <w:rPr>
          <w:noProof/>
        </w:rPr>
        <w:t>th</w:t>
      </w:r>
      <w:r w:rsidR="00A02120" w:rsidRPr="00244D65">
        <w:rPr>
          <w:noProof/>
        </w:rPr>
        <w:t>e</w:t>
      </w:r>
      <w:r w:rsidR="008F351D" w:rsidRPr="00244D65">
        <w:rPr>
          <w:noProof/>
        </w:rPr>
        <w:t xml:space="preserve"> </w:t>
      </w:r>
      <w:r w:rsidR="00543B41" w:rsidRPr="00244D65">
        <w:rPr>
          <w:noProof/>
        </w:rPr>
        <w:t xml:space="preserve">kerosene </w:t>
      </w:r>
      <w:r w:rsidR="00594326" w:rsidRPr="00244D65">
        <w:rPr>
          <w:noProof/>
        </w:rPr>
        <w:t xml:space="preserve">emissions are greater than </w:t>
      </w:r>
      <w:r w:rsidR="00FC4883" w:rsidRPr="00244D65">
        <w:rPr>
          <w:noProof/>
        </w:rPr>
        <w:t>savings from the use of SAF</w:t>
      </w:r>
      <w:r w:rsidR="0077013C" w:rsidRPr="00244D65">
        <w:rPr>
          <w:noProof/>
        </w:rPr>
        <w:t xml:space="preserve"> </w:t>
      </w:r>
      <w:r w:rsidR="00CF1117" w:rsidRPr="00244D65">
        <w:rPr>
          <w:noProof/>
        </w:rPr>
        <w:t>at least until 2040.</w:t>
      </w:r>
    </w:p>
    <w:p w14:paraId="6EDF4B49" w14:textId="2F129117" w:rsidR="00474B23" w:rsidRPr="00244D65" w:rsidRDefault="237C8161" w:rsidP="0085595C">
      <w:pPr>
        <w:pStyle w:val="Heading4"/>
        <w:rPr>
          <w:noProof/>
        </w:rPr>
      </w:pPr>
      <w:r w:rsidRPr="00244D65">
        <w:rPr>
          <w:noProof/>
        </w:rPr>
        <w:t xml:space="preserve"> </w:t>
      </w:r>
      <w:r w:rsidR="00474B23" w:rsidRPr="00244D65">
        <w:rPr>
          <w:noProof/>
        </w:rPr>
        <w:t>Maritime</w:t>
      </w:r>
    </w:p>
    <w:p w14:paraId="47FE9002" w14:textId="671E6F54" w:rsidR="001663B5" w:rsidRPr="00244D65" w:rsidRDefault="00BB058F" w:rsidP="0085595C">
      <w:pPr>
        <w:rPr>
          <w:rStyle w:val="eop"/>
          <w:noProof/>
        </w:rPr>
      </w:pPr>
      <w:r w:rsidRPr="00244D65">
        <w:rPr>
          <w:rStyle w:val="normaltextrun"/>
          <w:noProof/>
        </w:rPr>
        <w:t>For maritime, t</w:t>
      </w:r>
      <w:r w:rsidR="00D43946" w:rsidRPr="00244D65">
        <w:rPr>
          <w:rStyle w:val="normaltextrun"/>
          <w:noProof/>
        </w:rPr>
        <w:t>he</w:t>
      </w:r>
      <w:r w:rsidR="001663B5" w:rsidRPr="00244D65">
        <w:rPr>
          <w:rStyle w:val="normaltextrun"/>
          <w:noProof/>
        </w:rPr>
        <w:t xml:space="preserve"> environmental impacts</w:t>
      </w:r>
      <w:r w:rsidR="00D43946" w:rsidRPr="00244D65">
        <w:rPr>
          <w:rStyle w:val="normaltextrun"/>
          <w:noProof/>
        </w:rPr>
        <w:t xml:space="preserve"> of</w:t>
      </w:r>
      <w:r w:rsidR="001663B5" w:rsidRPr="00244D65">
        <w:rPr>
          <w:rStyle w:val="normaltextrun"/>
          <w:noProof/>
        </w:rPr>
        <w:t xml:space="preserve"> the </w:t>
      </w:r>
      <w:r w:rsidR="002059E7" w:rsidRPr="00244D65">
        <w:rPr>
          <w:rStyle w:val="normaltextrun"/>
          <w:noProof/>
        </w:rPr>
        <w:t>b</w:t>
      </w:r>
      <w:r w:rsidR="001663B5" w:rsidRPr="00244D65">
        <w:rPr>
          <w:rStyle w:val="normaltextrun"/>
          <w:noProof/>
        </w:rPr>
        <w:t xml:space="preserve">aseline and </w:t>
      </w:r>
      <w:r w:rsidR="00D43946" w:rsidRPr="00244D65">
        <w:rPr>
          <w:rStyle w:val="normaltextrun"/>
          <w:noProof/>
        </w:rPr>
        <w:t xml:space="preserve">of </w:t>
      </w:r>
      <w:r w:rsidR="001663B5" w:rsidRPr="00244D65">
        <w:rPr>
          <w:rStyle w:val="normaltextrun"/>
          <w:b/>
          <w:noProof/>
        </w:rPr>
        <w:t>PO1</w:t>
      </w:r>
      <w:r w:rsidR="001663B5" w:rsidRPr="00244D65">
        <w:rPr>
          <w:rStyle w:val="normaltextrun"/>
          <w:noProof/>
        </w:rPr>
        <w:t xml:space="preserve"> are the same.</w:t>
      </w:r>
      <w:r w:rsidR="001663B5" w:rsidRPr="00244D65" w:rsidDel="00D43946">
        <w:rPr>
          <w:rStyle w:val="eop"/>
          <w:noProof/>
        </w:rPr>
        <w:t> </w:t>
      </w:r>
      <w:r w:rsidR="00CE0EF7" w:rsidRPr="00244D65">
        <w:rPr>
          <w:rStyle w:val="eop"/>
          <w:noProof/>
        </w:rPr>
        <w:t xml:space="preserve">In both </w:t>
      </w:r>
      <w:r w:rsidR="00C81402" w:rsidRPr="00244D65">
        <w:rPr>
          <w:rStyle w:val="eop"/>
          <w:noProof/>
        </w:rPr>
        <w:t>cases</w:t>
      </w:r>
      <w:r w:rsidR="000262A4" w:rsidRPr="00244D65">
        <w:rPr>
          <w:rStyle w:val="eop"/>
          <w:noProof/>
        </w:rPr>
        <w:t>,</w:t>
      </w:r>
      <w:r w:rsidR="009D69C6" w:rsidRPr="00244D65">
        <w:rPr>
          <w:rStyle w:val="eop"/>
          <w:noProof/>
        </w:rPr>
        <w:t xml:space="preserve"> GHG emissions from the maritime sector follow a decreasing trajectory driven by regulatory </w:t>
      </w:r>
      <w:r w:rsidR="006F46AF" w:rsidRPr="00244D65">
        <w:rPr>
          <w:rStyle w:val="eop"/>
          <w:noProof/>
        </w:rPr>
        <w:t xml:space="preserve">measures </w:t>
      </w:r>
      <w:r w:rsidR="00F849DD" w:rsidRPr="00244D65">
        <w:rPr>
          <w:rStyle w:val="eop"/>
          <w:noProof/>
        </w:rPr>
        <w:t xml:space="preserve">at EU </w:t>
      </w:r>
      <w:r w:rsidR="00F849DD" w:rsidRPr="00244D65">
        <w:rPr>
          <w:noProof/>
        </w:rPr>
        <w:t>level</w:t>
      </w:r>
      <w:r w:rsidR="00F849DD" w:rsidRPr="00244D65">
        <w:rPr>
          <w:rStyle w:val="eop"/>
          <w:noProof/>
        </w:rPr>
        <w:t xml:space="preserve"> (as currently legislated)</w:t>
      </w:r>
      <w:r w:rsidR="00E718D0" w:rsidRPr="00244D65">
        <w:rPr>
          <w:rStyle w:val="eop"/>
          <w:noProof/>
        </w:rPr>
        <w:t xml:space="preserve"> along with future mid-term measures</w:t>
      </w:r>
      <w:r w:rsidR="00BE3BA9" w:rsidRPr="00244D65">
        <w:rPr>
          <w:rStyle w:val="eop"/>
          <w:noProof/>
        </w:rPr>
        <w:t xml:space="preserve"> </w:t>
      </w:r>
      <w:r w:rsidR="008A16DA" w:rsidRPr="00244D65">
        <w:rPr>
          <w:rStyle w:val="eop"/>
          <w:noProof/>
        </w:rPr>
        <w:t xml:space="preserve">at IMO </w:t>
      </w:r>
      <w:r w:rsidR="00BE3BA9" w:rsidRPr="00244D65">
        <w:rPr>
          <w:rStyle w:val="eop"/>
          <w:noProof/>
        </w:rPr>
        <w:t>(once adopted)</w:t>
      </w:r>
      <w:r w:rsidR="008A16DA" w:rsidRPr="00244D65">
        <w:rPr>
          <w:rStyle w:val="eop"/>
          <w:noProof/>
        </w:rPr>
        <w:t xml:space="preserve">, </w:t>
      </w:r>
      <w:r w:rsidR="00355692" w:rsidRPr="00244D65">
        <w:rPr>
          <w:rStyle w:val="eop"/>
          <w:noProof/>
        </w:rPr>
        <w:t>in</w:t>
      </w:r>
      <w:r w:rsidR="008A16DA" w:rsidRPr="00244D65">
        <w:rPr>
          <w:rStyle w:val="eop"/>
          <w:noProof/>
        </w:rPr>
        <w:t xml:space="preserve"> line with the IMO 2023 GHG Strategy</w:t>
      </w:r>
      <w:r w:rsidR="000262A4" w:rsidRPr="00244D65">
        <w:rPr>
          <w:rStyle w:val="eop"/>
          <w:noProof/>
        </w:rPr>
        <w:t>.</w:t>
      </w:r>
      <w:r w:rsidR="00042364" w:rsidRPr="00244D65">
        <w:rPr>
          <w:rStyle w:val="eop"/>
          <w:noProof/>
        </w:rPr>
        <w:t xml:space="preserve"> </w:t>
      </w:r>
      <w:r w:rsidR="00D64277" w:rsidRPr="00244D65">
        <w:rPr>
          <w:rStyle w:val="eop"/>
          <w:noProof/>
        </w:rPr>
        <w:t>B</w:t>
      </w:r>
      <w:r w:rsidR="00042364" w:rsidRPr="00244D65">
        <w:rPr>
          <w:rStyle w:val="eop"/>
          <w:noProof/>
        </w:rPr>
        <w:t>y 2050,</w:t>
      </w:r>
      <w:r w:rsidR="001C12CC" w:rsidRPr="00244D65">
        <w:rPr>
          <w:rStyle w:val="eop"/>
          <w:noProof/>
        </w:rPr>
        <w:t xml:space="preserve"> </w:t>
      </w:r>
      <w:r w:rsidR="00B42FF8" w:rsidRPr="00244D65">
        <w:rPr>
          <w:rStyle w:val="eop"/>
          <w:noProof/>
        </w:rPr>
        <w:t xml:space="preserve">policy </w:t>
      </w:r>
      <w:r w:rsidR="007006A6" w:rsidRPr="00244D65">
        <w:rPr>
          <w:rStyle w:val="eop"/>
          <w:noProof/>
        </w:rPr>
        <w:t>option PO1</w:t>
      </w:r>
      <w:r w:rsidR="00593375" w:rsidRPr="00244D65">
        <w:rPr>
          <w:rStyle w:val="eop"/>
          <w:noProof/>
        </w:rPr>
        <w:t>, which</w:t>
      </w:r>
      <w:r w:rsidR="00F87624" w:rsidRPr="00244D65">
        <w:rPr>
          <w:rStyle w:val="eop"/>
          <w:noProof/>
        </w:rPr>
        <w:t xml:space="preserve"> does not cover emissions from small</w:t>
      </w:r>
      <w:r w:rsidR="005B01B5" w:rsidRPr="00244D65">
        <w:rPr>
          <w:rStyle w:val="eop"/>
          <w:noProof/>
        </w:rPr>
        <w:t>er</w:t>
      </w:r>
      <w:r w:rsidR="00F87624" w:rsidRPr="00244D65">
        <w:rPr>
          <w:rStyle w:val="eop"/>
          <w:noProof/>
        </w:rPr>
        <w:t xml:space="preserve"> vessels, </w:t>
      </w:r>
      <w:r w:rsidR="00593375" w:rsidRPr="00244D65">
        <w:rPr>
          <w:rStyle w:val="eop"/>
          <w:noProof/>
        </w:rPr>
        <w:t>results in</w:t>
      </w:r>
      <w:r w:rsidR="00217D42" w:rsidRPr="00244D65">
        <w:rPr>
          <w:rStyle w:val="eop"/>
          <w:noProof/>
        </w:rPr>
        <w:t xml:space="preserve"> </w:t>
      </w:r>
      <w:r w:rsidR="00A312BB" w:rsidRPr="00244D65">
        <w:rPr>
          <w:rStyle w:val="eop"/>
          <w:noProof/>
        </w:rPr>
        <w:t>residual</w:t>
      </w:r>
      <w:r w:rsidR="00593375" w:rsidRPr="00244D65">
        <w:rPr>
          <w:rStyle w:val="eop"/>
          <w:noProof/>
        </w:rPr>
        <w:t xml:space="preserve"> </w:t>
      </w:r>
      <w:r w:rsidR="00A312BB" w:rsidRPr="00244D65">
        <w:rPr>
          <w:rStyle w:val="eop"/>
          <w:noProof/>
        </w:rPr>
        <w:t>emissions estimated at 20 MtCO</w:t>
      </w:r>
      <w:r w:rsidR="00A312BB" w:rsidRPr="00244D65">
        <w:rPr>
          <w:rStyle w:val="eop"/>
          <w:noProof/>
          <w:vertAlign w:val="subscript"/>
        </w:rPr>
        <w:t>2</w:t>
      </w:r>
      <w:r w:rsidR="00A312BB" w:rsidRPr="00244D65">
        <w:rPr>
          <w:rStyle w:val="eop"/>
          <w:noProof/>
        </w:rPr>
        <w:t>e</w:t>
      </w:r>
      <w:r w:rsidR="006D0015" w:rsidRPr="00244D65">
        <w:rPr>
          <w:rStyle w:val="eop"/>
          <w:noProof/>
        </w:rPr>
        <w:t>, the majority of whi</w:t>
      </w:r>
      <w:r w:rsidR="00AA4C8A" w:rsidRPr="00244D65">
        <w:rPr>
          <w:rStyle w:val="eop"/>
          <w:noProof/>
        </w:rPr>
        <w:t>ch</w:t>
      </w:r>
      <w:r w:rsidR="00272D7E" w:rsidRPr="00244D65">
        <w:rPr>
          <w:rStyle w:val="eop"/>
          <w:noProof/>
        </w:rPr>
        <w:t xml:space="preserve"> </w:t>
      </w:r>
      <w:r w:rsidR="00064BED" w:rsidRPr="00244D65">
        <w:rPr>
          <w:rStyle w:val="eop"/>
          <w:noProof/>
        </w:rPr>
        <w:t>co</w:t>
      </w:r>
      <w:r w:rsidR="6851B613" w:rsidRPr="00244D65">
        <w:rPr>
          <w:rStyle w:val="eop"/>
          <w:noProof/>
        </w:rPr>
        <w:t>me</w:t>
      </w:r>
      <w:r w:rsidR="00064BED" w:rsidRPr="00244D65">
        <w:rPr>
          <w:rStyle w:val="eop"/>
          <w:noProof/>
        </w:rPr>
        <w:t xml:space="preserve"> from</w:t>
      </w:r>
      <w:r w:rsidR="008A3D6D" w:rsidRPr="00244D65">
        <w:rPr>
          <w:rStyle w:val="eop"/>
          <w:noProof/>
        </w:rPr>
        <w:t xml:space="preserve"> </w:t>
      </w:r>
      <w:r w:rsidR="00A27A1C" w:rsidRPr="00244D65">
        <w:rPr>
          <w:rStyle w:val="eop"/>
          <w:noProof/>
        </w:rPr>
        <w:t xml:space="preserve">small </w:t>
      </w:r>
      <w:r w:rsidR="33BA01CD" w:rsidRPr="00244D65">
        <w:rPr>
          <w:rStyle w:val="eop"/>
          <w:noProof/>
        </w:rPr>
        <w:t>vessels</w:t>
      </w:r>
      <w:r w:rsidR="11877778" w:rsidRPr="00244D65">
        <w:rPr>
          <w:rStyle w:val="eop"/>
          <w:noProof/>
        </w:rPr>
        <w:t xml:space="preserve"> (14 out of 20 MtCO</w:t>
      </w:r>
      <w:r w:rsidR="11877778" w:rsidRPr="00244D65">
        <w:rPr>
          <w:rStyle w:val="eop"/>
          <w:noProof/>
          <w:vertAlign w:val="subscript"/>
        </w:rPr>
        <w:t>2</w:t>
      </w:r>
      <w:r w:rsidR="11877778" w:rsidRPr="00244D65">
        <w:rPr>
          <w:rStyle w:val="eop"/>
          <w:noProof/>
        </w:rPr>
        <w:t>e)</w:t>
      </w:r>
      <w:r w:rsidR="00A312BB" w:rsidRPr="00244D65">
        <w:rPr>
          <w:rStyle w:val="eop"/>
          <w:noProof/>
        </w:rPr>
        <w:t>.</w:t>
      </w:r>
    </w:p>
    <w:p w14:paraId="0F195E55" w14:textId="724BAEC0" w:rsidR="009B101F" w:rsidRPr="00244D65" w:rsidRDefault="00607921" w:rsidP="0085595C">
      <w:pPr>
        <w:rPr>
          <w:rStyle w:val="normaltextrun"/>
          <w:noProof/>
        </w:rPr>
      </w:pPr>
      <w:r w:rsidRPr="00244D65">
        <w:rPr>
          <w:rStyle w:val="normaltextrun"/>
          <w:b/>
          <w:noProof/>
        </w:rPr>
        <w:t>The</w:t>
      </w:r>
      <w:r w:rsidR="00613F28" w:rsidRPr="00244D65">
        <w:rPr>
          <w:rStyle w:val="normaltextrun"/>
          <w:b/>
          <w:noProof/>
        </w:rPr>
        <w:t xml:space="preserve"> </w:t>
      </w:r>
      <w:r w:rsidR="00675D0E" w:rsidRPr="00244D65">
        <w:rPr>
          <w:rStyle w:val="normaltextrun"/>
          <w:b/>
          <w:noProof/>
        </w:rPr>
        <w:t>r</w:t>
      </w:r>
      <w:r w:rsidR="009B101F" w:rsidRPr="00244D65">
        <w:rPr>
          <w:rStyle w:val="normaltextrun"/>
          <w:b/>
          <w:noProof/>
        </w:rPr>
        <w:t xml:space="preserve">ecycling of </w:t>
      </w:r>
      <w:r w:rsidR="00B9453F" w:rsidRPr="00244D65">
        <w:rPr>
          <w:rStyle w:val="normaltextrun"/>
          <w:b/>
          <w:noProof/>
        </w:rPr>
        <w:t xml:space="preserve">part of the </w:t>
      </w:r>
      <w:r w:rsidR="009B101F" w:rsidRPr="00244D65">
        <w:rPr>
          <w:rStyle w:val="normaltextrun"/>
          <w:b/>
          <w:noProof/>
        </w:rPr>
        <w:t>ETS revenues</w:t>
      </w:r>
      <w:r w:rsidR="002B185E" w:rsidRPr="00244D65">
        <w:rPr>
          <w:rStyle w:val="normaltextrun"/>
          <w:b/>
          <w:noProof/>
        </w:rPr>
        <w:t xml:space="preserve"> </w:t>
      </w:r>
      <w:r w:rsidR="00B9453F" w:rsidRPr="00244D65">
        <w:rPr>
          <w:rStyle w:val="normaltextrun"/>
          <w:b/>
          <w:noProof/>
        </w:rPr>
        <w:t>in shipping</w:t>
      </w:r>
      <w:r w:rsidR="002B185E" w:rsidRPr="00244D65">
        <w:rPr>
          <w:rStyle w:val="normaltextrun"/>
          <w:b/>
          <w:noProof/>
        </w:rPr>
        <w:t xml:space="preserve"> in PO2</w:t>
      </w:r>
      <w:r w:rsidR="009B101F" w:rsidRPr="00244D65">
        <w:rPr>
          <w:rStyle w:val="normaltextrun"/>
          <w:noProof/>
        </w:rPr>
        <w:t xml:space="preserve"> is expected to accelerate the uptake of GHG mitigation measures in the sector</w:t>
      </w:r>
      <w:r w:rsidR="00A83362" w:rsidRPr="00244D65">
        <w:rPr>
          <w:rStyle w:val="normaltextrun"/>
          <w:noProof/>
        </w:rPr>
        <w:t xml:space="preserve">. </w:t>
      </w:r>
      <w:r w:rsidR="00B443F1" w:rsidRPr="00244D65">
        <w:rPr>
          <w:rStyle w:val="normaltextrun"/>
          <w:noProof/>
        </w:rPr>
        <w:t>T</w:t>
      </w:r>
      <w:r w:rsidR="009B101F" w:rsidRPr="00244D65">
        <w:rPr>
          <w:noProof/>
        </w:rPr>
        <w:t xml:space="preserve">he establishment of a </w:t>
      </w:r>
      <w:r w:rsidR="008854F4" w:rsidRPr="00244D65">
        <w:rPr>
          <w:rFonts w:eastAsia="Arial"/>
          <w:noProof/>
          <w:color w:val="242828"/>
        </w:rPr>
        <w:t>S</w:t>
      </w:r>
      <w:r w:rsidR="009B101F" w:rsidRPr="00244D65">
        <w:rPr>
          <w:rFonts w:eastAsia="Arial"/>
          <w:noProof/>
          <w:color w:val="242828"/>
        </w:rPr>
        <w:t xml:space="preserve">ustainable </w:t>
      </w:r>
      <w:r w:rsidR="008854F4" w:rsidRPr="00244D65">
        <w:rPr>
          <w:rFonts w:eastAsia="Arial"/>
          <w:noProof/>
          <w:color w:val="242828"/>
        </w:rPr>
        <w:t>M</w:t>
      </w:r>
      <w:r w:rsidR="009B101F" w:rsidRPr="00244D65">
        <w:rPr>
          <w:rFonts w:eastAsia="Arial"/>
          <w:noProof/>
          <w:color w:val="242828"/>
        </w:rPr>
        <w:t>aritime</w:t>
      </w:r>
      <w:r>
        <w:rPr>
          <w:rFonts w:eastAsia="Arial"/>
          <w:noProof/>
          <w:color w:val="242828"/>
        </w:rPr>
        <w:t xml:space="preserve"> Alternative</w:t>
      </w:r>
      <w:r w:rsidR="3307617D" w:rsidRPr="00244D65">
        <w:rPr>
          <w:rFonts w:eastAsia="Arial"/>
          <w:noProof/>
          <w:color w:val="242828"/>
        </w:rPr>
        <w:t xml:space="preserve"> </w:t>
      </w:r>
      <w:r w:rsidR="008854F4" w:rsidRPr="00244D65">
        <w:rPr>
          <w:rFonts w:eastAsia="Arial"/>
          <w:noProof/>
          <w:color w:val="242828"/>
        </w:rPr>
        <w:t>P</w:t>
      </w:r>
      <w:r w:rsidR="009B101F" w:rsidRPr="00244D65">
        <w:rPr>
          <w:rFonts w:eastAsia="Arial"/>
          <w:noProof/>
          <w:color w:val="242828"/>
        </w:rPr>
        <w:t xml:space="preserve">ropulsion </w:t>
      </w:r>
      <w:r w:rsidR="009B101F" w:rsidRPr="00244D65">
        <w:rPr>
          <w:noProof/>
        </w:rPr>
        <w:t xml:space="preserve">mechanism </w:t>
      </w:r>
      <w:r w:rsidR="008854F4" w:rsidRPr="00244D65">
        <w:rPr>
          <w:noProof/>
        </w:rPr>
        <w:t xml:space="preserve">(SMAP) </w:t>
      </w:r>
      <w:r w:rsidR="009B101F" w:rsidRPr="00244D65">
        <w:rPr>
          <w:noProof/>
        </w:rPr>
        <w:t xml:space="preserve">would directly support the </w:t>
      </w:r>
      <w:r w:rsidR="00577D9B" w:rsidRPr="00244D65">
        <w:rPr>
          <w:noProof/>
        </w:rPr>
        <w:t>use and</w:t>
      </w:r>
      <w:r w:rsidR="002741FF" w:rsidRPr="00244D65">
        <w:rPr>
          <w:noProof/>
        </w:rPr>
        <w:t xml:space="preserve"> production of renewable and low-carbon maritime fuels by reducing the price gap compared to fossil fuels</w:t>
      </w:r>
      <w:r w:rsidR="009B101F" w:rsidRPr="00244D65">
        <w:rPr>
          <w:noProof/>
        </w:rPr>
        <w:t xml:space="preserve"> </w:t>
      </w:r>
      <w:r w:rsidR="00577D9B" w:rsidRPr="00244D65">
        <w:rPr>
          <w:noProof/>
        </w:rPr>
        <w:t xml:space="preserve">and </w:t>
      </w:r>
      <w:r w:rsidR="00315BCA" w:rsidRPr="00244D65">
        <w:rPr>
          <w:noProof/>
        </w:rPr>
        <w:t xml:space="preserve">support the </w:t>
      </w:r>
      <w:r w:rsidR="002C57B7" w:rsidRPr="00244D65">
        <w:rPr>
          <w:noProof/>
        </w:rPr>
        <w:t>uptake</w:t>
      </w:r>
      <w:r w:rsidR="00315BCA" w:rsidRPr="00244D65">
        <w:rPr>
          <w:noProof/>
        </w:rPr>
        <w:t xml:space="preserve"> of </w:t>
      </w:r>
      <w:r w:rsidR="002C57B7" w:rsidRPr="00244D65">
        <w:rPr>
          <w:noProof/>
        </w:rPr>
        <w:t>clean</w:t>
      </w:r>
      <w:r w:rsidR="00315BCA" w:rsidRPr="00244D65">
        <w:rPr>
          <w:noProof/>
        </w:rPr>
        <w:t xml:space="preserve"> propulsion </w:t>
      </w:r>
      <w:r w:rsidR="002C57B7" w:rsidRPr="00244D65">
        <w:rPr>
          <w:noProof/>
        </w:rPr>
        <w:t>technologies</w:t>
      </w:r>
      <w:r w:rsidR="0016044A" w:rsidRPr="00244D65">
        <w:rPr>
          <w:noProof/>
        </w:rPr>
        <w:t>, which are both key to unlock the decarbonisation of the sector</w:t>
      </w:r>
      <w:r w:rsidR="009B101F" w:rsidRPr="00244D65" w:rsidDel="005953C9">
        <w:rPr>
          <w:rStyle w:val="normaltextrun"/>
          <w:noProof/>
        </w:rPr>
        <w:t xml:space="preserve">. </w:t>
      </w:r>
      <w:r w:rsidR="009B101F" w:rsidRPr="00244D65">
        <w:rPr>
          <w:rStyle w:val="normaltextrun"/>
          <w:noProof/>
        </w:rPr>
        <w:t xml:space="preserve">This may </w:t>
      </w:r>
      <w:r w:rsidR="007F579A" w:rsidRPr="00244D65">
        <w:rPr>
          <w:rStyle w:val="normaltextrun"/>
          <w:noProof/>
        </w:rPr>
        <w:t xml:space="preserve">however </w:t>
      </w:r>
      <w:r w:rsidR="009B101F" w:rsidRPr="00244D65">
        <w:rPr>
          <w:rStyle w:val="normaltextrun"/>
          <w:noProof/>
        </w:rPr>
        <w:t>come with trade-offs between investment in a hard-to-abate sector and possible other revenue uses for more cost-efficient emission reductions in the short-term.</w:t>
      </w:r>
    </w:p>
    <w:p w14:paraId="5DF47075" w14:textId="44E9DC4C" w:rsidR="00232A95" w:rsidRPr="00244D65" w:rsidRDefault="00232A95" w:rsidP="0085595C">
      <w:pPr>
        <w:rPr>
          <w:rFonts w:ascii="Segoe UI" w:hAnsi="Segoe UI" w:cs="Segoe UI"/>
          <w:noProof/>
          <w:sz w:val="18"/>
          <w:szCs w:val="18"/>
        </w:rPr>
      </w:pPr>
      <w:r w:rsidRPr="00244D65">
        <w:rPr>
          <w:rStyle w:val="normaltextrun"/>
          <w:noProof/>
        </w:rPr>
        <w:t xml:space="preserve">As regards </w:t>
      </w:r>
      <w:r w:rsidRPr="00244D65">
        <w:rPr>
          <w:rStyle w:val="normaltextrun"/>
          <w:b/>
          <w:bCs/>
          <w:noProof/>
        </w:rPr>
        <w:t xml:space="preserve">anti-evasion </w:t>
      </w:r>
      <w:r w:rsidRPr="00244D65">
        <w:rPr>
          <w:rStyle w:val="normaltextrun"/>
          <w:noProof/>
        </w:rPr>
        <w:t>measures, the lowering of the container transhipment incidence threshold to 50% contemplated in PO2 would marginally increase the ETS maritime scope in the short-term (+0</w:t>
      </w:r>
      <w:r w:rsidR="00B20EBC" w:rsidRPr="00244D65">
        <w:rPr>
          <w:rStyle w:val="normaltextrun"/>
          <w:noProof/>
        </w:rPr>
        <w:t>.</w:t>
      </w:r>
      <w:r w:rsidRPr="00244D65">
        <w:rPr>
          <w:rStyle w:val="normaltextrun"/>
          <w:noProof/>
        </w:rPr>
        <w:t>2</w:t>
      </w:r>
      <w:r>
        <w:rPr>
          <w:rStyle w:val="normaltextrun"/>
          <w:noProof/>
        </w:rPr>
        <w:t>% compared to current situation).</w:t>
      </w:r>
      <w:r w:rsidRPr="00244D65" w:rsidDel="00E75E00">
        <w:rPr>
          <w:rStyle w:val="normaltextrun"/>
          <w:noProof/>
        </w:rPr>
        <w:t xml:space="preserve"> </w:t>
      </w:r>
      <w:r w:rsidRPr="00244D65">
        <w:rPr>
          <w:rStyle w:val="normaltextrun"/>
          <w:noProof/>
        </w:rPr>
        <w:t xml:space="preserve">The other anti-evasion measure regarding </w:t>
      </w:r>
      <w:r w:rsidRPr="00244D65">
        <w:rPr>
          <w:rStyle w:val="normaltextrun"/>
          <w:b/>
          <w:bCs/>
          <w:noProof/>
        </w:rPr>
        <w:t>offshore ships</w:t>
      </w:r>
      <w:r w:rsidRPr="00244D65">
        <w:rPr>
          <w:rStyle w:val="normaltextrun"/>
          <w:noProof/>
        </w:rPr>
        <w:t>, is expected to lead to an overall small net reduction in ETS scope emissions.</w:t>
      </w:r>
      <w:r w:rsidRPr="00244D65">
        <w:rPr>
          <w:rStyle w:val="eop"/>
          <w:noProof/>
        </w:rPr>
        <w:t> </w:t>
      </w:r>
    </w:p>
    <w:p w14:paraId="058B3078" w14:textId="2AD84196" w:rsidR="00232A95" w:rsidRPr="00244D65" w:rsidRDefault="00232A95" w:rsidP="0085595C">
      <w:pPr>
        <w:rPr>
          <w:rStyle w:val="normaltextrun"/>
          <w:noProof/>
        </w:rPr>
      </w:pPr>
      <w:r w:rsidRPr="00244D65">
        <w:rPr>
          <w:rStyle w:val="normaltextrun"/>
          <w:noProof/>
        </w:rPr>
        <w:t xml:space="preserve">The extension in PO2 of the current maritime </w:t>
      </w:r>
      <w:r w:rsidRPr="00244D65">
        <w:rPr>
          <w:rStyle w:val="normaltextrun"/>
          <w:b/>
          <w:noProof/>
        </w:rPr>
        <w:t>derogations</w:t>
      </w:r>
      <w:r w:rsidRPr="00244D65">
        <w:rPr>
          <w:rStyle w:val="normaltextrun"/>
          <w:noProof/>
        </w:rPr>
        <w:t xml:space="preserve"> beyond 2030 for ice-class vessels, small islands, outermost regions and transnational public service </w:t>
      </w:r>
      <w:r w:rsidRPr="00244D65">
        <w:rPr>
          <w:noProof/>
        </w:rPr>
        <w:t>contract</w:t>
      </w:r>
      <w:r w:rsidRPr="00244D65">
        <w:rPr>
          <w:rStyle w:val="normaltextrun"/>
          <w:noProof/>
        </w:rPr>
        <w:t xml:space="preserve"> or public service </w:t>
      </w:r>
      <w:r w:rsidR="00247007" w:rsidRPr="00244D65">
        <w:rPr>
          <w:rStyle w:val="normaltextrun"/>
          <w:noProof/>
        </w:rPr>
        <w:t>obligation</w:t>
      </w:r>
      <w:r w:rsidRPr="00244D65">
        <w:rPr>
          <w:rStyle w:val="normaltextrun"/>
          <w:noProof/>
        </w:rPr>
        <w:t xml:space="preserve">, would lead to </w:t>
      </w:r>
      <w:r w:rsidR="00D94DFB" w:rsidRPr="00244D65">
        <w:rPr>
          <w:rStyle w:val="normaltextrun"/>
          <w:noProof/>
        </w:rPr>
        <w:t>5</w:t>
      </w:r>
      <w:r w:rsidRPr="00244D65">
        <w:rPr>
          <w:rStyle w:val="normaltextrun"/>
          <w:noProof/>
        </w:rPr>
        <w:t xml:space="preserve"> MtCO</w:t>
      </w:r>
      <w:r w:rsidRPr="00244D65">
        <w:rPr>
          <w:rStyle w:val="normaltextrun"/>
          <w:noProof/>
          <w:vertAlign w:val="subscript"/>
        </w:rPr>
        <w:t>2</w:t>
      </w:r>
      <w:r w:rsidRPr="00244D65">
        <w:rPr>
          <w:rStyle w:val="normaltextrun"/>
          <w:noProof/>
        </w:rPr>
        <w:t xml:space="preserve">e per year being excluded from the ETS scope (corresponding to </w:t>
      </w:r>
      <w:r w:rsidR="00E1291B" w:rsidRPr="00244D65">
        <w:rPr>
          <w:rStyle w:val="normaltextrun"/>
          <w:noProof/>
        </w:rPr>
        <w:t xml:space="preserve">around </w:t>
      </w:r>
      <w:r w:rsidRPr="00244D65">
        <w:rPr>
          <w:rStyle w:val="normaltextrun"/>
          <w:noProof/>
        </w:rPr>
        <w:t>5% of all ETS scope maritime emissions in 2024).</w:t>
      </w:r>
    </w:p>
    <w:p w14:paraId="4A5885A4" w14:textId="0FB10558" w:rsidR="00C266F6" w:rsidRPr="00244D65" w:rsidRDefault="00C266F6" w:rsidP="0085595C">
      <w:pPr>
        <w:rPr>
          <w:rStyle w:val="normaltextrun"/>
          <w:noProof/>
        </w:rPr>
      </w:pPr>
      <w:r w:rsidRPr="00244D65">
        <w:rPr>
          <w:rStyle w:val="normaltextrun"/>
          <w:noProof/>
        </w:rPr>
        <w:t xml:space="preserve">The </w:t>
      </w:r>
      <w:r w:rsidRPr="00244D65">
        <w:rPr>
          <w:rStyle w:val="normaltextrun"/>
          <w:b/>
          <w:noProof/>
        </w:rPr>
        <w:t>IMO deduction measure</w:t>
      </w:r>
      <w:r w:rsidRPr="00244D65">
        <w:rPr>
          <w:rStyle w:val="normaltextrun"/>
          <w:noProof/>
        </w:rPr>
        <w:t xml:space="preserve"> included in PO2 to address the risk of double </w:t>
      </w:r>
      <w:r w:rsidR="00290A1C" w:rsidRPr="00244D65">
        <w:rPr>
          <w:rStyle w:val="normaltextrun"/>
          <w:noProof/>
        </w:rPr>
        <w:t>payment</w:t>
      </w:r>
      <w:r w:rsidRPr="00244D65">
        <w:rPr>
          <w:rStyle w:val="normaltextrun"/>
          <w:noProof/>
        </w:rPr>
        <w:t xml:space="preserve"> </w:t>
      </w:r>
      <w:r w:rsidR="00F95078" w:rsidRPr="00244D65">
        <w:rPr>
          <w:rStyle w:val="normaltextrun"/>
          <w:noProof/>
        </w:rPr>
        <w:t xml:space="preserve">in case </w:t>
      </w:r>
      <w:r w:rsidR="00E0500A" w:rsidRPr="00244D65">
        <w:rPr>
          <w:rStyle w:val="normaltextrun"/>
          <w:noProof/>
        </w:rPr>
        <w:t>payment</w:t>
      </w:r>
      <w:r w:rsidR="0093321F" w:rsidRPr="00244D65">
        <w:rPr>
          <w:rStyle w:val="normaltextrun"/>
          <w:noProof/>
        </w:rPr>
        <w:t>s for emissions</w:t>
      </w:r>
      <w:r w:rsidR="003C0DEE" w:rsidRPr="00244D65">
        <w:rPr>
          <w:rStyle w:val="normaltextrun"/>
          <w:noProof/>
        </w:rPr>
        <w:t xml:space="preserve"> are </w:t>
      </w:r>
      <w:r w:rsidR="00A204EF" w:rsidRPr="00244D65">
        <w:rPr>
          <w:rStyle w:val="normaltextrun"/>
          <w:noProof/>
        </w:rPr>
        <w:t>made at IMO</w:t>
      </w:r>
      <w:r w:rsidR="00E0500A" w:rsidRPr="00244D65">
        <w:rPr>
          <w:rStyle w:val="normaltextrun"/>
          <w:noProof/>
        </w:rPr>
        <w:t xml:space="preserve"> </w:t>
      </w:r>
      <w:r w:rsidR="00F76952" w:rsidRPr="00244D65">
        <w:rPr>
          <w:rStyle w:val="normaltextrun"/>
          <w:noProof/>
        </w:rPr>
        <w:t>level</w:t>
      </w:r>
      <w:r w:rsidRPr="00244D65">
        <w:rPr>
          <w:rStyle w:val="normaltextrun"/>
          <w:noProof/>
        </w:rPr>
        <w:t xml:space="preserve"> is not expected to alter the environmental integrity of the ETS system as the measure comes together with an obligation to cancel a similar amount of ETS allowances. The IMO deduction measure is applicable to all ships without discrimination, which are subject to EU ETS and whose emissions would be priced under </w:t>
      </w:r>
      <w:r w:rsidR="00063AAB" w:rsidRPr="00244D65">
        <w:rPr>
          <w:rStyle w:val="normaltextrun"/>
          <w:noProof/>
        </w:rPr>
        <w:t>a future</w:t>
      </w:r>
      <w:r w:rsidRPr="00244D65">
        <w:rPr>
          <w:rStyle w:val="normaltextrun"/>
          <w:noProof/>
        </w:rPr>
        <w:t xml:space="preserve"> IMO global measure. The deduction is expected to have positive </w:t>
      </w:r>
      <w:r w:rsidR="00DF63C9" w:rsidRPr="00244D65">
        <w:rPr>
          <w:rStyle w:val="normaltextrun"/>
          <w:noProof/>
        </w:rPr>
        <w:t>environmental</w:t>
      </w:r>
      <w:r w:rsidRPr="00244D65">
        <w:rPr>
          <w:rStyle w:val="normaltextrun"/>
          <w:b/>
          <w:noProof/>
        </w:rPr>
        <w:t xml:space="preserve"> </w:t>
      </w:r>
      <w:r w:rsidRPr="00244D65">
        <w:rPr>
          <w:rStyle w:val="normaltextrun"/>
          <w:noProof/>
        </w:rPr>
        <w:t>impact</w:t>
      </w:r>
      <w:r w:rsidR="00200409" w:rsidRPr="00244D65">
        <w:rPr>
          <w:rStyle w:val="normaltextrun"/>
          <w:noProof/>
        </w:rPr>
        <w:t>s</w:t>
      </w:r>
      <w:r w:rsidR="00DF63C9" w:rsidRPr="00244D65">
        <w:rPr>
          <w:rStyle w:val="normaltextrun"/>
          <w:noProof/>
        </w:rPr>
        <w:t xml:space="preserve"> at international</w:t>
      </w:r>
      <w:r w:rsidRPr="00244D65">
        <w:rPr>
          <w:rStyle w:val="normaltextrun"/>
          <w:noProof/>
        </w:rPr>
        <w:t xml:space="preserve"> </w:t>
      </w:r>
      <w:r w:rsidR="00DF63C9" w:rsidRPr="00244D65">
        <w:rPr>
          <w:rStyle w:val="normaltextrun"/>
          <w:noProof/>
        </w:rPr>
        <w:t>level</w:t>
      </w:r>
      <w:r w:rsidRPr="00244D65">
        <w:rPr>
          <w:rStyle w:val="normaltextrun"/>
          <w:noProof/>
        </w:rPr>
        <w:t xml:space="preserve"> as it ensures that the EU ETS is adjusted in coherence with the IMO decisions. At the same time, the application of the EU cap-and-trade system to the EU maritime emissions not priced by a future IMO measure allows the EU to deliver on its </w:t>
      </w:r>
      <w:r w:rsidR="00D00858" w:rsidRPr="00244D65">
        <w:rPr>
          <w:rFonts w:eastAsia="Times New Roman"/>
          <w:noProof/>
        </w:rPr>
        <w:t>climate targets</w:t>
      </w:r>
      <w:r w:rsidR="00D00858" w:rsidRPr="00244D65">
        <w:rPr>
          <w:rStyle w:val="normaltextrun"/>
          <w:noProof/>
        </w:rPr>
        <w:t xml:space="preserve"> and on </w:t>
      </w:r>
      <w:r w:rsidRPr="00244D65">
        <w:rPr>
          <w:rStyle w:val="normaltextrun"/>
          <w:noProof/>
        </w:rPr>
        <w:t xml:space="preserve">international climate contributions in the UNFCCC context, including the </w:t>
      </w:r>
      <w:r w:rsidRPr="00244D65">
        <w:rPr>
          <w:rFonts w:eastAsia="Times New Roman"/>
          <w:noProof/>
        </w:rPr>
        <w:t>EU submission of an updated Nationally Determined Contribution (NDC) for 2035</w:t>
      </w:r>
      <w:r w:rsidRPr="00244D65">
        <w:rPr>
          <w:rStyle w:val="normaltextrun"/>
          <w:noProof/>
        </w:rPr>
        <w:t xml:space="preserve">. </w:t>
      </w:r>
    </w:p>
    <w:p w14:paraId="597E853A" w14:textId="4D888CC3" w:rsidR="00AE5055" w:rsidRPr="00244D65" w:rsidRDefault="3EE4809A" w:rsidP="0085595C">
      <w:pPr>
        <w:rPr>
          <w:rStyle w:val="eop"/>
          <w:noProof/>
        </w:rPr>
      </w:pPr>
      <w:r w:rsidRPr="00244D65">
        <w:rPr>
          <w:rStyle w:val="normaltextrun"/>
          <w:noProof/>
        </w:rPr>
        <w:t>The</w:t>
      </w:r>
      <w:r w:rsidR="6B413E71" w:rsidRPr="00244D65">
        <w:rPr>
          <w:rStyle w:val="normaltextrun"/>
          <w:noProof/>
        </w:rPr>
        <w:t xml:space="preserve"> </w:t>
      </w:r>
      <w:r w:rsidR="6B413E71" w:rsidRPr="00244D65">
        <w:rPr>
          <w:rStyle w:val="normaltextrun"/>
          <w:b/>
          <w:bCs/>
          <w:noProof/>
        </w:rPr>
        <w:t>exten</w:t>
      </w:r>
      <w:r w:rsidR="37B3E264" w:rsidRPr="00244D65">
        <w:rPr>
          <w:rStyle w:val="normaltextrun"/>
          <w:b/>
          <w:bCs/>
          <w:noProof/>
        </w:rPr>
        <w:t>sion of</w:t>
      </w:r>
      <w:r w:rsidR="00B173C4" w:rsidRPr="00244D65">
        <w:rPr>
          <w:rStyle w:val="normaltextrun"/>
          <w:b/>
          <w:bCs/>
          <w:noProof/>
        </w:rPr>
        <w:t xml:space="preserve"> the ETS to most emitting categories of smaller vessels</w:t>
      </w:r>
      <w:r w:rsidR="39D9CF9C" w:rsidRPr="00244D65">
        <w:rPr>
          <w:rStyle w:val="normaltextrun"/>
          <w:noProof/>
        </w:rPr>
        <w:t xml:space="preserve"> in</w:t>
      </w:r>
      <w:r w:rsidR="00B173C4" w:rsidRPr="00244D65">
        <w:rPr>
          <w:rStyle w:val="normaltextrun"/>
          <w:noProof/>
        </w:rPr>
        <w:t xml:space="preserve"> o</w:t>
      </w:r>
      <w:r w:rsidR="001663B5" w:rsidRPr="00244D65">
        <w:rPr>
          <w:rStyle w:val="normaltextrun"/>
          <w:noProof/>
        </w:rPr>
        <w:t xml:space="preserve">ption </w:t>
      </w:r>
      <w:r w:rsidR="001663B5" w:rsidRPr="00244D65">
        <w:rPr>
          <w:rStyle w:val="normaltextrun"/>
          <w:b/>
          <w:bCs/>
          <w:noProof/>
        </w:rPr>
        <w:t>PO2</w:t>
      </w:r>
      <w:r w:rsidR="00517C69" w:rsidRPr="00244D65">
        <w:rPr>
          <w:rStyle w:val="normaltextrun"/>
          <w:noProof/>
        </w:rPr>
        <w:t xml:space="preserve"> </w:t>
      </w:r>
      <w:r w:rsidR="000F3EB5" w:rsidRPr="00244D65">
        <w:rPr>
          <w:rStyle w:val="normaltextrun"/>
          <w:noProof/>
        </w:rPr>
        <w:t xml:space="preserve">would increase the ETS scope by </w:t>
      </w:r>
      <w:r w:rsidR="69069303" w:rsidRPr="00244D65">
        <w:rPr>
          <w:rStyle w:val="normaltextrun"/>
          <w:noProof/>
        </w:rPr>
        <w:t>11</w:t>
      </w:r>
      <w:r w:rsidR="00B20EBC" w:rsidRPr="00244D65">
        <w:rPr>
          <w:rStyle w:val="normaltextrun"/>
          <w:noProof/>
        </w:rPr>
        <w:t>.</w:t>
      </w:r>
      <w:r w:rsidR="69069303" w:rsidRPr="00244D65">
        <w:rPr>
          <w:rStyle w:val="normaltextrun"/>
          <w:noProof/>
        </w:rPr>
        <w:t>3</w:t>
      </w:r>
      <w:r w:rsidR="00483FFC" w:rsidRPr="00244D65">
        <w:rPr>
          <w:rStyle w:val="normaltextrun"/>
          <w:noProof/>
        </w:rPr>
        <w:t xml:space="preserve"> MtCO</w:t>
      </w:r>
      <w:r w:rsidR="00483FFC" w:rsidRPr="00244D65">
        <w:rPr>
          <w:rStyle w:val="normaltextrun"/>
          <w:noProof/>
          <w:vertAlign w:val="subscript"/>
        </w:rPr>
        <w:t>2</w:t>
      </w:r>
      <w:r w:rsidR="00483FFC" w:rsidRPr="00244D65">
        <w:rPr>
          <w:rStyle w:val="normaltextrun"/>
          <w:noProof/>
        </w:rPr>
        <w:t>e (</w:t>
      </w:r>
      <w:r w:rsidR="046FC961" w:rsidRPr="00244D65">
        <w:rPr>
          <w:rStyle w:val="normaltextrun"/>
          <w:noProof/>
        </w:rPr>
        <w:t>13</w:t>
      </w:r>
      <w:r w:rsidR="121E7715" w:rsidRPr="00244D65">
        <w:rPr>
          <w:rStyle w:val="normaltextrun"/>
          <w:noProof/>
        </w:rPr>
        <w:t xml:space="preserve">%). </w:t>
      </w:r>
      <w:r w:rsidR="26D5A359" w:rsidRPr="00244D65">
        <w:rPr>
          <w:rStyle w:val="normaltextrun"/>
          <w:noProof/>
        </w:rPr>
        <w:t>Overall, PO2</w:t>
      </w:r>
      <w:r w:rsidR="00483FFC" w:rsidRPr="00244D65">
        <w:rPr>
          <w:rStyle w:val="normaltextrun"/>
          <w:noProof/>
        </w:rPr>
        <w:t xml:space="preserve"> would</w:t>
      </w:r>
      <w:r w:rsidR="00AF51B3" w:rsidRPr="00244D65">
        <w:rPr>
          <w:rStyle w:val="normaltextrun"/>
          <w:noProof/>
        </w:rPr>
        <w:t xml:space="preserve"> </w:t>
      </w:r>
      <w:r w:rsidR="00DF42AF" w:rsidRPr="00244D65">
        <w:rPr>
          <w:rStyle w:val="normaltextrun"/>
          <w:noProof/>
        </w:rPr>
        <w:t>result in much lower</w:t>
      </w:r>
      <w:r w:rsidR="00AF51B3" w:rsidRPr="00244D65">
        <w:rPr>
          <w:rStyle w:val="normaltextrun"/>
          <w:noProof/>
        </w:rPr>
        <w:t xml:space="preserve"> </w:t>
      </w:r>
      <w:r w:rsidR="00B173C4" w:rsidRPr="00244D65">
        <w:rPr>
          <w:rStyle w:val="normaltextrun"/>
          <w:noProof/>
        </w:rPr>
        <w:t xml:space="preserve">residual </w:t>
      </w:r>
      <w:r w:rsidR="00AF51B3" w:rsidRPr="00244D65">
        <w:rPr>
          <w:rStyle w:val="normaltextrun"/>
          <w:noProof/>
        </w:rPr>
        <w:t>emissions</w:t>
      </w:r>
      <w:r w:rsidR="00517C69" w:rsidRPr="00244D65">
        <w:rPr>
          <w:rStyle w:val="normaltextrun"/>
          <w:noProof/>
        </w:rPr>
        <w:t xml:space="preserve"> </w:t>
      </w:r>
      <w:r w:rsidR="008C778B" w:rsidRPr="00244D65">
        <w:rPr>
          <w:rStyle w:val="normaltextrun"/>
          <w:noProof/>
        </w:rPr>
        <w:t>by</w:t>
      </w:r>
      <w:r w:rsidR="00272CFA" w:rsidRPr="00244D65">
        <w:rPr>
          <w:rStyle w:val="normaltextrun"/>
          <w:noProof/>
        </w:rPr>
        <w:t xml:space="preserve"> 2050</w:t>
      </w:r>
      <w:r w:rsidR="005D2BA7" w:rsidRPr="00244D65">
        <w:rPr>
          <w:rStyle w:val="normaltextrun"/>
          <w:noProof/>
        </w:rPr>
        <w:t xml:space="preserve"> </w:t>
      </w:r>
      <w:r w:rsidR="00DF42AF" w:rsidRPr="00244D65">
        <w:rPr>
          <w:rStyle w:val="normaltextrun"/>
          <w:noProof/>
        </w:rPr>
        <w:t>(-</w:t>
      </w:r>
      <w:r w:rsidR="005D2BA7" w:rsidRPr="00244D65">
        <w:rPr>
          <w:rStyle w:val="normaltextrun"/>
          <w:noProof/>
        </w:rPr>
        <w:t>41.3% in comparison to PO1</w:t>
      </w:r>
      <w:r w:rsidR="7C7C5E20" w:rsidRPr="00244D65">
        <w:rPr>
          <w:rStyle w:val="normaltextrun"/>
          <w:noProof/>
        </w:rPr>
        <w:t>)</w:t>
      </w:r>
      <w:r w:rsidR="40D8FB78" w:rsidRPr="00244D65">
        <w:rPr>
          <w:rStyle w:val="normaltextrun"/>
          <w:noProof/>
        </w:rPr>
        <w:t xml:space="preserve"> and it</w:t>
      </w:r>
      <w:r w:rsidR="000C653C" w:rsidRPr="00244D65">
        <w:rPr>
          <w:rStyle w:val="normaltextrun"/>
          <w:noProof/>
        </w:rPr>
        <w:t xml:space="preserve"> </w:t>
      </w:r>
      <w:r w:rsidR="0000562E" w:rsidRPr="00244D65">
        <w:rPr>
          <w:rStyle w:val="normaltextrun"/>
          <w:noProof/>
        </w:rPr>
        <w:t xml:space="preserve">would </w:t>
      </w:r>
      <w:r w:rsidR="002B56E5" w:rsidRPr="00244D65">
        <w:rPr>
          <w:rStyle w:val="normaltextrun"/>
          <w:noProof/>
        </w:rPr>
        <w:t>lead</w:t>
      </w:r>
      <w:r w:rsidR="007D44F9" w:rsidRPr="00244D65">
        <w:rPr>
          <w:rStyle w:val="normaltextrun"/>
          <w:noProof/>
        </w:rPr>
        <w:t xml:space="preserve"> to a cumulative reduction in GHG emissions of</w:t>
      </w:r>
      <w:r w:rsidR="007A019F" w:rsidRPr="00244D65">
        <w:rPr>
          <w:rStyle w:val="normaltextrun"/>
          <w:noProof/>
        </w:rPr>
        <w:t xml:space="preserve"> around </w:t>
      </w:r>
      <w:r w:rsidR="4C4BEE75" w:rsidRPr="00244D65">
        <w:rPr>
          <w:rStyle w:val="normaltextrun"/>
          <w:noProof/>
        </w:rPr>
        <w:t>5</w:t>
      </w:r>
      <w:r w:rsidR="68CD521C" w:rsidRPr="00244D65">
        <w:rPr>
          <w:rStyle w:val="normaltextrun"/>
          <w:noProof/>
        </w:rPr>
        <w:t>%</w:t>
      </w:r>
      <w:r w:rsidR="2599B6B5" w:rsidRPr="00244D65">
        <w:rPr>
          <w:rStyle w:val="normaltextrun"/>
          <w:noProof/>
        </w:rPr>
        <w:t xml:space="preserve"> </w:t>
      </w:r>
      <w:r w:rsidR="7E49841B" w:rsidRPr="00244D65">
        <w:rPr>
          <w:rStyle w:val="normaltextrun"/>
          <w:noProof/>
        </w:rPr>
        <w:t>over the period 2030-2050</w:t>
      </w:r>
      <w:r w:rsidR="00A61F6E" w:rsidRPr="00244D65">
        <w:rPr>
          <w:rStyle w:val="normaltextrun"/>
          <w:noProof/>
        </w:rPr>
        <w:t xml:space="preserve"> in comparison to PO1</w:t>
      </w:r>
      <w:r w:rsidR="00BD7F71" w:rsidRPr="00244D65">
        <w:rPr>
          <w:rStyle w:val="normaltextrun"/>
          <w:noProof/>
        </w:rPr>
        <w:t xml:space="preserve"> and the baseline</w:t>
      </w:r>
      <w:r w:rsidR="001A55AB" w:rsidRPr="00244D65">
        <w:rPr>
          <w:rStyle w:val="normaltextrun"/>
          <w:noProof/>
        </w:rPr>
        <w:t xml:space="preserve"> (considering all</w:t>
      </w:r>
      <w:r w:rsidR="00D334B4" w:rsidRPr="00244D65">
        <w:rPr>
          <w:rStyle w:val="normaltextrun"/>
          <w:noProof/>
        </w:rPr>
        <w:t xml:space="preserve"> v</w:t>
      </w:r>
      <w:r w:rsidR="001D37F8" w:rsidRPr="00244D65">
        <w:rPr>
          <w:rStyle w:val="normaltextrun"/>
          <w:noProof/>
        </w:rPr>
        <w:t>essels above 400 GT)</w:t>
      </w:r>
      <w:r w:rsidR="007A019F" w:rsidRPr="00244D65">
        <w:rPr>
          <w:rStyle w:val="eop"/>
          <w:noProof/>
        </w:rPr>
        <w:t>.</w:t>
      </w:r>
      <w:r w:rsidR="00AE5055" w:rsidRPr="00244D65">
        <w:rPr>
          <w:rStyle w:val="eop"/>
          <w:noProof/>
        </w:rPr>
        <w:t xml:space="preserve"> </w:t>
      </w:r>
      <w:r w:rsidR="0055703E" w:rsidRPr="00244D65">
        <w:rPr>
          <w:rStyle w:val="eop"/>
          <w:noProof/>
        </w:rPr>
        <w:t>It would also</w:t>
      </w:r>
      <w:r w:rsidR="00FA2660" w:rsidRPr="00244D65">
        <w:rPr>
          <w:rStyle w:val="eop"/>
          <w:noProof/>
        </w:rPr>
        <w:t xml:space="preserve"> </w:t>
      </w:r>
      <w:r w:rsidR="00190F48" w:rsidRPr="00244D65">
        <w:rPr>
          <w:rStyle w:val="eop"/>
          <w:noProof/>
        </w:rPr>
        <w:t xml:space="preserve">lead to </w:t>
      </w:r>
      <w:r w:rsidR="001E7AF7" w:rsidRPr="00244D65">
        <w:rPr>
          <w:rStyle w:val="eop"/>
          <w:noProof/>
        </w:rPr>
        <w:t xml:space="preserve">an increase </w:t>
      </w:r>
      <w:r w:rsidR="000C5340" w:rsidRPr="00244D65">
        <w:rPr>
          <w:rStyle w:val="eop"/>
          <w:noProof/>
        </w:rPr>
        <w:t>in the uptake of renewable fuels</w:t>
      </w:r>
      <w:r w:rsidR="00E02CD9" w:rsidRPr="00244D65">
        <w:rPr>
          <w:rStyle w:val="eop"/>
          <w:noProof/>
        </w:rPr>
        <w:t xml:space="preserve"> </w:t>
      </w:r>
      <w:r w:rsidR="005216C0" w:rsidRPr="00244D65">
        <w:rPr>
          <w:rStyle w:val="eop"/>
          <w:noProof/>
        </w:rPr>
        <w:t>in the sector</w:t>
      </w:r>
      <w:r w:rsidR="00ED16B0" w:rsidRPr="00244D65">
        <w:rPr>
          <w:rStyle w:val="eop"/>
          <w:noProof/>
        </w:rPr>
        <w:t xml:space="preserve">, by </w:t>
      </w:r>
      <w:r w:rsidR="006828C4" w:rsidRPr="00244D65">
        <w:rPr>
          <w:rStyle w:val="eop"/>
          <w:noProof/>
        </w:rPr>
        <w:t xml:space="preserve">around </w:t>
      </w:r>
      <w:r w:rsidR="00E02CD9" w:rsidRPr="00244D65">
        <w:rPr>
          <w:rStyle w:val="eop"/>
          <w:noProof/>
        </w:rPr>
        <w:t xml:space="preserve">2% </w:t>
      </w:r>
      <w:r w:rsidR="005216C0" w:rsidRPr="00244D65">
        <w:rPr>
          <w:rStyle w:val="eop"/>
          <w:noProof/>
        </w:rPr>
        <w:t>by 2040 and 5% by 2050.</w:t>
      </w:r>
      <w:r w:rsidR="00FA2660" w:rsidRPr="00244D65">
        <w:rPr>
          <w:rStyle w:val="eop"/>
          <w:noProof/>
        </w:rPr>
        <w:t xml:space="preserve"> </w:t>
      </w:r>
    </w:p>
    <w:p w14:paraId="1C5A0437" w14:textId="59B65183" w:rsidR="3A663ACC" w:rsidRPr="00244D65" w:rsidRDefault="00E974C2" w:rsidP="0085595C">
      <w:pPr>
        <w:rPr>
          <w:rStyle w:val="eop"/>
          <w:noProof/>
        </w:rPr>
      </w:pPr>
      <w:r w:rsidRPr="00244D65">
        <w:rPr>
          <w:rStyle w:val="normaltextrun"/>
          <w:b/>
          <w:bCs/>
          <w:noProof/>
        </w:rPr>
        <w:t>T</w:t>
      </w:r>
      <w:r w:rsidR="0052117E" w:rsidRPr="00244D65">
        <w:rPr>
          <w:rStyle w:val="normaltextrun"/>
          <w:b/>
          <w:bCs/>
          <w:noProof/>
        </w:rPr>
        <w:t>he environmental impact of option PO3 for maritime</w:t>
      </w:r>
      <w:r w:rsidR="0052117E" w:rsidRPr="00244D65">
        <w:rPr>
          <w:rStyle w:val="normaltextrun"/>
          <w:noProof/>
        </w:rPr>
        <w:t xml:space="preserve"> is</w:t>
      </w:r>
      <w:r w:rsidRPr="00244D65">
        <w:rPr>
          <w:rStyle w:val="normaltextrun"/>
          <w:noProof/>
        </w:rPr>
        <w:t xml:space="preserve"> </w:t>
      </w:r>
      <w:bookmarkStart w:id="156" w:name="_Int_ULnLuWph"/>
      <w:r w:rsidR="00C93A83" w:rsidRPr="00244D65">
        <w:rPr>
          <w:rStyle w:val="normaltextrun"/>
          <w:noProof/>
        </w:rPr>
        <w:t>relatively comparable</w:t>
      </w:r>
      <w:bookmarkEnd w:id="156"/>
      <w:r w:rsidR="00C93A83" w:rsidRPr="00244D65">
        <w:rPr>
          <w:rStyle w:val="normaltextrun"/>
          <w:noProof/>
        </w:rPr>
        <w:t xml:space="preserve"> to </w:t>
      </w:r>
      <w:r w:rsidR="00CF7289" w:rsidRPr="00244D65">
        <w:rPr>
          <w:rStyle w:val="normaltextrun"/>
          <w:noProof/>
        </w:rPr>
        <w:t>the outcomes of</w:t>
      </w:r>
      <w:r w:rsidRPr="00244D65">
        <w:rPr>
          <w:rStyle w:val="normaltextrun"/>
          <w:noProof/>
        </w:rPr>
        <w:t xml:space="preserve"> PO2</w:t>
      </w:r>
      <w:r w:rsidR="00FA6B2F" w:rsidRPr="00244D65">
        <w:rPr>
          <w:rStyle w:val="normaltextrun"/>
          <w:noProof/>
        </w:rPr>
        <w:t xml:space="preserve">. </w:t>
      </w:r>
      <w:r w:rsidR="004756C5" w:rsidRPr="00244D65">
        <w:rPr>
          <w:rStyle w:val="normaltextrun"/>
          <w:noProof/>
        </w:rPr>
        <w:t>The main</w:t>
      </w:r>
      <w:r w:rsidR="00FD66C1" w:rsidRPr="00244D65">
        <w:rPr>
          <w:rStyle w:val="normaltextrun"/>
          <w:noProof/>
        </w:rPr>
        <w:t xml:space="preserve"> </w:t>
      </w:r>
      <w:r w:rsidR="00FA6B2F" w:rsidRPr="00244D65">
        <w:rPr>
          <w:rStyle w:val="normaltextrun"/>
          <w:noProof/>
        </w:rPr>
        <w:t>difference is</w:t>
      </w:r>
      <w:r w:rsidR="0052117E" w:rsidRPr="00244D65">
        <w:rPr>
          <w:rStyle w:val="normaltextrun"/>
          <w:noProof/>
        </w:rPr>
        <w:t xml:space="preserve"> driven by the extension of EU ETS to </w:t>
      </w:r>
      <w:r w:rsidR="008C7057" w:rsidRPr="00244D65">
        <w:rPr>
          <w:rStyle w:val="normaltextrun"/>
          <w:noProof/>
        </w:rPr>
        <w:t>more</w:t>
      </w:r>
      <w:r w:rsidR="00C73787" w:rsidRPr="00244D65">
        <w:rPr>
          <w:rStyle w:val="normaltextrun"/>
          <w:noProof/>
        </w:rPr>
        <w:t xml:space="preserve"> </w:t>
      </w:r>
      <w:r w:rsidR="006010E4" w:rsidRPr="00244D65">
        <w:rPr>
          <w:rStyle w:val="normaltextrun"/>
          <w:noProof/>
        </w:rPr>
        <w:t xml:space="preserve">smaller vessels </w:t>
      </w:r>
      <w:r w:rsidR="000C653C" w:rsidRPr="00244D65">
        <w:rPr>
          <w:rStyle w:val="normaltextrun"/>
          <w:noProof/>
        </w:rPr>
        <w:t>(including</w:t>
      </w:r>
      <w:r w:rsidR="00C73787" w:rsidRPr="00244D65">
        <w:rPr>
          <w:rFonts w:cs="Arial"/>
          <w:noProof/>
        </w:rPr>
        <w:t xml:space="preserve"> fishing vessels and non-commercial yachts</w:t>
      </w:r>
      <w:r w:rsidR="001730A5" w:rsidRPr="00244D65">
        <w:rPr>
          <w:rFonts w:cs="Arial"/>
          <w:noProof/>
        </w:rPr>
        <w:t>)</w:t>
      </w:r>
      <w:r w:rsidR="00E00C26" w:rsidRPr="00244D65">
        <w:rPr>
          <w:rStyle w:val="normaltextrun"/>
          <w:noProof/>
        </w:rPr>
        <w:t>, which</w:t>
      </w:r>
      <w:r w:rsidR="00123557" w:rsidRPr="00244D65">
        <w:rPr>
          <w:rStyle w:val="normaltextrun"/>
          <w:noProof/>
        </w:rPr>
        <w:t xml:space="preserve"> </w:t>
      </w:r>
      <w:r w:rsidR="3E180037" w:rsidRPr="00244D65">
        <w:rPr>
          <w:rStyle w:val="normaltextrun"/>
          <w:noProof/>
        </w:rPr>
        <w:t xml:space="preserve">would </w:t>
      </w:r>
      <w:r w:rsidR="00C668B6" w:rsidRPr="00244D65">
        <w:rPr>
          <w:rStyle w:val="normaltextrun"/>
          <w:noProof/>
        </w:rPr>
        <w:t xml:space="preserve">increase the ETS scope by </w:t>
      </w:r>
      <w:r w:rsidR="3E180037" w:rsidRPr="00244D65">
        <w:rPr>
          <w:rStyle w:val="normaltextrun"/>
          <w:noProof/>
        </w:rPr>
        <w:t>14</w:t>
      </w:r>
      <w:r w:rsidR="000862FB" w:rsidRPr="00244D65">
        <w:rPr>
          <w:rStyle w:val="normaltextrun"/>
          <w:noProof/>
        </w:rPr>
        <w:t>.</w:t>
      </w:r>
      <w:r w:rsidR="001042AC" w:rsidRPr="00244D65">
        <w:rPr>
          <w:rStyle w:val="normaltextrun"/>
          <w:noProof/>
        </w:rPr>
        <w:t>6</w:t>
      </w:r>
      <w:r w:rsidR="00B055B2" w:rsidRPr="00244D65">
        <w:rPr>
          <w:rStyle w:val="normaltextrun"/>
          <w:noProof/>
        </w:rPr>
        <w:t xml:space="preserve"> </w:t>
      </w:r>
      <w:r w:rsidR="3E180037" w:rsidRPr="00244D65">
        <w:rPr>
          <w:rStyle w:val="normaltextrun"/>
          <w:noProof/>
        </w:rPr>
        <w:t xml:space="preserve">MtCO₂e </w:t>
      </w:r>
      <w:r w:rsidR="00580CC4" w:rsidRPr="00244D65">
        <w:rPr>
          <w:rStyle w:val="normaltextrun"/>
          <w:noProof/>
        </w:rPr>
        <w:t>(</w:t>
      </w:r>
      <w:r w:rsidR="00C668B6" w:rsidRPr="00244D65">
        <w:rPr>
          <w:rStyle w:val="normaltextrun"/>
          <w:noProof/>
        </w:rPr>
        <w:t>+17%</w:t>
      </w:r>
      <w:r w:rsidR="00580CC4" w:rsidRPr="00244D65">
        <w:rPr>
          <w:rStyle w:val="normaltextrun"/>
          <w:noProof/>
        </w:rPr>
        <w:t>)</w:t>
      </w:r>
      <w:r w:rsidR="00E00C26" w:rsidRPr="00244D65">
        <w:rPr>
          <w:rStyle w:val="normaltextrun"/>
          <w:noProof/>
        </w:rPr>
        <w:t>. Overall,</w:t>
      </w:r>
      <w:r w:rsidR="2B902921" w:rsidRPr="00244D65">
        <w:rPr>
          <w:rStyle w:val="normaltextrun"/>
          <w:noProof/>
        </w:rPr>
        <w:t xml:space="preserve"> </w:t>
      </w:r>
      <w:r w:rsidR="006B5171" w:rsidRPr="00244D65">
        <w:rPr>
          <w:rStyle w:val="normaltextrun"/>
          <w:noProof/>
        </w:rPr>
        <w:t xml:space="preserve">PO3 would </w:t>
      </w:r>
      <w:r w:rsidR="2B902921" w:rsidRPr="00244D65">
        <w:rPr>
          <w:rStyle w:val="normaltextrun"/>
          <w:noProof/>
        </w:rPr>
        <w:t xml:space="preserve">lead to a cumulative reduction in GHG emissions </w:t>
      </w:r>
      <w:r w:rsidR="001557B6" w:rsidRPr="00244D65">
        <w:rPr>
          <w:rStyle w:val="normaltextrun"/>
          <w:noProof/>
        </w:rPr>
        <w:t xml:space="preserve">of </w:t>
      </w:r>
      <w:r w:rsidR="006B5171" w:rsidRPr="00244D65">
        <w:rPr>
          <w:rStyle w:val="normaltextrun"/>
          <w:noProof/>
        </w:rPr>
        <w:t>6</w:t>
      </w:r>
      <w:r w:rsidR="00B20EBC" w:rsidRPr="00244D65">
        <w:rPr>
          <w:rStyle w:val="normaltextrun"/>
          <w:noProof/>
        </w:rPr>
        <w:t>.</w:t>
      </w:r>
      <w:r w:rsidR="006B5171" w:rsidRPr="00244D65">
        <w:rPr>
          <w:rStyle w:val="normaltextrun"/>
          <w:noProof/>
        </w:rPr>
        <w:t>2%</w:t>
      </w:r>
      <w:r w:rsidR="2B902921" w:rsidRPr="00244D65">
        <w:rPr>
          <w:rStyle w:val="normaltextrun"/>
          <w:noProof/>
        </w:rPr>
        <w:t xml:space="preserve"> over the period 2030-2050 compared to the baseline</w:t>
      </w:r>
      <w:r w:rsidR="314B191C" w:rsidRPr="00244D65">
        <w:rPr>
          <w:rStyle w:val="eop"/>
          <w:noProof/>
        </w:rPr>
        <w:t>.</w:t>
      </w:r>
      <w:r w:rsidR="2CFCA5CA" w:rsidRPr="00244D65">
        <w:rPr>
          <w:rStyle w:val="normaltextrun"/>
          <w:noProof/>
        </w:rPr>
        <w:t xml:space="preserve"> </w:t>
      </w:r>
    </w:p>
    <w:p w14:paraId="19014ED9" w14:textId="0B9C40ED" w:rsidR="00E8151A" w:rsidRPr="00244D65" w:rsidRDefault="003C1C09" w:rsidP="0085595C">
      <w:pPr>
        <w:rPr>
          <w:rFonts w:ascii="Segoe UI" w:hAnsi="Segoe UI" w:cs="Segoe UI"/>
          <w:noProof/>
          <w:sz w:val="18"/>
          <w:szCs w:val="18"/>
        </w:rPr>
      </w:pPr>
      <w:r w:rsidRPr="00244D65">
        <w:rPr>
          <w:noProof/>
        </w:rPr>
        <w:t xml:space="preserve">In </w:t>
      </w:r>
      <w:r w:rsidRPr="00244D65">
        <w:rPr>
          <w:b/>
          <w:noProof/>
        </w:rPr>
        <w:t>sum</w:t>
      </w:r>
      <w:r w:rsidRPr="00244D65">
        <w:rPr>
          <w:noProof/>
        </w:rPr>
        <w:t xml:space="preserve">, the extension of </w:t>
      </w:r>
      <w:r w:rsidR="00301BB2" w:rsidRPr="00244D65">
        <w:rPr>
          <w:noProof/>
        </w:rPr>
        <w:t xml:space="preserve">the </w:t>
      </w:r>
      <w:r w:rsidRPr="00244D65">
        <w:rPr>
          <w:noProof/>
        </w:rPr>
        <w:t xml:space="preserve">ETS to smaller vessels in PO2 and PO3 would increase the </w:t>
      </w:r>
      <w:r w:rsidR="004E0EB7" w:rsidRPr="00244D65">
        <w:rPr>
          <w:noProof/>
        </w:rPr>
        <w:t xml:space="preserve">scope of </w:t>
      </w:r>
      <w:r w:rsidR="00F444B8" w:rsidRPr="00244D65">
        <w:rPr>
          <w:noProof/>
        </w:rPr>
        <w:t xml:space="preserve">emissions </w:t>
      </w:r>
      <w:r w:rsidR="004E0EB7" w:rsidRPr="00244D65">
        <w:rPr>
          <w:noProof/>
        </w:rPr>
        <w:t xml:space="preserve">under </w:t>
      </w:r>
      <w:r w:rsidRPr="00244D65">
        <w:rPr>
          <w:noProof/>
        </w:rPr>
        <w:t>ETS</w:t>
      </w:r>
      <w:r w:rsidR="0012413F" w:rsidRPr="00244D65">
        <w:rPr>
          <w:noProof/>
        </w:rPr>
        <w:t xml:space="preserve"> whereas the IMO </w:t>
      </w:r>
      <w:r w:rsidR="005F12AF" w:rsidRPr="00244D65">
        <w:rPr>
          <w:noProof/>
        </w:rPr>
        <w:t>deduction</w:t>
      </w:r>
      <w:r w:rsidR="0012413F" w:rsidRPr="00244D65">
        <w:rPr>
          <w:noProof/>
        </w:rPr>
        <w:t xml:space="preserve"> measure would diminish </w:t>
      </w:r>
      <w:r w:rsidR="00D87E9D" w:rsidRPr="00244D65">
        <w:rPr>
          <w:noProof/>
        </w:rPr>
        <w:t>it</w:t>
      </w:r>
      <w:r w:rsidR="004C393B" w:rsidRPr="00244D65">
        <w:rPr>
          <w:noProof/>
        </w:rPr>
        <w:t xml:space="preserve"> (depending on the scope of emissions priced under a future IMO measure</w:t>
      </w:r>
      <w:r w:rsidR="000C653C" w:rsidRPr="00244D65">
        <w:rPr>
          <w:noProof/>
        </w:rPr>
        <w:t>)</w:t>
      </w:r>
      <w:r w:rsidR="000C653C" w:rsidRPr="00244D65" w:rsidDel="004C393B">
        <w:rPr>
          <w:noProof/>
        </w:rPr>
        <w:t>.</w:t>
      </w:r>
      <w:r w:rsidR="0052117E" w:rsidRPr="00244D65">
        <w:rPr>
          <w:rStyle w:val="eop"/>
          <w:noProof/>
        </w:rPr>
        <w:t> </w:t>
      </w:r>
      <w:r w:rsidR="00851B99" w:rsidRPr="00244D65">
        <w:rPr>
          <w:rStyle w:val="eop"/>
          <w:noProof/>
        </w:rPr>
        <w:t xml:space="preserve">Extending derogations (the same for PO2 and PO3) would </w:t>
      </w:r>
      <w:r w:rsidR="007A74BC" w:rsidRPr="00244D65">
        <w:rPr>
          <w:rStyle w:val="eop"/>
          <w:noProof/>
        </w:rPr>
        <w:t xml:space="preserve">diminish the </w:t>
      </w:r>
      <w:r w:rsidR="007865ED" w:rsidRPr="00244D65">
        <w:rPr>
          <w:rStyle w:val="eop"/>
          <w:noProof/>
        </w:rPr>
        <w:t xml:space="preserve">emissions under </w:t>
      </w:r>
      <w:r w:rsidR="002F5148" w:rsidRPr="00244D65">
        <w:rPr>
          <w:rStyle w:val="eop"/>
          <w:noProof/>
        </w:rPr>
        <w:t xml:space="preserve">ETS </w:t>
      </w:r>
      <w:r w:rsidR="003B1F49" w:rsidRPr="00244D65">
        <w:rPr>
          <w:rStyle w:val="eop"/>
          <w:noProof/>
        </w:rPr>
        <w:t>further</w:t>
      </w:r>
      <w:r w:rsidR="002F5148" w:rsidRPr="00244D65">
        <w:rPr>
          <w:rStyle w:val="eop"/>
          <w:noProof/>
        </w:rPr>
        <w:t xml:space="preserve"> </w:t>
      </w:r>
      <w:r w:rsidR="007865ED" w:rsidRPr="00244D65">
        <w:rPr>
          <w:rStyle w:val="eop"/>
          <w:noProof/>
        </w:rPr>
        <w:t>by</w:t>
      </w:r>
      <w:r w:rsidR="002F5148" w:rsidRPr="00244D65">
        <w:rPr>
          <w:rStyle w:val="eop"/>
          <w:noProof/>
        </w:rPr>
        <w:t xml:space="preserve"> some 5 </w:t>
      </w:r>
      <w:r w:rsidR="002F5148" w:rsidRPr="00244D65">
        <w:rPr>
          <w:rStyle w:val="normaltextrun"/>
          <w:noProof/>
        </w:rPr>
        <w:t xml:space="preserve">MtCO₂e per </w:t>
      </w:r>
      <w:r w:rsidR="005657F6" w:rsidRPr="00244D65">
        <w:rPr>
          <w:rStyle w:val="normaltextrun"/>
          <w:noProof/>
        </w:rPr>
        <w:t>year</w:t>
      </w:r>
      <w:r w:rsidR="457AA39C" w:rsidRPr="00244D65">
        <w:rPr>
          <w:rStyle w:val="normaltextrun"/>
          <w:noProof/>
        </w:rPr>
        <w:t>.</w:t>
      </w:r>
    </w:p>
    <w:p w14:paraId="1721F812" w14:textId="013CDC0C" w:rsidR="00D36498" w:rsidRPr="00244D65" w:rsidRDefault="60CFD75E" w:rsidP="0085595C">
      <w:pPr>
        <w:pStyle w:val="Heading4"/>
        <w:rPr>
          <w:noProof/>
        </w:rPr>
      </w:pPr>
      <w:r w:rsidRPr="00244D65">
        <w:rPr>
          <w:noProof/>
        </w:rPr>
        <w:t xml:space="preserve"> </w:t>
      </w:r>
      <w:r w:rsidR="009D7AEC" w:rsidRPr="00244D65">
        <w:rPr>
          <w:noProof/>
        </w:rPr>
        <w:t>Carbon</w:t>
      </w:r>
      <w:r w:rsidR="00E04E20" w:rsidRPr="00244D65">
        <w:rPr>
          <w:noProof/>
        </w:rPr>
        <w:t xml:space="preserve"> leakage </w:t>
      </w:r>
      <w:r w:rsidR="0038726B" w:rsidRPr="00244D65">
        <w:rPr>
          <w:noProof/>
        </w:rPr>
        <w:t>prevention</w:t>
      </w:r>
    </w:p>
    <w:p w14:paraId="317E5ADF" w14:textId="6637F32D" w:rsidR="00CE3F3F" w:rsidRPr="00244D65" w:rsidRDefault="00821B7D" w:rsidP="0085595C">
      <w:pPr>
        <w:ind w:right="-172"/>
        <w:rPr>
          <w:rStyle w:val="normaltextrun"/>
          <w:noProof/>
        </w:rPr>
      </w:pPr>
      <w:r w:rsidRPr="00244D65">
        <w:rPr>
          <w:rStyle w:val="normaltextrun"/>
          <w:noProof/>
        </w:rPr>
        <w:t xml:space="preserve">The impact of the policy options on carbon leakage is assessed via the GEM-E3 model. The GEM-E3 model only partially considers the increased scope of the EU ETS envisaged under PO2 or PO3, via the inclusion of waste emissions under the </w:t>
      </w:r>
      <w:r w:rsidR="00F909E3" w:rsidRPr="00244D65">
        <w:rPr>
          <w:rStyle w:val="normaltextrun"/>
          <w:noProof/>
        </w:rPr>
        <w:t>EU ETS</w:t>
      </w:r>
      <w:r w:rsidR="00364DAC" w:rsidRPr="00244D65">
        <w:rPr>
          <w:rStyle w:val="normaltextrun"/>
          <w:noProof/>
        </w:rPr>
        <w:t>,</w:t>
      </w:r>
      <w:r w:rsidRPr="00244D65">
        <w:rPr>
          <w:rStyle w:val="normaltextrun"/>
          <w:noProof/>
        </w:rPr>
        <w:t xml:space="preserve"> but </w:t>
      </w:r>
      <w:r w:rsidR="009538F7" w:rsidRPr="00244D65">
        <w:rPr>
          <w:rStyle w:val="normaltextrun"/>
          <w:noProof/>
        </w:rPr>
        <w:t xml:space="preserve">it </w:t>
      </w:r>
      <w:bookmarkStart w:id="157" w:name="_Int_twjWNYB3"/>
      <w:r w:rsidR="009538F7" w:rsidRPr="00244D65">
        <w:rPr>
          <w:rStyle w:val="normaltextrun"/>
          <w:noProof/>
        </w:rPr>
        <w:t>is not able to</w:t>
      </w:r>
      <w:bookmarkEnd w:id="157"/>
      <w:r w:rsidRPr="00244D65">
        <w:rPr>
          <w:rStyle w:val="normaltextrun"/>
          <w:noProof/>
        </w:rPr>
        <w:t xml:space="preserve"> consider </w:t>
      </w:r>
      <w:r w:rsidR="00364DAC" w:rsidRPr="00244D65">
        <w:rPr>
          <w:rStyle w:val="normaltextrun"/>
          <w:noProof/>
        </w:rPr>
        <w:t xml:space="preserve">the particular effects of </w:t>
      </w:r>
      <w:r w:rsidRPr="00244D65">
        <w:rPr>
          <w:rStyle w:val="normaltextrun"/>
          <w:noProof/>
        </w:rPr>
        <w:t>other measures</w:t>
      </w:r>
      <w:r w:rsidR="00AC7AE8" w:rsidRPr="00244D65">
        <w:rPr>
          <w:rStyle w:val="normaltextrun"/>
          <w:noProof/>
        </w:rPr>
        <w:t xml:space="preserve"> in the policy options</w:t>
      </w:r>
      <w:r w:rsidRPr="00244D65">
        <w:rPr>
          <w:rStyle w:val="normaltextrun"/>
          <w:noProof/>
        </w:rPr>
        <w:t xml:space="preserve">. Given that each of the policy options include different free allocation distributions across industry, the model run from GEM-E3 provides insights into how each policy option </w:t>
      </w:r>
      <w:r w:rsidR="00B74AC2" w:rsidRPr="00244D65">
        <w:rPr>
          <w:rStyle w:val="normaltextrun"/>
          <w:noProof/>
        </w:rPr>
        <w:t>results</w:t>
      </w:r>
      <w:r w:rsidRPr="00244D65">
        <w:rPr>
          <w:rStyle w:val="normaltextrun"/>
          <w:noProof/>
        </w:rPr>
        <w:t xml:space="preserve"> in different impacts in terms of carbon leakage. Additionally, the extension of </w:t>
      </w:r>
      <w:r w:rsidR="005F09BE" w:rsidRPr="00244D65">
        <w:rPr>
          <w:rStyle w:val="normaltextrun"/>
          <w:noProof/>
        </w:rPr>
        <w:t xml:space="preserve">EU </w:t>
      </w:r>
      <w:r w:rsidRPr="00244D65">
        <w:rPr>
          <w:rStyle w:val="normaltextrun"/>
          <w:noProof/>
        </w:rPr>
        <w:t>ETS sectoral coverage is examined to include also waste emissions in PO2 and PO3. PO2 include</w:t>
      </w:r>
      <w:r w:rsidR="004B55AC" w:rsidRPr="00244D65">
        <w:rPr>
          <w:rStyle w:val="normaltextrun"/>
          <w:noProof/>
        </w:rPr>
        <w:t>s</w:t>
      </w:r>
      <w:r w:rsidRPr="00244D65">
        <w:rPr>
          <w:rStyle w:val="normaltextrun"/>
          <w:noProof/>
        </w:rPr>
        <w:t xml:space="preserve"> only</w:t>
      </w:r>
      <w:r w:rsidR="008E7812" w:rsidRPr="00244D65">
        <w:rPr>
          <w:rStyle w:val="normaltextrun"/>
          <w:noProof/>
        </w:rPr>
        <w:t xml:space="preserve"> municipal waste incineration</w:t>
      </w:r>
      <w:r w:rsidRPr="00244D65">
        <w:rPr>
          <w:rStyle w:val="normaltextrun"/>
          <w:noProof/>
        </w:rPr>
        <w:t xml:space="preserve"> </w:t>
      </w:r>
      <w:r w:rsidR="00965957" w:rsidRPr="00244D65">
        <w:rPr>
          <w:rStyle w:val="normaltextrun"/>
          <w:noProof/>
        </w:rPr>
        <w:t>(</w:t>
      </w:r>
      <w:r w:rsidRPr="00244D65">
        <w:rPr>
          <w:rStyle w:val="normaltextrun"/>
          <w:noProof/>
        </w:rPr>
        <w:t>MWI</w:t>
      </w:r>
      <w:r w:rsidR="00965957" w:rsidRPr="00244D65">
        <w:rPr>
          <w:rStyle w:val="normaltextrun"/>
          <w:noProof/>
        </w:rPr>
        <w:t>)</w:t>
      </w:r>
      <w:r w:rsidRPr="00244D65">
        <w:rPr>
          <w:rStyle w:val="normaltextrun"/>
          <w:noProof/>
        </w:rPr>
        <w:t xml:space="preserve"> in </w:t>
      </w:r>
      <w:r w:rsidR="00F909E3" w:rsidRPr="00244D65">
        <w:rPr>
          <w:rStyle w:val="normaltextrun"/>
          <w:noProof/>
        </w:rPr>
        <w:t>EU ETS</w:t>
      </w:r>
      <w:r w:rsidRPr="00244D65">
        <w:rPr>
          <w:rStyle w:val="normaltextrun"/>
          <w:noProof/>
        </w:rPr>
        <w:t xml:space="preserve"> while PO3 includes all waste emissions under </w:t>
      </w:r>
      <w:r w:rsidR="00F909E3" w:rsidRPr="00244D65">
        <w:rPr>
          <w:rStyle w:val="normaltextrun"/>
          <w:noProof/>
        </w:rPr>
        <w:t>EU ETS</w:t>
      </w:r>
      <w:r w:rsidRPr="00244D65">
        <w:rPr>
          <w:rStyle w:val="normaltextrun"/>
          <w:noProof/>
        </w:rPr>
        <w:t>.</w:t>
      </w:r>
      <w:r w:rsidR="003032B2" w:rsidRPr="00244D65">
        <w:rPr>
          <w:rStyle w:val="normaltextrun"/>
          <w:noProof/>
        </w:rPr>
        <w:t xml:space="preserve"> </w:t>
      </w:r>
    </w:p>
    <w:p w14:paraId="377AB5AB" w14:textId="701C4C1F" w:rsidR="00821B7D" w:rsidRPr="00244D65" w:rsidRDefault="000F433C" w:rsidP="0085595C">
      <w:pPr>
        <w:ind w:right="-172"/>
        <w:rPr>
          <w:noProof/>
          <w:lang w:eastAsia="en-GB"/>
        </w:rPr>
      </w:pPr>
      <w:r w:rsidRPr="00244D65">
        <w:rPr>
          <w:rStyle w:val="normaltextrun"/>
          <w:noProof/>
        </w:rPr>
        <w:t xml:space="preserve">The evaluation </w:t>
      </w:r>
      <w:r w:rsidR="00793FDA" w:rsidRPr="00244D65">
        <w:rPr>
          <w:rStyle w:val="normaltextrun"/>
          <w:noProof/>
        </w:rPr>
        <w:t xml:space="preserve">findings confirmed that in the previous period </w:t>
      </w:r>
      <w:r w:rsidR="00BE0CFA" w:rsidRPr="00244D65">
        <w:rPr>
          <w:rStyle w:val="normaltextrun"/>
          <w:noProof/>
        </w:rPr>
        <w:t xml:space="preserve">there was </w:t>
      </w:r>
      <w:r w:rsidR="00793FDA" w:rsidRPr="00244D65">
        <w:rPr>
          <w:noProof/>
        </w:rPr>
        <w:t>little evidence of carbon leakage</w:t>
      </w:r>
      <w:r w:rsidR="00BE0CFA" w:rsidRPr="00244D65">
        <w:rPr>
          <w:noProof/>
        </w:rPr>
        <w:t xml:space="preserve"> due to the </w:t>
      </w:r>
      <w:bookmarkStart w:id="158" w:name="_Int_MCKp9Z1p"/>
      <w:r w:rsidR="00BE0CFA" w:rsidRPr="00244D65">
        <w:rPr>
          <w:noProof/>
        </w:rPr>
        <w:t>relatively low</w:t>
      </w:r>
      <w:bookmarkEnd w:id="158"/>
      <w:r w:rsidR="00BE0CFA" w:rsidRPr="00244D65">
        <w:rPr>
          <w:noProof/>
        </w:rPr>
        <w:t xml:space="preserve"> carbon price and the high share of free allocation compared to emissions. However, this </w:t>
      </w:r>
      <w:r w:rsidR="007A3405" w:rsidRPr="00244D65">
        <w:rPr>
          <w:noProof/>
        </w:rPr>
        <w:t>also</w:t>
      </w:r>
      <w:r w:rsidR="00BE0CFA" w:rsidRPr="00244D65">
        <w:rPr>
          <w:noProof/>
        </w:rPr>
        <w:t xml:space="preserve"> has </w:t>
      </w:r>
      <w:r w:rsidR="007A3405" w:rsidRPr="00244D65">
        <w:rPr>
          <w:noProof/>
        </w:rPr>
        <w:t xml:space="preserve">the effect of </w:t>
      </w:r>
      <w:r w:rsidR="008B65B9" w:rsidRPr="00244D65">
        <w:rPr>
          <w:noProof/>
        </w:rPr>
        <w:t>reducing the incentives to reduce emissions and invest in the de</w:t>
      </w:r>
      <w:r w:rsidR="00971855" w:rsidRPr="00244D65">
        <w:rPr>
          <w:noProof/>
        </w:rPr>
        <w:t xml:space="preserve">carbonisation. </w:t>
      </w:r>
      <w:r w:rsidR="00793FDA" w:rsidRPr="00244D65">
        <w:rPr>
          <w:noProof/>
        </w:rPr>
        <w:t xml:space="preserve">The revision of free allocation rules for Phase IV </w:t>
      </w:r>
      <w:r w:rsidR="00971855" w:rsidRPr="00244D65">
        <w:rPr>
          <w:noProof/>
        </w:rPr>
        <w:t>already moved in that direction to</w:t>
      </w:r>
      <w:r w:rsidR="00793FDA" w:rsidRPr="00244D65">
        <w:rPr>
          <w:noProof/>
        </w:rPr>
        <w:t xml:space="preserve"> balance the need for carbon leakage protection </w:t>
      </w:r>
      <w:r w:rsidR="000C653C" w:rsidRPr="00244D65">
        <w:rPr>
          <w:noProof/>
        </w:rPr>
        <w:t>and</w:t>
      </w:r>
      <w:r w:rsidR="00793FDA" w:rsidRPr="00244D65">
        <w:rPr>
          <w:noProof/>
        </w:rPr>
        <w:t xml:space="preserve"> the need to encourage the reduction in emissions by developing a more targeted carbon leakage list, more ambitious benchmarks, and the introduction of adjustments to allocation to better </w:t>
      </w:r>
      <w:r w:rsidR="00CE3F3F" w:rsidRPr="00244D65">
        <w:rPr>
          <w:noProof/>
        </w:rPr>
        <w:t>consider</w:t>
      </w:r>
      <w:r w:rsidR="00793FDA" w:rsidRPr="00244D65">
        <w:rPr>
          <w:noProof/>
        </w:rPr>
        <w:t xml:space="preserve"> changes in activity levels. </w:t>
      </w:r>
      <w:r w:rsidR="00CE3F3F" w:rsidRPr="00244D65">
        <w:rPr>
          <w:noProof/>
        </w:rPr>
        <w:t>The reforms to free allocation considered in this assessment continue</w:t>
      </w:r>
      <w:r w:rsidR="00256364" w:rsidRPr="00244D65">
        <w:rPr>
          <w:noProof/>
        </w:rPr>
        <w:t xml:space="preserve">s in this direction, </w:t>
      </w:r>
      <w:r w:rsidR="00FA1918" w:rsidRPr="00244D65">
        <w:rPr>
          <w:noProof/>
        </w:rPr>
        <w:t>aiming</w:t>
      </w:r>
      <w:r w:rsidR="00256364" w:rsidRPr="00244D65">
        <w:rPr>
          <w:noProof/>
        </w:rPr>
        <w:t xml:space="preserve"> to ensure a fair balance between </w:t>
      </w:r>
      <w:r w:rsidR="00FB4B3C" w:rsidRPr="00244D65">
        <w:rPr>
          <w:noProof/>
        </w:rPr>
        <w:t xml:space="preserve">safeguarding </w:t>
      </w:r>
      <w:r w:rsidR="00FA1918" w:rsidRPr="00244D65">
        <w:rPr>
          <w:noProof/>
        </w:rPr>
        <w:t xml:space="preserve">current </w:t>
      </w:r>
      <w:r w:rsidR="00FB4B3C" w:rsidRPr="00244D65">
        <w:rPr>
          <w:noProof/>
        </w:rPr>
        <w:t>competitiveness of European industry and encouraging emissions reductions and investments</w:t>
      </w:r>
      <w:r w:rsidR="009875C2" w:rsidRPr="00244D65">
        <w:rPr>
          <w:noProof/>
        </w:rPr>
        <w:t xml:space="preserve"> to promote long term competitiveness</w:t>
      </w:r>
      <w:r w:rsidR="00793FDA" w:rsidRPr="00244D65">
        <w:rPr>
          <w:noProof/>
        </w:rPr>
        <w:t>.</w:t>
      </w:r>
      <w:r w:rsidR="00FB4B3C" w:rsidRPr="00244D65">
        <w:rPr>
          <w:noProof/>
          <w:lang w:eastAsia="en-GB"/>
        </w:rPr>
        <w:t xml:space="preserve"> </w:t>
      </w:r>
      <w:r w:rsidR="00A77040" w:rsidRPr="00244D65">
        <w:rPr>
          <w:noProof/>
          <w:lang w:eastAsia="en-GB"/>
        </w:rPr>
        <w:t xml:space="preserve">The following </w:t>
      </w:r>
      <w:r w:rsidR="00821B7D" w:rsidRPr="00244D65">
        <w:rPr>
          <w:noProof/>
          <w:lang w:eastAsia="en-GB"/>
        </w:rPr>
        <w:t>reforms to free allocation are reflected in the policy options:</w:t>
      </w:r>
    </w:p>
    <w:p w14:paraId="79983869" w14:textId="61069DEE" w:rsidR="00821B7D" w:rsidRPr="00244D65" w:rsidRDefault="00821B7D" w:rsidP="0085595C">
      <w:pPr>
        <w:pStyle w:val="ListParagraph"/>
        <w:numPr>
          <w:ilvl w:val="0"/>
          <w:numId w:val="14"/>
        </w:numPr>
        <w:ind w:left="714" w:hanging="357"/>
        <w:contextualSpacing w:val="0"/>
        <w:rPr>
          <w:noProof/>
        </w:rPr>
      </w:pPr>
      <w:r w:rsidRPr="00244D65">
        <w:rPr>
          <w:noProof/>
        </w:rPr>
        <w:t xml:space="preserve">In PO1, free allocation is reformed in accordance with the CL1 measure, which assumes a continuation of free allocation for non-CBAM sectors based </w:t>
      </w:r>
      <w:r w:rsidR="003849DE" w:rsidRPr="00244D65">
        <w:rPr>
          <w:noProof/>
        </w:rPr>
        <w:t xml:space="preserve">on the existing rules, </w:t>
      </w:r>
      <w:r w:rsidR="00B14A14" w:rsidRPr="00244D65">
        <w:rPr>
          <w:noProof/>
        </w:rPr>
        <w:t xml:space="preserve">but </w:t>
      </w:r>
      <w:r w:rsidR="003849DE" w:rsidRPr="00244D65">
        <w:rPr>
          <w:noProof/>
        </w:rPr>
        <w:t>with some streamlining and simplification</w:t>
      </w:r>
      <w:r w:rsidR="00B14A14" w:rsidRPr="00244D65">
        <w:rPr>
          <w:noProof/>
        </w:rPr>
        <w:t>.</w:t>
      </w:r>
      <w:r w:rsidR="000C653C" w:rsidRPr="00244D65">
        <w:rPr>
          <w:noProof/>
        </w:rPr>
        <w:t xml:space="preserve"> </w:t>
      </w:r>
    </w:p>
    <w:p w14:paraId="5FB9056F" w14:textId="3355BB12" w:rsidR="00821B7D" w:rsidRPr="00244D65" w:rsidRDefault="00821B7D" w:rsidP="0085595C">
      <w:pPr>
        <w:pStyle w:val="ListParagraph"/>
        <w:numPr>
          <w:ilvl w:val="0"/>
          <w:numId w:val="14"/>
        </w:numPr>
        <w:ind w:left="714" w:hanging="357"/>
        <w:contextualSpacing w:val="0"/>
        <w:rPr>
          <w:noProof/>
        </w:rPr>
      </w:pPr>
      <w:r w:rsidRPr="00244D65">
        <w:rPr>
          <w:noProof/>
        </w:rPr>
        <w:t>In PO2, free allocation is reformed in accordance with the CL2 measure, which assumes that a progressive share of free allocation is conditional on investments with two variants of compliance modelled (i.e. 90% compliance and 50 % compliance).</w:t>
      </w:r>
      <w:r w:rsidR="00413869" w:rsidRPr="00244D65">
        <w:rPr>
          <w:noProof/>
        </w:rPr>
        <w:t xml:space="preserve"> This policy options also includes </w:t>
      </w:r>
      <w:r w:rsidR="004120C9" w:rsidRPr="00244D65">
        <w:rPr>
          <w:noProof/>
        </w:rPr>
        <w:t xml:space="preserve">a revision of the CBAM phase-out factor. </w:t>
      </w:r>
    </w:p>
    <w:p w14:paraId="54D5EB83" w14:textId="726073F7" w:rsidR="00821B7D" w:rsidRPr="00244D65" w:rsidRDefault="00821B7D" w:rsidP="0085595C">
      <w:pPr>
        <w:pStyle w:val="ListParagraph"/>
        <w:numPr>
          <w:ilvl w:val="0"/>
          <w:numId w:val="14"/>
        </w:numPr>
        <w:ind w:left="714" w:hanging="357"/>
        <w:contextualSpacing w:val="0"/>
        <w:rPr>
          <w:noProof/>
        </w:rPr>
      </w:pPr>
      <w:r w:rsidRPr="00244D65">
        <w:rPr>
          <w:noProof/>
        </w:rPr>
        <w:t xml:space="preserve">In PO3, free allocation is reformed in accordance with the CL3 measure, which assumes that free allowances are phased out for non-CBAM sectors at the same rate as for CBAM sectors so that from 2034 onwards no further </w:t>
      </w:r>
      <w:r w:rsidR="332FA516" w:rsidRPr="00244D65">
        <w:rPr>
          <w:noProof/>
        </w:rPr>
        <w:t>f</w:t>
      </w:r>
      <w:r w:rsidRPr="00244D65">
        <w:rPr>
          <w:noProof/>
        </w:rPr>
        <w:t>ree allocation is provided to industry.</w:t>
      </w:r>
    </w:p>
    <w:p w14:paraId="19855D85" w14:textId="1955B867" w:rsidR="00CF3FA3" w:rsidRPr="00244D65" w:rsidRDefault="00B4179F" w:rsidP="0085595C">
      <w:pPr>
        <w:rPr>
          <w:noProof/>
        </w:rPr>
      </w:pPr>
      <w:r w:rsidRPr="00244D65">
        <w:rPr>
          <w:noProof/>
        </w:rPr>
        <w:t>In addition, s</w:t>
      </w:r>
      <w:r w:rsidR="001269CA" w:rsidRPr="00244D65">
        <w:rPr>
          <w:noProof/>
        </w:rPr>
        <w:t xml:space="preserve">cenario variants </w:t>
      </w:r>
      <w:r w:rsidR="00936525" w:rsidRPr="00244D65">
        <w:rPr>
          <w:noProof/>
        </w:rPr>
        <w:t xml:space="preserve">for </w:t>
      </w:r>
      <w:r w:rsidR="00DF7E50" w:rsidRPr="00244D65">
        <w:rPr>
          <w:noProof/>
        </w:rPr>
        <w:t>PO1 and PO3</w:t>
      </w:r>
      <w:r w:rsidR="00936525" w:rsidRPr="00244D65">
        <w:rPr>
          <w:noProof/>
        </w:rPr>
        <w:t xml:space="preserve"> </w:t>
      </w:r>
      <w:r w:rsidR="001269CA" w:rsidRPr="00244D65">
        <w:rPr>
          <w:noProof/>
        </w:rPr>
        <w:t xml:space="preserve">marked with R </w:t>
      </w:r>
      <w:r w:rsidR="00B23CA3" w:rsidRPr="00244D65">
        <w:rPr>
          <w:noProof/>
        </w:rPr>
        <w:t xml:space="preserve">include revised </w:t>
      </w:r>
      <w:r w:rsidR="00E63F06" w:rsidRPr="00244D65">
        <w:rPr>
          <w:noProof/>
        </w:rPr>
        <w:t>revenue recycling assumptions</w:t>
      </w:r>
      <w:r w:rsidR="00D17F20" w:rsidRPr="00244D65">
        <w:rPr>
          <w:noProof/>
        </w:rPr>
        <w:t xml:space="preserve"> where analysed,</w:t>
      </w:r>
      <w:r w:rsidR="000C653C" w:rsidRPr="00244D65">
        <w:rPr>
          <w:noProof/>
        </w:rPr>
        <w:t xml:space="preserve"> </w:t>
      </w:r>
      <w:r w:rsidR="00E63F06" w:rsidRPr="00244D65">
        <w:rPr>
          <w:noProof/>
        </w:rPr>
        <w:t xml:space="preserve">while scenario </w:t>
      </w:r>
      <w:r w:rsidR="008426E5" w:rsidRPr="00244D65">
        <w:rPr>
          <w:noProof/>
        </w:rPr>
        <w:t xml:space="preserve">variants marked </w:t>
      </w:r>
      <w:r w:rsidR="00E50EC1" w:rsidRPr="00244D65">
        <w:rPr>
          <w:noProof/>
        </w:rPr>
        <w:t xml:space="preserve">with C for PO2 refer to </w:t>
      </w:r>
      <w:r w:rsidR="00A77040" w:rsidRPr="00244D65">
        <w:rPr>
          <w:noProof/>
        </w:rPr>
        <w:t>variants with a sl</w:t>
      </w:r>
      <w:r w:rsidRPr="00244D65">
        <w:rPr>
          <w:noProof/>
        </w:rPr>
        <w:t xml:space="preserve">ow-down of the phase-out of </w:t>
      </w:r>
      <w:r w:rsidR="00930116" w:rsidRPr="00244D65">
        <w:rPr>
          <w:noProof/>
        </w:rPr>
        <w:t xml:space="preserve">free allocation for the sectors under the scope of CBAM. </w:t>
      </w:r>
      <w:r w:rsidR="00F33FFA" w:rsidRPr="00244D65">
        <w:rPr>
          <w:noProof/>
        </w:rPr>
        <w:t>A more detailed description of the</w:t>
      </w:r>
      <w:r w:rsidR="00ED17F7" w:rsidRPr="00244D65">
        <w:rPr>
          <w:noProof/>
        </w:rPr>
        <w:t xml:space="preserve"> scenarios used in the GEM-E3 analysis can be found in Annex 12, </w:t>
      </w:r>
      <w:r w:rsidR="00F66CE1" w:rsidRPr="00244D65">
        <w:rPr>
          <w:noProof/>
        </w:rPr>
        <w:t>S</w:t>
      </w:r>
      <w:r w:rsidR="00ED17F7" w:rsidRPr="00244D65">
        <w:rPr>
          <w:noProof/>
        </w:rPr>
        <w:t>ection 1.4.1</w:t>
      </w:r>
      <w:r w:rsidRPr="00244D65">
        <w:rPr>
          <w:noProof/>
        </w:rPr>
        <w:t xml:space="preserve">. </w:t>
      </w:r>
    </w:p>
    <w:p w14:paraId="2DB8D0FD" w14:textId="75B8BDB9" w:rsidR="00821B7D" w:rsidRPr="00244D65" w:rsidRDefault="00821B7D" w:rsidP="0085595C">
      <w:pPr>
        <w:rPr>
          <w:noProof/>
        </w:rPr>
      </w:pPr>
      <w:r w:rsidRPr="00244D65">
        <w:rPr>
          <w:noProof/>
        </w:rPr>
        <w:t xml:space="preserve">These reforms to the provision of free allocation that are included within the policy options are compared to the </w:t>
      </w:r>
      <w:r w:rsidR="005B2985" w:rsidRPr="00244D65">
        <w:rPr>
          <w:noProof/>
        </w:rPr>
        <w:t xml:space="preserve">baseline </w:t>
      </w:r>
      <w:r w:rsidRPr="00244D65">
        <w:rPr>
          <w:noProof/>
        </w:rPr>
        <w:t xml:space="preserve">scenario, which </w:t>
      </w:r>
      <w:r w:rsidRPr="00244D65">
        <w:rPr>
          <w:rStyle w:val="normaltextrun"/>
          <w:noProof/>
        </w:rPr>
        <w:t>considers</w:t>
      </w:r>
      <w:r w:rsidRPr="00244D65">
        <w:rPr>
          <w:noProof/>
        </w:rPr>
        <w:t xml:space="preserve"> a phase out of free allocation until 2040.</w:t>
      </w:r>
    </w:p>
    <w:p w14:paraId="0CA52505" w14:textId="22371C35" w:rsidR="00821B7D" w:rsidRPr="00244D65" w:rsidRDefault="00821B7D" w:rsidP="0085595C">
      <w:pPr>
        <w:rPr>
          <w:noProof/>
        </w:rPr>
      </w:pPr>
      <w:r w:rsidRPr="00244D65">
        <w:rPr>
          <w:noProof/>
        </w:rPr>
        <w:t xml:space="preserve">The conventional approach for carbon leakage assessment considers the emissions that increase in one (not </w:t>
      </w:r>
      <w:r w:rsidRPr="00244D65">
        <w:rPr>
          <w:rStyle w:val="normaltextrun"/>
          <w:noProof/>
        </w:rPr>
        <w:t>regulated</w:t>
      </w:r>
      <w:r w:rsidRPr="00244D65">
        <w:rPr>
          <w:noProof/>
        </w:rPr>
        <w:t xml:space="preserve">) region whilst decreasing in another regulated </w:t>
      </w:r>
      <w:r w:rsidR="00F61FA1" w:rsidRPr="00244D65">
        <w:rPr>
          <w:noProof/>
        </w:rPr>
        <w:t>region and</w:t>
      </w:r>
      <w:r w:rsidRPr="00244D65">
        <w:rPr>
          <w:noProof/>
        </w:rPr>
        <w:t xml:space="preserve"> can be expressed by the following simple formula:</w:t>
      </w:r>
      <w:r w:rsidRPr="00244D65">
        <w:rPr>
          <w:i/>
          <w:iCs/>
          <w:noProof/>
        </w:rPr>
        <w:t xml:space="preserve"> Carbon leakage rate = increase in foreign emissions / decrease in domestic emissions.</w:t>
      </w:r>
      <w:r w:rsidR="003F0AB1" w:rsidRPr="00244D65">
        <w:rPr>
          <w:i/>
          <w:iCs/>
          <w:noProof/>
        </w:rPr>
        <w:t xml:space="preserve"> </w:t>
      </w:r>
      <w:r w:rsidRPr="00244D65">
        <w:rPr>
          <w:noProof/>
        </w:rPr>
        <w:t xml:space="preserve">However, EU27 </w:t>
      </w:r>
      <w:r w:rsidR="00F909E3" w:rsidRPr="00244D65">
        <w:rPr>
          <w:noProof/>
        </w:rPr>
        <w:t>EU ETS</w:t>
      </w:r>
      <w:r w:rsidRPr="00244D65">
        <w:rPr>
          <w:noProof/>
        </w:rPr>
        <w:t xml:space="preserve"> GHG emissions increase from </w:t>
      </w:r>
      <w:r w:rsidR="00AF51E2" w:rsidRPr="00244D65">
        <w:rPr>
          <w:noProof/>
        </w:rPr>
        <w:t>baseline</w:t>
      </w:r>
      <w:r w:rsidRPr="00244D65">
        <w:rPr>
          <w:noProof/>
        </w:rPr>
        <w:t xml:space="preserve"> levels in all </w:t>
      </w:r>
      <w:r w:rsidR="00D00AF6" w:rsidRPr="00244D65">
        <w:rPr>
          <w:noProof/>
        </w:rPr>
        <w:t>policy options</w:t>
      </w:r>
      <w:r w:rsidR="005C3E43" w:rsidRPr="00244D65">
        <w:rPr>
          <w:noProof/>
        </w:rPr>
        <w:t>,</w:t>
      </w:r>
      <w:r w:rsidR="009E7CB3" w:rsidRPr="00244D65">
        <w:rPr>
          <w:noProof/>
        </w:rPr>
        <w:t xml:space="preserve"> as the ambition level is </w:t>
      </w:r>
      <w:r w:rsidR="00AE3139" w:rsidRPr="00244D65">
        <w:rPr>
          <w:noProof/>
        </w:rPr>
        <w:t>reduced</w:t>
      </w:r>
      <w:r w:rsidRPr="00244D65">
        <w:rPr>
          <w:noProof/>
        </w:rPr>
        <w:t xml:space="preserve">. </w:t>
      </w:r>
      <w:r w:rsidR="00EC51A8" w:rsidRPr="00244D65">
        <w:rPr>
          <w:noProof/>
        </w:rPr>
        <w:t xml:space="preserve">Within the limitations of the GEM-E3 model, </w:t>
      </w:r>
      <w:r w:rsidR="005D17E7" w:rsidRPr="00244D65">
        <w:rPr>
          <w:noProof/>
        </w:rPr>
        <w:t>the results show that a</w:t>
      </w:r>
      <w:r w:rsidRPr="00244D65">
        <w:rPr>
          <w:noProof/>
        </w:rPr>
        <w:t xml:space="preserve">s </w:t>
      </w:r>
      <w:r w:rsidR="00983466" w:rsidRPr="00244D65">
        <w:rPr>
          <w:noProof/>
        </w:rPr>
        <w:t>these</w:t>
      </w:r>
      <w:r w:rsidRPr="00244D65">
        <w:rPr>
          <w:noProof/>
        </w:rPr>
        <w:t xml:space="preserve"> emissions increase, </w:t>
      </w:r>
      <w:r w:rsidR="00983466" w:rsidRPr="00244D65">
        <w:rPr>
          <w:noProof/>
        </w:rPr>
        <w:t>the</w:t>
      </w:r>
      <w:r w:rsidRPr="00244D65">
        <w:rPr>
          <w:noProof/>
        </w:rPr>
        <w:t xml:space="preserve"> </w:t>
      </w:r>
      <w:r w:rsidR="005C3E43" w:rsidRPr="00244D65">
        <w:rPr>
          <w:noProof/>
        </w:rPr>
        <w:t xml:space="preserve">ETS </w:t>
      </w:r>
      <w:r w:rsidRPr="00244D65">
        <w:rPr>
          <w:noProof/>
        </w:rPr>
        <w:t>sectors</w:t>
      </w:r>
      <w:r w:rsidR="00983466" w:rsidRPr="00244D65">
        <w:rPr>
          <w:noProof/>
        </w:rPr>
        <w:t xml:space="preserve"> </w:t>
      </w:r>
      <w:r w:rsidR="015570A0" w:rsidRPr="00244D65">
        <w:rPr>
          <w:noProof/>
        </w:rPr>
        <w:t>covered are</w:t>
      </w:r>
      <w:r w:rsidRPr="00244D65">
        <w:rPr>
          <w:noProof/>
        </w:rPr>
        <w:t xml:space="preserve"> not threatened by carbon leakage risks. </w:t>
      </w:r>
      <w:r w:rsidR="00F41B90" w:rsidRPr="00244D65">
        <w:rPr>
          <w:noProof/>
        </w:rPr>
        <w:t>Instead,</w:t>
      </w:r>
      <w:r w:rsidRPr="00244D65">
        <w:rPr>
          <w:noProof/>
        </w:rPr>
        <w:t xml:space="preserve"> the impacts on EU, non-EU and global GHG emissions </w:t>
      </w:r>
      <w:r w:rsidR="00F41B90" w:rsidRPr="00244D65">
        <w:rPr>
          <w:noProof/>
        </w:rPr>
        <w:t xml:space="preserve">are presented </w:t>
      </w:r>
      <w:r w:rsidRPr="00244D65">
        <w:rPr>
          <w:noProof/>
        </w:rPr>
        <w:t>to discuss environmental implications both at the EU level and beyond.</w:t>
      </w:r>
    </w:p>
    <w:p w14:paraId="1C7BC364" w14:textId="77BF2A3A" w:rsidR="00A12F7D" w:rsidRPr="00244D65" w:rsidRDefault="00821B7D" w:rsidP="0085595C">
      <w:pPr>
        <w:rPr>
          <w:rFonts w:eastAsia="Arial"/>
          <w:noProof/>
        </w:rPr>
      </w:pPr>
      <w:r w:rsidRPr="00244D65">
        <w:rPr>
          <w:noProof/>
        </w:rPr>
        <w:t xml:space="preserve">Emissions are influenced both </w:t>
      </w:r>
      <w:r w:rsidRPr="00244D65">
        <w:rPr>
          <w:rStyle w:val="normaltextrun"/>
          <w:noProof/>
        </w:rPr>
        <w:t>by</w:t>
      </w:r>
      <w:r w:rsidRPr="00244D65">
        <w:rPr>
          <w:noProof/>
        </w:rPr>
        <w:t xml:space="preserve"> the number of free allowances allocated and by the carbon price required to meet the </w:t>
      </w:r>
      <w:r w:rsidR="00F909E3" w:rsidRPr="00244D65">
        <w:rPr>
          <w:noProof/>
        </w:rPr>
        <w:t>EU ETS</w:t>
      </w:r>
      <w:r w:rsidRPr="00244D65">
        <w:rPr>
          <w:noProof/>
        </w:rPr>
        <w:t xml:space="preserve"> cap. In </w:t>
      </w:r>
      <w:r w:rsidR="00A45A52" w:rsidRPr="00244D65">
        <w:rPr>
          <w:noProof/>
        </w:rPr>
        <w:t>PO2</w:t>
      </w:r>
      <w:r w:rsidRPr="00244D65">
        <w:rPr>
          <w:noProof/>
        </w:rPr>
        <w:t xml:space="preserve">—and especially in </w:t>
      </w:r>
      <w:r w:rsidR="00A45A52" w:rsidRPr="00244D65">
        <w:rPr>
          <w:noProof/>
        </w:rPr>
        <w:t>PO3</w:t>
      </w:r>
      <w:r w:rsidRPr="00244D65">
        <w:rPr>
          <w:noProof/>
        </w:rPr>
        <w:t xml:space="preserve">—the inclusion of waste emissions in </w:t>
      </w:r>
      <w:r w:rsidR="00F909E3" w:rsidRPr="00244D65">
        <w:rPr>
          <w:noProof/>
        </w:rPr>
        <w:t>EU ETS</w:t>
      </w:r>
      <w:r w:rsidRPr="00244D65">
        <w:rPr>
          <w:noProof/>
        </w:rPr>
        <w:t xml:space="preserve"> </w:t>
      </w:r>
      <w:r w:rsidR="0006639C" w:rsidRPr="00244D65">
        <w:rPr>
          <w:noProof/>
        </w:rPr>
        <w:t>results in an increase of the cap</w:t>
      </w:r>
      <w:r w:rsidR="000D2F75" w:rsidRPr="00244D65">
        <w:rPr>
          <w:noProof/>
        </w:rPr>
        <w:t xml:space="preserve">, which </w:t>
      </w:r>
      <w:r w:rsidR="000F3DA2" w:rsidRPr="00244D65">
        <w:rPr>
          <w:noProof/>
        </w:rPr>
        <w:t xml:space="preserve">leads </w:t>
      </w:r>
      <w:r w:rsidRPr="00244D65">
        <w:rPr>
          <w:noProof/>
        </w:rPr>
        <w:t xml:space="preserve">to higher emissions across all </w:t>
      </w:r>
      <w:r w:rsidR="00F909E3" w:rsidRPr="00244D65">
        <w:rPr>
          <w:noProof/>
        </w:rPr>
        <w:t>EU ETS</w:t>
      </w:r>
      <w:r w:rsidRPr="00244D65">
        <w:rPr>
          <w:noProof/>
        </w:rPr>
        <w:t xml:space="preserve"> sectors. In addition, </w:t>
      </w:r>
      <w:r w:rsidR="000D2F75" w:rsidRPr="00244D65">
        <w:rPr>
          <w:noProof/>
        </w:rPr>
        <w:t xml:space="preserve">the increase of the cap for </w:t>
      </w:r>
      <w:r w:rsidR="001868B7" w:rsidRPr="00244D65">
        <w:rPr>
          <w:noProof/>
        </w:rPr>
        <w:t>PO1</w:t>
      </w:r>
      <w:r w:rsidRPr="00244D65">
        <w:rPr>
          <w:noProof/>
        </w:rPr>
        <w:t xml:space="preserve"> and </w:t>
      </w:r>
      <w:r w:rsidR="001868B7" w:rsidRPr="00244D65">
        <w:rPr>
          <w:noProof/>
        </w:rPr>
        <w:t>PO2</w:t>
      </w:r>
      <w:r w:rsidRPr="00244D65">
        <w:rPr>
          <w:noProof/>
        </w:rPr>
        <w:t xml:space="preserve"> </w:t>
      </w:r>
      <w:r w:rsidR="000D2F75" w:rsidRPr="00244D65">
        <w:rPr>
          <w:noProof/>
        </w:rPr>
        <w:t>result in</w:t>
      </w:r>
      <w:r w:rsidRPr="00244D65">
        <w:rPr>
          <w:noProof/>
        </w:rPr>
        <w:t xml:space="preserve"> higher allocation of free allowances</w:t>
      </w:r>
      <w:r w:rsidR="001868B7" w:rsidRPr="00244D65">
        <w:rPr>
          <w:noProof/>
        </w:rPr>
        <w:t xml:space="preserve"> compared to the baseline</w:t>
      </w:r>
      <w:r w:rsidRPr="00244D65">
        <w:rPr>
          <w:noProof/>
        </w:rPr>
        <w:t>, thus providing additional protection against carbon leakage.</w:t>
      </w:r>
      <w:r w:rsidR="008F7610" w:rsidRPr="00244D65">
        <w:rPr>
          <w:noProof/>
        </w:rPr>
        <w:t xml:space="preserve"> </w:t>
      </w:r>
      <w:r w:rsidRPr="00244D65">
        <w:rPr>
          <w:noProof/>
        </w:rPr>
        <w:t xml:space="preserve">Overall, EU27 emissions increase across most </w:t>
      </w:r>
      <w:r w:rsidRPr="00244D65">
        <w:rPr>
          <w:rStyle w:val="normaltextrun"/>
          <w:noProof/>
        </w:rPr>
        <w:t>scenarios</w:t>
      </w:r>
      <w:r w:rsidRPr="00244D65">
        <w:rPr>
          <w:noProof/>
        </w:rPr>
        <w:t>, driven by three main factors:</w:t>
      </w:r>
      <w:r w:rsidR="008F7610" w:rsidRPr="00244D65">
        <w:rPr>
          <w:noProof/>
        </w:rPr>
        <w:t xml:space="preserve"> </w:t>
      </w:r>
      <w:r w:rsidRPr="00244D65">
        <w:rPr>
          <w:rFonts w:eastAsia="Arial"/>
          <w:noProof/>
        </w:rPr>
        <w:t xml:space="preserve">1) the number of free allowances allocated in </w:t>
      </w:r>
      <w:r w:rsidR="00F909E3" w:rsidRPr="00244D65">
        <w:rPr>
          <w:rFonts w:eastAsia="Arial"/>
          <w:noProof/>
        </w:rPr>
        <w:t>EU ETS</w:t>
      </w:r>
      <w:r w:rsidRPr="00244D65">
        <w:rPr>
          <w:rFonts w:eastAsia="Arial"/>
          <w:noProof/>
        </w:rPr>
        <w:t xml:space="preserve"> sectors</w:t>
      </w:r>
      <w:r w:rsidR="008F7610" w:rsidRPr="00244D65">
        <w:rPr>
          <w:rFonts w:eastAsia="Arial"/>
          <w:noProof/>
        </w:rPr>
        <w:t xml:space="preserve">; </w:t>
      </w:r>
      <w:r w:rsidRPr="00244D65">
        <w:rPr>
          <w:rFonts w:eastAsia="Arial"/>
          <w:noProof/>
        </w:rPr>
        <w:t xml:space="preserve">2) the carbon price required to meet the </w:t>
      </w:r>
      <w:r w:rsidR="00F909E3" w:rsidRPr="00244D65">
        <w:rPr>
          <w:rFonts w:eastAsia="Arial"/>
          <w:noProof/>
        </w:rPr>
        <w:t>EU ETS</w:t>
      </w:r>
      <w:r w:rsidRPr="00244D65">
        <w:rPr>
          <w:rFonts w:eastAsia="Arial"/>
          <w:noProof/>
        </w:rPr>
        <w:t xml:space="preserve"> cap and</w:t>
      </w:r>
      <w:r w:rsidR="008F7610" w:rsidRPr="00244D65">
        <w:rPr>
          <w:rFonts w:eastAsia="Arial"/>
          <w:noProof/>
        </w:rPr>
        <w:t xml:space="preserve"> </w:t>
      </w:r>
      <w:r w:rsidRPr="00244D65">
        <w:rPr>
          <w:rFonts w:eastAsia="Arial"/>
          <w:noProof/>
        </w:rPr>
        <w:t xml:space="preserve">3) the increase in economic activity observed in all scenarios. At the level of the total economy, EU27 emissions increase </w:t>
      </w:r>
      <w:r w:rsidR="00163D5D" w:rsidRPr="00244D65">
        <w:rPr>
          <w:rFonts w:eastAsia="Arial"/>
          <w:noProof/>
        </w:rPr>
        <w:t>because of</w:t>
      </w:r>
      <w:r w:rsidRPr="00244D65">
        <w:rPr>
          <w:rFonts w:eastAsia="Arial"/>
          <w:noProof/>
        </w:rPr>
        <w:t xml:space="preserve"> higher overall activity across all scenarios</w:t>
      </w:r>
      <w:r w:rsidR="00925311" w:rsidRPr="00244D65">
        <w:rPr>
          <w:rFonts w:eastAsia="Arial"/>
          <w:noProof/>
        </w:rPr>
        <w:t>.</w:t>
      </w:r>
      <w:r w:rsidR="000C653C" w:rsidRPr="00244D65">
        <w:rPr>
          <w:rFonts w:eastAsia="Arial"/>
          <w:noProof/>
        </w:rPr>
        <w:t xml:space="preserve"> </w:t>
      </w:r>
      <w:r w:rsidR="00FE2777" w:rsidRPr="00244D65">
        <w:rPr>
          <w:rFonts w:eastAsia="Arial"/>
          <w:noProof/>
        </w:rPr>
        <w:t>The econom</w:t>
      </w:r>
      <w:r w:rsidR="004D7E9D" w:rsidRPr="00244D65">
        <w:rPr>
          <w:rFonts w:eastAsia="Arial"/>
          <w:noProof/>
        </w:rPr>
        <w:t>y</w:t>
      </w:r>
      <w:r w:rsidR="00FE2777" w:rsidRPr="00244D65">
        <w:rPr>
          <w:rFonts w:eastAsia="Arial"/>
          <w:noProof/>
        </w:rPr>
        <w:t xml:space="preserve"> </w:t>
      </w:r>
      <w:r w:rsidR="004D7E9D" w:rsidRPr="00244D65">
        <w:rPr>
          <w:rFonts w:eastAsia="Arial"/>
          <w:noProof/>
        </w:rPr>
        <w:t xml:space="preserve">wide </w:t>
      </w:r>
      <w:r w:rsidR="00FE2777" w:rsidRPr="00244D65">
        <w:rPr>
          <w:rFonts w:eastAsia="Arial"/>
          <w:noProof/>
        </w:rPr>
        <w:t xml:space="preserve">increase of EU27 emissions ranges between an additional 7 </w:t>
      </w:r>
      <w:r w:rsidR="00FE2777" w:rsidRPr="00244D65">
        <w:rPr>
          <w:noProof/>
        </w:rPr>
        <w:t>MtCO</w:t>
      </w:r>
      <w:r w:rsidR="00FE2777" w:rsidRPr="00244D65">
        <w:rPr>
          <w:noProof/>
          <w:vertAlign w:val="subscript"/>
        </w:rPr>
        <w:t>2</w:t>
      </w:r>
      <w:r w:rsidR="00FE2777" w:rsidRPr="00244D65">
        <w:rPr>
          <w:noProof/>
        </w:rPr>
        <w:t xml:space="preserve">eq </w:t>
      </w:r>
      <w:r w:rsidR="00647B2D" w:rsidRPr="00244D65">
        <w:rPr>
          <w:noProof/>
        </w:rPr>
        <w:t xml:space="preserve">in 2040 </w:t>
      </w:r>
      <w:r w:rsidR="00FE2777" w:rsidRPr="00244D65">
        <w:rPr>
          <w:noProof/>
        </w:rPr>
        <w:t>under PO2</w:t>
      </w:r>
      <w:r w:rsidR="001F5833" w:rsidRPr="00244D65">
        <w:rPr>
          <w:noProof/>
        </w:rPr>
        <w:t xml:space="preserve">, </w:t>
      </w:r>
      <w:r w:rsidR="00FE2777" w:rsidRPr="00244D65">
        <w:rPr>
          <w:noProof/>
        </w:rPr>
        <w:t>50</w:t>
      </w:r>
      <w:r w:rsidR="00FE2777" w:rsidRPr="00244D65">
        <w:rPr>
          <w:rFonts w:eastAsia="Arial"/>
          <w:noProof/>
        </w:rPr>
        <w:t xml:space="preserve"> </w:t>
      </w:r>
      <w:r w:rsidR="00FE2777" w:rsidRPr="00244D65">
        <w:rPr>
          <w:noProof/>
        </w:rPr>
        <w:t>and 46 MtCO</w:t>
      </w:r>
      <w:r w:rsidR="00FE2777" w:rsidRPr="00244D65">
        <w:rPr>
          <w:noProof/>
          <w:vertAlign w:val="subscript"/>
        </w:rPr>
        <w:t>2</w:t>
      </w:r>
      <w:r w:rsidR="00FE2777" w:rsidRPr="00244D65">
        <w:rPr>
          <w:noProof/>
        </w:rPr>
        <w:t>eq under PO3</w:t>
      </w:r>
      <w:r w:rsidR="00647B2D" w:rsidRPr="00244D65">
        <w:rPr>
          <w:noProof/>
        </w:rPr>
        <w:t>, compared to the baseline</w:t>
      </w:r>
      <w:r w:rsidR="00FE2777" w:rsidRPr="00244D65">
        <w:rPr>
          <w:rFonts w:eastAsia="Arial"/>
          <w:noProof/>
        </w:rPr>
        <w:t>.</w:t>
      </w:r>
      <w:r w:rsidR="008D66BB" w:rsidRPr="00244D65">
        <w:rPr>
          <w:rFonts w:eastAsia="Arial"/>
          <w:noProof/>
        </w:rPr>
        <w:t xml:space="preserve"> In terms of sectoral </w:t>
      </w:r>
      <w:r w:rsidR="00CC1C05" w:rsidRPr="00244D65">
        <w:rPr>
          <w:rFonts w:eastAsia="Arial"/>
          <w:noProof/>
        </w:rPr>
        <w:t>results, the most significant increase of emissions is recor</w:t>
      </w:r>
      <w:r w:rsidR="00C35E0C" w:rsidRPr="00244D65">
        <w:rPr>
          <w:rFonts w:eastAsia="Arial"/>
          <w:noProof/>
        </w:rPr>
        <w:t>d</w:t>
      </w:r>
      <w:r w:rsidR="00CC1C05" w:rsidRPr="00244D65">
        <w:rPr>
          <w:rFonts w:eastAsia="Arial"/>
          <w:noProof/>
        </w:rPr>
        <w:t>ed for the non-metallic sector</w:t>
      </w:r>
      <w:r w:rsidR="00647B2D" w:rsidRPr="00244D65">
        <w:rPr>
          <w:rFonts w:eastAsia="Arial"/>
          <w:noProof/>
        </w:rPr>
        <w:t xml:space="preserve">, with up to 10 </w:t>
      </w:r>
      <w:r w:rsidR="00647B2D" w:rsidRPr="00244D65">
        <w:rPr>
          <w:noProof/>
        </w:rPr>
        <w:t>MtCO</w:t>
      </w:r>
      <w:r w:rsidR="00647B2D" w:rsidRPr="00244D65">
        <w:rPr>
          <w:noProof/>
          <w:vertAlign w:val="subscript"/>
        </w:rPr>
        <w:t>2</w:t>
      </w:r>
      <w:r w:rsidR="00647B2D" w:rsidRPr="00244D65">
        <w:rPr>
          <w:noProof/>
        </w:rPr>
        <w:t>eq in 2040 under PO3.</w:t>
      </w:r>
      <w:r w:rsidR="00614584" w:rsidRPr="00244D65">
        <w:rPr>
          <w:noProof/>
        </w:rPr>
        <w:t xml:space="preserve"> </w:t>
      </w:r>
      <w:r w:rsidR="00A12F7D" w:rsidRPr="00244D65">
        <w:rPr>
          <w:rFonts w:eastAsia="Arial"/>
          <w:noProof/>
        </w:rPr>
        <w:t xml:space="preserve">Additional details, including figures and insight for selected sectors can be found in Annex 12, </w:t>
      </w:r>
      <w:r w:rsidR="000B7A80" w:rsidRPr="00244D65">
        <w:rPr>
          <w:rFonts w:eastAsia="Arial"/>
          <w:noProof/>
        </w:rPr>
        <w:t>S</w:t>
      </w:r>
      <w:r w:rsidR="00A12F7D" w:rsidRPr="00244D65">
        <w:rPr>
          <w:rFonts w:eastAsia="Arial"/>
          <w:noProof/>
        </w:rPr>
        <w:t>ection 1.4.4.1</w:t>
      </w:r>
      <w:r w:rsidR="001F5833" w:rsidRPr="00244D65">
        <w:rPr>
          <w:rFonts w:eastAsia="Arial"/>
          <w:noProof/>
        </w:rPr>
        <w:t>.</w:t>
      </w:r>
    </w:p>
    <w:p w14:paraId="57E56974" w14:textId="472589E6" w:rsidR="00057861" w:rsidRPr="00244D65" w:rsidRDefault="007B47CC" w:rsidP="0085595C">
      <w:pPr>
        <w:pStyle w:val="paragraph"/>
        <w:spacing w:before="120" w:beforeAutospacing="0" w:after="120" w:afterAutospacing="0"/>
        <w:jc w:val="both"/>
        <w:rPr>
          <w:noProof/>
          <w:lang w:eastAsia="en-GB"/>
        </w:rPr>
      </w:pPr>
      <w:r w:rsidRPr="00244D65">
        <w:rPr>
          <w:noProof/>
          <w:lang w:val="en-GB" w:eastAsia="en-GB"/>
        </w:rPr>
        <w:t>I</w:t>
      </w:r>
      <w:r w:rsidR="00057861" w:rsidRPr="00244D65">
        <w:rPr>
          <w:noProof/>
          <w:lang w:val="en-GB" w:eastAsia="en-GB"/>
        </w:rPr>
        <w:t xml:space="preserve">ndirect carbon cost </w:t>
      </w:r>
      <w:r w:rsidR="00E22C56" w:rsidRPr="00244D65">
        <w:rPr>
          <w:noProof/>
          <w:lang w:val="en-GB" w:eastAsia="en-GB"/>
        </w:rPr>
        <w:t xml:space="preserve">(ICC) </w:t>
      </w:r>
      <w:r w:rsidR="00057861" w:rsidRPr="00244D65">
        <w:rPr>
          <w:noProof/>
          <w:lang w:val="en-GB" w:eastAsia="en-GB"/>
        </w:rPr>
        <w:t xml:space="preserve">compensation </w:t>
      </w:r>
      <w:r w:rsidR="00F912CD" w:rsidRPr="00244D65">
        <w:rPr>
          <w:noProof/>
          <w:lang w:val="en-GB" w:eastAsia="en-GB"/>
        </w:rPr>
        <w:t xml:space="preserve">can </w:t>
      </w:r>
      <w:r w:rsidR="00E40C35" w:rsidRPr="00244D65">
        <w:rPr>
          <w:noProof/>
          <w:lang w:val="en-GB" w:eastAsia="en-GB"/>
        </w:rPr>
        <w:t>provide</w:t>
      </w:r>
      <w:r w:rsidR="00F912CD" w:rsidRPr="00244D65">
        <w:rPr>
          <w:noProof/>
          <w:lang w:val="en-GB" w:eastAsia="en-GB"/>
        </w:rPr>
        <w:t xml:space="preserve"> substantial</w:t>
      </w:r>
      <w:r w:rsidR="00E40C35" w:rsidRPr="00244D65">
        <w:rPr>
          <w:noProof/>
          <w:lang w:val="en-GB" w:eastAsia="en-GB"/>
        </w:rPr>
        <w:t xml:space="preserve"> environmental benefits</w:t>
      </w:r>
      <w:r w:rsidR="00F912CD" w:rsidRPr="00244D65">
        <w:rPr>
          <w:noProof/>
          <w:lang w:val="en-GB" w:eastAsia="en-GB"/>
        </w:rPr>
        <w:t>,</w:t>
      </w:r>
      <w:r w:rsidR="00E40C35" w:rsidRPr="00244D65">
        <w:rPr>
          <w:noProof/>
          <w:lang w:val="en-GB" w:eastAsia="en-GB"/>
        </w:rPr>
        <w:t xml:space="preserve"> since</w:t>
      </w:r>
      <w:r w:rsidR="00F912CD" w:rsidRPr="00244D65">
        <w:rPr>
          <w:noProof/>
          <w:lang w:val="en-GB" w:eastAsia="en-GB"/>
        </w:rPr>
        <w:t xml:space="preserve"> electrified technologies ha</w:t>
      </w:r>
      <w:r w:rsidR="00A17E44" w:rsidRPr="00244D65">
        <w:rPr>
          <w:noProof/>
          <w:lang w:val="en-GB" w:eastAsia="en-GB"/>
        </w:rPr>
        <w:t>ve the potential to p</w:t>
      </w:r>
      <w:r w:rsidR="005225E4" w:rsidRPr="00244D65">
        <w:rPr>
          <w:noProof/>
          <w:lang w:val="en-GB" w:eastAsia="en-GB"/>
        </w:rPr>
        <w:t>ro</w:t>
      </w:r>
      <w:r w:rsidR="00A17E44" w:rsidRPr="00244D65">
        <w:rPr>
          <w:noProof/>
          <w:lang w:val="en-GB" w:eastAsia="en-GB"/>
        </w:rPr>
        <w:t xml:space="preserve">vide </w:t>
      </w:r>
      <w:r w:rsidR="005225E4" w:rsidRPr="00244D65">
        <w:rPr>
          <w:noProof/>
          <w:lang w:val="en-GB" w:eastAsia="en-GB"/>
        </w:rPr>
        <w:t>up to 90% of Europe’s industrial heat demand by 2035.</w:t>
      </w:r>
      <w:r w:rsidR="00471B0B" w:rsidRPr="00244D65">
        <w:rPr>
          <w:noProof/>
          <w:lang w:val="en-GB" w:eastAsia="en-GB"/>
        </w:rPr>
        <w:t xml:space="preserve"> </w:t>
      </w:r>
      <w:r w:rsidR="00082FB2" w:rsidRPr="00244D65">
        <w:rPr>
          <w:noProof/>
          <w:lang w:val="en-GB" w:eastAsia="en-GB"/>
        </w:rPr>
        <w:t>Electrification, combined with decarbonisation of electricity supply, therefore delivers</w:t>
      </w:r>
      <w:r w:rsidR="0017464B" w:rsidRPr="00244D65">
        <w:rPr>
          <w:noProof/>
          <w:lang w:val="en-GB" w:eastAsia="en-GB"/>
        </w:rPr>
        <w:t xml:space="preserve"> </w:t>
      </w:r>
      <w:r w:rsidR="004B7E7D" w:rsidRPr="00244D65">
        <w:rPr>
          <w:noProof/>
          <w:lang w:val="en-GB" w:eastAsia="en-GB"/>
        </w:rPr>
        <w:t>a</w:t>
      </w:r>
      <w:r w:rsidR="0017464B" w:rsidRPr="00244D65">
        <w:rPr>
          <w:noProof/>
          <w:lang w:val="en-GB" w:eastAsia="en-GB"/>
        </w:rPr>
        <w:t xml:space="preserve"> climate</w:t>
      </w:r>
      <w:r w:rsidR="00471B0B" w:rsidRPr="00244D65">
        <w:rPr>
          <w:noProof/>
          <w:lang w:val="en-GB" w:eastAsia="en-GB"/>
        </w:rPr>
        <w:t xml:space="preserve"> benefit</w:t>
      </w:r>
      <w:r w:rsidR="004B7E7D" w:rsidRPr="00244D65">
        <w:rPr>
          <w:noProof/>
          <w:lang w:val="en-GB" w:eastAsia="en-GB"/>
        </w:rPr>
        <w:t>. The extent of the benefit</w:t>
      </w:r>
      <w:r w:rsidR="00471B0B" w:rsidRPr="00244D65">
        <w:rPr>
          <w:noProof/>
          <w:lang w:val="en-GB" w:eastAsia="en-GB"/>
        </w:rPr>
        <w:t xml:space="preserve"> depend</w:t>
      </w:r>
      <w:r w:rsidR="004B7E7D" w:rsidRPr="00244D65">
        <w:rPr>
          <w:noProof/>
          <w:lang w:val="en-GB" w:eastAsia="en-GB"/>
        </w:rPr>
        <w:t>s</w:t>
      </w:r>
      <w:r w:rsidR="00471B0B" w:rsidRPr="00244D65">
        <w:rPr>
          <w:noProof/>
          <w:lang w:val="en-GB" w:eastAsia="en-GB"/>
        </w:rPr>
        <w:t xml:space="preserve"> on the</w:t>
      </w:r>
      <w:r w:rsidR="00EA3812" w:rsidRPr="00244D65">
        <w:rPr>
          <w:noProof/>
          <w:lang w:val="en-GB" w:eastAsia="en-GB"/>
        </w:rPr>
        <w:t xml:space="preserve"> mixture of</w:t>
      </w:r>
      <w:r w:rsidR="00471B0B" w:rsidRPr="00244D65">
        <w:rPr>
          <w:noProof/>
          <w:lang w:val="en-GB" w:eastAsia="en-GB"/>
        </w:rPr>
        <w:t xml:space="preserve"> </w:t>
      </w:r>
      <w:r w:rsidR="0028426D" w:rsidRPr="00244D65">
        <w:rPr>
          <w:noProof/>
          <w:lang w:val="en-GB" w:eastAsia="en-GB"/>
        </w:rPr>
        <w:t xml:space="preserve">fossil-based </w:t>
      </w:r>
      <w:r w:rsidR="00471B0B" w:rsidRPr="00244D65">
        <w:rPr>
          <w:noProof/>
          <w:lang w:val="en-GB" w:eastAsia="en-GB"/>
        </w:rPr>
        <w:t xml:space="preserve">industrial </w:t>
      </w:r>
      <w:r w:rsidR="00EA3812" w:rsidRPr="00244D65">
        <w:rPr>
          <w:noProof/>
          <w:lang w:val="en-GB" w:eastAsia="en-GB"/>
        </w:rPr>
        <w:t>processes that are replaced, as well as the emissions from increased electricity demand.</w:t>
      </w:r>
      <w:r w:rsidR="00104B33" w:rsidRPr="00244D65">
        <w:rPr>
          <w:noProof/>
          <w:lang w:val="en-GB" w:eastAsia="en-GB"/>
        </w:rPr>
        <w:t xml:space="preserve"> </w:t>
      </w:r>
      <w:r w:rsidR="00FA014A" w:rsidRPr="00244D65">
        <w:rPr>
          <w:noProof/>
          <w:lang w:val="en-GB" w:eastAsia="en-GB"/>
        </w:rPr>
        <w:t>ICC</w:t>
      </w:r>
      <w:r w:rsidR="0086566D" w:rsidRPr="00244D65">
        <w:rPr>
          <w:noProof/>
          <w:lang w:val="en-GB" w:eastAsia="en-GB"/>
        </w:rPr>
        <w:t xml:space="preserve"> compensation</w:t>
      </w:r>
      <w:r w:rsidR="00CC0CA5" w:rsidRPr="00244D65">
        <w:rPr>
          <w:noProof/>
          <w:lang w:val="en-GB" w:eastAsia="en-GB"/>
        </w:rPr>
        <w:t xml:space="preserve"> </w:t>
      </w:r>
      <w:r w:rsidR="00BC2CE3" w:rsidRPr="00244D65">
        <w:rPr>
          <w:noProof/>
          <w:lang w:val="en-GB" w:eastAsia="en-GB"/>
        </w:rPr>
        <w:t>support</w:t>
      </w:r>
      <w:r w:rsidR="00FA014A" w:rsidRPr="00244D65">
        <w:rPr>
          <w:noProof/>
          <w:lang w:val="en-GB" w:eastAsia="en-GB"/>
        </w:rPr>
        <w:t>s</w:t>
      </w:r>
      <w:r w:rsidR="00BC2CE3" w:rsidRPr="00244D65">
        <w:rPr>
          <w:noProof/>
          <w:lang w:val="en-GB" w:eastAsia="en-GB"/>
        </w:rPr>
        <w:t xml:space="preserve"> the business case for electro-intensive industrial processes </w:t>
      </w:r>
      <w:r w:rsidR="004D3F0C" w:rsidRPr="00244D65">
        <w:rPr>
          <w:noProof/>
          <w:lang w:val="en-GB" w:eastAsia="en-GB"/>
        </w:rPr>
        <w:t xml:space="preserve">by reducing their carbon costs. It is particularly </w:t>
      </w:r>
      <w:r w:rsidR="00C33522" w:rsidRPr="00244D65">
        <w:rPr>
          <w:noProof/>
          <w:lang w:val="en-GB" w:eastAsia="en-GB"/>
        </w:rPr>
        <w:t>relevant</w:t>
      </w:r>
      <w:r w:rsidR="004D3F0C" w:rsidRPr="00244D65">
        <w:rPr>
          <w:noProof/>
          <w:lang w:val="en-GB" w:eastAsia="en-GB"/>
        </w:rPr>
        <w:t xml:space="preserve"> for</w:t>
      </w:r>
      <w:r w:rsidR="00207995" w:rsidRPr="00244D65">
        <w:rPr>
          <w:noProof/>
          <w:lang w:val="en-GB" w:eastAsia="en-GB"/>
        </w:rPr>
        <w:t xml:space="preserve"> </w:t>
      </w:r>
      <w:r w:rsidR="00C33522" w:rsidRPr="00244D65">
        <w:rPr>
          <w:noProof/>
          <w:lang w:val="en-GB" w:eastAsia="en-GB"/>
        </w:rPr>
        <w:t xml:space="preserve">electrified </w:t>
      </w:r>
      <w:r w:rsidR="00207995" w:rsidRPr="00244D65">
        <w:rPr>
          <w:noProof/>
          <w:lang w:val="en-GB" w:eastAsia="en-GB"/>
        </w:rPr>
        <w:t>industri</w:t>
      </w:r>
      <w:r w:rsidR="002012F3" w:rsidRPr="00244D65">
        <w:rPr>
          <w:noProof/>
          <w:lang w:val="en-GB" w:eastAsia="en-GB"/>
        </w:rPr>
        <w:t>al</w:t>
      </w:r>
      <w:r w:rsidR="00207995" w:rsidRPr="00244D65">
        <w:rPr>
          <w:noProof/>
          <w:lang w:val="en-GB" w:eastAsia="en-GB"/>
        </w:rPr>
        <w:t xml:space="preserve"> processes </w:t>
      </w:r>
      <w:r w:rsidR="002012F3" w:rsidRPr="00244D65">
        <w:rPr>
          <w:noProof/>
          <w:lang w:val="en-GB" w:eastAsia="en-GB"/>
        </w:rPr>
        <w:t xml:space="preserve">that face an indirect carbon cost and </w:t>
      </w:r>
      <w:r w:rsidR="002030D1" w:rsidRPr="00244D65">
        <w:rPr>
          <w:noProof/>
          <w:lang w:val="en-GB" w:eastAsia="en-GB"/>
        </w:rPr>
        <w:t>compete with</w:t>
      </w:r>
      <w:r w:rsidR="002012F3" w:rsidRPr="00244D65">
        <w:rPr>
          <w:noProof/>
          <w:lang w:val="en-GB" w:eastAsia="en-GB"/>
        </w:rPr>
        <w:t xml:space="preserve"> </w:t>
      </w:r>
      <w:r w:rsidR="002030D1" w:rsidRPr="00244D65">
        <w:rPr>
          <w:noProof/>
          <w:lang w:val="en-GB" w:eastAsia="en-GB"/>
        </w:rPr>
        <w:t xml:space="preserve">non-electrified </w:t>
      </w:r>
      <w:r w:rsidR="00207995" w:rsidRPr="00244D65">
        <w:rPr>
          <w:noProof/>
          <w:lang w:val="en-GB" w:eastAsia="en-GB"/>
        </w:rPr>
        <w:t>processes that emit CO</w:t>
      </w:r>
      <w:r w:rsidR="00207995" w:rsidRPr="00244D65">
        <w:rPr>
          <w:noProof/>
          <w:vertAlign w:val="subscript"/>
          <w:lang w:val="en-GB" w:eastAsia="en-GB"/>
        </w:rPr>
        <w:t>2</w:t>
      </w:r>
      <w:r w:rsidR="00207995" w:rsidRPr="00244D65">
        <w:rPr>
          <w:noProof/>
          <w:lang w:val="en-GB" w:eastAsia="en-GB"/>
        </w:rPr>
        <w:t xml:space="preserve"> directly and benefit from free allocation. </w:t>
      </w:r>
      <w:r w:rsidR="00BD031F" w:rsidRPr="00244D65">
        <w:rPr>
          <w:noProof/>
          <w:lang w:val="en-GB" w:eastAsia="en-GB"/>
        </w:rPr>
        <w:t>Conceptually, the environmental benefit of ICC compensation is therefore a</w:t>
      </w:r>
      <w:r w:rsidR="00BE0BC6" w:rsidRPr="00244D65">
        <w:rPr>
          <w:noProof/>
          <w:lang w:val="en-GB" w:eastAsia="en-GB"/>
        </w:rPr>
        <w:t xml:space="preserve"> combination of:</w:t>
      </w:r>
    </w:p>
    <w:p w14:paraId="2AE7F585" w14:textId="61DDD1F8" w:rsidR="00BE0BC6" w:rsidRPr="00244D65" w:rsidRDefault="00BE0BC6" w:rsidP="0085595C">
      <w:pPr>
        <w:pStyle w:val="ListParagraph"/>
        <w:numPr>
          <w:ilvl w:val="0"/>
          <w:numId w:val="14"/>
        </w:numPr>
        <w:rPr>
          <w:noProof/>
          <w:lang w:eastAsia="en-GB"/>
        </w:rPr>
      </w:pPr>
      <w:r w:rsidRPr="00244D65">
        <w:rPr>
          <w:i/>
          <w:noProof/>
          <w:lang w:eastAsia="en-GB"/>
        </w:rPr>
        <w:t>Carbon leakage protection</w:t>
      </w:r>
      <w:r w:rsidR="00AB0820" w:rsidRPr="00244D65">
        <w:rPr>
          <w:i/>
          <w:noProof/>
          <w:lang w:eastAsia="en-GB"/>
        </w:rPr>
        <w:t>:</w:t>
      </w:r>
      <w:r w:rsidR="00AB0820" w:rsidRPr="00244D65">
        <w:rPr>
          <w:noProof/>
          <w:lang w:eastAsia="en-GB"/>
        </w:rPr>
        <w:t xml:space="preserve"> </w:t>
      </w:r>
      <w:r w:rsidR="00152422" w:rsidRPr="00244D65">
        <w:rPr>
          <w:noProof/>
          <w:lang w:eastAsia="en-GB"/>
        </w:rPr>
        <w:t>address</w:t>
      </w:r>
      <w:r w:rsidR="00697413" w:rsidRPr="00244D65">
        <w:rPr>
          <w:noProof/>
          <w:lang w:eastAsia="en-GB"/>
        </w:rPr>
        <w:t>ing</w:t>
      </w:r>
      <w:r w:rsidR="00152422" w:rsidRPr="00244D65">
        <w:rPr>
          <w:noProof/>
          <w:lang w:eastAsia="en-GB"/>
        </w:rPr>
        <w:t xml:space="preserve"> the risk of electro-intensive industries relocating</w:t>
      </w:r>
      <w:r w:rsidR="002B0349" w:rsidRPr="00244D65">
        <w:rPr>
          <w:noProof/>
          <w:lang w:eastAsia="en-GB"/>
        </w:rPr>
        <w:t>, due to indirect carbon cost</w:t>
      </w:r>
      <w:r w:rsidR="001A582F" w:rsidRPr="00244D65">
        <w:rPr>
          <w:noProof/>
          <w:lang w:eastAsia="en-GB"/>
        </w:rPr>
        <w:t>s</w:t>
      </w:r>
      <w:r w:rsidR="002B0349" w:rsidRPr="00244D65">
        <w:rPr>
          <w:noProof/>
          <w:lang w:eastAsia="en-GB"/>
        </w:rPr>
        <w:t>,</w:t>
      </w:r>
      <w:r w:rsidR="00152422" w:rsidRPr="00244D65">
        <w:rPr>
          <w:noProof/>
          <w:lang w:eastAsia="en-GB"/>
        </w:rPr>
        <w:t xml:space="preserve"> </w:t>
      </w:r>
      <w:r w:rsidR="009C7D55" w:rsidRPr="00244D65">
        <w:rPr>
          <w:noProof/>
          <w:lang w:eastAsia="en-GB"/>
        </w:rPr>
        <w:t>to areas with less strict climate governance.</w:t>
      </w:r>
    </w:p>
    <w:p w14:paraId="2A23136B" w14:textId="3E0B2569" w:rsidR="00546DC7" w:rsidRPr="00244D65" w:rsidRDefault="00546DC7" w:rsidP="0085595C">
      <w:pPr>
        <w:pStyle w:val="ListParagraph"/>
        <w:numPr>
          <w:ilvl w:val="0"/>
          <w:numId w:val="14"/>
        </w:numPr>
        <w:rPr>
          <w:noProof/>
          <w:lang w:eastAsia="en-GB"/>
        </w:rPr>
      </w:pPr>
      <w:r w:rsidRPr="00244D65">
        <w:rPr>
          <w:i/>
          <w:noProof/>
          <w:lang w:eastAsia="en-GB"/>
        </w:rPr>
        <w:t xml:space="preserve">Incentivising electrification: </w:t>
      </w:r>
      <w:r w:rsidR="004B70F8" w:rsidRPr="00244D65">
        <w:rPr>
          <w:noProof/>
          <w:lang w:eastAsia="en-GB"/>
        </w:rPr>
        <w:t>support</w:t>
      </w:r>
      <w:r w:rsidR="00E6097B" w:rsidRPr="00244D65">
        <w:rPr>
          <w:noProof/>
          <w:lang w:eastAsia="en-GB"/>
        </w:rPr>
        <w:t>ing</w:t>
      </w:r>
      <w:r w:rsidR="004B70F8" w:rsidRPr="00244D65">
        <w:rPr>
          <w:noProof/>
          <w:lang w:eastAsia="en-GB"/>
        </w:rPr>
        <w:t xml:space="preserve"> the business case </w:t>
      </w:r>
      <w:r w:rsidR="00330E7C" w:rsidRPr="00244D65">
        <w:rPr>
          <w:noProof/>
          <w:lang w:eastAsia="en-GB"/>
        </w:rPr>
        <w:t xml:space="preserve">for </w:t>
      </w:r>
      <w:r w:rsidR="00E6097B" w:rsidRPr="00244D65">
        <w:rPr>
          <w:noProof/>
          <w:lang w:eastAsia="en-GB"/>
        </w:rPr>
        <w:t>electrification relative to direct emissions, for industries that could</w:t>
      </w:r>
      <w:r w:rsidR="004B70F8" w:rsidRPr="00244D65">
        <w:rPr>
          <w:noProof/>
          <w:lang w:eastAsia="en-GB"/>
        </w:rPr>
        <w:t xml:space="preserve"> electrify their processes. </w:t>
      </w:r>
    </w:p>
    <w:p w14:paraId="10EED55C" w14:textId="19299314" w:rsidR="006666D5" w:rsidRPr="00244D65" w:rsidRDefault="00D05940" w:rsidP="0085595C">
      <w:pPr>
        <w:rPr>
          <w:noProof/>
          <w:lang w:eastAsia="en-GB"/>
        </w:rPr>
      </w:pPr>
      <w:r w:rsidRPr="00244D65">
        <w:rPr>
          <w:noProof/>
          <w:lang w:eastAsia="en-GB"/>
        </w:rPr>
        <w:t>Under continuation of current polic</w:t>
      </w:r>
      <w:r w:rsidR="00EA3812" w:rsidRPr="00244D65">
        <w:rPr>
          <w:noProof/>
          <w:lang w:eastAsia="en-GB"/>
        </w:rPr>
        <w:t>ies, the ETS Directive would continue to encourage Member States to provide</w:t>
      </w:r>
      <w:r w:rsidRPr="00244D65">
        <w:rPr>
          <w:noProof/>
          <w:lang w:eastAsia="en-GB"/>
        </w:rPr>
        <w:t xml:space="preserve"> ICC compensation</w:t>
      </w:r>
      <w:r w:rsidR="00DD4A55" w:rsidRPr="00244D65">
        <w:rPr>
          <w:noProof/>
          <w:lang w:eastAsia="en-GB"/>
        </w:rPr>
        <w:t>. Article 10</w:t>
      </w:r>
      <w:bookmarkStart w:id="159" w:name="_Int_qjqgfgbY"/>
      <w:r w:rsidR="00DD4A55" w:rsidRPr="00244D65">
        <w:rPr>
          <w:noProof/>
          <w:lang w:eastAsia="en-GB"/>
        </w:rPr>
        <w:t>a(</w:t>
      </w:r>
      <w:bookmarkEnd w:id="159"/>
      <w:r w:rsidR="00DD4A55" w:rsidRPr="00244D65">
        <w:rPr>
          <w:noProof/>
          <w:lang w:eastAsia="en-GB"/>
        </w:rPr>
        <w:t>6) would continue to apply, outlining</w:t>
      </w:r>
      <w:r w:rsidR="00E65E46" w:rsidRPr="00244D65">
        <w:rPr>
          <w:noProof/>
          <w:lang w:eastAsia="en-GB"/>
        </w:rPr>
        <w:t xml:space="preserve"> the key features of Member States’</w:t>
      </w:r>
      <w:r w:rsidR="00DD4A55" w:rsidRPr="00244D65">
        <w:rPr>
          <w:noProof/>
          <w:lang w:eastAsia="en-GB"/>
        </w:rPr>
        <w:t xml:space="preserve"> compensation</w:t>
      </w:r>
      <w:r w:rsidR="00E65E46" w:rsidRPr="00244D65">
        <w:rPr>
          <w:noProof/>
          <w:lang w:eastAsia="en-GB"/>
        </w:rPr>
        <w:t xml:space="preserve"> measures (</w:t>
      </w:r>
      <w:r w:rsidR="00500C36" w:rsidRPr="00244D65">
        <w:rPr>
          <w:noProof/>
          <w:lang w:eastAsia="en-GB"/>
        </w:rPr>
        <w:t>e.g. they should be based on indirect emission benchmarks</w:t>
      </w:r>
      <w:r w:rsidR="00E8553E" w:rsidRPr="00244D65">
        <w:rPr>
          <w:noProof/>
          <w:lang w:eastAsia="en-GB"/>
        </w:rPr>
        <w:t xml:space="preserve"> corresponding to the most efficient available technologies and </w:t>
      </w:r>
      <w:r w:rsidR="00BC4E44" w:rsidRPr="00244D65">
        <w:rPr>
          <w:noProof/>
          <w:lang w:eastAsia="en-GB"/>
        </w:rPr>
        <w:t>emissions of the relevant European electricity production mix</w:t>
      </w:r>
      <w:r w:rsidR="004D7856" w:rsidRPr="00244D65">
        <w:rPr>
          <w:noProof/>
          <w:lang w:eastAsia="en-GB"/>
        </w:rPr>
        <w:t>)</w:t>
      </w:r>
      <w:r w:rsidR="008362F6" w:rsidRPr="00244D65">
        <w:rPr>
          <w:noProof/>
          <w:lang w:eastAsia="en-GB"/>
        </w:rPr>
        <w:t>.</w:t>
      </w:r>
      <w:r w:rsidR="00706CC2" w:rsidRPr="00244D65">
        <w:rPr>
          <w:noProof/>
          <w:lang w:eastAsia="en-GB"/>
        </w:rPr>
        <w:t xml:space="preserve"> </w:t>
      </w:r>
      <w:r w:rsidR="002D55A9" w:rsidRPr="00244D65">
        <w:rPr>
          <w:noProof/>
          <w:lang w:eastAsia="en-GB"/>
        </w:rPr>
        <w:t xml:space="preserve">Future </w:t>
      </w:r>
      <w:r w:rsidR="00706CC2" w:rsidRPr="00244D65">
        <w:rPr>
          <w:noProof/>
          <w:lang w:eastAsia="en-GB"/>
        </w:rPr>
        <w:t xml:space="preserve">State aid rules </w:t>
      </w:r>
      <w:r w:rsidR="00B37FE0" w:rsidRPr="00244D65">
        <w:rPr>
          <w:noProof/>
          <w:lang w:eastAsia="en-GB"/>
        </w:rPr>
        <w:t>(which are not the subject of this Impact Assessment) would determ</w:t>
      </w:r>
      <w:r w:rsidR="008362F6" w:rsidRPr="00244D65">
        <w:rPr>
          <w:noProof/>
          <w:lang w:eastAsia="en-GB"/>
        </w:rPr>
        <w:t>i</w:t>
      </w:r>
      <w:r w:rsidR="00B37FE0" w:rsidRPr="00244D65">
        <w:rPr>
          <w:noProof/>
          <w:lang w:eastAsia="en-GB"/>
        </w:rPr>
        <w:t xml:space="preserve">ne </w:t>
      </w:r>
      <w:r w:rsidR="004D7856" w:rsidRPr="00244D65">
        <w:rPr>
          <w:noProof/>
          <w:lang w:eastAsia="en-GB"/>
        </w:rPr>
        <w:t>more</w:t>
      </w:r>
      <w:r w:rsidR="008362F6" w:rsidRPr="00244D65">
        <w:rPr>
          <w:noProof/>
          <w:lang w:eastAsia="en-GB"/>
        </w:rPr>
        <w:t xml:space="preserve"> detailed parameters such as sectoral eligibility</w:t>
      </w:r>
      <w:r w:rsidR="006166B5" w:rsidRPr="00244D65">
        <w:rPr>
          <w:noProof/>
          <w:lang w:eastAsia="en-GB"/>
        </w:rPr>
        <w:t xml:space="preserve"> and </w:t>
      </w:r>
      <w:r w:rsidR="00D10309" w:rsidRPr="00244D65">
        <w:rPr>
          <w:noProof/>
          <w:lang w:eastAsia="en-GB"/>
        </w:rPr>
        <w:t xml:space="preserve">any </w:t>
      </w:r>
      <w:r w:rsidR="001555E6" w:rsidRPr="00244D65">
        <w:rPr>
          <w:noProof/>
          <w:lang w:eastAsia="en-GB"/>
        </w:rPr>
        <w:t xml:space="preserve">other </w:t>
      </w:r>
      <w:r w:rsidR="006166B5" w:rsidRPr="00244D65">
        <w:rPr>
          <w:noProof/>
          <w:lang w:eastAsia="en-GB"/>
        </w:rPr>
        <w:t>conditions that beneficiaries would have to meet</w:t>
      </w:r>
      <w:r w:rsidR="00F201D2" w:rsidRPr="00244D65">
        <w:rPr>
          <w:noProof/>
          <w:lang w:eastAsia="en-GB"/>
        </w:rPr>
        <w:t xml:space="preserve">. </w:t>
      </w:r>
    </w:p>
    <w:p w14:paraId="6E8E3FED" w14:textId="5429F11C" w:rsidR="00A3506A" w:rsidRPr="00244D65" w:rsidRDefault="001555E6" w:rsidP="0085595C">
      <w:pPr>
        <w:rPr>
          <w:noProof/>
          <w:lang w:eastAsia="en-GB"/>
        </w:rPr>
      </w:pPr>
      <w:r w:rsidRPr="00244D65">
        <w:rPr>
          <w:noProof/>
          <w:lang w:eastAsia="en-GB"/>
        </w:rPr>
        <w:t>P</w:t>
      </w:r>
      <w:r w:rsidR="00A3506A" w:rsidRPr="00244D65">
        <w:rPr>
          <w:noProof/>
          <w:lang w:eastAsia="en-GB"/>
        </w:rPr>
        <w:t xml:space="preserve">olicy option ICC1 </w:t>
      </w:r>
      <w:r w:rsidR="003E2E90" w:rsidRPr="00244D65">
        <w:rPr>
          <w:noProof/>
          <w:lang w:eastAsia="en-GB"/>
        </w:rPr>
        <w:t xml:space="preserve">would </w:t>
      </w:r>
      <w:r w:rsidR="002B338A" w:rsidRPr="00244D65">
        <w:rPr>
          <w:noProof/>
          <w:lang w:eastAsia="en-GB"/>
        </w:rPr>
        <w:t>continue the State-aid-based approach and</w:t>
      </w:r>
      <w:r w:rsidR="003E2E90" w:rsidRPr="00244D65">
        <w:rPr>
          <w:noProof/>
          <w:lang w:eastAsia="en-GB"/>
        </w:rPr>
        <w:t xml:space="preserve"> </w:t>
      </w:r>
      <w:r w:rsidR="004565C9" w:rsidRPr="00244D65">
        <w:rPr>
          <w:noProof/>
          <w:lang w:eastAsia="en-GB"/>
        </w:rPr>
        <w:t xml:space="preserve">propose limited amendments </w:t>
      </w:r>
      <w:r w:rsidR="00077D71" w:rsidRPr="00244D65">
        <w:rPr>
          <w:noProof/>
          <w:lang w:eastAsia="en-GB"/>
        </w:rPr>
        <w:t>to</w:t>
      </w:r>
      <w:r w:rsidR="00246CAB" w:rsidRPr="00244D65">
        <w:rPr>
          <w:noProof/>
          <w:lang w:eastAsia="en-GB"/>
        </w:rPr>
        <w:t xml:space="preserve"> the ETS Directive’s ICC provisions</w:t>
      </w:r>
      <w:r w:rsidR="00DB116E" w:rsidRPr="00244D65">
        <w:rPr>
          <w:noProof/>
          <w:lang w:eastAsia="en-GB"/>
        </w:rPr>
        <w:t xml:space="preserve">. </w:t>
      </w:r>
    </w:p>
    <w:p w14:paraId="3D417C76" w14:textId="734BCF37" w:rsidR="007B320B" w:rsidRPr="00244D65" w:rsidRDefault="00DB7C94" w:rsidP="0085595C">
      <w:pPr>
        <w:rPr>
          <w:noProof/>
          <w:lang w:eastAsia="en-GB"/>
        </w:rPr>
      </w:pPr>
      <w:r w:rsidRPr="00244D65">
        <w:rPr>
          <w:noProof/>
          <w:lang w:eastAsia="en-GB"/>
        </w:rPr>
        <w:t>In policy option ICC2</w:t>
      </w:r>
      <w:r w:rsidR="005C7F5A" w:rsidRPr="00244D65">
        <w:rPr>
          <w:noProof/>
          <w:lang w:eastAsia="en-GB"/>
        </w:rPr>
        <w:t xml:space="preserve">, an ICC Fund would be established </w:t>
      </w:r>
      <w:r w:rsidR="00F40246" w:rsidRPr="00244D65">
        <w:rPr>
          <w:noProof/>
          <w:lang w:eastAsia="en-GB"/>
        </w:rPr>
        <w:t>to provide compensation at an EU-level on a harmonised basis</w:t>
      </w:r>
      <w:r w:rsidR="00A05EBC" w:rsidRPr="00244D65">
        <w:rPr>
          <w:noProof/>
          <w:lang w:eastAsia="en-GB"/>
        </w:rPr>
        <w:t xml:space="preserve"> </w:t>
      </w:r>
      <w:bookmarkStart w:id="160" w:name="_Int_sBQGXakt"/>
      <w:r w:rsidR="00A05EBC" w:rsidRPr="00244D65">
        <w:rPr>
          <w:noProof/>
          <w:lang w:eastAsia="en-GB"/>
        </w:rPr>
        <w:t>in order to</w:t>
      </w:r>
      <w:bookmarkEnd w:id="160"/>
      <w:r w:rsidR="00A05EBC" w:rsidRPr="00244D65">
        <w:rPr>
          <w:noProof/>
          <w:lang w:eastAsia="en-GB"/>
        </w:rPr>
        <w:t xml:space="preserve"> reduce distortion of the single market and provide a level playing field for industry</w:t>
      </w:r>
      <w:r w:rsidR="00F40246" w:rsidRPr="00244D65">
        <w:rPr>
          <w:noProof/>
          <w:lang w:eastAsia="en-GB"/>
        </w:rPr>
        <w:t xml:space="preserve">. </w:t>
      </w:r>
      <w:r w:rsidR="005409B4" w:rsidRPr="00244D65">
        <w:rPr>
          <w:noProof/>
          <w:lang w:eastAsia="en-GB"/>
        </w:rPr>
        <w:t>Due to</w:t>
      </w:r>
      <w:r w:rsidR="00A05EBC" w:rsidRPr="00244D65">
        <w:rPr>
          <w:noProof/>
          <w:lang w:eastAsia="en-GB"/>
        </w:rPr>
        <w:t xml:space="preserve"> competing claims on ETS auction revenues </w:t>
      </w:r>
      <w:r w:rsidR="00B12FC6" w:rsidRPr="00244D65">
        <w:rPr>
          <w:noProof/>
          <w:lang w:eastAsia="en-GB"/>
        </w:rPr>
        <w:t xml:space="preserve">(see </w:t>
      </w:r>
      <w:r w:rsidR="000B7A80" w:rsidRPr="00244D65">
        <w:rPr>
          <w:noProof/>
          <w:lang w:eastAsia="en-GB"/>
        </w:rPr>
        <w:t>S</w:t>
      </w:r>
      <w:r w:rsidR="001F5833" w:rsidRPr="00244D65">
        <w:rPr>
          <w:noProof/>
          <w:lang w:eastAsia="en-GB"/>
        </w:rPr>
        <w:t>ection</w:t>
      </w:r>
      <w:r w:rsidR="00B12FC6" w:rsidRPr="00244D65">
        <w:rPr>
          <w:noProof/>
          <w:lang w:eastAsia="en-GB"/>
        </w:rPr>
        <w:t xml:space="preserve"> 6.1.1.4)</w:t>
      </w:r>
      <w:r w:rsidR="005409B4" w:rsidRPr="00244D65">
        <w:rPr>
          <w:noProof/>
          <w:lang w:eastAsia="en-GB"/>
        </w:rPr>
        <w:t xml:space="preserve"> </w:t>
      </w:r>
      <w:r w:rsidR="00B12FC6" w:rsidRPr="00244D65">
        <w:rPr>
          <w:noProof/>
          <w:lang w:eastAsia="en-GB"/>
        </w:rPr>
        <w:t>t</w:t>
      </w:r>
      <w:r w:rsidR="004149EB" w:rsidRPr="00244D65">
        <w:rPr>
          <w:noProof/>
          <w:lang w:eastAsia="en-GB"/>
        </w:rPr>
        <w:t>he proposed scale of the fund (</w:t>
      </w:r>
      <w:r w:rsidR="0014228B" w:rsidRPr="00244D65">
        <w:rPr>
          <w:noProof/>
          <w:lang w:eastAsia="en-GB"/>
        </w:rPr>
        <w:t>e.g.</w:t>
      </w:r>
      <w:r w:rsidR="00670A48" w:rsidRPr="00244D65">
        <w:rPr>
          <w:noProof/>
          <w:lang w:eastAsia="en-GB"/>
        </w:rPr>
        <w:t xml:space="preserve"> </w:t>
      </w:r>
      <w:r>
        <w:rPr>
          <w:noProof/>
          <w:lang w:eastAsia="en-GB"/>
        </w:rPr>
        <w:t>5%</w:t>
      </w:r>
      <w:r w:rsidR="004149EB" w:rsidRPr="00244D65">
        <w:rPr>
          <w:noProof/>
          <w:lang w:eastAsia="en-GB"/>
        </w:rPr>
        <w:t xml:space="preserve"> of </w:t>
      </w:r>
      <w:r w:rsidR="00915732" w:rsidRPr="00244D65">
        <w:rPr>
          <w:noProof/>
          <w:lang w:eastAsia="en-GB"/>
        </w:rPr>
        <w:t xml:space="preserve">the average revenue for 2031-2040) would be smaller than the potential scale of ICC compensation if all Member States </w:t>
      </w:r>
      <w:r w:rsidR="00A05738" w:rsidRPr="00244D65">
        <w:rPr>
          <w:noProof/>
          <w:lang w:eastAsia="en-GB"/>
        </w:rPr>
        <w:t>were</w:t>
      </w:r>
      <w:r w:rsidR="00815D6D" w:rsidRPr="00244D65">
        <w:rPr>
          <w:noProof/>
          <w:lang w:eastAsia="en-GB"/>
        </w:rPr>
        <w:t xml:space="preserve"> to provide</w:t>
      </w:r>
      <w:r w:rsidR="003E3738" w:rsidRPr="00244D65">
        <w:rPr>
          <w:noProof/>
          <w:lang w:eastAsia="en-GB"/>
        </w:rPr>
        <w:t xml:space="preserve"> State aid </w:t>
      </w:r>
      <w:r w:rsidR="000E26BF" w:rsidRPr="00244D65">
        <w:rPr>
          <w:noProof/>
          <w:lang w:eastAsia="en-GB"/>
        </w:rPr>
        <w:t>post-2030</w:t>
      </w:r>
      <w:r w:rsidR="003E3738" w:rsidRPr="00244D65">
        <w:rPr>
          <w:noProof/>
          <w:lang w:eastAsia="en-GB"/>
        </w:rPr>
        <w:t xml:space="preserve"> </w:t>
      </w:r>
      <w:r w:rsidR="00A6519E" w:rsidRPr="00244D65">
        <w:rPr>
          <w:noProof/>
          <w:lang w:eastAsia="en-GB"/>
        </w:rPr>
        <w:t>u</w:t>
      </w:r>
      <w:r w:rsidR="00F35439" w:rsidRPr="00244D65">
        <w:rPr>
          <w:noProof/>
          <w:lang w:eastAsia="en-GB"/>
        </w:rPr>
        <w:t>sing</w:t>
      </w:r>
      <w:r w:rsidR="00A6519E" w:rsidRPr="00244D65">
        <w:rPr>
          <w:noProof/>
          <w:lang w:eastAsia="en-GB"/>
        </w:rPr>
        <w:t xml:space="preserve"> </w:t>
      </w:r>
      <w:r w:rsidR="00455F11" w:rsidRPr="00244D65">
        <w:rPr>
          <w:noProof/>
          <w:lang w:eastAsia="en-GB"/>
        </w:rPr>
        <w:t>schemes similar to those currently in place post-2030</w:t>
      </w:r>
      <w:r w:rsidR="003C7F7E" w:rsidRPr="00244D65">
        <w:rPr>
          <w:noProof/>
          <w:lang w:eastAsia="en-GB"/>
        </w:rPr>
        <w:t xml:space="preserve"> (</w:t>
      </w:r>
      <w:r w:rsidR="004958D7" w:rsidRPr="00244D65">
        <w:rPr>
          <w:noProof/>
          <w:lang w:eastAsia="en-GB"/>
        </w:rPr>
        <w:t xml:space="preserve">at least </w:t>
      </w:r>
      <w:r>
        <w:rPr>
          <w:noProof/>
          <w:lang w:eastAsia="en-GB"/>
        </w:rPr>
        <w:t>11%,</w:t>
      </w:r>
      <w:r w:rsidR="004958D7" w:rsidRPr="00244D65">
        <w:rPr>
          <w:noProof/>
          <w:lang w:eastAsia="en-GB"/>
        </w:rPr>
        <w:t xml:space="preserve"> see Annex 12 for analysis of ICC </w:t>
      </w:r>
      <w:r w:rsidR="006936D8" w:rsidRPr="00244D65">
        <w:rPr>
          <w:noProof/>
          <w:lang w:eastAsia="en-GB"/>
        </w:rPr>
        <w:t>drivers)</w:t>
      </w:r>
      <w:r w:rsidR="0054129B" w:rsidRPr="00244D65">
        <w:rPr>
          <w:noProof/>
          <w:lang w:eastAsia="en-GB"/>
        </w:rPr>
        <w:t xml:space="preserve">. </w:t>
      </w:r>
      <w:r w:rsidR="000944BE" w:rsidRPr="00244D65">
        <w:rPr>
          <w:noProof/>
          <w:lang w:eastAsia="en-GB"/>
        </w:rPr>
        <w:t>As a result,</w:t>
      </w:r>
      <w:r w:rsidRPr="00244D65">
        <w:rPr>
          <w:noProof/>
          <w:lang w:eastAsia="en-GB"/>
        </w:rPr>
        <w:t xml:space="preserve"> </w:t>
      </w:r>
      <w:r w:rsidR="000944BE" w:rsidRPr="00244D65">
        <w:rPr>
          <w:noProof/>
          <w:lang w:eastAsia="en-GB"/>
        </w:rPr>
        <w:t xml:space="preserve">Member States would retain the </w:t>
      </w:r>
      <w:r w:rsidR="00CB3B71" w:rsidRPr="00244D65">
        <w:rPr>
          <w:noProof/>
          <w:lang w:eastAsia="en-GB"/>
        </w:rPr>
        <w:t xml:space="preserve">option to provide ICC compensation as State aid, up to the level permitted in the guidelines. </w:t>
      </w:r>
    </w:p>
    <w:p w14:paraId="5729FF67" w14:textId="3420C530" w:rsidR="00E755C9" w:rsidRPr="00244D65" w:rsidRDefault="007855EF" w:rsidP="0085595C">
      <w:pPr>
        <w:rPr>
          <w:noProof/>
          <w:lang w:eastAsia="en-GB"/>
        </w:rPr>
      </w:pPr>
      <w:r w:rsidRPr="00244D65">
        <w:rPr>
          <w:noProof/>
          <w:lang w:eastAsia="en-GB"/>
        </w:rPr>
        <w:t xml:space="preserve">The options’ </w:t>
      </w:r>
      <w:r w:rsidR="00EC7749" w:rsidRPr="00244D65">
        <w:rPr>
          <w:noProof/>
          <w:lang w:eastAsia="en-GB"/>
        </w:rPr>
        <w:t xml:space="preserve">potential </w:t>
      </w:r>
      <w:r w:rsidR="007B320B" w:rsidRPr="00244D65">
        <w:rPr>
          <w:noProof/>
          <w:lang w:eastAsia="en-GB"/>
        </w:rPr>
        <w:t>environmental benefits would be similar</w:t>
      </w:r>
      <w:r w:rsidR="00EA37BC" w:rsidRPr="00244D65">
        <w:rPr>
          <w:noProof/>
          <w:lang w:eastAsia="en-GB"/>
        </w:rPr>
        <w:t xml:space="preserve">. However, the benefit of ICC2 could be slightly larger since </w:t>
      </w:r>
      <w:r w:rsidR="006735FF" w:rsidRPr="00244D65">
        <w:rPr>
          <w:noProof/>
          <w:lang w:eastAsia="en-GB"/>
        </w:rPr>
        <w:t>some beneficiaries from an EU fund may not otherwise have received State aid under ICC1.</w:t>
      </w:r>
      <w:r w:rsidR="007B320B" w:rsidRPr="00244D65">
        <w:rPr>
          <w:noProof/>
          <w:lang w:eastAsia="en-GB"/>
        </w:rPr>
        <w:t xml:space="preserve"> </w:t>
      </w:r>
    </w:p>
    <w:p w14:paraId="518B5C8A" w14:textId="7F5C78B9" w:rsidR="00ED2062" w:rsidRPr="00244D65" w:rsidRDefault="69BAF74B" w:rsidP="0085595C">
      <w:pPr>
        <w:pStyle w:val="Heading4"/>
        <w:rPr>
          <w:noProof/>
        </w:rPr>
      </w:pPr>
      <w:r w:rsidRPr="00244D65">
        <w:rPr>
          <w:noProof/>
        </w:rPr>
        <w:t xml:space="preserve"> </w:t>
      </w:r>
      <w:r w:rsidR="008669D0" w:rsidRPr="00244D65">
        <w:rPr>
          <w:noProof/>
        </w:rPr>
        <w:t>Waste</w:t>
      </w:r>
    </w:p>
    <w:p w14:paraId="0341B594" w14:textId="1A703E24" w:rsidR="00246F35" w:rsidRPr="00244D65" w:rsidRDefault="00CF0F52" w:rsidP="0085595C">
      <w:pPr>
        <w:rPr>
          <w:noProof/>
          <w:lang w:eastAsia="en-GB"/>
        </w:rPr>
      </w:pPr>
      <w:r w:rsidRPr="00244D65">
        <w:rPr>
          <w:noProof/>
          <w:lang w:eastAsia="en-GB"/>
        </w:rPr>
        <w:t xml:space="preserve">All sectors in the economy need to decarbonise to achieve climate neutrality in 2050. </w:t>
      </w:r>
      <w:r w:rsidR="00246F35" w:rsidRPr="00244D65">
        <w:rPr>
          <w:noProof/>
          <w:lang w:eastAsia="en-GB"/>
        </w:rPr>
        <w:t xml:space="preserve">Under </w:t>
      </w:r>
      <w:r w:rsidR="0047507C" w:rsidRPr="00244D65">
        <w:rPr>
          <w:noProof/>
          <w:lang w:eastAsia="en-GB"/>
        </w:rPr>
        <w:t>the baseline</w:t>
      </w:r>
      <w:r w:rsidR="00246F35" w:rsidRPr="00244D65">
        <w:rPr>
          <w:noProof/>
          <w:lang w:eastAsia="en-GB"/>
        </w:rPr>
        <w:t xml:space="preserve">, emissions from waste incineration and landfills </w:t>
      </w:r>
      <w:r w:rsidR="00E41A20" w:rsidRPr="00244D65">
        <w:rPr>
          <w:noProof/>
          <w:lang w:eastAsia="en-GB"/>
        </w:rPr>
        <w:t xml:space="preserve">would </w:t>
      </w:r>
      <w:r w:rsidR="00246F35" w:rsidRPr="00244D65">
        <w:rPr>
          <w:noProof/>
          <w:lang w:eastAsia="en-GB"/>
        </w:rPr>
        <w:t xml:space="preserve">continue to be </w:t>
      </w:r>
      <w:bookmarkStart w:id="161" w:name="_Int_cLKOgBF2"/>
      <w:r w:rsidR="00246F35" w:rsidRPr="00244D65">
        <w:rPr>
          <w:noProof/>
          <w:lang w:eastAsia="en-GB"/>
        </w:rPr>
        <w:t>mainly covered</w:t>
      </w:r>
      <w:bookmarkEnd w:id="161"/>
      <w:r w:rsidR="00246F35" w:rsidRPr="00244D65">
        <w:rPr>
          <w:noProof/>
          <w:lang w:eastAsia="en-GB"/>
        </w:rPr>
        <w:t xml:space="preserve"> by </w:t>
      </w:r>
      <w:r w:rsidR="00364874" w:rsidRPr="00244D65">
        <w:rPr>
          <w:noProof/>
          <w:lang w:eastAsia="en-GB"/>
        </w:rPr>
        <w:t xml:space="preserve">the </w:t>
      </w:r>
      <w:r w:rsidR="00246F35" w:rsidRPr="00244D65">
        <w:rPr>
          <w:noProof/>
          <w:lang w:eastAsia="en-GB"/>
        </w:rPr>
        <w:t xml:space="preserve">Effort Sharing Regulation </w:t>
      </w:r>
      <w:r w:rsidR="0016280C" w:rsidRPr="00244D65">
        <w:rPr>
          <w:noProof/>
          <w:lang w:eastAsia="en-GB"/>
        </w:rPr>
        <w:t xml:space="preserve">until 2030 </w:t>
      </w:r>
      <w:r w:rsidR="00246F35" w:rsidRPr="00244D65">
        <w:rPr>
          <w:noProof/>
          <w:lang w:eastAsia="en-GB"/>
        </w:rPr>
        <w:t xml:space="preserve">and are not driven by a carbon </w:t>
      </w:r>
      <w:r w:rsidR="00364874" w:rsidRPr="00244D65">
        <w:rPr>
          <w:noProof/>
          <w:lang w:eastAsia="en-GB"/>
        </w:rPr>
        <w:t>price</w:t>
      </w:r>
      <w:r w:rsidR="0016280C" w:rsidRPr="00244D65">
        <w:rPr>
          <w:noProof/>
          <w:lang w:eastAsia="en-GB"/>
        </w:rPr>
        <w:t>, with post-2030 coverage subject to future review</w:t>
      </w:r>
      <w:r w:rsidR="00246F35" w:rsidRPr="00244D65">
        <w:rPr>
          <w:noProof/>
          <w:lang w:eastAsia="en-GB"/>
        </w:rPr>
        <w:t xml:space="preserve">. Emissions from municipal waste incineration are expected to continue increasing at least into the early 2030s in line with recent trends, planned capacity increases and absent additional abatement incentives, while emissions from landfilling are projected to continue to gradually decrease, albeit slower than </w:t>
      </w:r>
      <w:r w:rsidR="00B93E5B" w:rsidRPr="00244D65">
        <w:rPr>
          <w:noProof/>
          <w:lang w:eastAsia="en-GB"/>
        </w:rPr>
        <w:t>stipulated</w:t>
      </w:r>
      <w:r w:rsidR="00246F35" w:rsidRPr="00244D65">
        <w:rPr>
          <w:noProof/>
          <w:lang w:eastAsia="en-GB"/>
        </w:rPr>
        <w:t xml:space="preserve"> due to lagging implementation of the current regulatory framework</w:t>
      </w:r>
      <w:r w:rsidR="008E3E58" w:rsidRPr="00244D65">
        <w:rPr>
          <w:noProof/>
          <w:lang w:eastAsia="en-GB"/>
        </w:rPr>
        <w:t xml:space="preserve"> and remaining responsible for the largest share of waste sector emissions</w:t>
      </w:r>
      <w:r w:rsidR="00246F35" w:rsidRPr="00244D65">
        <w:rPr>
          <w:noProof/>
          <w:lang w:eastAsia="en-GB"/>
        </w:rPr>
        <w:t>.</w:t>
      </w:r>
    </w:p>
    <w:p w14:paraId="2BDB51F5" w14:textId="015F6872" w:rsidR="002E283C" w:rsidRPr="00244D65" w:rsidRDefault="002E283C" w:rsidP="0085595C">
      <w:pPr>
        <w:rPr>
          <w:noProof/>
          <w:lang w:eastAsia="en-GB"/>
        </w:rPr>
      </w:pPr>
      <w:r w:rsidRPr="00244D65">
        <w:rPr>
          <w:noProof/>
          <w:lang w:eastAsia="en-GB"/>
        </w:rPr>
        <w:t xml:space="preserve">Extending the scope of the </w:t>
      </w:r>
      <w:r w:rsidR="00F909E3" w:rsidRPr="00244D65">
        <w:rPr>
          <w:noProof/>
          <w:lang w:eastAsia="en-GB"/>
        </w:rPr>
        <w:t>EU ETS</w:t>
      </w:r>
      <w:r w:rsidRPr="00244D65">
        <w:rPr>
          <w:noProof/>
          <w:lang w:eastAsia="en-GB"/>
        </w:rPr>
        <w:t xml:space="preserve"> to activities in the waste management sector would increase accountability for emissions in this sector – representing </w:t>
      </w:r>
      <w:r w:rsidR="00B96234" w:rsidRPr="00244D65">
        <w:rPr>
          <w:noProof/>
          <w:lang w:eastAsia="en-GB"/>
        </w:rPr>
        <w:t xml:space="preserve">up to </w:t>
      </w:r>
      <w:r w:rsidRPr="00244D65">
        <w:rPr>
          <w:noProof/>
          <w:lang w:eastAsia="en-GB"/>
        </w:rPr>
        <w:t>3% of EU GHG emissions depending on the scope of the policy options considered – and provide for increased certainty in delivering GHG emissions reductions, since the cap sets a limit on the emissions that economic operators can account for by surrendering allowances. Such certainty is not possible through other types of measures.</w:t>
      </w:r>
    </w:p>
    <w:p w14:paraId="0ADFA791" w14:textId="4A959C63" w:rsidR="00246F35" w:rsidRPr="00244D65" w:rsidRDefault="00246F35" w:rsidP="0085595C">
      <w:pPr>
        <w:rPr>
          <w:noProof/>
          <w:lang w:eastAsia="en-GB"/>
        </w:rPr>
      </w:pPr>
      <w:r w:rsidRPr="00244D65">
        <w:rPr>
          <w:noProof/>
          <w:lang w:eastAsia="en-GB"/>
        </w:rPr>
        <w:t xml:space="preserve">Compared to </w:t>
      </w:r>
      <w:r w:rsidR="00A03A3C" w:rsidRPr="00244D65">
        <w:rPr>
          <w:noProof/>
          <w:lang w:eastAsia="en-GB"/>
        </w:rPr>
        <w:t>the continuation of current policies</w:t>
      </w:r>
      <w:r w:rsidRPr="00244D65">
        <w:rPr>
          <w:noProof/>
          <w:lang w:eastAsia="en-GB"/>
        </w:rPr>
        <w:t xml:space="preserve">, policy option PO1 would not </w:t>
      </w:r>
      <w:bookmarkStart w:id="162" w:name="_Int_AqaaY252"/>
      <w:r w:rsidRPr="00244D65">
        <w:rPr>
          <w:noProof/>
          <w:lang w:eastAsia="en-GB"/>
        </w:rPr>
        <w:t>substantially improve</w:t>
      </w:r>
      <w:bookmarkEnd w:id="162"/>
      <w:r w:rsidRPr="00244D65">
        <w:rPr>
          <w:noProof/>
          <w:lang w:eastAsia="en-GB"/>
        </w:rPr>
        <w:t xml:space="preserve"> the environmental outcome, only implementing legal clarifications to improve certainty on the current scope.</w:t>
      </w:r>
    </w:p>
    <w:p w14:paraId="58570DBF" w14:textId="0E48E3BE" w:rsidR="0075753C" w:rsidRPr="00244D65" w:rsidRDefault="17927112" w:rsidP="0085595C">
      <w:pPr>
        <w:rPr>
          <w:noProof/>
        </w:rPr>
      </w:pPr>
      <w:r w:rsidRPr="00244D65">
        <w:rPr>
          <w:noProof/>
        </w:rPr>
        <w:t>Policy option PO2 would extend carbon pricing to municipal waste incineration (MWI), driving the largest decrease in cumulative emissions from waste incineration</w:t>
      </w:r>
      <w:r w:rsidR="4590B7D9" w:rsidRPr="00244D65">
        <w:rPr>
          <w:noProof/>
        </w:rPr>
        <w:t xml:space="preserve">, of </w:t>
      </w:r>
      <w:r w:rsidR="163A0C7E" w:rsidRPr="00244D65">
        <w:rPr>
          <w:noProof/>
        </w:rPr>
        <w:t xml:space="preserve">-53 MtCO2eq or </w:t>
      </w:r>
      <w:r w:rsidR="58B95088" w:rsidRPr="00244D65">
        <w:rPr>
          <w:noProof/>
        </w:rPr>
        <w:t>-22%</w:t>
      </w:r>
      <w:r w:rsidR="4590B7D9" w:rsidRPr="00244D65">
        <w:rPr>
          <w:noProof/>
        </w:rPr>
        <w:t xml:space="preserve"> </w:t>
      </w:r>
      <w:r w:rsidR="163A0C7E" w:rsidRPr="00244D65">
        <w:rPr>
          <w:noProof/>
        </w:rPr>
        <w:t xml:space="preserve">over </w:t>
      </w:r>
      <w:r w:rsidR="34A98AAA" w:rsidRPr="00244D65">
        <w:rPr>
          <w:noProof/>
        </w:rPr>
        <w:t>the period 2031-</w:t>
      </w:r>
      <w:r w:rsidR="6E062E6C" w:rsidRPr="00244D65">
        <w:rPr>
          <w:noProof/>
        </w:rPr>
        <w:t>2040</w:t>
      </w:r>
      <w:r w:rsidR="54D2D89A" w:rsidRPr="00244D65">
        <w:rPr>
          <w:noProof/>
        </w:rPr>
        <w:t xml:space="preserve"> compared to the baseline, with </w:t>
      </w:r>
      <w:r w:rsidR="79644EF2" w:rsidRPr="00244D65">
        <w:rPr>
          <w:noProof/>
        </w:rPr>
        <w:t xml:space="preserve">most of </w:t>
      </w:r>
      <w:r w:rsidR="54D2D89A" w:rsidRPr="00244D65">
        <w:rPr>
          <w:noProof/>
        </w:rPr>
        <w:t xml:space="preserve">the decrease projected to occur </w:t>
      </w:r>
      <w:r w:rsidR="6EBFA96C" w:rsidRPr="00244D65">
        <w:rPr>
          <w:noProof/>
        </w:rPr>
        <w:t>in</w:t>
      </w:r>
      <w:r w:rsidR="54D2D89A" w:rsidRPr="00244D65">
        <w:rPr>
          <w:noProof/>
        </w:rPr>
        <w:t xml:space="preserve"> </w:t>
      </w:r>
      <w:r w:rsidR="6EBFA96C" w:rsidRPr="00244D65">
        <w:rPr>
          <w:noProof/>
        </w:rPr>
        <w:t xml:space="preserve">the second half of the </w:t>
      </w:r>
      <w:r w:rsidR="54D2D89A" w:rsidRPr="00244D65">
        <w:rPr>
          <w:noProof/>
        </w:rPr>
        <w:t>decade</w:t>
      </w:r>
      <w:r w:rsidR="3441AEEB" w:rsidRPr="00244D65">
        <w:rPr>
          <w:noProof/>
        </w:rPr>
        <w:t>.</w:t>
      </w:r>
      <w:r w:rsidR="77374AE5" w:rsidRPr="00244D65">
        <w:rPr>
          <w:noProof/>
        </w:rPr>
        <w:t xml:space="preserve"> The carbon price would provide an economic incentive to reduce emissions cost-effectively </w:t>
      </w:r>
      <w:r w:rsidR="61F00ED3" w:rsidRPr="00244D65">
        <w:rPr>
          <w:noProof/>
        </w:rPr>
        <w:t xml:space="preserve">at different stages of the </w:t>
      </w:r>
      <w:r w:rsidR="56C49CB2" w:rsidRPr="00244D65">
        <w:rPr>
          <w:noProof/>
        </w:rPr>
        <w:t>waste</w:t>
      </w:r>
      <w:r w:rsidR="61F00ED3" w:rsidRPr="00244D65">
        <w:rPr>
          <w:noProof/>
        </w:rPr>
        <w:t xml:space="preserve"> value chain</w:t>
      </w:r>
      <w:r w:rsidR="3B285681" w:rsidRPr="00244D65">
        <w:rPr>
          <w:noProof/>
        </w:rPr>
        <w:t>, through a</w:t>
      </w:r>
      <w:r w:rsidR="7A796349" w:rsidRPr="00244D65">
        <w:rPr>
          <w:noProof/>
        </w:rPr>
        <w:t xml:space="preserve"> </w:t>
      </w:r>
      <w:r w:rsidR="6C159D30" w:rsidRPr="00244D65">
        <w:rPr>
          <w:noProof/>
        </w:rPr>
        <w:t>combination of improved waste prevention, reduction and pre-collection sorting at source</w:t>
      </w:r>
      <w:r w:rsidR="3B285681" w:rsidRPr="00244D65">
        <w:rPr>
          <w:noProof/>
        </w:rPr>
        <w:t xml:space="preserve"> and</w:t>
      </w:r>
      <w:r w:rsidR="6C159D30" w:rsidRPr="00244D65">
        <w:rPr>
          <w:noProof/>
        </w:rPr>
        <w:t xml:space="preserve"> improved post-collection mixed-waste sorting and recycling in the shorter-term, </w:t>
      </w:r>
      <w:r w:rsidR="726FB1F6" w:rsidRPr="00244D65">
        <w:rPr>
          <w:noProof/>
        </w:rPr>
        <w:t>and</w:t>
      </w:r>
      <w:r w:rsidR="6C159D30" w:rsidRPr="00244D65">
        <w:rPr>
          <w:noProof/>
        </w:rPr>
        <w:t xml:space="preserve"> carbon capture for residual emissions in the medium-</w:t>
      </w:r>
      <w:r w:rsidR="726FB1F6" w:rsidRPr="00244D65">
        <w:rPr>
          <w:noProof/>
        </w:rPr>
        <w:t xml:space="preserve"> to longer-</w:t>
      </w:r>
      <w:r w:rsidR="6C159D30" w:rsidRPr="00244D65">
        <w:rPr>
          <w:noProof/>
        </w:rPr>
        <w:t>term (</w:t>
      </w:r>
      <w:r w:rsidR="726FB1F6" w:rsidRPr="00244D65">
        <w:rPr>
          <w:noProof/>
        </w:rPr>
        <w:t>as of mid-decade</w:t>
      </w:r>
      <w:r w:rsidR="6C159D30" w:rsidRPr="00244D65">
        <w:rPr>
          <w:noProof/>
        </w:rPr>
        <w:t xml:space="preserve">). </w:t>
      </w:r>
      <w:r w:rsidR="4B92A490" w:rsidRPr="00244D65">
        <w:rPr>
          <w:noProof/>
        </w:rPr>
        <w:t xml:space="preserve">Both increased recycling and </w:t>
      </w:r>
      <w:r w:rsidR="11883F53" w:rsidRPr="00244D65">
        <w:rPr>
          <w:noProof/>
        </w:rPr>
        <w:t xml:space="preserve">carbon capture </w:t>
      </w:r>
      <w:r w:rsidR="4B92A490" w:rsidRPr="00244D65">
        <w:rPr>
          <w:noProof/>
        </w:rPr>
        <w:t>provide</w:t>
      </w:r>
      <w:r w:rsidR="6C159D30" w:rsidRPr="00244D65">
        <w:rPr>
          <w:noProof/>
        </w:rPr>
        <w:t xml:space="preserve"> dual </w:t>
      </w:r>
      <w:r w:rsidR="10CFDD20" w:rsidRPr="00244D65">
        <w:rPr>
          <w:noProof/>
        </w:rPr>
        <w:t xml:space="preserve">climate </w:t>
      </w:r>
      <w:r w:rsidR="4B92A490" w:rsidRPr="00244D65">
        <w:rPr>
          <w:noProof/>
        </w:rPr>
        <w:t>benefits</w:t>
      </w:r>
      <w:r w:rsidR="5E6474B2" w:rsidRPr="00244D65">
        <w:rPr>
          <w:noProof/>
        </w:rPr>
        <w:t xml:space="preserve"> in the waste management sector</w:t>
      </w:r>
      <w:r w:rsidR="4B92A490" w:rsidRPr="00244D65">
        <w:rPr>
          <w:noProof/>
        </w:rPr>
        <w:t>. Increased recycling reduces GHG emissions from waste disposal and generates recycled materials displacing more carbon</w:t>
      </w:r>
      <w:r w:rsidR="112C3AA5" w:rsidRPr="00244D65">
        <w:rPr>
          <w:noProof/>
        </w:rPr>
        <w:t>-</w:t>
      </w:r>
      <w:r w:rsidR="4B92A490" w:rsidRPr="00244D65">
        <w:rPr>
          <w:noProof/>
        </w:rPr>
        <w:t>intensive virgin materials</w:t>
      </w:r>
      <w:r w:rsidR="32B04727" w:rsidRPr="00244D65">
        <w:rPr>
          <w:noProof/>
        </w:rPr>
        <w:t>, while c</w:t>
      </w:r>
      <w:r w:rsidR="11883F53" w:rsidRPr="00244D65">
        <w:rPr>
          <w:noProof/>
        </w:rPr>
        <w:t xml:space="preserve">arbon capture </w:t>
      </w:r>
      <w:r w:rsidR="53345DD1" w:rsidRPr="00244D65">
        <w:rPr>
          <w:noProof/>
        </w:rPr>
        <w:t>reduces</w:t>
      </w:r>
      <w:r w:rsidR="10CFDD20" w:rsidRPr="00244D65">
        <w:rPr>
          <w:noProof/>
        </w:rPr>
        <w:t xml:space="preserve"> fossil emissions </w:t>
      </w:r>
      <w:r w:rsidR="17C8776F" w:rsidRPr="00244D65">
        <w:rPr>
          <w:noProof/>
        </w:rPr>
        <w:t xml:space="preserve">in combination with </w:t>
      </w:r>
      <w:r w:rsidR="53345DD1" w:rsidRPr="00244D65">
        <w:rPr>
          <w:noProof/>
        </w:rPr>
        <w:t>generating</w:t>
      </w:r>
      <w:r w:rsidR="2F8CD165" w:rsidRPr="00244D65">
        <w:rPr>
          <w:noProof/>
        </w:rPr>
        <w:t xml:space="preserve"> </w:t>
      </w:r>
      <w:r w:rsidR="17C8776F" w:rsidRPr="00244D65">
        <w:rPr>
          <w:noProof/>
        </w:rPr>
        <w:t xml:space="preserve">biogenic </w:t>
      </w:r>
      <w:r w:rsidR="6C159D30" w:rsidRPr="00244D65">
        <w:rPr>
          <w:noProof/>
        </w:rPr>
        <w:t xml:space="preserve">carbon removals. </w:t>
      </w:r>
      <w:r w:rsidR="4016C968" w:rsidRPr="00244D65">
        <w:rPr>
          <w:noProof/>
        </w:rPr>
        <w:t>Similar to</w:t>
      </w:r>
      <w:r w:rsidR="6C159D30" w:rsidRPr="00244D65">
        <w:rPr>
          <w:noProof/>
        </w:rPr>
        <w:t xml:space="preserve"> other hard-to-abate sectors, targeted policy</w:t>
      </w:r>
      <w:r w:rsidR="79CD6EE7" w:rsidRPr="00244D65">
        <w:rPr>
          <w:noProof/>
        </w:rPr>
        <w:t xml:space="preserve"> and investment</w:t>
      </w:r>
      <w:r w:rsidR="6C159D30" w:rsidRPr="00244D65">
        <w:rPr>
          <w:noProof/>
        </w:rPr>
        <w:t xml:space="preserve"> support can advance the business case </w:t>
      </w:r>
      <w:r w:rsidR="79CD6EE7" w:rsidRPr="00244D65">
        <w:rPr>
          <w:noProof/>
        </w:rPr>
        <w:t>for carbon capture</w:t>
      </w:r>
      <w:r w:rsidR="22713DC3" w:rsidRPr="00244D65">
        <w:rPr>
          <w:noProof/>
        </w:rPr>
        <w:t xml:space="preserve"> and strengthen </w:t>
      </w:r>
      <w:r w:rsidR="6C159D30" w:rsidRPr="00244D65">
        <w:rPr>
          <w:noProof/>
        </w:rPr>
        <w:t xml:space="preserve">planning and investment predictability. Complementary </w:t>
      </w:r>
      <w:r w:rsidR="22713DC3" w:rsidRPr="00244D65">
        <w:rPr>
          <w:noProof/>
        </w:rPr>
        <w:t>waste</w:t>
      </w:r>
      <w:r w:rsidR="6C159D30" w:rsidRPr="00244D65">
        <w:rPr>
          <w:noProof/>
        </w:rPr>
        <w:t xml:space="preserve"> policies</w:t>
      </w:r>
      <w:r w:rsidR="001E2CB7" w:rsidRPr="00244D65">
        <w:rPr>
          <w:noProof/>
        </w:rPr>
        <w:t xml:space="preserve"> under the future Circular Economy Act will</w:t>
      </w:r>
      <w:r w:rsidR="6C159D30" w:rsidRPr="00244D65">
        <w:rPr>
          <w:noProof/>
        </w:rPr>
        <w:t xml:space="preserve"> contribute to ensure a comprehensive approach by </w:t>
      </w:r>
      <w:r w:rsidR="001E2CB7" w:rsidRPr="00244D65">
        <w:rPr>
          <w:noProof/>
        </w:rPr>
        <w:t xml:space="preserve">stimulating the single market and demand for secondary materials and circular products, </w:t>
      </w:r>
      <w:r w:rsidR="6C159D30" w:rsidRPr="00244D65">
        <w:rPr>
          <w:noProof/>
        </w:rPr>
        <w:t xml:space="preserve">supporting </w:t>
      </w:r>
      <w:r w:rsidR="001E2CB7" w:rsidRPr="00244D65">
        <w:rPr>
          <w:noProof/>
        </w:rPr>
        <w:t>investment in recycling capacity, reducing the landfilling and incineration of used raw materials, and rolling-out upstre</w:t>
      </w:r>
      <w:r w:rsidR="00372A81" w:rsidRPr="00244D65">
        <w:rPr>
          <w:noProof/>
        </w:rPr>
        <w:t>am producer-oriented</w:t>
      </w:r>
      <w:r w:rsidR="6C159D30" w:rsidRPr="00244D65">
        <w:rPr>
          <w:noProof/>
        </w:rPr>
        <w:t xml:space="preserve"> policies </w:t>
      </w:r>
      <w:r w:rsidR="00372A81" w:rsidRPr="00244D65">
        <w:rPr>
          <w:noProof/>
        </w:rPr>
        <w:t>such as e</w:t>
      </w:r>
      <w:r w:rsidR="001E2CB7" w:rsidRPr="00244D65">
        <w:rPr>
          <w:noProof/>
        </w:rPr>
        <w:t xml:space="preserve">co-design requirements </w:t>
      </w:r>
      <w:r w:rsidR="00372A81" w:rsidRPr="00244D65">
        <w:rPr>
          <w:noProof/>
        </w:rPr>
        <w:t>and</w:t>
      </w:r>
      <w:r w:rsidR="6C159D30" w:rsidRPr="00244D65">
        <w:rPr>
          <w:noProof/>
        </w:rPr>
        <w:t xml:space="preserve"> strengthened Extended Producer Responsibility </w:t>
      </w:r>
      <w:r w:rsidR="77374AE5" w:rsidRPr="00244D65">
        <w:rPr>
          <w:noProof/>
        </w:rPr>
        <w:t xml:space="preserve">(see Annex 13, </w:t>
      </w:r>
      <w:r w:rsidR="000B7A80" w:rsidRPr="00244D65">
        <w:rPr>
          <w:noProof/>
        </w:rPr>
        <w:t>S</w:t>
      </w:r>
      <w:r w:rsidR="3A990402" w:rsidRPr="00244D65">
        <w:rPr>
          <w:noProof/>
        </w:rPr>
        <w:t>ection</w:t>
      </w:r>
      <w:r w:rsidR="77374AE5" w:rsidRPr="00244D65">
        <w:rPr>
          <w:noProof/>
        </w:rPr>
        <w:t xml:space="preserve"> 1.3 for a detailed assessment of how the carbon price can drive behavioural changes, costs and opportunities contributing to emissions reductions).</w:t>
      </w:r>
      <w:r w:rsidR="36FF19C5" w:rsidRPr="00244D65">
        <w:rPr>
          <w:noProof/>
        </w:rPr>
        <w:t xml:space="preserve"> </w:t>
      </w:r>
      <w:r w:rsidR="44BD699E" w:rsidRPr="00244D65">
        <w:rPr>
          <w:noProof/>
        </w:rPr>
        <w:t xml:space="preserve"> The inclusion of municipal waste incineration installations under PO2 and PO3 will also support the efforts to promote a more circular economy via the use of captured CO2 as a feedstock through a hybrid downstream accounting for non-permanent CCU products (see </w:t>
      </w:r>
      <w:r w:rsidR="00E505FB" w:rsidRPr="00244D65">
        <w:rPr>
          <w:noProof/>
        </w:rPr>
        <w:t>S</w:t>
      </w:r>
      <w:r w:rsidR="44BD699E" w:rsidRPr="00244D65">
        <w:rPr>
          <w:noProof/>
        </w:rPr>
        <w:t>ection 6.1.1.9.)  by accounting for the downstream emissions associated with non-permanent CCU products.</w:t>
      </w:r>
    </w:p>
    <w:p w14:paraId="3A032A4F" w14:textId="0E323BE8" w:rsidR="00020C60" w:rsidRPr="00244D65" w:rsidRDefault="00DC527F" w:rsidP="0085595C">
      <w:pPr>
        <w:rPr>
          <w:noProof/>
        </w:rPr>
      </w:pPr>
      <w:r w:rsidRPr="00244D65">
        <w:rPr>
          <w:noProof/>
        </w:rPr>
        <w:t xml:space="preserve">In policy option PO3, the scope of the </w:t>
      </w:r>
      <w:r w:rsidR="00F909E3" w:rsidRPr="00244D65">
        <w:rPr>
          <w:noProof/>
        </w:rPr>
        <w:t>EU ETS</w:t>
      </w:r>
      <w:r w:rsidRPr="00244D65">
        <w:rPr>
          <w:noProof/>
        </w:rPr>
        <w:t xml:space="preserve"> would also be extended to </w:t>
      </w:r>
      <w:r w:rsidR="003F38A1" w:rsidRPr="00244D65">
        <w:rPr>
          <w:noProof/>
        </w:rPr>
        <w:t xml:space="preserve">CO2-emissions from </w:t>
      </w:r>
      <w:r w:rsidRPr="00244D65">
        <w:rPr>
          <w:noProof/>
        </w:rPr>
        <w:t xml:space="preserve">hazardous waste incineration (HWI) and </w:t>
      </w:r>
      <w:r w:rsidR="00237486" w:rsidRPr="00244D65">
        <w:rPr>
          <w:noProof/>
        </w:rPr>
        <w:t>to methane emissions</w:t>
      </w:r>
      <w:r w:rsidR="0035324D" w:rsidRPr="00244D65">
        <w:rPr>
          <w:noProof/>
        </w:rPr>
        <w:t xml:space="preserve"> from </w:t>
      </w:r>
      <w:r w:rsidRPr="00244D65">
        <w:rPr>
          <w:noProof/>
        </w:rPr>
        <w:t xml:space="preserve">non-hazardous landfilling, leading to a higher amount of overall GHG emissions reductions </w:t>
      </w:r>
      <w:r w:rsidR="00B761DF" w:rsidRPr="00244D65">
        <w:rPr>
          <w:noProof/>
        </w:rPr>
        <w:t xml:space="preserve">but a lower amount of </w:t>
      </w:r>
      <w:r w:rsidR="002235E7" w:rsidRPr="00244D65">
        <w:rPr>
          <w:noProof/>
        </w:rPr>
        <w:t>municipal waste incineration emissions reductions compared to PO2</w:t>
      </w:r>
      <w:r w:rsidRPr="00244D65">
        <w:rPr>
          <w:noProof/>
        </w:rPr>
        <w:t xml:space="preserve">. How much higher </w:t>
      </w:r>
      <w:bookmarkStart w:id="163" w:name="_Int_s9MZzc1R"/>
      <w:r w:rsidRPr="00244D65">
        <w:rPr>
          <w:noProof/>
        </w:rPr>
        <w:t>ultimately depends</w:t>
      </w:r>
      <w:bookmarkEnd w:id="163"/>
      <w:r w:rsidRPr="00244D65">
        <w:rPr>
          <w:noProof/>
        </w:rPr>
        <w:t xml:space="preserve"> on when, </w:t>
      </w:r>
      <w:r w:rsidR="3807BD1B" w:rsidRPr="00244D65">
        <w:rPr>
          <w:noProof/>
        </w:rPr>
        <w:t>how,</w:t>
      </w:r>
      <w:r w:rsidRPr="00244D65">
        <w:rPr>
          <w:noProof/>
        </w:rPr>
        <w:t xml:space="preserve"> and which GHG emissions from landfilling would be included within the scope</w:t>
      </w:r>
      <w:r w:rsidR="0035324D" w:rsidRPr="00244D65">
        <w:rPr>
          <w:noProof/>
        </w:rPr>
        <w:t>, i.e. only from future disposal</w:t>
      </w:r>
      <w:r w:rsidR="0033127A" w:rsidRPr="00244D65">
        <w:rPr>
          <w:noProof/>
        </w:rPr>
        <w:t xml:space="preserve"> in active landfills</w:t>
      </w:r>
      <w:r w:rsidR="0035324D" w:rsidRPr="00244D65">
        <w:rPr>
          <w:noProof/>
        </w:rPr>
        <w:t xml:space="preserve"> or also from historical </w:t>
      </w:r>
      <w:r w:rsidR="00812EF7" w:rsidRPr="00244D65">
        <w:rPr>
          <w:noProof/>
        </w:rPr>
        <w:t>deposits</w:t>
      </w:r>
      <w:r w:rsidRPr="00244D65">
        <w:rPr>
          <w:noProof/>
        </w:rPr>
        <w:t xml:space="preserve">. Cumulative emissions from waste incineration (MWI and HWI) would decrease compared to </w:t>
      </w:r>
      <w:r w:rsidR="0001712B" w:rsidRPr="00244D65">
        <w:rPr>
          <w:noProof/>
        </w:rPr>
        <w:t>the baseline</w:t>
      </w:r>
      <w:r w:rsidRPr="00244D65">
        <w:rPr>
          <w:noProof/>
        </w:rPr>
        <w:t xml:space="preserve">, by </w:t>
      </w:r>
      <w:r w:rsidR="0001712B" w:rsidRPr="00244D65">
        <w:rPr>
          <w:noProof/>
        </w:rPr>
        <w:t xml:space="preserve">-29 MtCO2eq or </w:t>
      </w:r>
      <w:r w:rsidR="00A91216" w:rsidRPr="00244D65">
        <w:rPr>
          <w:noProof/>
        </w:rPr>
        <w:t>-11%</w:t>
      </w:r>
      <w:r w:rsidRPr="00244D65">
        <w:rPr>
          <w:noProof/>
        </w:rPr>
        <w:t xml:space="preserve"> </w:t>
      </w:r>
      <w:r w:rsidR="00F90A00" w:rsidRPr="00244D65">
        <w:rPr>
          <w:noProof/>
        </w:rPr>
        <w:t xml:space="preserve">over </w:t>
      </w:r>
      <w:r w:rsidR="005C3018" w:rsidRPr="00244D65">
        <w:rPr>
          <w:noProof/>
        </w:rPr>
        <w:t>the period 2031-2040</w:t>
      </w:r>
      <w:r w:rsidRPr="00244D65">
        <w:rPr>
          <w:noProof/>
        </w:rPr>
        <w:t xml:space="preserve">, but substantially less compared to PO2. This is </w:t>
      </w:r>
      <w:bookmarkStart w:id="164" w:name="_Int_W7xDGEKy"/>
      <w:r w:rsidRPr="00244D65">
        <w:rPr>
          <w:noProof/>
        </w:rPr>
        <w:t>mainly due</w:t>
      </w:r>
      <w:bookmarkEnd w:id="164"/>
      <w:r w:rsidRPr="00244D65">
        <w:rPr>
          <w:noProof/>
        </w:rPr>
        <w:t xml:space="preserve"> to landfills being the primary driver of overall emissions reductions in this policy option because of </w:t>
      </w:r>
      <w:r w:rsidR="00AA6301" w:rsidRPr="00244D65">
        <w:rPr>
          <w:noProof/>
        </w:rPr>
        <w:t xml:space="preserve">the </w:t>
      </w:r>
      <w:r w:rsidR="004D43DA" w:rsidRPr="00244D65">
        <w:rPr>
          <w:noProof/>
        </w:rPr>
        <w:t xml:space="preserve">regulatory </w:t>
      </w:r>
      <w:r w:rsidR="00AA6301" w:rsidRPr="00244D65">
        <w:rPr>
          <w:noProof/>
        </w:rPr>
        <w:t xml:space="preserve">waste policy framework </w:t>
      </w:r>
      <w:r w:rsidR="004D43DA" w:rsidRPr="00244D65">
        <w:rPr>
          <w:noProof/>
        </w:rPr>
        <w:t xml:space="preserve">already </w:t>
      </w:r>
      <w:r w:rsidR="00AA6301" w:rsidRPr="00244D65">
        <w:rPr>
          <w:noProof/>
        </w:rPr>
        <w:t xml:space="preserve">in place and </w:t>
      </w:r>
      <w:r w:rsidRPr="00244D65">
        <w:rPr>
          <w:noProof/>
        </w:rPr>
        <w:t xml:space="preserve">a comparatively higher cost-effective abatement potential (see Annex 13, </w:t>
      </w:r>
      <w:r w:rsidR="00E505FB" w:rsidRPr="00244D65">
        <w:rPr>
          <w:noProof/>
        </w:rPr>
        <w:t>S</w:t>
      </w:r>
      <w:r w:rsidRPr="00244D65">
        <w:rPr>
          <w:noProof/>
        </w:rPr>
        <w:t>ection 1.3). The Landfill Directive, if fully implemented and enforced, is projected to lead to significant emissions reductions from landfills in the order of -</w:t>
      </w:r>
      <w:r w:rsidR="00A91216" w:rsidRPr="00244D65">
        <w:rPr>
          <w:noProof/>
        </w:rPr>
        <w:t>45</w:t>
      </w:r>
      <w:r w:rsidRPr="00244D65">
        <w:rPr>
          <w:noProof/>
        </w:rPr>
        <w:t xml:space="preserve">% by 2040 compared to 2030 </w:t>
      </w:r>
      <w:r w:rsidR="005C3018" w:rsidRPr="00244D65">
        <w:rPr>
          <w:noProof/>
        </w:rPr>
        <w:t xml:space="preserve">and of -55% compared to 2025 </w:t>
      </w:r>
      <w:r w:rsidRPr="00244D65">
        <w:rPr>
          <w:noProof/>
        </w:rPr>
        <w:t>(GAINS)</w:t>
      </w:r>
      <w:r w:rsidRPr="00244D65">
        <w:rPr>
          <w:rStyle w:val="FootnoteReference"/>
          <w:noProof/>
        </w:rPr>
        <w:footnoteReference w:id="60"/>
      </w:r>
      <w:r w:rsidRPr="00244D65">
        <w:rPr>
          <w:noProof/>
        </w:rPr>
        <w:t xml:space="preserve">, with limited </w:t>
      </w:r>
      <w:r w:rsidR="00640492" w:rsidRPr="00244D65">
        <w:rPr>
          <w:noProof/>
        </w:rPr>
        <w:t xml:space="preserve">further </w:t>
      </w:r>
      <w:r w:rsidRPr="00244D65">
        <w:rPr>
          <w:noProof/>
        </w:rPr>
        <w:t xml:space="preserve">technical </w:t>
      </w:r>
      <w:r w:rsidR="00640492" w:rsidRPr="00244D65">
        <w:rPr>
          <w:noProof/>
        </w:rPr>
        <w:t xml:space="preserve">abatement </w:t>
      </w:r>
      <w:r w:rsidRPr="00244D65">
        <w:rPr>
          <w:noProof/>
        </w:rPr>
        <w:t xml:space="preserve">potential for additional emissions reductions. The primary benefit of inclusion of landfills in </w:t>
      </w:r>
      <w:r w:rsidR="00F909E3" w:rsidRPr="00244D65">
        <w:rPr>
          <w:noProof/>
        </w:rPr>
        <w:t>EU ETS</w:t>
      </w:r>
      <w:r w:rsidRPr="00244D65">
        <w:rPr>
          <w:noProof/>
        </w:rPr>
        <w:t xml:space="preserve"> would be to deliver increased certainty and complementary financial incentives supporting the achievement of these emissions reductions</w:t>
      </w:r>
      <w:r w:rsidRPr="00244D65">
        <w:rPr>
          <w:noProof/>
          <w:vertAlign w:val="superscript"/>
        </w:rPr>
        <w:footnoteReference w:id="61"/>
      </w:r>
      <w:r w:rsidRPr="00244D65">
        <w:rPr>
          <w:noProof/>
        </w:rPr>
        <w:t xml:space="preserve">. </w:t>
      </w:r>
      <w:r w:rsidR="00020C60" w:rsidRPr="00244D65">
        <w:rPr>
          <w:noProof/>
        </w:rPr>
        <w:t xml:space="preserve">Uncertainty in the quantification of emissions from </w:t>
      </w:r>
      <w:r w:rsidR="00E62A78" w:rsidRPr="00244D65">
        <w:rPr>
          <w:noProof/>
        </w:rPr>
        <w:t>HWI and</w:t>
      </w:r>
      <w:r w:rsidR="00020C60" w:rsidRPr="00244D65">
        <w:rPr>
          <w:noProof/>
        </w:rPr>
        <w:t xml:space="preserve"> landfills under PO3 remains high</w:t>
      </w:r>
      <w:r w:rsidR="00E62A78" w:rsidRPr="00244D65">
        <w:rPr>
          <w:noProof/>
        </w:rPr>
        <w:t>, including due to the diffuse, long-term and site-specific nature of methane emissions in the latter case</w:t>
      </w:r>
      <w:r w:rsidR="00020C60" w:rsidRPr="00244D65">
        <w:rPr>
          <w:noProof/>
        </w:rPr>
        <w:t xml:space="preserve">. </w:t>
      </w:r>
      <w:r w:rsidR="005B2788" w:rsidRPr="00244D65">
        <w:rPr>
          <w:noProof/>
        </w:rPr>
        <w:t>H</w:t>
      </w:r>
      <w:r w:rsidR="00020C60" w:rsidRPr="00244D65">
        <w:rPr>
          <w:noProof/>
        </w:rPr>
        <w:t xml:space="preserve">armonised monitoring and reporting frameworks to collect standardised, robust and verified emissions data </w:t>
      </w:r>
      <w:r w:rsidR="005B2788" w:rsidRPr="00244D65">
        <w:rPr>
          <w:noProof/>
        </w:rPr>
        <w:t xml:space="preserve">prior to inclusion </w:t>
      </w:r>
      <w:r w:rsidR="00187794" w:rsidRPr="00244D65">
        <w:rPr>
          <w:noProof/>
        </w:rPr>
        <w:t xml:space="preserve">would be </w:t>
      </w:r>
      <w:r w:rsidR="00020C60" w:rsidRPr="00244D65">
        <w:rPr>
          <w:noProof/>
        </w:rPr>
        <w:t>important to ensure a high degree of integrity in the system.</w:t>
      </w:r>
    </w:p>
    <w:p w14:paraId="123A3294" w14:textId="16987EE3" w:rsidR="007A3CAF" w:rsidRPr="00244D65" w:rsidRDefault="001C015E" w:rsidP="0085595C">
      <w:pPr>
        <w:rPr>
          <w:noProof/>
          <w:lang w:eastAsia="en-GB"/>
        </w:rPr>
      </w:pPr>
      <w:r w:rsidRPr="00244D65">
        <w:rPr>
          <w:noProof/>
          <w:lang w:eastAsia="en-GB"/>
        </w:rPr>
        <w:t>The</w:t>
      </w:r>
      <w:r w:rsidR="06FC6B26" w:rsidRPr="00244D65">
        <w:rPr>
          <w:noProof/>
          <w:lang w:eastAsia="en-GB"/>
        </w:rPr>
        <w:t xml:space="preserve"> waste-specific risk of </w:t>
      </w:r>
      <w:r w:rsidR="00916DF6" w:rsidRPr="00244D65">
        <w:rPr>
          <w:noProof/>
          <w:lang w:eastAsia="en-GB"/>
        </w:rPr>
        <w:t xml:space="preserve">emissions </w:t>
      </w:r>
      <w:r w:rsidR="06FC6B26" w:rsidRPr="00244D65">
        <w:rPr>
          <w:noProof/>
          <w:lang w:eastAsia="en-GB"/>
        </w:rPr>
        <w:t xml:space="preserve">leakage </w:t>
      </w:r>
      <w:r w:rsidR="4B0A4BA0" w:rsidRPr="00244D65">
        <w:rPr>
          <w:noProof/>
          <w:lang w:eastAsia="en-GB"/>
        </w:rPr>
        <w:t xml:space="preserve">(distinct from the risk of carbon leakage for industry in general discussed in other </w:t>
      </w:r>
      <w:r w:rsidR="00992192" w:rsidRPr="00244D65">
        <w:rPr>
          <w:noProof/>
          <w:lang w:eastAsia="en-GB"/>
        </w:rPr>
        <w:t>sections and</w:t>
      </w:r>
      <w:r w:rsidR="00D64EDF" w:rsidRPr="00244D65">
        <w:rPr>
          <w:noProof/>
          <w:lang w:eastAsia="en-GB"/>
        </w:rPr>
        <w:t xml:space="preserve"> assessed separately from the environmental risk of waste diversion</w:t>
      </w:r>
      <w:r w:rsidR="003C646F" w:rsidRPr="00244D65">
        <w:rPr>
          <w:noProof/>
          <w:lang w:eastAsia="en-GB"/>
        </w:rPr>
        <w:t xml:space="preserve"> in </w:t>
      </w:r>
      <w:r w:rsidR="00E505FB" w:rsidRPr="00244D65">
        <w:rPr>
          <w:noProof/>
          <w:lang w:eastAsia="en-GB"/>
        </w:rPr>
        <w:t>S</w:t>
      </w:r>
      <w:r w:rsidR="003C646F" w:rsidRPr="00244D65">
        <w:rPr>
          <w:noProof/>
          <w:lang w:eastAsia="en-GB"/>
        </w:rPr>
        <w:t>ection 6.1.2.5.</w:t>
      </w:r>
      <w:r w:rsidR="4B0A4BA0" w:rsidRPr="00244D65">
        <w:rPr>
          <w:noProof/>
          <w:lang w:eastAsia="en-GB"/>
        </w:rPr>
        <w:t xml:space="preserve">) </w:t>
      </w:r>
      <w:r w:rsidR="06FC6B26" w:rsidRPr="00244D65">
        <w:rPr>
          <w:noProof/>
          <w:lang w:eastAsia="en-GB"/>
        </w:rPr>
        <w:t xml:space="preserve">associated </w:t>
      </w:r>
      <w:r w:rsidR="009D33A3" w:rsidRPr="00244D65">
        <w:rPr>
          <w:noProof/>
          <w:lang w:eastAsia="en-GB"/>
        </w:rPr>
        <w:t xml:space="preserve">to </w:t>
      </w:r>
      <w:r w:rsidR="00E33D73" w:rsidRPr="00244D65">
        <w:rPr>
          <w:noProof/>
          <w:lang w:eastAsia="en-GB"/>
        </w:rPr>
        <w:t xml:space="preserve">waste </w:t>
      </w:r>
      <w:r w:rsidR="004A547B" w:rsidRPr="00244D65">
        <w:rPr>
          <w:noProof/>
          <w:lang w:eastAsia="en-GB"/>
        </w:rPr>
        <w:t>diversion</w:t>
      </w:r>
      <w:r w:rsidR="00A858EE" w:rsidRPr="00244D65">
        <w:rPr>
          <w:noProof/>
          <w:lang w:eastAsia="en-GB"/>
        </w:rPr>
        <w:t xml:space="preserve"> to </w:t>
      </w:r>
      <w:r w:rsidR="001A3621" w:rsidRPr="00244D65">
        <w:rPr>
          <w:noProof/>
          <w:lang w:eastAsia="en-GB"/>
        </w:rPr>
        <w:t xml:space="preserve">other waste </w:t>
      </w:r>
      <w:r w:rsidR="00A858EE" w:rsidRPr="00244D65">
        <w:rPr>
          <w:noProof/>
          <w:lang w:eastAsia="en-GB"/>
        </w:rPr>
        <w:t xml:space="preserve">disposal </w:t>
      </w:r>
      <w:r w:rsidR="001C7F11" w:rsidRPr="00244D65">
        <w:rPr>
          <w:noProof/>
          <w:lang w:eastAsia="en-GB"/>
        </w:rPr>
        <w:t xml:space="preserve">processes or </w:t>
      </w:r>
      <w:r w:rsidR="001A3621" w:rsidRPr="00244D65">
        <w:rPr>
          <w:noProof/>
          <w:lang w:eastAsia="en-GB"/>
        </w:rPr>
        <w:t>third countries</w:t>
      </w:r>
      <w:r w:rsidR="00EF2FC3" w:rsidRPr="00244D65">
        <w:rPr>
          <w:noProof/>
          <w:lang w:eastAsia="en-GB"/>
        </w:rPr>
        <w:t xml:space="preserve"> </w:t>
      </w:r>
      <w:r w:rsidR="001A3621" w:rsidRPr="00244D65">
        <w:rPr>
          <w:noProof/>
          <w:lang w:eastAsia="en-GB"/>
        </w:rPr>
        <w:t xml:space="preserve">is </w:t>
      </w:r>
      <w:r w:rsidR="00331757" w:rsidRPr="00244D65">
        <w:rPr>
          <w:noProof/>
          <w:lang w:eastAsia="en-GB"/>
        </w:rPr>
        <w:t xml:space="preserve">considered </w:t>
      </w:r>
      <w:r w:rsidR="001A3621" w:rsidRPr="00244D65">
        <w:rPr>
          <w:noProof/>
          <w:lang w:eastAsia="en-GB"/>
        </w:rPr>
        <w:t xml:space="preserve">limited under </w:t>
      </w:r>
      <w:r w:rsidR="00EA3B39" w:rsidRPr="00244D65">
        <w:rPr>
          <w:noProof/>
          <w:lang w:eastAsia="en-GB"/>
        </w:rPr>
        <w:t>all policy options</w:t>
      </w:r>
      <w:r w:rsidR="001A3621" w:rsidRPr="00244D65">
        <w:rPr>
          <w:noProof/>
          <w:lang w:eastAsia="en-GB"/>
        </w:rPr>
        <w:t xml:space="preserve">. </w:t>
      </w:r>
      <w:r w:rsidR="008634B9" w:rsidRPr="00244D65">
        <w:rPr>
          <w:noProof/>
          <w:lang w:eastAsia="en-GB"/>
        </w:rPr>
        <w:t xml:space="preserve">Under PO2, the risk of emissions leakage to landfills is </w:t>
      </w:r>
      <w:r w:rsidR="00B30494" w:rsidRPr="00244D65">
        <w:rPr>
          <w:noProof/>
          <w:lang w:eastAsia="en-GB"/>
        </w:rPr>
        <w:t>contained</w:t>
      </w:r>
      <w:r w:rsidR="00747912" w:rsidRPr="00244D65">
        <w:rPr>
          <w:noProof/>
          <w:lang w:eastAsia="en-GB"/>
        </w:rPr>
        <w:t xml:space="preserve"> </w:t>
      </w:r>
      <w:r w:rsidR="00756B39" w:rsidRPr="00244D65">
        <w:rPr>
          <w:noProof/>
          <w:lang w:eastAsia="en-GB"/>
        </w:rPr>
        <w:t>by the zero-rating of</w:t>
      </w:r>
      <w:r w:rsidR="00AA6EA6" w:rsidRPr="00244D65">
        <w:rPr>
          <w:noProof/>
          <w:lang w:eastAsia="en-GB"/>
        </w:rPr>
        <w:t xml:space="preserve"> biogenic</w:t>
      </w:r>
      <w:r w:rsidR="00756B39" w:rsidRPr="00244D65">
        <w:rPr>
          <w:noProof/>
          <w:lang w:eastAsia="en-GB"/>
        </w:rPr>
        <w:t xml:space="preserve"> </w:t>
      </w:r>
      <w:r w:rsidR="008E6F8F" w:rsidRPr="00244D65">
        <w:rPr>
          <w:noProof/>
          <w:lang w:eastAsia="en-GB"/>
        </w:rPr>
        <w:t xml:space="preserve">emissions </w:t>
      </w:r>
      <w:r w:rsidR="00AA6EA6" w:rsidRPr="00244D65">
        <w:rPr>
          <w:noProof/>
          <w:lang w:eastAsia="en-GB"/>
        </w:rPr>
        <w:t xml:space="preserve">in incineration, </w:t>
      </w:r>
      <w:r w:rsidR="00604931" w:rsidRPr="00244D65">
        <w:rPr>
          <w:noProof/>
          <w:lang w:eastAsia="en-GB"/>
        </w:rPr>
        <w:t>limiting</w:t>
      </w:r>
      <w:r w:rsidR="00AA6EA6" w:rsidRPr="00244D65">
        <w:rPr>
          <w:noProof/>
          <w:lang w:eastAsia="en-GB"/>
        </w:rPr>
        <w:t xml:space="preserve"> </w:t>
      </w:r>
      <w:r w:rsidR="00604931" w:rsidRPr="00244D65">
        <w:rPr>
          <w:noProof/>
          <w:lang w:eastAsia="en-GB"/>
        </w:rPr>
        <w:t>the incentive</w:t>
      </w:r>
      <w:r w:rsidR="00AA6EA6" w:rsidRPr="00244D65">
        <w:rPr>
          <w:noProof/>
          <w:lang w:eastAsia="en-GB"/>
        </w:rPr>
        <w:t xml:space="preserve"> to divert organic waste </w:t>
      </w:r>
      <w:r w:rsidR="000C6AFA" w:rsidRPr="00244D65">
        <w:rPr>
          <w:noProof/>
          <w:lang w:eastAsia="en-GB"/>
        </w:rPr>
        <w:t xml:space="preserve">to landfills </w:t>
      </w:r>
      <w:r w:rsidR="00604931" w:rsidRPr="00244D65">
        <w:rPr>
          <w:noProof/>
          <w:lang w:eastAsia="en-GB"/>
        </w:rPr>
        <w:t>–</w:t>
      </w:r>
      <w:r w:rsidR="00C66927" w:rsidRPr="00244D65">
        <w:rPr>
          <w:noProof/>
          <w:lang w:eastAsia="en-GB"/>
        </w:rPr>
        <w:t xml:space="preserve"> the main source of methane emissions – </w:t>
      </w:r>
      <w:r w:rsidR="00637A2F" w:rsidRPr="00244D65">
        <w:rPr>
          <w:noProof/>
          <w:lang w:eastAsia="en-GB"/>
        </w:rPr>
        <w:t>to circumvent the carbon cost</w:t>
      </w:r>
      <w:r w:rsidR="000C6AFA" w:rsidRPr="00244D65">
        <w:rPr>
          <w:noProof/>
          <w:lang w:eastAsia="en-GB"/>
        </w:rPr>
        <w:t xml:space="preserve">. </w:t>
      </w:r>
      <w:r w:rsidR="008634B9" w:rsidRPr="00244D65">
        <w:rPr>
          <w:noProof/>
          <w:lang w:eastAsia="en-GB"/>
        </w:rPr>
        <w:t>PO3</w:t>
      </w:r>
      <w:r w:rsidR="00F52033" w:rsidRPr="00244D65">
        <w:rPr>
          <w:noProof/>
          <w:lang w:eastAsia="en-GB"/>
        </w:rPr>
        <w:t xml:space="preserve">, by </w:t>
      </w:r>
      <w:r w:rsidR="00B30494" w:rsidRPr="00244D65">
        <w:rPr>
          <w:noProof/>
          <w:lang w:eastAsia="en-GB"/>
        </w:rPr>
        <w:t>including</w:t>
      </w:r>
      <w:r w:rsidR="00F52033" w:rsidRPr="00244D65">
        <w:rPr>
          <w:noProof/>
          <w:lang w:eastAsia="en-GB"/>
        </w:rPr>
        <w:t xml:space="preserve"> </w:t>
      </w:r>
      <w:r w:rsidR="00B30494" w:rsidRPr="00244D65">
        <w:rPr>
          <w:noProof/>
          <w:lang w:eastAsia="en-GB"/>
        </w:rPr>
        <w:t xml:space="preserve">methane </w:t>
      </w:r>
      <w:r w:rsidR="00F52033" w:rsidRPr="00244D65">
        <w:rPr>
          <w:noProof/>
          <w:lang w:eastAsia="en-GB"/>
        </w:rPr>
        <w:t xml:space="preserve">emissions reductions </w:t>
      </w:r>
      <w:r w:rsidR="00B30494" w:rsidRPr="00244D65">
        <w:rPr>
          <w:noProof/>
          <w:lang w:eastAsia="en-GB"/>
        </w:rPr>
        <w:t xml:space="preserve">in landfills, would </w:t>
      </w:r>
      <w:r w:rsidR="000B6C3A" w:rsidRPr="00244D65">
        <w:rPr>
          <w:noProof/>
          <w:lang w:eastAsia="en-GB"/>
        </w:rPr>
        <w:t>address any residual risk</w:t>
      </w:r>
      <w:r w:rsidR="00B30494" w:rsidRPr="00244D65">
        <w:rPr>
          <w:noProof/>
          <w:lang w:eastAsia="en-GB"/>
        </w:rPr>
        <w:t>s</w:t>
      </w:r>
      <w:r w:rsidR="000B6C3A" w:rsidRPr="00244D65">
        <w:rPr>
          <w:noProof/>
          <w:lang w:eastAsia="en-GB"/>
        </w:rPr>
        <w:t xml:space="preserve"> of organic waste diversion from incineration to landfills.</w:t>
      </w:r>
      <w:r w:rsidR="00B30494" w:rsidRPr="00244D65">
        <w:rPr>
          <w:noProof/>
          <w:lang w:eastAsia="en-GB"/>
        </w:rPr>
        <w:t xml:space="preserve"> </w:t>
      </w:r>
      <w:r w:rsidR="009330A8" w:rsidRPr="00244D65">
        <w:rPr>
          <w:noProof/>
          <w:lang w:eastAsia="en-GB"/>
        </w:rPr>
        <w:t xml:space="preserve">Emissions </w:t>
      </w:r>
      <w:r w:rsidR="001A3621" w:rsidRPr="00244D65">
        <w:rPr>
          <w:noProof/>
          <w:lang w:eastAsia="en-GB"/>
        </w:rPr>
        <w:t xml:space="preserve">leakage risks to hazardous waste incineration are limited </w:t>
      </w:r>
      <w:r w:rsidR="00331757" w:rsidRPr="00244D65">
        <w:rPr>
          <w:noProof/>
          <w:lang w:eastAsia="en-GB"/>
        </w:rPr>
        <w:t>by</w:t>
      </w:r>
      <w:r w:rsidR="001A3621" w:rsidRPr="00244D65">
        <w:rPr>
          <w:noProof/>
          <w:lang w:eastAsia="en-GB"/>
        </w:rPr>
        <w:t xml:space="preserve"> </w:t>
      </w:r>
      <w:r w:rsidR="001A3621" w:rsidRPr="00244D65">
        <w:rPr>
          <w:noProof/>
        </w:rPr>
        <w:t>technical</w:t>
      </w:r>
      <w:r w:rsidR="001A3621" w:rsidRPr="00244D65">
        <w:rPr>
          <w:noProof/>
          <w:lang w:eastAsia="en-GB"/>
        </w:rPr>
        <w:t xml:space="preserve"> and operational </w:t>
      </w:r>
      <w:r w:rsidR="009C37B8" w:rsidRPr="00244D65">
        <w:rPr>
          <w:noProof/>
          <w:lang w:eastAsia="en-GB"/>
        </w:rPr>
        <w:t>constraints</w:t>
      </w:r>
      <w:r w:rsidR="001A3621" w:rsidRPr="00244D65">
        <w:rPr>
          <w:noProof/>
          <w:lang w:eastAsia="en-GB"/>
        </w:rPr>
        <w:t xml:space="preserve">, higher </w:t>
      </w:r>
      <w:r w:rsidR="333A6CCD" w:rsidRPr="00244D65">
        <w:rPr>
          <w:noProof/>
          <w:lang w:eastAsia="en-GB"/>
        </w:rPr>
        <w:t>costs,</w:t>
      </w:r>
      <w:r w:rsidR="001A3621" w:rsidRPr="00244D65">
        <w:rPr>
          <w:noProof/>
          <w:lang w:eastAsia="en-GB"/>
        </w:rPr>
        <w:t xml:space="preserve"> and strict regulatory requirements</w:t>
      </w:r>
      <w:r w:rsidR="00C7773E" w:rsidRPr="00244D65">
        <w:rPr>
          <w:noProof/>
          <w:lang w:eastAsia="en-GB"/>
        </w:rPr>
        <w:t xml:space="preserve"> under PO2 and would be absent under PO</w:t>
      </w:r>
      <w:r w:rsidR="00B901F0" w:rsidRPr="00244D65">
        <w:rPr>
          <w:noProof/>
          <w:lang w:eastAsia="en-GB"/>
        </w:rPr>
        <w:t>3</w:t>
      </w:r>
      <w:r w:rsidR="001A3621" w:rsidRPr="00244D65">
        <w:rPr>
          <w:noProof/>
          <w:lang w:eastAsia="en-GB"/>
        </w:rPr>
        <w:t xml:space="preserve">. Finally, the risk of </w:t>
      </w:r>
      <w:r w:rsidR="00421D77" w:rsidRPr="00244D65">
        <w:rPr>
          <w:noProof/>
          <w:lang w:eastAsia="en-GB"/>
        </w:rPr>
        <w:t xml:space="preserve">emissions </w:t>
      </w:r>
      <w:r w:rsidR="001A3621" w:rsidRPr="00244D65">
        <w:rPr>
          <w:noProof/>
          <w:lang w:eastAsia="en-GB"/>
        </w:rPr>
        <w:t xml:space="preserve">leakage to third countries is </w:t>
      </w:r>
      <w:r w:rsidR="008F1536" w:rsidRPr="00244D65">
        <w:rPr>
          <w:noProof/>
          <w:lang w:eastAsia="en-GB"/>
        </w:rPr>
        <w:t>limited by</w:t>
      </w:r>
      <w:r w:rsidR="001A3621" w:rsidRPr="00244D65">
        <w:rPr>
          <w:noProof/>
          <w:lang w:eastAsia="en-GB"/>
        </w:rPr>
        <w:t xml:space="preserve"> the </w:t>
      </w:r>
      <w:r w:rsidR="002436CC" w:rsidRPr="00244D65">
        <w:rPr>
          <w:noProof/>
          <w:lang w:eastAsia="en-GB"/>
        </w:rPr>
        <w:t xml:space="preserve">strict </w:t>
      </w:r>
      <w:r w:rsidR="001A3621" w:rsidRPr="00244D65">
        <w:rPr>
          <w:noProof/>
          <w:lang w:eastAsia="en-GB"/>
        </w:rPr>
        <w:t xml:space="preserve">regulatory framework </w:t>
      </w:r>
      <w:r w:rsidR="006B67E9" w:rsidRPr="00244D65">
        <w:rPr>
          <w:noProof/>
          <w:lang w:eastAsia="en-GB"/>
        </w:rPr>
        <w:t xml:space="preserve">on waste exports </w:t>
      </w:r>
      <w:r w:rsidR="00F659A3" w:rsidRPr="00244D65">
        <w:rPr>
          <w:noProof/>
          <w:lang w:eastAsia="en-GB"/>
        </w:rPr>
        <w:t>in place (</w:t>
      </w:r>
      <w:r w:rsidR="001A3621" w:rsidRPr="00244D65">
        <w:rPr>
          <w:noProof/>
          <w:lang w:eastAsia="en-GB"/>
        </w:rPr>
        <w:t>Waste Shipment Regulation</w:t>
      </w:r>
      <w:r w:rsidR="00B859DD" w:rsidRPr="00244D65">
        <w:rPr>
          <w:noProof/>
          <w:lang w:eastAsia="en-GB"/>
        </w:rPr>
        <w:t xml:space="preserve"> </w:t>
      </w:r>
      <w:r w:rsidR="00F555AE" w:rsidRPr="00244D65">
        <w:rPr>
          <w:noProof/>
          <w:lang w:eastAsia="en-GB"/>
        </w:rPr>
        <w:t>–</w:t>
      </w:r>
      <w:r w:rsidR="00B859DD" w:rsidRPr="00244D65">
        <w:rPr>
          <w:noProof/>
          <w:lang w:eastAsia="en-GB"/>
        </w:rPr>
        <w:t xml:space="preserve"> </w:t>
      </w:r>
      <w:r w:rsidR="00A44979" w:rsidRPr="00244D65">
        <w:rPr>
          <w:noProof/>
          <w:lang w:eastAsia="en-GB"/>
        </w:rPr>
        <w:t xml:space="preserve">see Annex 13, </w:t>
      </w:r>
      <w:r w:rsidR="00E505FB" w:rsidRPr="00244D65">
        <w:rPr>
          <w:noProof/>
          <w:lang w:eastAsia="en-GB"/>
        </w:rPr>
        <w:t>S</w:t>
      </w:r>
      <w:r w:rsidR="001F5833" w:rsidRPr="00244D65">
        <w:rPr>
          <w:noProof/>
          <w:lang w:eastAsia="en-GB"/>
        </w:rPr>
        <w:t>ection</w:t>
      </w:r>
      <w:r w:rsidR="00A44979" w:rsidRPr="00244D65">
        <w:rPr>
          <w:noProof/>
          <w:lang w:eastAsia="en-GB"/>
        </w:rPr>
        <w:t xml:space="preserve"> 1.5)</w:t>
      </w:r>
      <w:r w:rsidR="001A3621" w:rsidRPr="00244D65">
        <w:rPr>
          <w:noProof/>
          <w:lang w:eastAsia="en-GB"/>
        </w:rPr>
        <w:t xml:space="preserve">. </w:t>
      </w:r>
    </w:p>
    <w:p w14:paraId="5AA2868F" w14:textId="213893DA" w:rsidR="00264D88" w:rsidRPr="00244D65" w:rsidRDefault="00F34963" w:rsidP="0085595C">
      <w:pPr>
        <w:pStyle w:val="Heading4"/>
        <w:rPr>
          <w:noProof/>
        </w:rPr>
      </w:pPr>
      <w:r w:rsidRPr="00244D65">
        <w:rPr>
          <w:noProof/>
        </w:rPr>
        <w:t xml:space="preserve"> </w:t>
      </w:r>
      <w:r w:rsidR="00264D88" w:rsidRPr="00244D65">
        <w:rPr>
          <w:noProof/>
        </w:rPr>
        <w:t>C</w:t>
      </w:r>
      <w:r w:rsidR="00972F2F" w:rsidRPr="00244D65">
        <w:rPr>
          <w:noProof/>
        </w:rPr>
        <w:t xml:space="preserve">arbon </w:t>
      </w:r>
      <w:r w:rsidR="00264D88" w:rsidRPr="00244D65">
        <w:rPr>
          <w:noProof/>
        </w:rPr>
        <w:t>C</w:t>
      </w:r>
      <w:r w:rsidR="00972F2F" w:rsidRPr="00244D65">
        <w:rPr>
          <w:noProof/>
        </w:rPr>
        <w:t xml:space="preserve">apture and </w:t>
      </w:r>
      <w:r w:rsidR="00264D88" w:rsidRPr="00244D65">
        <w:rPr>
          <w:noProof/>
        </w:rPr>
        <w:t>U</w:t>
      </w:r>
      <w:r w:rsidR="00972F2F" w:rsidRPr="00244D65">
        <w:rPr>
          <w:noProof/>
        </w:rPr>
        <w:t>tilisation</w:t>
      </w:r>
    </w:p>
    <w:p w14:paraId="068AD015" w14:textId="3EFA7963" w:rsidR="00770830" w:rsidRPr="00244D65" w:rsidRDefault="00770830" w:rsidP="0085595C">
      <w:pPr>
        <w:rPr>
          <w:noProof/>
          <w:lang w:eastAsia="en-GB"/>
        </w:rPr>
      </w:pPr>
      <w:r w:rsidRPr="00244D65">
        <w:rPr>
          <w:noProof/>
          <w:lang w:eastAsia="en-GB"/>
        </w:rPr>
        <w:t xml:space="preserve">The policy options that include an extension of the </w:t>
      </w:r>
      <w:r w:rsidR="00011E7F" w:rsidRPr="00244D65">
        <w:rPr>
          <w:noProof/>
          <w:lang w:eastAsia="en-GB"/>
        </w:rPr>
        <w:t xml:space="preserve">scope of </w:t>
      </w:r>
      <w:r w:rsidR="00F909E3" w:rsidRPr="00244D65">
        <w:rPr>
          <w:noProof/>
          <w:lang w:eastAsia="en-GB"/>
        </w:rPr>
        <w:t>EU ETS</w:t>
      </w:r>
      <w:r w:rsidR="00011E7F" w:rsidRPr="00244D65">
        <w:rPr>
          <w:noProof/>
          <w:lang w:eastAsia="en-GB"/>
        </w:rPr>
        <w:t xml:space="preserve"> to include</w:t>
      </w:r>
      <w:r w:rsidRPr="00244D65">
        <w:rPr>
          <w:noProof/>
          <w:lang w:eastAsia="en-GB"/>
        </w:rPr>
        <w:t xml:space="preserve"> the waste sector (i.e. PO2 and PO3) are also accompanied by new accounting measures related to the storage and utilisation of captured CO</w:t>
      </w:r>
      <w:r w:rsidRPr="00244D65">
        <w:rPr>
          <w:noProof/>
          <w:vertAlign w:val="subscript"/>
          <w:lang w:eastAsia="en-GB"/>
        </w:rPr>
        <w:t>2</w:t>
      </w:r>
      <w:r w:rsidRPr="00244D65">
        <w:rPr>
          <w:noProof/>
          <w:lang w:eastAsia="en-GB"/>
        </w:rPr>
        <w:t xml:space="preserve"> as a feedstock in non-permanent CCU products. In comparison to the baseline, PO2 and PO3 both include the implementation of </w:t>
      </w:r>
      <w:r w:rsidR="006D7849" w:rsidRPr="00244D65">
        <w:rPr>
          <w:noProof/>
          <w:lang w:eastAsia="en-GB"/>
        </w:rPr>
        <w:t>the policy measure CCU3 providing</w:t>
      </w:r>
      <w:r w:rsidRPr="00244D65">
        <w:rPr>
          <w:noProof/>
          <w:lang w:eastAsia="en-GB"/>
        </w:rPr>
        <w:t xml:space="preserve"> a hybrid </w:t>
      </w:r>
      <w:r w:rsidR="006D7849" w:rsidRPr="00244D65">
        <w:rPr>
          <w:noProof/>
          <w:lang w:eastAsia="en-GB"/>
        </w:rPr>
        <w:t xml:space="preserve">downstream </w:t>
      </w:r>
      <w:r w:rsidR="00BD734C" w:rsidRPr="00244D65">
        <w:rPr>
          <w:noProof/>
          <w:lang w:eastAsia="en-GB"/>
        </w:rPr>
        <w:t>accounting for non-permanent CCU products other than e-fuels</w:t>
      </w:r>
      <w:r w:rsidR="006D7849" w:rsidRPr="00244D65">
        <w:rPr>
          <w:noProof/>
          <w:lang w:eastAsia="en-GB"/>
        </w:rPr>
        <w:t xml:space="preserve"> and </w:t>
      </w:r>
      <w:r w:rsidRPr="00244D65">
        <w:rPr>
          <w:noProof/>
          <w:lang w:eastAsia="en-GB"/>
        </w:rPr>
        <w:t>midstream accounting</w:t>
      </w:r>
      <w:r w:rsidR="00BD734C" w:rsidRPr="00244D65">
        <w:rPr>
          <w:noProof/>
          <w:lang w:eastAsia="en-GB"/>
        </w:rPr>
        <w:t xml:space="preserve"> for e-fuels, as </w:t>
      </w:r>
      <w:r w:rsidR="00902686" w:rsidRPr="00244D65">
        <w:rPr>
          <w:noProof/>
          <w:lang w:eastAsia="en-GB"/>
        </w:rPr>
        <w:t>explained</w:t>
      </w:r>
      <w:r w:rsidR="00BD734C" w:rsidRPr="00244D65">
        <w:rPr>
          <w:noProof/>
          <w:lang w:eastAsia="en-GB"/>
        </w:rPr>
        <w:t xml:space="preserve"> in</w:t>
      </w:r>
      <w:r w:rsidR="00902686" w:rsidRPr="00244D65">
        <w:rPr>
          <w:noProof/>
          <w:lang w:eastAsia="en-GB"/>
        </w:rPr>
        <w:t xml:space="preserve"> </w:t>
      </w:r>
      <w:r w:rsidR="00E505FB" w:rsidRPr="00244D65">
        <w:rPr>
          <w:noProof/>
          <w:lang w:eastAsia="en-GB"/>
        </w:rPr>
        <w:t>S</w:t>
      </w:r>
      <w:r w:rsidR="00902686" w:rsidRPr="00244D65">
        <w:rPr>
          <w:noProof/>
          <w:lang w:eastAsia="en-GB"/>
        </w:rPr>
        <w:t>ection 6.2.7.</w:t>
      </w:r>
    </w:p>
    <w:p w14:paraId="7C35CB50" w14:textId="6E015CF6" w:rsidR="009F3D47" w:rsidRPr="00244D65" w:rsidRDefault="141309C8" w:rsidP="0085595C">
      <w:pPr>
        <w:rPr>
          <w:noProof/>
          <w:lang w:eastAsia="en-GB"/>
        </w:rPr>
      </w:pPr>
      <w:r w:rsidRPr="00244D65">
        <w:rPr>
          <w:noProof/>
          <w:lang w:eastAsia="en-GB"/>
        </w:rPr>
        <w:t>The inclusion of such accounting options under PO2 and PO3 will support the efforts to promote a more circular economy via the more efficient use of materials that will also have a downward impact on GHG emissions.</w:t>
      </w:r>
      <w:r w:rsidR="38CDE162" w:rsidRPr="00244D65">
        <w:rPr>
          <w:noProof/>
          <w:lang w:eastAsia="en-GB"/>
        </w:rPr>
        <w:t xml:space="preserve"> </w:t>
      </w:r>
      <w:r w:rsidR="68205576" w:rsidRPr="00244D65">
        <w:rPr>
          <w:noProof/>
          <w:lang w:eastAsia="en-GB"/>
        </w:rPr>
        <w:t>Numerous sectors and services rely on carbon, so they cannot be “decarbonised</w:t>
      </w:r>
      <w:r w:rsidR="1EE9E2BB" w:rsidRPr="00244D65">
        <w:rPr>
          <w:noProof/>
          <w:lang w:eastAsia="en-GB"/>
        </w:rPr>
        <w:t>.”</w:t>
      </w:r>
      <w:r w:rsidR="68205576" w:rsidRPr="00244D65">
        <w:rPr>
          <w:noProof/>
          <w:lang w:eastAsia="en-GB"/>
        </w:rPr>
        <w:t xml:space="preserve"> The use of captured CO</w:t>
      </w:r>
      <w:r w:rsidR="68205576" w:rsidRPr="00244D65">
        <w:rPr>
          <w:noProof/>
          <w:vertAlign w:val="subscript"/>
          <w:lang w:eastAsia="en-GB"/>
        </w:rPr>
        <w:t>2</w:t>
      </w:r>
      <w:r w:rsidR="68205576" w:rsidRPr="00244D65">
        <w:rPr>
          <w:noProof/>
          <w:lang w:eastAsia="en-GB"/>
        </w:rPr>
        <w:t xml:space="preserve"> as a feedstock can provide a source of carbon for producing fuels, chemical and materials and ensure that these sectors can eventually be de-fossilised. </w:t>
      </w:r>
      <w:r w:rsidR="43D4E7B3" w:rsidRPr="00244D65">
        <w:rPr>
          <w:noProof/>
          <w:lang w:eastAsia="en-GB"/>
        </w:rPr>
        <w:t>T</w:t>
      </w:r>
      <w:r w:rsidR="68205576" w:rsidRPr="00244D65">
        <w:rPr>
          <w:noProof/>
          <w:lang w:eastAsia="en-GB"/>
        </w:rPr>
        <w:t xml:space="preserve">he transition to alternative source of carbon </w:t>
      </w:r>
      <w:r w:rsidR="00203CF5" w:rsidRPr="00244D65">
        <w:rPr>
          <w:noProof/>
          <w:lang w:eastAsia="en-GB"/>
        </w:rPr>
        <w:t>is,</w:t>
      </w:r>
      <w:r w:rsidR="68205576" w:rsidRPr="00244D65">
        <w:rPr>
          <w:noProof/>
          <w:lang w:eastAsia="en-GB"/>
        </w:rPr>
        <w:t xml:space="preserve"> therefore, an important part of reaching the EU’s climate targets</w:t>
      </w:r>
      <w:r w:rsidR="00FA037A" w:rsidRPr="00244D65">
        <w:rPr>
          <w:rStyle w:val="FootnoteReference"/>
          <w:noProof/>
        </w:rPr>
        <w:footnoteReference w:id="62"/>
      </w:r>
      <w:r w:rsidR="68205576" w:rsidRPr="00244D65">
        <w:rPr>
          <w:noProof/>
          <w:lang w:eastAsia="en-GB"/>
        </w:rPr>
        <w:t>.</w:t>
      </w:r>
      <w:r w:rsidR="000C653C" w:rsidRPr="00244D65">
        <w:rPr>
          <w:noProof/>
          <w:lang w:eastAsia="en-GB"/>
        </w:rPr>
        <w:t xml:space="preserve"> </w:t>
      </w:r>
    </w:p>
    <w:p w14:paraId="28584B98" w14:textId="127841AE" w:rsidR="008D66C2" w:rsidRPr="00244D65" w:rsidRDefault="00C1545E" w:rsidP="0085595C">
      <w:pPr>
        <w:rPr>
          <w:noProof/>
          <w:lang w:eastAsia="en-GB"/>
        </w:rPr>
      </w:pPr>
      <w:r w:rsidRPr="00244D65">
        <w:rPr>
          <w:noProof/>
          <w:lang w:eastAsia="en-GB"/>
        </w:rPr>
        <w:t>However, the</w:t>
      </w:r>
      <w:r w:rsidR="00203CF5" w:rsidRPr="00244D65">
        <w:rPr>
          <w:noProof/>
          <w:lang w:eastAsia="en-GB"/>
        </w:rPr>
        <w:t xml:space="preserve"> </w:t>
      </w:r>
      <w:r w:rsidRPr="00244D65">
        <w:rPr>
          <w:noProof/>
          <w:lang w:eastAsia="en-GB"/>
        </w:rPr>
        <w:t xml:space="preserve">accounting </w:t>
      </w:r>
      <w:r w:rsidR="00C803A6" w:rsidRPr="00244D65">
        <w:rPr>
          <w:noProof/>
          <w:lang w:eastAsia="en-GB"/>
        </w:rPr>
        <w:t>approach</w:t>
      </w:r>
      <w:r w:rsidRPr="00244D65">
        <w:rPr>
          <w:noProof/>
          <w:lang w:eastAsia="en-GB"/>
        </w:rPr>
        <w:t xml:space="preserve"> </w:t>
      </w:r>
      <w:r w:rsidR="00203CF5" w:rsidRPr="00244D65">
        <w:rPr>
          <w:noProof/>
          <w:lang w:eastAsia="en-GB"/>
        </w:rPr>
        <w:t xml:space="preserve">included PO2 and PO3 </w:t>
      </w:r>
      <w:r w:rsidRPr="00244D65">
        <w:rPr>
          <w:noProof/>
          <w:lang w:eastAsia="en-GB"/>
        </w:rPr>
        <w:t xml:space="preserve">also </w:t>
      </w:r>
      <w:r w:rsidR="00F05085" w:rsidRPr="00244D65">
        <w:rPr>
          <w:noProof/>
          <w:lang w:eastAsia="en-GB"/>
        </w:rPr>
        <w:t xml:space="preserve">leads to the possibility of creating loopholes risking the </w:t>
      </w:r>
      <w:r w:rsidR="00E93C77" w:rsidRPr="00244D65">
        <w:rPr>
          <w:noProof/>
          <w:lang w:eastAsia="en-GB"/>
        </w:rPr>
        <w:t xml:space="preserve">ETS integrity. In </w:t>
      </w:r>
      <w:r w:rsidR="00C803A6" w:rsidRPr="00244D65">
        <w:rPr>
          <w:noProof/>
          <w:lang w:eastAsia="en-GB"/>
        </w:rPr>
        <w:t>case the downstream emission</w:t>
      </w:r>
      <w:r w:rsidR="009213AA" w:rsidRPr="00244D65">
        <w:rPr>
          <w:noProof/>
          <w:lang w:eastAsia="en-GB"/>
        </w:rPr>
        <w:t>s associated with non-permanent CCU products take place outside of the ETS scope</w:t>
      </w:r>
      <w:r w:rsidR="00E93C77" w:rsidRPr="00244D65">
        <w:rPr>
          <w:noProof/>
          <w:lang w:eastAsia="en-GB"/>
        </w:rPr>
        <w:t xml:space="preserve">, then those emissions are not accounted </w:t>
      </w:r>
      <w:r w:rsidR="00F65CF6" w:rsidRPr="00244D65">
        <w:rPr>
          <w:noProof/>
          <w:lang w:eastAsia="en-GB"/>
        </w:rPr>
        <w:t xml:space="preserve">and priced </w:t>
      </w:r>
      <w:r w:rsidR="00E93C77" w:rsidRPr="00244D65">
        <w:rPr>
          <w:noProof/>
          <w:lang w:eastAsia="en-GB"/>
        </w:rPr>
        <w:t>within the scope of the ETS syste</w:t>
      </w:r>
      <w:r w:rsidR="003B24F5" w:rsidRPr="00244D65">
        <w:rPr>
          <w:noProof/>
          <w:lang w:eastAsia="en-GB"/>
        </w:rPr>
        <w:t>m</w:t>
      </w:r>
      <w:r w:rsidR="00F65CF6" w:rsidRPr="00244D65">
        <w:rPr>
          <w:noProof/>
          <w:lang w:eastAsia="en-GB"/>
        </w:rPr>
        <w:t xml:space="preserve">, </w:t>
      </w:r>
      <w:r w:rsidR="00696CA8" w:rsidRPr="00244D65">
        <w:rPr>
          <w:noProof/>
          <w:lang w:eastAsia="en-GB"/>
        </w:rPr>
        <w:t>creating a pote</w:t>
      </w:r>
      <w:r w:rsidR="008E4018" w:rsidRPr="00244D65">
        <w:rPr>
          <w:noProof/>
          <w:lang w:eastAsia="en-GB"/>
        </w:rPr>
        <w:t>ntial loophole to the EU</w:t>
      </w:r>
      <w:r w:rsidR="008D66C2" w:rsidRPr="00244D65">
        <w:rPr>
          <w:noProof/>
          <w:lang w:eastAsia="en-GB"/>
        </w:rPr>
        <w:t xml:space="preserve"> ETS. </w:t>
      </w:r>
    </w:p>
    <w:p w14:paraId="5103881F" w14:textId="34F3075B" w:rsidR="00AA5656" w:rsidRPr="00244D65" w:rsidRDefault="001B2639" w:rsidP="0085595C">
      <w:pPr>
        <w:rPr>
          <w:noProof/>
        </w:rPr>
      </w:pPr>
      <w:r w:rsidRPr="00244D65">
        <w:rPr>
          <w:noProof/>
          <w:lang w:eastAsia="en-GB"/>
        </w:rPr>
        <w:t xml:space="preserve">A detailed analysis on the </w:t>
      </w:r>
      <w:r w:rsidR="00F65CF6" w:rsidRPr="00244D65">
        <w:rPr>
          <w:noProof/>
          <w:lang w:eastAsia="en-GB"/>
        </w:rPr>
        <w:t>potential risk of l</w:t>
      </w:r>
      <w:r w:rsidR="008E4018" w:rsidRPr="00244D65">
        <w:rPr>
          <w:noProof/>
          <w:lang w:eastAsia="en-GB"/>
        </w:rPr>
        <w:t xml:space="preserve">oopholes is presented in </w:t>
      </w:r>
      <w:r w:rsidR="00E505FB" w:rsidRPr="00244D65">
        <w:rPr>
          <w:noProof/>
          <w:lang w:eastAsia="en-GB"/>
        </w:rPr>
        <w:t>S</w:t>
      </w:r>
      <w:r w:rsidR="0022492B" w:rsidRPr="00244D65">
        <w:rPr>
          <w:noProof/>
          <w:lang w:eastAsia="en-GB"/>
        </w:rPr>
        <w:t xml:space="preserve">ection 2 of </w:t>
      </w:r>
      <w:r w:rsidR="008E4018" w:rsidRPr="00244D65">
        <w:rPr>
          <w:noProof/>
          <w:lang w:eastAsia="en-GB"/>
        </w:rPr>
        <w:t>Annex 13</w:t>
      </w:r>
      <w:r w:rsidR="0022492B" w:rsidRPr="00244D65">
        <w:rPr>
          <w:noProof/>
          <w:lang w:eastAsia="en-GB"/>
        </w:rPr>
        <w:t>.</w:t>
      </w:r>
      <w:r w:rsidR="00AA5656" w:rsidRPr="00244D65">
        <w:rPr>
          <w:noProof/>
          <w:lang w:eastAsia="en-GB"/>
        </w:rPr>
        <w:t xml:space="preserve"> </w:t>
      </w:r>
      <w:r w:rsidR="00AA5656" w:rsidRPr="00244D65">
        <w:rPr>
          <w:noProof/>
        </w:rPr>
        <w:t xml:space="preserve">The results of the analysis found that </w:t>
      </w:r>
      <w:r w:rsidR="00AE1E6E" w:rsidRPr="00244D65">
        <w:rPr>
          <w:noProof/>
        </w:rPr>
        <w:t>most</w:t>
      </w:r>
      <w:r w:rsidR="00AA5656" w:rsidRPr="00244D65">
        <w:rPr>
          <w:noProof/>
        </w:rPr>
        <w:t xml:space="preserve"> potential </w:t>
      </w:r>
      <w:r w:rsidR="00AE418D" w:rsidRPr="00244D65">
        <w:rPr>
          <w:noProof/>
        </w:rPr>
        <w:t xml:space="preserve">non-permanent </w:t>
      </w:r>
      <w:r w:rsidR="00AA5656" w:rsidRPr="00244D65">
        <w:rPr>
          <w:noProof/>
        </w:rPr>
        <w:t>CCU products</w:t>
      </w:r>
      <w:r w:rsidR="00DB71E6" w:rsidRPr="00244D65">
        <w:rPr>
          <w:noProof/>
        </w:rPr>
        <w:t>, such as</w:t>
      </w:r>
      <w:r w:rsidR="00AE1E6E" w:rsidRPr="00244D65">
        <w:rPr>
          <w:noProof/>
        </w:rPr>
        <w:t xml:space="preserve"> synthetic </w:t>
      </w:r>
      <w:r w:rsidR="00DB71E6" w:rsidRPr="00244D65">
        <w:rPr>
          <w:noProof/>
        </w:rPr>
        <w:t xml:space="preserve">polymers </w:t>
      </w:r>
      <w:r w:rsidR="00AE1E6E" w:rsidRPr="00244D65">
        <w:rPr>
          <w:noProof/>
        </w:rPr>
        <w:t>or</w:t>
      </w:r>
      <w:r w:rsidR="00DB71E6" w:rsidRPr="00244D65">
        <w:rPr>
          <w:noProof/>
        </w:rPr>
        <w:t xml:space="preserve"> plastics, are</w:t>
      </w:r>
      <w:r w:rsidR="00AA5656" w:rsidRPr="00244D65">
        <w:rPr>
          <w:noProof/>
        </w:rPr>
        <w:t xml:space="preserve"> not likely to lead to any significant loopholes as regards the integrity of the </w:t>
      </w:r>
      <w:r w:rsidR="00F909E3" w:rsidRPr="00244D65">
        <w:rPr>
          <w:noProof/>
        </w:rPr>
        <w:t>EU ETS</w:t>
      </w:r>
      <w:r w:rsidR="00AA5656" w:rsidRPr="00244D65">
        <w:rPr>
          <w:noProof/>
        </w:rPr>
        <w:t xml:space="preserve">. </w:t>
      </w:r>
      <w:r w:rsidR="00C51905" w:rsidRPr="00244D65">
        <w:rPr>
          <w:noProof/>
        </w:rPr>
        <w:t xml:space="preserve">Under PO2 and PO3, the </w:t>
      </w:r>
      <w:r w:rsidR="00AE1E6E" w:rsidRPr="00244D65">
        <w:rPr>
          <w:noProof/>
        </w:rPr>
        <w:t xml:space="preserve">downstream </w:t>
      </w:r>
      <w:r w:rsidR="003A7944" w:rsidRPr="00244D65">
        <w:rPr>
          <w:noProof/>
        </w:rPr>
        <w:t xml:space="preserve">emissions from </w:t>
      </w:r>
      <w:r w:rsidR="00AE1E6E" w:rsidRPr="00244D65">
        <w:rPr>
          <w:noProof/>
        </w:rPr>
        <w:t xml:space="preserve">these </w:t>
      </w:r>
      <w:r w:rsidR="003A7944" w:rsidRPr="00244D65">
        <w:rPr>
          <w:noProof/>
        </w:rPr>
        <w:t>n</w:t>
      </w:r>
      <w:r w:rsidR="006176FC" w:rsidRPr="00244D65">
        <w:rPr>
          <w:noProof/>
        </w:rPr>
        <w:t xml:space="preserve">on-permanent </w:t>
      </w:r>
      <w:r w:rsidR="00AA5656" w:rsidRPr="00244D65">
        <w:rPr>
          <w:noProof/>
        </w:rPr>
        <w:t>CCU products</w:t>
      </w:r>
      <w:r w:rsidR="006176FC" w:rsidRPr="00244D65">
        <w:rPr>
          <w:noProof/>
        </w:rPr>
        <w:t xml:space="preserve"> that are</w:t>
      </w:r>
      <w:r w:rsidR="00AA5656" w:rsidRPr="00244D65">
        <w:rPr>
          <w:noProof/>
        </w:rPr>
        <w:t xml:space="preserve"> </w:t>
      </w:r>
      <w:r w:rsidR="003A7944" w:rsidRPr="00244D65">
        <w:rPr>
          <w:noProof/>
        </w:rPr>
        <w:t>combusted in</w:t>
      </w:r>
      <w:r w:rsidR="00AA5656" w:rsidRPr="00244D65">
        <w:rPr>
          <w:noProof/>
        </w:rPr>
        <w:t xml:space="preserve"> waste incinerators</w:t>
      </w:r>
      <w:r w:rsidR="003A7944" w:rsidRPr="00244D65">
        <w:rPr>
          <w:noProof/>
        </w:rPr>
        <w:t xml:space="preserve"> or other ETS installations</w:t>
      </w:r>
      <w:r w:rsidR="00AA5656" w:rsidRPr="00244D65">
        <w:rPr>
          <w:noProof/>
        </w:rPr>
        <w:t xml:space="preserve"> </w:t>
      </w:r>
      <w:r w:rsidR="003A7944" w:rsidRPr="00244D65">
        <w:rPr>
          <w:noProof/>
        </w:rPr>
        <w:t xml:space="preserve">will fall </w:t>
      </w:r>
      <w:r w:rsidR="00AA5656" w:rsidRPr="00244D65">
        <w:rPr>
          <w:noProof/>
        </w:rPr>
        <w:t>within the scope of EU ETS</w:t>
      </w:r>
      <w:r w:rsidR="00267156" w:rsidRPr="00244D65">
        <w:rPr>
          <w:noProof/>
        </w:rPr>
        <w:t xml:space="preserve">. </w:t>
      </w:r>
      <w:r w:rsidR="00AE1E6E" w:rsidRPr="00244D65">
        <w:rPr>
          <w:noProof/>
        </w:rPr>
        <w:t xml:space="preserve">If these </w:t>
      </w:r>
      <w:r w:rsidR="00267156" w:rsidRPr="00244D65">
        <w:rPr>
          <w:noProof/>
        </w:rPr>
        <w:t>non-permanent CCU products</w:t>
      </w:r>
      <w:r w:rsidR="00AE1E6E" w:rsidRPr="00244D65">
        <w:rPr>
          <w:noProof/>
        </w:rPr>
        <w:t xml:space="preserve"> </w:t>
      </w:r>
      <w:r w:rsidR="00DB351F" w:rsidRPr="00244D65">
        <w:rPr>
          <w:noProof/>
        </w:rPr>
        <w:t xml:space="preserve">receive a different end-of-life treatment, such as recycling or landfilling, </w:t>
      </w:r>
      <w:r w:rsidR="00780FD1" w:rsidRPr="00244D65">
        <w:rPr>
          <w:noProof/>
        </w:rPr>
        <w:t>they would not be altered chemically and the</w:t>
      </w:r>
      <w:r w:rsidR="00AA5656" w:rsidRPr="00244D65">
        <w:rPr>
          <w:noProof/>
        </w:rPr>
        <w:t xml:space="preserve"> CO</w:t>
      </w:r>
      <w:r w:rsidR="00AA5656" w:rsidRPr="00244D65">
        <w:rPr>
          <w:noProof/>
          <w:vertAlign w:val="subscript"/>
        </w:rPr>
        <w:t>2</w:t>
      </w:r>
      <w:r w:rsidR="00AA5656" w:rsidRPr="00244D65">
        <w:rPr>
          <w:noProof/>
        </w:rPr>
        <w:t xml:space="preserve"> embedded in</w:t>
      </w:r>
      <w:r w:rsidR="00DB351F" w:rsidRPr="00244D65">
        <w:rPr>
          <w:noProof/>
        </w:rPr>
        <w:t xml:space="preserve"> them</w:t>
      </w:r>
      <w:r w:rsidR="00AA5656" w:rsidRPr="00244D65">
        <w:rPr>
          <w:noProof/>
        </w:rPr>
        <w:t xml:space="preserve"> </w:t>
      </w:r>
      <w:r w:rsidR="003F1E9D" w:rsidRPr="00244D65">
        <w:rPr>
          <w:noProof/>
        </w:rPr>
        <w:t>is likely not</w:t>
      </w:r>
      <w:r w:rsidR="00D64A8B" w:rsidRPr="00244D65">
        <w:rPr>
          <w:noProof/>
        </w:rPr>
        <w:t xml:space="preserve"> to</w:t>
      </w:r>
      <w:r w:rsidR="003F1E9D" w:rsidRPr="00244D65">
        <w:rPr>
          <w:noProof/>
        </w:rPr>
        <w:t xml:space="preserve"> be released</w:t>
      </w:r>
      <w:r w:rsidR="00AA5656" w:rsidRPr="00244D65">
        <w:rPr>
          <w:noProof/>
        </w:rPr>
        <w:t xml:space="preserve"> throughout the waste management process. </w:t>
      </w:r>
    </w:p>
    <w:p w14:paraId="0D6242AD" w14:textId="60DA41C6" w:rsidR="00E414AE" w:rsidRPr="00244D65" w:rsidRDefault="00E414AE" w:rsidP="0085595C">
      <w:pPr>
        <w:rPr>
          <w:noProof/>
        </w:rPr>
      </w:pPr>
      <w:r w:rsidRPr="00244D65">
        <w:rPr>
          <w:noProof/>
        </w:rPr>
        <w:t>CO</w:t>
      </w:r>
      <w:r w:rsidRPr="00244D65">
        <w:rPr>
          <w:noProof/>
          <w:vertAlign w:val="subscript"/>
        </w:rPr>
        <w:t>2</w:t>
      </w:r>
      <w:r w:rsidRPr="00244D65">
        <w:rPr>
          <w:noProof/>
        </w:rPr>
        <w:t xml:space="preserve"> used to produce e-fuels will also not represent a loophole risk, as their combustion will mostly occur within the scope of the EU ETS, in sectors such as maritime and aviation. </w:t>
      </w:r>
      <w:r w:rsidR="008D66C2" w:rsidRPr="00244D65">
        <w:rPr>
          <w:noProof/>
        </w:rPr>
        <w:t>E</w:t>
      </w:r>
      <w:r w:rsidRPr="00244D65">
        <w:rPr>
          <w:noProof/>
        </w:rPr>
        <w:t xml:space="preserve">-fuels are </w:t>
      </w:r>
      <w:r w:rsidR="008D66C2" w:rsidRPr="00244D65">
        <w:rPr>
          <w:noProof/>
        </w:rPr>
        <w:t xml:space="preserve">also </w:t>
      </w:r>
      <w:r w:rsidRPr="00244D65">
        <w:rPr>
          <w:noProof/>
        </w:rPr>
        <w:t xml:space="preserve">subject to specific certification requirements and are easily tracked across the value chain. However, to avoid undercounting of emissions used to produce e-fuels would necessarily mean that it is not possible anymore to zero-rate the emissions from the combustion of these fuels. </w:t>
      </w:r>
    </w:p>
    <w:p w14:paraId="2DA4D4F0" w14:textId="0B1A6565" w:rsidR="0062442F" w:rsidRPr="00244D65" w:rsidRDefault="000E1B45" w:rsidP="0085595C">
      <w:pPr>
        <w:rPr>
          <w:noProof/>
        </w:rPr>
      </w:pPr>
      <w:r w:rsidRPr="00244D65">
        <w:rPr>
          <w:noProof/>
        </w:rPr>
        <w:t>W</w:t>
      </w:r>
      <w:r w:rsidR="006805B1" w:rsidRPr="00244D65">
        <w:rPr>
          <w:noProof/>
        </w:rPr>
        <w:t>hen specific loopholes are identified and are associated with clearly identifiable CCU products or applications</w:t>
      </w:r>
      <w:r w:rsidR="0062442F" w:rsidRPr="00244D65">
        <w:rPr>
          <w:noProof/>
        </w:rPr>
        <w:t xml:space="preserve">, the risk can be best addressed by applying the upstream accounting as a derogation to a general rule or setting additional requirements or limitations to the use of such products </w:t>
      </w:r>
      <w:r w:rsidR="000F71C0" w:rsidRPr="00244D65">
        <w:rPr>
          <w:noProof/>
        </w:rPr>
        <w:t>to</w:t>
      </w:r>
      <w:r w:rsidR="0062442F" w:rsidRPr="00244D65">
        <w:rPr>
          <w:noProof/>
        </w:rPr>
        <w:t xml:space="preserve"> mini</w:t>
      </w:r>
      <w:r w:rsidRPr="00244D65">
        <w:rPr>
          <w:noProof/>
        </w:rPr>
        <w:t>mi</w:t>
      </w:r>
      <w:r w:rsidR="0062442F" w:rsidRPr="00244D65">
        <w:rPr>
          <w:noProof/>
        </w:rPr>
        <w:t xml:space="preserve">se the risks. Nevertheless, addressing all </w:t>
      </w:r>
      <w:bookmarkStart w:id="165" w:name="_Int_2VjnSMLD"/>
      <w:r w:rsidR="0062442F" w:rsidRPr="00244D65">
        <w:rPr>
          <w:noProof/>
        </w:rPr>
        <w:t>possible loopholes</w:t>
      </w:r>
      <w:bookmarkEnd w:id="165"/>
      <w:r w:rsidR="0062442F" w:rsidRPr="00244D65">
        <w:rPr>
          <w:noProof/>
        </w:rPr>
        <w:t xml:space="preserve"> risks is not feasible in practice without severely restricting the use of non-permanent CCU applications, </w:t>
      </w:r>
      <w:r w:rsidR="002C788A" w:rsidRPr="00244D65">
        <w:rPr>
          <w:noProof/>
        </w:rPr>
        <w:t xml:space="preserve">and therefore </w:t>
      </w:r>
      <w:r w:rsidR="0062442F" w:rsidRPr="00244D65">
        <w:rPr>
          <w:noProof/>
        </w:rPr>
        <w:t>limiting their development</w:t>
      </w:r>
      <w:r w:rsidR="002C788A" w:rsidRPr="00244D65">
        <w:rPr>
          <w:noProof/>
        </w:rPr>
        <w:t xml:space="preserve"> and foregoing the benefits they bring</w:t>
      </w:r>
      <w:r w:rsidR="0062442F" w:rsidRPr="00244D65">
        <w:rPr>
          <w:noProof/>
        </w:rPr>
        <w:t>. Given the low volumes of CCU products currently being produced, these risks are only hypothetical. Therefore, it is preferable to adopt an approach that regularly assesses the effective risk posed by non-permanent CCU to the integrity of the ETS and introduces corrective mechanisms if and when such risks start having a material impact.</w:t>
      </w:r>
      <w:r w:rsidR="000C653C" w:rsidRPr="00244D65">
        <w:rPr>
          <w:noProof/>
        </w:rPr>
        <w:t xml:space="preserve"> </w:t>
      </w:r>
      <w:r w:rsidR="008828A0" w:rsidRPr="00244D65">
        <w:rPr>
          <w:noProof/>
        </w:rPr>
        <w:t>For a more detailed analysis of the risks of undercounting emissions</w:t>
      </w:r>
      <w:r w:rsidR="005820C6" w:rsidRPr="00244D65">
        <w:rPr>
          <w:noProof/>
        </w:rPr>
        <w:t xml:space="preserve">, </w:t>
      </w:r>
      <w:r w:rsidR="008828A0" w:rsidRPr="00244D65">
        <w:rPr>
          <w:noProof/>
        </w:rPr>
        <w:t>see Annex 13</w:t>
      </w:r>
      <w:r w:rsidR="00520D4F" w:rsidRPr="00244D65">
        <w:rPr>
          <w:noProof/>
        </w:rPr>
        <w:t>.</w:t>
      </w:r>
    </w:p>
    <w:p w14:paraId="7F6BB8B7" w14:textId="56F7948F" w:rsidR="00776D5D" w:rsidRPr="00244D65" w:rsidRDefault="000143E3" w:rsidP="0085595C">
      <w:pPr>
        <w:pStyle w:val="Heading3"/>
        <w:rPr>
          <w:noProof/>
          <w:lang w:eastAsia="en-GB"/>
        </w:rPr>
      </w:pPr>
      <w:bookmarkStart w:id="166" w:name="_Toc234949745"/>
      <w:bookmarkStart w:id="167" w:name="_Toc232752501"/>
      <w:r w:rsidRPr="00244D65">
        <w:rPr>
          <w:noProof/>
          <w:lang w:eastAsia="en-GB"/>
        </w:rPr>
        <w:t xml:space="preserve">Other environmental impacts </w:t>
      </w:r>
      <w:r w:rsidR="00255D0B" w:rsidRPr="00244D65">
        <w:rPr>
          <w:noProof/>
          <w:lang w:eastAsia="en-GB"/>
        </w:rPr>
        <w:t>(e.g. biodiversity</w:t>
      </w:r>
      <w:r w:rsidR="00564656" w:rsidRPr="00244D65">
        <w:rPr>
          <w:noProof/>
          <w:lang w:eastAsia="en-GB"/>
        </w:rPr>
        <w:t xml:space="preserve"> and pollution</w:t>
      </w:r>
      <w:r w:rsidR="00255D0B" w:rsidRPr="00244D65">
        <w:rPr>
          <w:noProof/>
          <w:lang w:eastAsia="en-GB"/>
        </w:rPr>
        <w:t>)</w:t>
      </w:r>
      <w:bookmarkEnd w:id="166"/>
      <w:bookmarkEnd w:id="167"/>
      <w:r w:rsidR="00255D0B" w:rsidRPr="00244D65">
        <w:rPr>
          <w:noProof/>
          <w:lang w:eastAsia="en-GB"/>
        </w:rPr>
        <w:t xml:space="preserve"> </w:t>
      </w:r>
      <w:bookmarkStart w:id="168" w:name="_Toc212652535"/>
      <w:bookmarkStart w:id="169" w:name="_Toc212652536"/>
      <w:bookmarkStart w:id="170" w:name="_Toc212652537"/>
      <w:bookmarkStart w:id="171" w:name="_Toc212652538"/>
      <w:bookmarkStart w:id="172" w:name="_Toc212652539"/>
      <w:bookmarkStart w:id="173" w:name="_Toc212652540"/>
      <w:bookmarkStart w:id="174" w:name="_Toc212652541"/>
      <w:bookmarkStart w:id="175" w:name="_Toc212652542"/>
      <w:bookmarkStart w:id="176" w:name="_Toc212652543"/>
      <w:bookmarkStart w:id="177" w:name="_Toc212652544"/>
      <w:bookmarkEnd w:id="168"/>
      <w:bookmarkEnd w:id="169"/>
      <w:bookmarkEnd w:id="170"/>
      <w:bookmarkEnd w:id="171"/>
      <w:bookmarkEnd w:id="172"/>
      <w:bookmarkEnd w:id="173"/>
      <w:bookmarkEnd w:id="174"/>
      <w:bookmarkEnd w:id="175"/>
      <w:bookmarkEnd w:id="176"/>
      <w:bookmarkEnd w:id="177"/>
    </w:p>
    <w:p w14:paraId="03022D43" w14:textId="215A25BF" w:rsidR="00694D48" w:rsidRPr="00244D65" w:rsidRDefault="00AA1014" w:rsidP="0085595C">
      <w:pPr>
        <w:pStyle w:val="Heading4"/>
        <w:rPr>
          <w:noProof/>
        </w:rPr>
      </w:pPr>
      <w:r w:rsidRPr="00244D65">
        <w:rPr>
          <w:noProof/>
        </w:rPr>
        <w:t xml:space="preserve"> </w:t>
      </w:r>
      <w:r w:rsidR="00694D48" w:rsidRPr="00244D65">
        <w:rPr>
          <w:noProof/>
        </w:rPr>
        <w:t>Removals</w:t>
      </w:r>
    </w:p>
    <w:p w14:paraId="1E070C34" w14:textId="64190FC6" w:rsidR="005F7327" w:rsidRPr="00244D65" w:rsidRDefault="003549E0" w:rsidP="0085595C">
      <w:pPr>
        <w:rPr>
          <w:noProof/>
          <w:lang w:eastAsia="en-GB"/>
        </w:rPr>
      </w:pPr>
      <w:r w:rsidRPr="00244D65">
        <w:rPr>
          <w:noProof/>
        </w:rPr>
        <w:t xml:space="preserve">Broadly speaking, the more effective a measure is at incentivizing CDR deployment (see </w:t>
      </w:r>
      <w:r w:rsidR="00E505FB" w:rsidRPr="00244D65">
        <w:rPr>
          <w:noProof/>
        </w:rPr>
        <w:t>S</w:t>
      </w:r>
      <w:r w:rsidR="005465A3" w:rsidRPr="00244D65">
        <w:rPr>
          <w:noProof/>
        </w:rPr>
        <w:t xml:space="preserve">ection </w:t>
      </w:r>
      <w:r w:rsidR="00764B2C" w:rsidRPr="00244D65">
        <w:rPr>
          <w:noProof/>
        </w:rPr>
        <w:t>6.1.1.</w:t>
      </w:r>
      <w:r w:rsidR="00452381" w:rsidRPr="00244D65">
        <w:rPr>
          <w:noProof/>
        </w:rPr>
        <w:t>2</w:t>
      </w:r>
      <w:r w:rsidRPr="00244D65">
        <w:rPr>
          <w:noProof/>
        </w:rPr>
        <w:t xml:space="preserve">), the higher the effect of additional biomass use is expected to be. </w:t>
      </w:r>
      <w:r w:rsidR="000C52D4" w:rsidRPr="00244D65">
        <w:rPr>
          <w:noProof/>
        </w:rPr>
        <w:t xml:space="preserve">In </w:t>
      </w:r>
      <w:r w:rsidR="0014223C" w:rsidRPr="00244D65">
        <w:rPr>
          <w:noProof/>
        </w:rPr>
        <w:t>PO2 and PO3</w:t>
      </w:r>
      <w:r w:rsidR="00FA154A" w:rsidRPr="00244D65">
        <w:rPr>
          <w:noProof/>
        </w:rPr>
        <w:t>, the operator integration routes</w:t>
      </w:r>
      <w:r w:rsidRPr="00244D65">
        <w:rPr>
          <w:noProof/>
        </w:rPr>
        <w:t xml:space="preserve"> would </w:t>
      </w:r>
      <w:bookmarkStart w:id="178" w:name="_Int_AwZUEUM8"/>
      <w:r w:rsidRPr="00244D65">
        <w:rPr>
          <w:noProof/>
        </w:rPr>
        <w:t>likely see</w:t>
      </w:r>
      <w:bookmarkEnd w:id="178"/>
      <w:r w:rsidRPr="00244D65">
        <w:rPr>
          <w:noProof/>
        </w:rPr>
        <w:t xml:space="preserve"> little effect on additional biomass use during the 2031-2040 period, except if further CDR policy support is put in place. </w:t>
      </w:r>
      <w:r w:rsidR="003A3E84" w:rsidRPr="00244D65">
        <w:rPr>
          <w:noProof/>
        </w:rPr>
        <w:t>PO</w:t>
      </w:r>
      <w:r w:rsidR="00A46470" w:rsidRPr="00244D65">
        <w:rPr>
          <w:noProof/>
        </w:rPr>
        <w:t>3</w:t>
      </w:r>
      <w:r w:rsidR="003A3E84" w:rsidRPr="00244D65">
        <w:rPr>
          <w:noProof/>
        </w:rPr>
        <w:t xml:space="preserve"> </w:t>
      </w:r>
      <w:r w:rsidRPr="00244D65">
        <w:rPr>
          <w:noProof/>
        </w:rPr>
        <w:t>would have th</w:t>
      </w:r>
      <w:r w:rsidR="00B43EF0" w:rsidRPr="00244D65">
        <w:rPr>
          <w:noProof/>
        </w:rPr>
        <w:t>e</w:t>
      </w:r>
      <w:r w:rsidRPr="00244D65">
        <w:rPr>
          <w:noProof/>
        </w:rPr>
        <w:t xml:space="preserve"> additional effect of the reduced scarcity in the system </w:t>
      </w:r>
      <w:r w:rsidR="00FA154A" w:rsidRPr="00244D65">
        <w:rPr>
          <w:noProof/>
        </w:rPr>
        <w:t xml:space="preserve">by setting a gross cap with 1-in-1-out approach, </w:t>
      </w:r>
      <w:r w:rsidRPr="00244D65">
        <w:rPr>
          <w:noProof/>
        </w:rPr>
        <w:t xml:space="preserve">making technologies such as </w:t>
      </w:r>
      <w:r w:rsidR="000C653C" w:rsidRPr="00244D65">
        <w:rPr>
          <w:noProof/>
        </w:rPr>
        <w:t>B</w:t>
      </w:r>
      <w:r w:rsidRPr="00244D65">
        <w:rPr>
          <w:noProof/>
        </w:rPr>
        <w:t xml:space="preserve">ioCCS even less competitive. In the presence of CDR support outside the ETS however, these measures would see an increase in biomass demand in line with biomass eligibility criteria and the relative cost competitiveness across CDR technologies, bounded by the CDR limit. </w:t>
      </w:r>
      <w:r w:rsidR="00A46470" w:rsidRPr="00244D65">
        <w:rPr>
          <w:noProof/>
        </w:rPr>
        <w:t xml:space="preserve">PO1 </w:t>
      </w:r>
      <w:r w:rsidRPr="00244D65">
        <w:rPr>
          <w:noProof/>
        </w:rPr>
        <w:t xml:space="preserve">would provide more predictable support through the </w:t>
      </w:r>
      <w:r w:rsidR="00FA154A" w:rsidRPr="00244D65">
        <w:rPr>
          <w:noProof/>
        </w:rPr>
        <w:t>public purchasing programme</w:t>
      </w:r>
      <w:r w:rsidRPr="00244D65">
        <w:rPr>
          <w:noProof/>
        </w:rPr>
        <w:t xml:space="preserve">, and thus affect biomass use accordingly. </w:t>
      </w:r>
      <w:r w:rsidR="00564656" w:rsidRPr="00244D65">
        <w:rPr>
          <w:noProof/>
        </w:rPr>
        <w:t>H</w:t>
      </w:r>
      <w:r w:rsidRPr="00244D65">
        <w:rPr>
          <w:noProof/>
        </w:rPr>
        <w:t>owever, the primary levers in addressing risks from biomass over-reliance lie not in measure selection, but primarily on the establishment of strict sustainability criteria, accounting for indirect land-use change, and effectively internalizing externalities from biomass use</w:t>
      </w:r>
      <w:r w:rsidR="00502AE7" w:rsidRPr="00244D65">
        <w:rPr>
          <w:noProof/>
        </w:rPr>
        <w:t>, which are under different regulatory frameworks</w:t>
      </w:r>
      <w:r w:rsidRPr="00244D65">
        <w:rPr>
          <w:noProof/>
        </w:rPr>
        <w:t xml:space="preserve">. </w:t>
      </w:r>
      <w:r w:rsidR="00F56E56" w:rsidRPr="00244D65">
        <w:rPr>
          <w:noProof/>
        </w:rPr>
        <w:t xml:space="preserve">Under the CRCF operators generating carbon removals need to comply with the do no significant harm principle and additional specific requirements related to the type of carbon removal activity they are operating (see Annex 8 </w:t>
      </w:r>
      <w:r w:rsidR="001C0796" w:rsidRPr="00244D65">
        <w:rPr>
          <w:noProof/>
        </w:rPr>
        <w:t xml:space="preserve">– Part II, </w:t>
      </w:r>
      <w:r w:rsidR="00E505FB" w:rsidRPr="00244D65">
        <w:rPr>
          <w:noProof/>
        </w:rPr>
        <w:t>S</w:t>
      </w:r>
      <w:r w:rsidR="001C0796" w:rsidRPr="00244D65">
        <w:rPr>
          <w:noProof/>
        </w:rPr>
        <w:t>ection</w:t>
      </w:r>
      <w:r w:rsidR="00F56E56" w:rsidRPr="00244D65">
        <w:rPr>
          <w:noProof/>
        </w:rPr>
        <w:t xml:space="preserve"> 3.1.2.4). </w:t>
      </w:r>
      <w:r w:rsidR="00340D83" w:rsidRPr="00244D65">
        <w:rPr>
          <w:noProof/>
        </w:rPr>
        <w:t xml:space="preserve">Additional sustainability criteria beyond the CRCF methodologies are not considered for the removal units to be included in the ETS. However, in a wider context, the incentive structure for biomass should be reviewed. </w:t>
      </w:r>
      <w:r w:rsidR="00764B2C" w:rsidRPr="00244D65">
        <w:rPr>
          <w:noProof/>
        </w:rPr>
        <w:t>NGO’s</w:t>
      </w:r>
      <w:r w:rsidR="00206E0D" w:rsidRPr="00244D65">
        <w:rPr>
          <w:noProof/>
        </w:rPr>
        <w:t xml:space="preserve"> OPC responses highlight</w:t>
      </w:r>
      <w:r w:rsidR="00764B2C" w:rsidRPr="00244D65">
        <w:rPr>
          <w:noProof/>
        </w:rPr>
        <w:t>ed</w:t>
      </w:r>
      <w:r w:rsidR="00206E0D" w:rsidRPr="00244D65">
        <w:rPr>
          <w:noProof/>
        </w:rPr>
        <w:t xml:space="preserve"> this as a general </w:t>
      </w:r>
      <w:r w:rsidR="00FC6711" w:rsidRPr="00244D65">
        <w:rPr>
          <w:noProof/>
        </w:rPr>
        <w:t xml:space="preserve">concern regarding the integration of carbon removals in the </w:t>
      </w:r>
      <w:r w:rsidR="00F909E3" w:rsidRPr="00244D65">
        <w:rPr>
          <w:noProof/>
        </w:rPr>
        <w:t>EU ETS</w:t>
      </w:r>
      <w:r w:rsidR="00FC6711" w:rsidRPr="00244D65">
        <w:rPr>
          <w:noProof/>
        </w:rPr>
        <w:t>.</w:t>
      </w:r>
    </w:p>
    <w:p w14:paraId="5DAA5EC1" w14:textId="7DD353C5" w:rsidR="00694D48" w:rsidRPr="00244D65" w:rsidRDefault="00C61628" w:rsidP="0085595C">
      <w:pPr>
        <w:pStyle w:val="Heading4"/>
        <w:rPr>
          <w:noProof/>
        </w:rPr>
      </w:pPr>
      <w:r w:rsidRPr="00244D65">
        <w:rPr>
          <w:noProof/>
        </w:rPr>
        <w:t xml:space="preserve"> </w:t>
      </w:r>
      <w:r w:rsidR="0E4ED4F9" w:rsidRPr="00244D65">
        <w:rPr>
          <w:noProof/>
        </w:rPr>
        <w:t>Instruments to support investments</w:t>
      </w:r>
    </w:p>
    <w:p w14:paraId="27939EEA" w14:textId="69C9790B" w:rsidR="288327C1" w:rsidRPr="00244D65" w:rsidRDefault="28605204" w:rsidP="0085595C">
      <w:pPr>
        <w:rPr>
          <w:noProof/>
        </w:rPr>
      </w:pPr>
      <w:r w:rsidRPr="00244D65">
        <w:rPr>
          <w:noProof/>
        </w:rPr>
        <w:t>T</w:t>
      </w:r>
      <w:r w:rsidR="45078B8C" w:rsidRPr="00244D65">
        <w:rPr>
          <w:noProof/>
        </w:rPr>
        <w:t xml:space="preserve">he IDB </w:t>
      </w:r>
      <w:r w:rsidR="66F9470C" w:rsidRPr="00244D65">
        <w:rPr>
          <w:noProof/>
        </w:rPr>
        <w:t>is expected to generate broader environmental co-benefits beyond greenhouse gas emission reductions</w:t>
      </w:r>
      <w:r w:rsidR="66BBAA7C" w:rsidRPr="00244D65">
        <w:rPr>
          <w:noProof/>
        </w:rPr>
        <w:t>, including lower air pollutant emissions (such as NO</w:t>
      </w:r>
      <w:r w:rsidR="66BBAA7C" w:rsidRPr="00244D65">
        <w:rPr>
          <w:noProof/>
          <w:vertAlign w:val="subscript"/>
        </w:rPr>
        <w:t>x</w:t>
      </w:r>
      <w:r w:rsidR="66BBAA7C" w:rsidRPr="00244D65">
        <w:rPr>
          <w:noProof/>
        </w:rPr>
        <w:t>, SO</w:t>
      </w:r>
      <w:r w:rsidR="66BBAA7C" w:rsidRPr="00244D65">
        <w:rPr>
          <w:noProof/>
          <w:vertAlign w:val="subscript"/>
        </w:rPr>
        <w:t>x</w:t>
      </w:r>
      <w:r w:rsidR="66BBAA7C" w:rsidRPr="00244D65">
        <w:rPr>
          <w:noProof/>
        </w:rPr>
        <w:t xml:space="preserve"> and particulate matter), reduced resource and water use, and less waste generation. It can also improve the environmental performance of industrial sites and support more circular production models, while potential local trade-offs are managed through existing environmental safeguards and permitting. </w:t>
      </w:r>
      <w:r w:rsidR="585F8B42" w:rsidRPr="00244D65">
        <w:rPr>
          <w:noProof/>
        </w:rPr>
        <w:t xml:space="preserve">However, the differences among IDB options in terms of allocation method, support formats and geographical balance would only have marginal differences. </w:t>
      </w:r>
    </w:p>
    <w:p w14:paraId="53711FF1" w14:textId="0DE3D1FF" w:rsidR="288327C1" w:rsidRPr="00244D65" w:rsidRDefault="288327C1" w:rsidP="0085595C">
      <w:pPr>
        <w:rPr>
          <w:noProof/>
        </w:rPr>
      </w:pPr>
      <w:r w:rsidRPr="00244D65">
        <w:rPr>
          <w:noProof/>
        </w:rPr>
        <w:t xml:space="preserve">Under the current </w:t>
      </w:r>
      <w:r w:rsidR="00F83E57" w:rsidRPr="00244D65">
        <w:rPr>
          <w:noProof/>
        </w:rPr>
        <w:t>ETS Directive</w:t>
      </w:r>
      <w:r w:rsidRPr="00244D65">
        <w:rPr>
          <w:noProof/>
        </w:rPr>
        <w:t>, the Modernisation Fund is instrumental in phasing out solid</w:t>
      </w:r>
      <w:r w:rsidR="1D08903C" w:rsidRPr="00244D65">
        <w:rPr>
          <w:noProof/>
        </w:rPr>
        <w:t xml:space="preserve"> and liquid</w:t>
      </w:r>
      <w:r w:rsidRPr="00244D65">
        <w:rPr>
          <w:noProof/>
        </w:rPr>
        <w:t xml:space="preserve"> fossil fuels in Member States which are heavily reliant on them for the provision of ele</w:t>
      </w:r>
      <w:r w:rsidR="09F7947C" w:rsidRPr="00244D65">
        <w:rPr>
          <w:noProof/>
        </w:rPr>
        <w:t>c</w:t>
      </w:r>
      <w:r w:rsidRPr="00244D65">
        <w:rPr>
          <w:noProof/>
        </w:rPr>
        <w:t>tricity and heating.</w:t>
      </w:r>
      <w:r w:rsidR="2101F0ED" w:rsidRPr="00244D65">
        <w:rPr>
          <w:noProof/>
        </w:rPr>
        <w:t xml:space="preserve"> </w:t>
      </w:r>
      <w:r w:rsidRPr="00244D65">
        <w:rPr>
          <w:noProof/>
        </w:rPr>
        <w:t>U</w:t>
      </w:r>
      <w:r w:rsidR="7B3C94AD" w:rsidRPr="00244D65">
        <w:rPr>
          <w:noProof/>
        </w:rPr>
        <w:t>n</w:t>
      </w:r>
      <w:r w:rsidRPr="00244D65">
        <w:rPr>
          <w:noProof/>
        </w:rPr>
        <w:t xml:space="preserve">der the baseline </w:t>
      </w:r>
      <w:r w:rsidR="7249CC85" w:rsidRPr="00244D65">
        <w:rPr>
          <w:noProof/>
        </w:rPr>
        <w:t>scenario (discontinuation of the MF in 2030), investments available to such activities can</w:t>
      </w:r>
      <w:r w:rsidR="1ACD5F27" w:rsidRPr="00244D65">
        <w:rPr>
          <w:noProof/>
        </w:rPr>
        <w:t xml:space="preserve"> be </w:t>
      </w:r>
      <w:r w:rsidR="69828341" w:rsidRPr="00244D65">
        <w:rPr>
          <w:noProof/>
        </w:rPr>
        <w:t xml:space="preserve">expected to diminish. </w:t>
      </w:r>
    </w:p>
    <w:p w14:paraId="794A435F" w14:textId="4F5B129D" w:rsidR="69828341" w:rsidRPr="00244D65" w:rsidRDefault="69828341" w:rsidP="0085595C">
      <w:pPr>
        <w:rPr>
          <w:noProof/>
        </w:rPr>
      </w:pPr>
      <w:r w:rsidRPr="00244D65">
        <w:rPr>
          <w:noProof/>
        </w:rPr>
        <w:t xml:space="preserve">Under all considered policy options, the Modernisation Fund would continue to support beneficiary Member States in reducing </w:t>
      </w:r>
      <w:r w:rsidR="5BFD7264" w:rsidRPr="00244D65">
        <w:rPr>
          <w:noProof/>
        </w:rPr>
        <w:t>their depen</w:t>
      </w:r>
      <w:r w:rsidR="58BC0F74" w:rsidRPr="00244D65">
        <w:rPr>
          <w:noProof/>
        </w:rPr>
        <w:t>dency on fossil fuels, with an even greater impact on the reduction of liquid fossil fuels, which would be either fully excluded or strictly limite</w:t>
      </w:r>
      <w:r w:rsidR="75802965" w:rsidRPr="00244D65">
        <w:rPr>
          <w:noProof/>
        </w:rPr>
        <w:t>d.</w:t>
      </w:r>
      <w:r w:rsidR="00AA1DBE" w:rsidRPr="00244D65">
        <w:rPr>
          <w:noProof/>
        </w:rPr>
        <w:t xml:space="preserve"> All options also reduce support to waste-to-energy.</w:t>
      </w:r>
    </w:p>
    <w:p w14:paraId="3A8CE15C" w14:textId="389122DD" w:rsidR="0026414F" w:rsidRPr="00244D65" w:rsidRDefault="75802965" w:rsidP="0085595C">
      <w:pPr>
        <w:rPr>
          <w:rFonts w:eastAsia="Times New Roman"/>
          <w:noProof/>
          <w:lang w:eastAsia="en-GB"/>
        </w:rPr>
      </w:pPr>
      <w:r w:rsidRPr="00244D65">
        <w:rPr>
          <w:noProof/>
        </w:rPr>
        <w:t>Pha</w:t>
      </w:r>
      <w:r w:rsidRPr="00244D65">
        <w:rPr>
          <w:rFonts w:eastAsia="Times New Roman"/>
          <w:noProof/>
        </w:rPr>
        <w:t>sing out fossil fuels</w:t>
      </w:r>
      <w:r w:rsidR="00A102FE" w:rsidRPr="00244D65">
        <w:rPr>
          <w:rFonts w:eastAsia="Times New Roman"/>
          <w:noProof/>
        </w:rPr>
        <w:t xml:space="preserve"> and support to waste-to-energy</w:t>
      </w:r>
      <w:r w:rsidRPr="00244D65">
        <w:rPr>
          <w:rFonts w:eastAsia="Times New Roman"/>
          <w:noProof/>
        </w:rPr>
        <w:t xml:space="preserve"> has</w:t>
      </w:r>
      <w:r w:rsidR="193501EB" w:rsidRPr="00244D65">
        <w:rPr>
          <w:rFonts w:eastAsia="Times New Roman"/>
          <w:noProof/>
        </w:rPr>
        <w:t xml:space="preserve"> positive</w:t>
      </w:r>
      <w:r w:rsidRPr="00244D65">
        <w:rPr>
          <w:rFonts w:eastAsia="Times New Roman"/>
          <w:noProof/>
        </w:rPr>
        <w:t xml:space="preserve"> co-benefits </w:t>
      </w:r>
      <w:r w:rsidR="607201C3" w:rsidRPr="00244D65">
        <w:rPr>
          <w:rFonts w:eastAsia="Times New Roman"/>
          <w:noProof/>
        </w:rPr>
        <w:t xml:space="preserve">for health and the </w:t>
      </w:r>
      <w:r w:rsidR="5FDBCFD5" w:rsidRPr="00244D65">
        <w:rPr>
          <w:rFonts w:eastAsia="Times New Roman"/>
          <w:noProof/>
        </w:rPr>
        <w:t>environment through increased air quality and reduced air pollution control costs.</w:t>
      </w:r>
    </w:p>
    <w:p w14:paraId="427187E1" w14:textId="127DCF8F" w:rsidR="0026414F" w:rsidRPr="00244D65" w:rsidRDefault="1DEFC290" w:rsidP="0085595C">
      <w:pPr>
        <w:pStyle w:val="Heading4"/>
        <w:rPr>
          <w:noProof/>
        </w:rPr>
      </w:pPr>
      <w:r w:rsidRPr="00244D65">
        <w:rPr>
          <w:noProof/>
        </w:rPr>
        <w:t xml:space="preserve"> </w:t>
      </w:r>
      <w:r w:rsidR="00694D48" w:rsidRPr="00244D65">
        <w:rPr>
          <w:noProof/>
        </w:rPr>
        <w:t>Aviation</w:t>
      </w:r>
    </w:p>
    <w:p w14:paraId="342CB91F" w14:textId="3E59566F" w:rsidR="00A976F0" w:rsidRPr="00244D65" w:rsidRDefault="001553C3" w:rsidP="1CF5063F">
      <w:pPr>
        <w:pStyle w:val="paragraph"/>
        <w:spacing w:before="120" w:beforeAutospacing="0" w:after="120" w:afterAutospacing="0"/>
        <w:jc w:val="both"/>
        <w:rPr>
          <w:noProof/>
          <w:lang w:eastAsia="en-GB"/>
        </w:rPr>
      </w:pPr>
      <w:r w:rsidRPr="00244D65">
        <w:rPr>
          <w:noProof/>
          <w:lang w:val="en-GB" w:eastAsia="en-GB"/>
        </w:rPr>
        <w:t>The baseline has the lowest N</w:t>
      </w:r>
      <w:r w:rsidR="00ED3D3A" w:rsidRPr="00244D65">
        <w:rPr>
          <w:noProof/>
          <w:lang w:val="en-GB" w:eastAsia="en-GB"/>
        </w:rPr>
        <w:t>O</w:t>
      </w:r>
      <w:r w:rsidRPr="00244D65">
        <w:rPr>
          <w:noProof/>
          <w:vertAlign w:val="subscript"/>
          <w:lang w:val="en-GB" w:eastAsia="en-GB"/>
        </w:rPr>
        <w:t>x</w:t>
      </w:r>
      <w:r w:rsidRPr="00244D65">
        <w:rPr>
          <w:noProof/>
          <w:lang w:val="en-GB" w:eastAsia="en-GB"/>
        </w:rPr>
        <w:t>, PM</w:t>
      </w:r>
      <w:r w:rsidRPr="00244D65">
        <w:rPr>
          <w:noProof/>
          <w:vertAlign w:val="subscript"/>
          <w:lang w:val="en-GB" w:eastAsia="en-GB"/>
        </w:rPr>
        <w:t>2.5</w:t>
      </w:r>
      <w:r w:rsidR="004E1E7E" w:rsidRPr="00244D65">
        <w:rPr>
          <w:noProof/>
          <w:lang w:val="en-GB" w:eastAsia="en-GB"/>
        </w:rPr>
        <w:t xml:space="preserve"> and overall climate costs, calculated in line with PRIMES </w:t>
      </w:r>
      <w:r w:rsidR="00ED3D3A" w:rsidRPr="00244D65">
        <w:rPr>
          <w:noProof/>
          <w:lang w:val="en-GB" w:eastAsia="en-GB"/>
        </w:rPr>
        <w:t>external costs for non-road transport and the carbon values of the Commission handbook of external costs of transport (2019</w:t>
      </w:r>
      <w:r w:rsidR="0D74FCCF" w:rsidRPr="00244D65">
        <w:rPr>
          <w:noProof/>
          <w:lang w:val="en-GB" w:eastAsia="en-GB"/>
        </w:rPr>
        <w:t>) see</w:t>
      </w:r>
      <w:r w:rsidR="00F5057A" w:rsidRPr="00244D65">
        <w:rPr>
          <w:noProof/>
          <w:lang w:val="en-GB" w:eastAsia="en-GB"/>
        </w:rPr>
        <w:t xml:space="preserve"> </w:t>
      </w:r>
      <w:r>
        <w:rPr>
          <w:noProof/>
          <w:lang w:val="en-GB" w:eastAsia="en-GB"/>
        </w:rPr>
        <w:t>Table 7</w:t>
      </w:r>
      <w:r w:rsidR="00BD7647" w:rsidRPr="00244D65">
        <w:rPr>
          <w:noProof/>
          <w:lang w:val="en-GB" w:eastAsia="en-GB"/>
        </w:rPr>
        <w:t xml:space="preserve"> </w:t>
      </w:r>
      <w:r w:rsidR="00DD3846" w:rsidRPr="00244D65">
        <w:rPr>
          <w:noProof/>
          <w:lang w:val="en-GB" w:eastAsia="en-GB"/>
        </w:rPr>
        <w:t>for</w:t>
      </w:r>
      <w:r w:rsidR="00F5057A" w:rsidRPr="00244D65">
        <w:rPr>
          <w:noProof/>
          <w:lang w:val="en-GB" w:eastAsia="en-GB"/>
        </w:rPr>
        <w:t xml:space="preserve"> details.</w:t>
      </w:r>
      <w:r w:rsidR="00331BCD" w:rsidRPr="00244D65">
        <w:rPr>
          <w:noProof/>
          <w:lang w:val="en-GB" w:eastAsia="en-GB"/>
        </w:rPr>
        <w:t xml:space="preserve"> </w:t>
      </w:r>
      <w:r w:rsidR="00EC0FC9" w:rsidRPr="00244D65">
        <w:rPr>
          <w:noProof/>
          <w:lang w:val="en-GB" w:eastAsia="en-GB"/>
        </w:rPr>
        <w:t>Costs from CO</w:t>
      </w:r>
      <w:r w:rsidR="00EC0FC9" w:rsidRPr="00244D65">
        <w:rPr>
          <w:noProof/>
          <w:vertAlign w:val="subscript"/>
          <w:lang w:val="en-GB" w:eastAsia="en-GB"/>
        </w:rPr>
        <w:t>2</w:t>
      </w:r>
      <w:r w:rsidR="00331BCD" w:rsidRPr="00244D65">
        <w:rPr>
          <w:noProof/>
          <w:lang w:val="en-GB" w:eastAsia="en-GB"/>
        </w:rPr>
        <w:t xml:space="preserve"> </w:t>
      </w:r>
      <w:r w:rsidR="00C964EF" w:rsidRPr="00244D65">
        <w:rPr>
          <w:noProof/>
          <w:lang w:val="en-GB" w:eastAsia="en-GB"/>
        </w:rPr>
        <w:t xml:space="preserve">in 2040 are </w:t>
      </w:r>
      <w:r w:rsidR="00227C0E" w:rsidRPr="00244D65">
        <w:rPr>
          <w:noProof/>
          <w:lang w:val="en-GB" w:eastAsia="en-GB"/>
        </w:rPr>
        <w:t>4</w:t>
      </w:r>
      <w:r w:rsidR="005401D9" w:rsidRPr="00244D65">
        <w:rPr>
          <w:noProof/>
          <w:lang w:val="en-GB" w:eastAsia="en-GB"/>
        </w:rPr>
        <w:t xml:space="preserve">% above the baseline for PO1, and </w:t>
      </w:r>
      <w:r w:rsidR="00227C0E" w:rsidRPr="00244D65">
        <w:rPr>
          <w:noProof/>
          <w:lang w:val="en-GB" w:eastAsia="en-GB"/>
        </w:rPr>
        <w:t>2</w:t>
      </w:r>
      <w:r w:rsidR="005401D9" w:rsidRPr="00244D65">
        <w:rPr>
          <w:noProof/>
          <w:lang w:val="en-GB" w:eastAsia="en-GB"/>
        </w:rPr>
        <w:t>% above the baseline for PO2/3.</w:t>
      </w:r>
    </w:p>
    <w:p w14:paraId="70E4A980" w14:textId="0EB4EBA0" w:rsidR="0039072A" w:rsidRPr="00244D65" w:rsidRDefault="000A5845" w:rsidP="005E4778">
      <w:pPr>
        <w:pStyle w:val="Tabletitle"/>
        <w:rPr>
          <w:noProof/>
          <w:lang w:eastAsia="en-GB"/>
        </w:rPr>
      </w:pPr>
      <w:bookmarkStart w:id="179" w:name="_Toc234496387"/>
      <w:bookmarkStart w:id="180" w:name="_Toc232754567"/>
      <w:r w:rsidRPr="00244D65">
        <w:rPr>
          <w:noProof/>
        </w:rPr>
        <w:t>Total estimated externality costs</w:t>
      </w:r>
      <w:bookmarkEnd w:id="179"/>
      <w:bookmarkEnd w:id="180"/>
      <w:r w:rsidRPr="00244D65">
        <w:rPr>
          <w:noProof/>
        </w:rPr>
        <w:t xml:space="preserve"> </w:t>
      </w:r>
    </w:p>
    <w:tbl>
      <w:tblPr>
        <w:tblW w:w="8741"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4A0" w:firstRow="1" w:lastRow="0" w:firstColumn="1" w:lastColumn="0" w:noHBand="0" w:noVBand="1"/>
      </w:tblPr>
      <w:tblGrid>
        <w:gridCol w:w="4668"/>
        <w:gridCol w:w="1276"/>
        <w:gridCol w:w="1134"/>
        <w:gridCol w:w="709"/>
        <w:gridCol w:w="954"/>
      </w:tblGrid>
      <w:tr w:rsidR="00AC1680" w:rsidRPr="00244D65" w14:paraId="54C5F535" w14:textId="77777777" w:rsidTr="3E5F11E8">
        <w:trPr>
          <w:trHeight w:val="289"/>
        </w:trPr>
        <w:tc>
          <w:tcPr>
            <w:tcW w:w="8741" w:type="dxa"/>
            <w:gridSpan w:val="5"/>
            <w:hideMark/>
          </w:tcPr>
          <w:p w14:paraId="385CA22A" w14:textId="4DC0210E" w:rsidR="00AC1680" w:rsidRPr="00244D65" w:rsidRDefault="35C58FF0" w:rsidP="0085595C">
            <w:pPr>
              <w:contextualSpacing/>
              <w:rPr>
                <w:rFonts w:eastAsia="Times New Roman"/>
                <w:b/>
                <w:bCs/>
                <w:noProof/>
                <w:lang w:eastAsia="en-GB"/>
              </w:rPr>
            </w:pPr>
            <w:r w:rsidRPr="00244D65">
              <w:rPr>
                <w:rFonts w:eastAsia="Times New Roman"/>
                <w:b/>
                <w:bCs/>
                <w:noProof/>
                <w:lang w:eastAsia="en-GB"/>
              </w:rPr>
              <w:t>Total estimated EEA externality costs (PM and NO</w:t>
            </w:r>
            <w:r w:rsidRPr="00244D65">
              <w:rPr>
                <w:rFonts w:eastAsia="Times New Roman"/>
                <w:b/>
                <w:bCs/>
                <w:noProof/>
                <w:vertAlign w:val="subscript"/>
                <w:lang w:eastAsia="en-GB"/>
              </w:rPr>
              <w:t>x</w:t>
            </w:r>
            <w:r w:rsidRPr="00244D65">
              <w:rPr>
                <w:rFonts w:eastAsia="Times New Roman"/>
                <w:b/>
                <w:bCs/>
                <w:noProof/>
                <w:lang w:eastAsia="en-GB"/>
              </w:rPr>
              <w:t xml:space="preserve"> include all non-road transport), cumulative costs for 202</w:t>
            </w:r>
            <w:r w:rsidR="30219AF3" w:rsidRPr="00244D65">
              <w:rPr>
                <w:rFonts w:eastAsia="Times New Roman"/>
                <w:b/>
                <w:bCs/>
                <w:noProof/>
                <w:lang w:eastAsia="en-GB"/>
              </w:rPr>
              <w:t>4</w:t>
            </w:r>
            <w:r w:rsidRPr="00244D65">
              <w:rPr>
                <w:rFonts w:eastAsia="Times New Roman"/>
                <w:b/>
                <w:bCs/>
                <w:noProof/>
                <w:lang w:eastAsia="en-GB"/>
              </w:rPr>
              <w:t>-2040</w:t>
            </w:r>
          </w:p>
        </w:tc>
      </w:tr>
      <w:tr w:rsidR="00205E37" w:rsidRPr="00244D65" w14:paraId="6A13544E" w14:textId="77777777" w:rsidTr="3E5F11E8">
        <w:trPr>
          <w:trHeight w:val="208"/>
        </w:trPr>
        <w:tc>
          <w:tcPr>
            <w:tcW w:w="4668" w:type="dxa"/>
            <w:vMerge w:val="restart"/>
            <w:vAlign w:val="center"/>
          </w:tcPr>
          <w:p w14:paraId="7DFEE8E4" w14:textId="1264862F" w:rsidR="001E2B3F" w:rsidRPr="00244D65" w:rsidRDefault="001E2B3F" w:rsidP="0085595C">
            <w:pPr>
              <w:contextualSpacing/>
              <w:jc w:val="center"/>
              <w:rPr>
                <w:rFonts w:eastAsia="Times New Roman"/>
                <w:b/>
                <w:bCs/>
                <w:noProof/>
                <w:lang w:eastAsia="en-GB"/>
              </w:rPr>
            </w:pPr>
            <w:r w:rsidRPr="00244D65">
              <w:rPr>
                <w:rFonts w:eastAsia="Times New Roman"/>
                <w:b/>
                <w:bCs/>
                <w:noProof/>
                <w:lang w:eastAsia="en-GB"/>
              </w:rPr>
              <w:t>Policy option</w:t>
            </w:r>
          </w:p>
        </w:tc>
        <w:tc>
          <w:tcPr>
            <w:tcW w:w="4073" w:type="dxa"/>
            <w:gridSpan w:val="4"/>
            <w:vAlign w:val="center"/>
          </w:tcPr>
          <w:p w14:paraId="326865BA" w14:textId="7BCBF541" w:rsidR="001E2B3F" w:rsidRPr="00244D65" w:rsidRDefault="001E2B3F" w:rsidP="0085595C">
            <w:pPr>
              <w:contextualSpacing/>
              <w:jc w:val="center"/>
              <w:rPr>
                <w:rFonts w:eastAsia="Times New Roman"/>
                <w:b/>
                <w:bCs/>
                <w:noProof/>
                <w:lang w:eastAsia="en-GB"/>
              </w:rPr>
            </w:pPr>
            <w:r w:rsidRPr="00244D65">
              <w:rPr>
                <w:rFonts w:eastAsia="Times New Roman"/>
                <w:b/>
                <w:bCs/>
                <w:noProof/>
                <w:lang w:eastAsia="en-GB"/>
              </w:rPr>
              <w:t>Costs in EUR bn (2023)</w:t>
            </w:r>
          </w:p>
        </w:tc>
      </w:tr>
      <w:tr w:rsidR="00E27685" w:rsidRPr="00244D65" w14:paraId="4FB72D4C" w14:textId="77777777" w:rsidTr="3E5F11E8">
        <w:trPr>
          <w:trHeight w:val="373"/>
        </w:trPr>
        <w:tc>
          <w:tcPr>
            <w:tcW w:w="4668" w:type="dxa"/>
            <w:vMerge/>
            <w:hideMark/>
          </w:tcPr>
          <w:p w14:paraId="495CC4D3" w14:textId="50A881A7" w:rsidR="00AC1680" w:rsidRPr="00244D65" w:rsidRDefault="00AC1680" w:rsidP="0085595C">
            <w:pPr>
              <w:contextualSpacing/>
              <w:rPr>
                <w:rFonts w:eastAsia="Times New Roman"/>
                <w:noProof/>
                <w:lang w:eastAsia="en-GB"/>
              </w:rPr>
            </w:pPr>
          </w:p>
        </w:tc>
        <w:tc>
          <w:tcPr>
            <w:tcW w:w="1276" w:type="dxa"/>
            <w:vAlign w:val="center"/>
            <w:hideMark/>
          </w:tcPr>
          <w:p w14:paraId="06F7B2F0" w14:textId="52F44D73" w:rsidR="00AC1680" w:rsidRPr="00244D65" w:rsidRDefault="00AC1680" w:rsidP="0085595C">
            <w:pPr>
              <w:contextualSpacing/>
              <w:jc w:val="center"/>
              <w:rPr>
                <w:rFonts w:eastAsia="Times New Roman"/>
                <w:noProof/>
                <w:lang w:eastAsia="en-GB"/>
              </w:rPr>
            </w:pPr>
            <w:r w:rsidRPr="00244D65">
              <w:rPr>
                <w:rFonts w:eastAsia="Times New Roman"/>
                <w:noProof/>
                <w:lang w:eastAsia="en-GB"/>
              </w:rPr>
              <w:t>Local NO</w:t>
            </w:r>
            <w:r w:rsidRPr="00244D65">
              <w:rPr>
                <w:rFonts w:eastAsia="Times New Roman"/>
                <w:noProof/>
                <w:vertAlign w:val="subscript"/>
                <w:lang w:eastAsia="en-GB"/>
              </w:rPr>
              <w:t>x</w:t>
            </w:r>
          </w:p>
        </w:tc>
        <w:tc>
          <w:tcPr>
            <w:tcW w:w="1134" w:type="dxa"/>
            <w:vAlign w:val="center"/>
            <w:hideMark/>
          </w:tcPr>
          <w:p w14:paraId="67986452" w14:textId="25763770" w:rsidR="00AC1680" w:rsidRPr="00244D65" w:rsidRDefault="35C58FF0" w:rsidP="0085595C">
            <w:pPr>
              <w:contextualSpacing/>
              <w:jc w:val="center"/>
              <w:rPr>
                <w:rFonts w:eastAsia="Times New Roman"/>
                <w:noProof/>
                <w:lang w:eastAsia="en-GB"/>
              </w:rPr>
            </w:pPr>
            <w:r w:rsidRPr="00244D65">
              <w:rPr>
                <w:rFonts w:eastAsia="Times New Roman"/>
                <w:noProof/>
                <w:lang w:eastAsia="en-GB"/>
              </w:rPr>
              <w:t>PM</w:t>
            </w:r>
            <w:r w:rsidRPr="00244D65">
              <w:rPr>
                <w:rFonts w:eastAsia="Times New Roman"/>
                <w:noProof/>
                <w:vertAlign w:val="subscript"/>
                <w:lang w:eastAsia="en-GB"/>
              </w:rPr>
              <w:t>2.5</w:t>
            </w:r>
          </w:p>
        </w:tc>
        <w:tc>
          <w:tcPr>
            <w:tcW w:w="709" w:type="dxa"/>
            <w:vAlign w:val="center"/>
            <w:hideMark/>
          </w:tcPr>
          <w:p w14:paraId="5C4D9466" w14:textId="6A703E29" w:rsidR="00AC1680" w:rsidRPr="00244D65" w:rsidRDefault="00A270FE" w:rsidP="0085595C">
            <w:pPr>
              <w:contextualSpacing/>
              <w:jc w:val="center"/>
              <w:rPr>
                <w:rFonts w:eastAsia="Times New Roman"/>
                <w:noProof/>
                <w:lang w:eastAsia="en-GB"/>
              </w:rPr>
            </w:pPr>
            <w:r w:rsidRPr="00244D65">
              <w:rPr>
                <w:rFonts w:eastAsia="Times New Roman"/>
                <w:noProof/>
                <w:lang w:eastAsia="en-GB"/>
              </w:rPr>
              <w:t>CO</w:t>
            </w:r>
            <w:r w:rsidRPr="00244D65">
              <w:rPr>
                <w:rFonts w:eastAsia="Times New Roman"/>
                <w:noProof/>
                <w:vertAlign w:val="subscript"/>
                <w:lang w:eastAsia="en-GB"/>
              </w:rPr>
              <w:t>2</w:t>
            </w:r>
          </w:p>
        </w:tc>
        <w:tc>
          <w:tcPr>
            <w:tcW w:w="954" w:type="dxa"/>
            <w:vAlign w:val="center"/>
            <w:hideMark/>
          </w:tcPr>
          <w:p w14:paraId="2742FB80" w14:textId="23A7E853" w:rsidR="00AC1680" w:rsidRPr="00244D65" w:rsidRDefault="00AC1680" w:rsidP="0085595C">
            <w:pPr>
              <w:contextualSpacing/>
              <w:jc w:val="center"/>
              <w:rPr>
                <w:rFonts w:eastAsia="Times New Roman"/>
                <w:noProof/>
                <w:lang w:eastAsia="en-GB"/>
              </w:rPr>
            </w:pPr>
            <w:r w:rsidRPr="00244D65">
              <w:rPr>
                <w:rFonts w:eastAsia="Times New Roman"/>
                <w:noProof/>
                <w:lang w:eastAsia="en-GB"/>
              </w:rPr>
              <w:t>Total</w:t>
            </w:r>
          </w:p>
        </w:tc>
      </w:tr>
      <w:tr w:rsidR="00E27685" w:rsidRPr="00244D65" w14:paraId="55943EB2" w14:textId="77777777" w:rsidTr="3E5F11E8">
        <w:trPr>
          <w:trHeight w:val="330"/>
        </w:trPr>
        <w:tc>
          <w:tcPr>
            <w:tcW w:w="4668" w:type="dxa"/>
            <w:hideMark/>
          </w:tcPr>
          <w:p w14:paraId="4151A79B" w14:textId="4705E626" w:rsidR="00AC1680" w:rsidRPr="00244D65" w:rsidRDefault="00AC1680" w:rsidP="0085595C">
            <w:pPr>
              <w:contextualSpacing/>
              <w:rPr>
                <w:rFonts w:eastAsia="Times New Roman"/>
                <w:b/>
                <w:bCs/>
                <w:noProof/>
                <w:lang w:eastAsia="en-GB"/>
              </w:rPr>
            </w:pPr>
            <w:r w:rsidRPr="00244D65">
              <w:rPr>
                <w:rFonts w:eastAsia="Times New Roman"/>
                <w:b/>
                <w:bCs/>
                <w:noProof/>
                <w:lang w:eastAsia="en-GB"/>
              </w:rPr>
              <w:t xml:space="preserve">Baseline </w:t>
            </w:r>
            <w:r w:rsidRPr="00244D65">
              <w:rPr>
                <w:rFonts w:eastAsia="Times New Roman"/>
                <w:noProof/>
                <w:lang w:eastAsia="en-GB"/>
              </w:rPr>
              <w:t>(full scope)</w:t>
            </w:r>
          </w:p>
        </w:tc>
        <w:tc>
          <w:tcPr>
            <w:tcW w:w="1276" w:type="dxa"/>
            <w:vAlign w:val="center"/>
            <w:hideMark/>
          </w:tcPr>
          <w:p w14:paraId="7497CDD5" w14:textId="40CE7506" w:rsidR="00AC1680" w:rsidRPr="00244D65" w:rsidRDefault="00827548" w:rsidP="0085595C">
            <w:pPr>
              <w:contextualSpacing/>
              <w:jc w:val="center"/>
              <w:rPr>
                <w:rFonts w:eastAsia="Times New Roman"/>
                <w:noProof/>
                <w:lang w:eastAsia="en-GB"/>
              </w:rPr>
            </w:pPr>
            <w:r w:rsidRPr="00244D65">
              <w:rPr>
                <w:rFonts w:eastAsia="Times New Roman"/>
                <w:noProof/>
                <w:lang w:eastAsia="en-GB"/>
              </w:rPr>
              <w:t>12,720</w:t>
            </w:r>
          </w:p>
        </w:tc>
        <w:tc>
          <w:tcPr>
            <w:tcW w:w="1134" w:type="dxa"/>
            <w:vAlign w:val="center"/>
            <w:hideMark/>
          </w:tcPr>
          <w:p w14:paraId="7EC04D20" w14:textId="4B6C4284" w:rsidR="00AC1680" w:rsidRPr="00244D65" w:rsidRDefault="00D23B17" w:rsidP="0085595C">
            <w:pPr>
              <w:contextualSpacing/>
              <w:jc w:val="center"/>
              <w:rPr>
                <w:rFonts w:eastAsia="Times New Roman"/>
                <w:noProof/>
                <w:lang w:eastAsia="en-GB"/>
              </w:rPr>
            </w:pPr>
            <w:r w:rsidRPr="00244D65">
              <w:rPr>
                <w:rFonts w:eastAsia="Times New Roman"/>
                <w:noProof/>
                <w:lang w:eastAsia="en-GB"/>
              </w:rPr>
              <w:t>7</w:t>
            </w:r>
            <w:r w:rsidR="00AF5634" w:rsidRPr="00244D65">
              <w:rPr>
                <w:rFonts w:eastAsia="Times New Roman"/>
                <w:noProof/>
                <w:lang w:eastAsia="en-GB"/>
              </w:rPr>
              <w:t>9</w:t>
            </w:r>
          </w:p>
        </w:tc>
        <w:tc>
          <w:tcPr>
            <w:tcW w:w="709" w:type="dxa"/>
            <w:vAlign w:val="center"/>
            <w:hideMark/>
          </w:tcPr>
          <w:p w14:paraId="325BC26E" w14:textId="330F909D" w:rsidR="00AC1680" w:rsidRPr="00244D65" w:rsidRDefault="00D23B17" w:rsidP="0085595C">
            <w:pPr>
              <w:contextualSpacing/>
              <w:jc w:val="center"/>
              <w:rPr>
                <w:rFonts w:eastAsia="Times New Roman"/>
                <w:noProof/>
                <w:lang w:eastAsia="en-GB"/>
              </w:rPr>
            </w:pPr>
            <w:r w:rsidRPr="00244D65">
              <w:rPr>
                <w:rFonts w:eastAsia="Times New Roman"/>
                <w:noProof/>
                <w:lang w:eastAsia="en-GB"/>
              </w:rPr>
              <w:t>67</w:t>
            </w:r>
            <w:r w:rsidR="00AF5634" w:rsidRPr="00244D65">
              <w:rPr>
                <w:rFonts w:eastAsia="Times New Roman"/>
                <w:noProof/>
                <w:lang w:eastAsia="en-GB"/>
              </w:rPr>
              <w:t>4</w:t>
            </w:r>
          </w:p>
        </w:tc>
        <w:tc>
          <w:tcPr>
            <w:tcW w:w="954" w:type="dxa"/>
            <w:vAlign w:val="center"/>
            <w:hideMark/>
          </w:tcPr>
          <w:p w14:paraId="053ECEE8" w14:textId="618F3A28" w:rsidR="00AC1680" w:rsidRPr="00244D65" w:rsidRDefault="002D3FE8" w:rsidP="0085595C">
            <w:pPr>
              <w:contextualSpacing/>
              <w:jc w:val="center"/>
              <w:rPr>
                <w:rFonts w:eastAsia="Times New Roman"/>
                <w:noProof/>
                <w:lang w:eastAsia="en-GB"/>
              </w:rPr>
            </w:pPr>
            <w:r w:rsidRPr="00244D65">
              <w:rPr>
                <w:rFonts w:eastAsia="Times New Roman"/>
                <w:noProof/>
                <w:lang w:eastAsia="en-GB"/>
              </w:rPr>
              <w:t>13</w:t>
            </w:r>
            <w:r w:rsidR="00E27685" w:rsidRPr="00244D65">
              <w:rPr>
                <w:rFonts w:eastAsia="Times New Roman"/>
                <w:noProof/>
                <w:lang w:eastAsia="en-GB"/>
              </w:rPr>
              <w:t>,</w:t>
            </w:r>
            <w:r w:rsidRPr="00244D65">
              <w:rPr>
                <w:rFonts w:eastAsia="Times New Roman"/>
                <w:noProof/>
                <w:lang w:eastAsia="en-GB"/>
              </w:rPr>
              <w:t>472</w:t>
            </w:r>
          </w:p>
        </w:tc>
      </w:tr>
      <w:tr w:rsidR="00E27685" w:rsidRPr="00244D65" w14:paraId="610120E2" w14:textId="77777777" w:rsidTr="3E5F11E8">
        <w:trPr>
          <w:trHeight w:val="330"/>
        </w:trPr>
        <w:tc>
          <w:tcPr>
            <w:tcW w:w="4668" w:type="dxa"/>
            <w:hideMark/>
          </w:tcPr>
          <w:p w14:paraId="33361725" w14:textId="0FE8ACE7" w:rsidR="00AC1680" w:rsidRPr="00244D65" w:rsidRDefault="00AC1680" w:rsidP="0085595C">
            <w:pPr>
              <w:contextualSpacing/>
              <w:rPr>
                <w:rFonts w:eastAsia="Times New Roman"/>
                <w:b/>
                <w:bCs/>
                <w:noProof/>
                <w:lang w:eastAsia="en-GB"/>
              </w:rPr>
            </w:pPr>
            <w:r w:rsidRPr="00244D65">
              <w:rPr>
                <w:rFonts w:eastAsia="Times New Roman"/>
                <w:b/>
                <w:bCs/>
                <w:noProof/>
                <w:lang w:eastAsia="en-GB"/>
              </w:rPr>
              <w:t xml:space="preserve">PO1 </w:t>
            </w:r>
            <w:r w:rsidRPr="00244D65">
              <w:rPr>
                <w:rFonts w:eastAsia="Times New Roman"/>
                <w:noProof/>
                <w:lang w:eastAsia="en-GB"/>
              </w:rPr>
              <w:t>(clean cut)</w:t>
            </w:r>
          </w:p>
        </w:tc>
        <w:tc>
          <w:tcPr>
            <w:tcW w:w="1276" w:type="dxa"/>
            <w:vAlign w:val="center"/>
            <w:hideMark/>
          </w:tcPr>
          <w:p w14:paraId="3D22B02C" w14:textId="5F7454B1" w:rsidR="00AC1680" w:rsidRPr="00244D65" w:rsidRDefault="005A21A0" w:rsidP="0085595C">
            <w:pPr>
              <w:contextualSpacing/>
              <w:jc w:val="center"/>
              <w:rPr>
                <w:rFonts w:eastAsia="Times New Roman"/>
                <w:noProof/>
                <w:lang w:eastAsia="en-GB"/>
              </w:rPr>
            </w:pPr>
            <w:r w:rsidRPr="00244D65">
              <w:rPr>
                <w:rFonts w:eastAsia="Times New Roman"/>
                <w:noProof/>
                <w:lang w:eastAsia="en-GB"/>
              </w:rPr>
              <w:t>12,871</w:t>
            </w:r>
          </w:p>
        </w:tc>
        <w:tc>
          <w:tcPr>
            <w:tcW w:w="1134" w:type="dxa"/>
            <w:vAlign w:val="center"/>
            <w:hideMark/>
          </w:tcPr>
          <w:p w14:paraId="76CD57A1" w14:textId="0CE1FA2C" w:rsidR="00AC1680" w:rsidRPr="00244D65" w:rsidRDefault="005505C5" w:rsidP="0085595C">
            <w:pPr>
              <w:contextualSpacing/>
              <w:jc w:val="center"/>
              <w:rPr>
                <w:rFonts w:eastAsia="Times New Roman"/>
                <w:noProof/>
                <w:lang w:eastAsia="en-GB"/>
              </w:rPr>
            </w:pPr>
            <w:r w:rsidRPr="00244D65">
              <w:rPr>
                <w:rFonts w:eastAsia="Times New Roman"/>
                <w:noProof/>
                <w:lang w:eastAsia="en-GB"/>
              </w:rPr>
              <w:t>79</w:t>
            </w:r>
          </w:p>
        </w:tc>
        <w:tc>
          <w:tcPr>
            <w:tcW w:w="709" w:type="dxa"/>
            <w:vAlign w:val="center"/>
            <w:hideMark/>
          </w:tcPr>
          <w:p w14:paraId="3EA7BEEA" w14:textId="544724BA" w:rsidR="00AC1680" w:rsidRPr="00244D65" w:rsidRDefault="00D23B17" w:rsidP="0085595C">
            <w:pPr>
              <w:contextualSpacing/>
              <w:jc w:val="center"/>
              <w:rPr>
                <w:rFonts w:eastAsia="Times New Roman"/>
                <w:noProof/>
                <w:lang w:eastAsia="en-GB"/>
              </w:rPr>
            </w:pPr>
            <w:r w:rsidRPr="00244D65">
              <w:rPr>
                <w:rFonts w:eastAsia="Times New Roman"/>
                <w:noProof/>
                <w:lang w:eastAsia="en-GB"/>
              </w:rPr>
              <w:t>699</w:t>
            </w:r>
          </w:p>
        </w:tc>
        <w:tc>
          <w:tcPr>
            <w:tcW w:w="954" w:type="dxa"/>
            <w:vAlign w:val="center"/>
            <w:hideMark/>
          </w:tcPr>
          <w:p w14:paraId="4453E190" w14:textId="4858DCFF" w:rsidR="00AC1680" w:rsidRPr="00244D65" w:rsidRDefault="00772943" w:rsidP="0085595C">
            <w:pPr>
              <w:contextualSpacing/>
              <w:jc w:val="center"/>
              <w:rPr>
                <w:rFonts w:eastAsia="Times New Roman"/>
                <w:noProof/>
                <w:lang w:eastAsia="en-GB"/>
              </w:rPr>
            </w:pPr>
            <w:r w:rsidRPr="00244D65">
              <w:rPr>
                <w:rFonts w:eastAsia="Times New Roman"/>
                <w:noProof/>
                <w:lang w:eastAsia="en-GB"/>
              </w:rPr>
              <w:t>13,6</w:t>
            </w:r>
            <w:r w:rsidR="00B326E0" w:rsidRPr="00244D65">
              <w:rPr>
                <w:rFonts w:eastAsia="Times New Roman"/>
                <w:noProof/>
                <w:lang w:eastAsia="en-GB"/>
              </w:rPr>
              <w:t>50</w:t>
            </w:r>
          </w:p>
        </w:tc>
      </w:tr>
      <w:tr w:rsidR="00E27685" w:rsidRPr="00244D65" w14:paraId="392819E5" w14:textId="77777777" w:rsidTr="3E5F11E8">
        <w:trPr>
          <w:trHeight w:val="296"/>
        </w:trPr>
        <w:tc>
          <w:tcPr>
            <w:tcW w:w="4668" w:type="dxa"/>
            <w:hideMark/>
          </w:tcPr>
          <w:p w14:paraId="03577A90" w14:textId="1422EBEB" w:rsidR="00AC1680" w:rsidRPr="00244D65" w:rsidRDefault="00AC1680" w:rsidP="0085595C">
            <w:pPr>
              <w:contextualSpacing/>
              <w:rPr>
                <w:rFonts w:eastAsia="Times New Roman"/>
                <w:noProof/>
                <w:lang w:eastAsia="en-GB"/>
              </w:rPr>
            </w:pPr>
            <w:r w:rsidRPr="00244D65">
              <w:rPr>
                <w:rFonts w:eastAsia="Times New Roman"/>
                <w:b/>
                <w:noProof/>
                <w:lang w:eastAsia="en-GB"/>
              </w:rPr>
              <w:t>PO2</w:t>
            </w:r>
            <w:r w:rsidRPr="00244D65">
              <w:rPr>
                <w:rFonts w:eastAsia="Times New Roman"/>
                <w:noProof/>
                <w:lang w:eastAsia="en-GB"/>
              </w:rPr>
              <w:t xml:space="preserve"> (departing flights, medium SAF support</w:t>
            </w:r>
            <w:r w:rsidR="001708EB" w:rsidRPr="00244D65">
              <w:rPr>
                <w:rFonts w:eastAsia="Times New Roman"/>
                <w:noProof/>
                <w:lang w:eastAsia="en-GB"/>
              </w:rPr>
              <w:t>)</w:t>
            </w:r>
          </w:p>
        </w:tc>
        <w:tc>
          <w:tcPr>
            <w:tcW w:w="1276" w:type="dxa"/>
            <w:vAlign w:val="center"/>
            <w:hideMark/>
          </w:tcPr>
          <w:p w14:paraId="4E058E79" w14:textId="1AC16293" w:rsidR="00AC1680" w:rsidRPr="00244D65" w:rsidRDefault="005C4138" w:rsidP="0085595C">
            <w:pPr>
              <w:contextualSpacing/>
              <w:jc w:val="center"/>
              <w:rPr>
                <w:rFonts w:eastAsia="Times New Roman"/>
                <w:noProof/>
                <w:lang w:eastAsia="en-GB"/>
              </w:rPr>
            </w:pPr>
            <w:r w:rsidRPr="00244D65">
              <w:rPr>
                <w:rFonts w:eastAsia="Times New Roman"/>
                <w:noProof/>
                <w:lang w:eastAsia="en-GB"/>
              </w:rPr>
              <w:t>12,86</w:t>
            </w:r>
            <w:r w:rsidR="00AF5634" w:rsidRPr="00244D65">
              <w:rPr>
                <w:rFonts w:eastAsia="Times New Roman"/>
                <w:noProof/>
                <w:lang w:eastAsia="en-GB"/>
              </w:rPr>
              <w:t>4</w:t>
            </w:r>
          </w:p>
        </w:tc>
        <w:tc>
          <w:tcPr>
            <w:tcW w:w="1134" w:type="dxa"/>
            <w:vAlign w:val="center"/>
            <w:hideMark/>
          </w:tcPr>
          <w:p w14:paraId="46379F95" w14:textId="07EF70D5" w:rsidR="00AC1680" w:rsidRPr="00244D65" w:rsidRDefault="005505C5" w:rsidP="0085595C">
            <w:pPr>
              <w:contextualSpacing/>
              <w:jc w:val="center"/>
              <w:rPr>
                <w:rFonts w:eastAsia="Times New Roman"/>
                <w:noProof/>
                <w:lang w:eastAsia="en-GB"/>
              </w:rPr>
            </w:pPr>
            <w:r w:rsidRPr="00244D65">
              <w:rPr>
                <w:rFonts w:eastAsia="Times New Roman"/>
                <w:noProof/>
                <w:lang w:eastAsia="en-GB"/>
              </w:rPr>
              <w:t>79</w:t>
            </w:r>
          </w:p>
        </w:tc>
        <w:tc>
          <w:tcPr>
            <w:tcW w:w="709" w:type="dxa"/>
            <w:vAlign w:val="center"/>
            <w:hideMark/>
          </w:tcPr>
          <w:p w14:paraId="5EF1F8FC" w14:textId="07C83D2D" w:rsidR="00AC1680" w:rsidRPr="00244D65" w:rsidRDefault="002D3FE8" w:rsidP="0085595C">
            <w:pPr>
              <w:contextualSpacing/>
              <w:jc w:val="center"/>
              <w:rPr>
                <w:rFonts w:eastAsia="Times New Roman"/>
                <w:noProof/>
                <w:lang w:eastAsia="en-GB"/>
              </w:rPr>
            </w:pPr>
            <w:r w:rsidRPr="00244D65">
              <w:rPr>
                <w:rFonts w:eastAsia="Times New Roman"/>
                <w:noProof/>
                <w:lang w:eastAsia="en-GB"/>
              </w:rPr>
              <w:t>687</w:t>
            </w:r>
          </w:p>
        </w:tc>
        <w:tc>
          <w:tcPr>
            <w:tcW w:w="954" w:type="dxa"/>
            <w:vAlign w:val="center"/>
            <w:hideMark/>
          </w:tcPr>
          <w:p w14:paraId="03E9BDEF" w14:textId="27DF97C1" w:rsidR="00AC1680" w:rsidRPr="00244D65" w:rsidRDefault="00772943" w:rsidP="0085595C">
            <w:pPr>
              <w:contextualSpacing/>
              <w:jc w:val="center"/>
              <w:rPr>
                <w:rFonts w:eastAsia="Times New Roman"/>
                <w:noProof/>
                <w:lang w:eastAsia="en-GB"/>
              </w:rPr>
            </w:pPr>
            <w:r w:rsidRPr="00244D65">
              <w:rPr>
                <w:rFonts w:eastAsia="Times New Roman"/>
                <w:noProof/>
                <w:lang w:eastAsia="en-GB"/>
              </w:rPr>
              <w:t>13,630</w:t>
            </w:r>
          </w:p>
        </w:tc>
      </w:tr>
      <w:tr w:rsidR="00E27685" w:rsidRPr="00244D65" w14:paraId="44909CC3" w14:textId="77777777" w:rsidTr="3E5F11E8">
        <w:trPr>
          <w:trHeight w:val="45"/>
        </w:trPr>
        <w:tc>
          <w:tcPr>
            <w:tcW w:w="4668" w:type="dxa"/>
            <w:hideMark/>
          </w:tcPr>
          <w:p w14:paraId="52763624" w14:textId="138AF204" w:rsidR="00AC1680" w:rsidRPr="00244D65" w:rsidRDefault="00AC1680" w:rsidP="0085595C">
            <w:pPr>
              <w:contextualSpacing/>
              <w:rPr>
                <w:rFonts w:eastAsia="Times New Roman"/>
                <w:b/>
                <w:bCs/>
                <w:noProof/>
                <w:lang w:eastAsia="en-GB"/>
              </w:rPr>
            </w:pPr>
            <w:r w:rsidRPr="00244D65">
              <w:rPr>
                <w:rFonts w:eastAsia="Times New Roman"/>
                <w:b/>
                <w:bCs/>
                <w:noProof/>
                <w:lang w:eastAsia="en-GB"/>
              </w:rPr>
              <w:t xml:space="preserve">PO3 </w:t>
            </w:r>
            <w:r w:rsidRPr="00244D65">
              <w:rPr>
                <w:rFonts w:eastAsia="Times New Roman"/>
                <w:noProof/>
                <w:lang w:eastAsia="en-GB"/>
              </w:rPr>
              <w:t>(departing flights, larger SAF support)</w:t>
            </w:r>
          </w:p>
        </w:tc>
        <w:tc>
          <w:tcPr>
            <w:tcW w:w="1276" w:type="dxa"/>
            <w:vAlign w:val="center"/>
            <w:hideMark/>
          </w:tcPr>
          <w:p w14:paraId="1C07D5A7" w14:textId="47CD87A0" w:rsidR="00AC1680" w:rsidRPr="00244D65" w:rsidRDefault="005C4138" w:rsidP="0085595C">
            <w:pPr>
              <w:contextualSpacing/>
              <w:jc w:val="center"/>
              <w:rPr>
                <w:rFonts w:eastAsia="Times New Roman"/>
                <w:noProof/>
                <w:lang w:eastAsia="en-GB"/>
              </w:rPr>
            </w:pPr>
            <w:r w:rsidRPr="00244D65">
              <w:rPr>
                <w:rFonts w:eastAsia="Times New Roman"/>
                <w:noProof/>
                <w:lang w:eastAsia="en-GB"/>
              </w:rPr>
              <w:t>12,880</w:t>
            </w:r>
          </w:p>
        </w:tc>
        <w:tc>
          <w:tcPr>
            <w:tcW w:w="1134" w:type="dxa"/>
            <w:vAlign w:val="center"/>
            <w:hideMark/>
          </w:tcPr>
          <w:p w14:paraId="739C2196" w14:textId="32D8EE07" w:rsidR="00AC1680" w:rsidRPr="00244D65" w:rsidRDefault="00AF5634" w:rsidP="0085595C">
            <w:pPr>
              <w:contextualSpacing/>
              <w:jc w:val="center"/>
              <w:rPr>
                <w:rFonts w:eastAsia="Times New Roman"/>
                <w:noProof/>
                <w:lang w:eastAsia="en-GB"/>
              </w:rPr>
            </w:pPr>
            <w:r w:rsidRPr="00244D65">
              <w:rPr>
                <w:rFonts w:eastAsia="Times New Roman"/>
                <w:noProof/>
                <w:lang w:eastAsia="en-GB"/>
              </w:rPr>
              <w:t>80</w:t>
            </w:r>
          </w:p>
        </w:tc>
        <w:tc>
          <w:tcPr>
            <w:tcW w:w="709" w:type="dxa"/>
            <w:vAlign w:val="center"/>
            <w:hideMark/>
          </w:tcPr>
          <w:p w14:paraId="47C160FE" w14:textId="214A1BD5" w:rsidR="00AC1680" w:rsidRPr="00244D65" w:rsidRDefault="002D3FE8" w:rsidP="0085595C">
            <w:pPr>
              <w:contextualSpacing/>
              <w:jc w:val="center"/>
              <w:rPr>
                <w:rFonts w:eastAsia="Times New Roman"/>
                <w:noProof/>
                <w:lang w:eastAsia="en-GB"/>
              </w:rPr>
            </w:pPr>
            <w:r w:rsidRPr="00244D65">
              <w:rPr>
                <w:rFonts w:eastAsia="Times New Roman"/>
                <w:noProof/>
                <w:lang w:eastAsia="en-GB"/>
              </w:rPr>
              <w:t>689</w:t>
            </w:r>
          </w:p>
        </w:tc>
        <w:tc>
          <w:tcPr>
            <w:tcW w:w="954" w:type="dxa"/>
            <w:vAlign w:val="center"/>
            <w:hideMark/>
          </w:tcPr>
          <w:p w14:paraId="60B2C085" w14:textId="331A872E" w:rsidR="00AC1680" w:rsidRPr="00244D65" w:rsidRDefault="00772943" w:rsidP="0085595C">
            <w:pPr>
              <w:contextualSpacing/>
              <w:jc w:val="center"/>
              <w:rPr>
                <w:rFonts w:eastAsia="Times New Roman"/>
                <w:noProof/>
                <w:lang w:eastAsia="en-GB"/>
              </w:rPr>
            </w:pPr>
            <w:r w:rsidRPr="00244D65">
              <w:rPr>
                <w:rFonts w:eastAsia="Times New Roman"/>
                <w:noProof/>
                <w:lang w:eastAsia="en-GB"/>
              </w:rPr>
              <w:t>13,649</w:t>
            </w:r>
          </w:p>
        </w:tc>
      </w:tr>
    </w:tbl>
    <w:p w14:paraId="220FF66E" w14:textId="50299C94" w:rsidR="00694D48" w:rsidRPr="00244D65" w:rsidRDefault="5DB941C3" w:rsidP="0085595C">
      <w:pPr>
        <w:pStyle w:val="Heading4"/>
        <w:rPr>
          <w:noProof/>
        </w:rPr>
      </w:pPr>
      <w:r w:rsidRPr="00244D65">
        <w:rPr>
          <w:noProof/>
        </w:rPr>
        <w:t xml:space="preserve"> </w:t>
      </w:r>
      <w:r w:rsidR="00694D48" w:rsidRPr="00244D65">
        <w:rPr>
          <w:noProof/>
        </w:rPr>
        <w:t>Maritime</w:t>
      </w:r>
    </w:p>
    <w:p w14:paraId="59EE9A60" w14:textId="3456D5AC" w:rsidR="00907935" w:rsidRPr="00244D65" w:rsidRDefault="000E5C33" w:rsidP="0085595C">
      <w:pPr>
        <w:rPr>
          <w:rStyle w:val="normaltextrun"/>
          <w:noProof/>
          <w:lang w:eastAsia="en-GB"/>
        </w:rPr>
      </w:pPr>
      <w:r w:rsidRPr="00244D65">
        <w:rPr>
          <w:rStyle w:val="normaltextrun"/>
          <w:noProof/>
        </w:rPr>
        <w:t xml:space="preserve">As regards </w:t>
      </w:r>
      <w:r w:rsidRPr="00244D65">
        <w:rPr>
          <w:rStyle w:val="normaltextrun"/>
          <w:b/>
          <w:bCs/>
          <w:noProof/>
        </w:rPr>
        <w:t>air quality</w:t>
      </w:r>
      <w:r w:rsidR="00CF1F39" w:rsidRPr="00244D65">
        <w:rPr>
          <w:rStyle w:val="normaltextrun"/>
          <w:b/>
          <w:bCs/>
          <w:noProof/>
        </w:rPr>
        <w:t xml:space="preserve"> </w:t>
      </w:r>
      <w:r w:rsidR="00CF1F39" w:rsidRPr="00244D65">
        <w:rPr>
          <w:rStyle w:val="normaltextrun"/>
          <w:noProof/>
        </w:rPr>
        <w:t>and</w:t>
      </w:r>
      <w:r w:rsidR="00CF1F39" w:rsidRPr="00244D65">
        <w:rPr>
          <w:rStyle w:val="normaltextrun"/>
          <w:b/>
          <w:bCs/>
          <w:noProof/>
        </w:rPr>
        <w:t xml:space="preserve"> </w:t>
      </w:r>
      <w:r w:rsidR="00CF1F39" w:rsidRPr="00244D65">
        <w:rPr>
          <w:noProof/>
        </w:rPr>
        <w:t>related emissions of PM</w:t>
      </w:r>
      <w:r w:rsidR="00CF1F39" w:rsidRPr="00244D65">
        <w:rPr>
          <w:noProof/>
          <w:vertAlign w:val="subscript"/>
        </w:rPr>
        <w:t>2.5</w:t>
      </w:r>
      <w:r w:rsidR="00CF1F39" w:rsidRPr="00244D65">
        <w:rPr>
          <w:noProof/>
        </w:rPr>
        <w:t>/PM</w:t>
      </w:r>
      <w:r w:rsidR="00CF1F39" w:rsidRPr="00244D65">
        <w:rPr>
          <w:noProof/>
          <w:vertAlign w:val="subscript"/>
        </w:rPr>
        <w:t>10</w:t>
      </w:r>
      <w:r w:rsidR="00CF1F39" w:rsidRPr="00244D65">
        <w:rPr>
          <w:noProof/>
        </w:rPr>
        <w:t>, NO</w:t>
      </w:r>
      <w:r w:rsidR="00CF1F39" w:rsidRPr="00244D65">
        <w:rPr>
          <w:noProof/>
          <w:vertAlign w:val="subscript"/>
        </w:rPr>
        <w:t>x</w:t>
      </w:r>
      <w:r w:rsidR="00CF1F39" w:rsidRPr="00244D65">
        <w:rPr>
          <w:noProof/>
        </w:rPr>
        <w:t xml:space="preserve"> and SO</w:t>
      </w:r>
      <w:r w:rsidR="00CF1F39" w:rsidRPr="00244D65">
        <w:rPr>
          <w:noProof/>
          <w:vertAlign w:val="subscript"/>
        </w:rPr>
        <w:t>x</w:t>
      </w:r>
      <w:r w:rsidR="00CF1F39" w:rsidRPr="00244D65">
        <w:rPr>
          <w:noProof/>
        </w:rPr>
        <w:t>, from maritime transport</w:t>
      </w:r>
      <w:r w:rsidRPr="00244D65">
        <w:rPr>
          <w:rStyle w:val="normaltextrun"/>
          <w:b/>
          <w:bCs/>
          <w:noProof/>
        </w:rPr>
        <w:t>,</w:t>
      </w:r>
      <w:r w:rsidRPr="00244D65">
        <w:rPr>
          <w:rStyle w:val="normaltextrun"/>
          <w:noProof/>
        </w:rPr>
        <w:t xml:space="preserve"> PO2 </w:t>
      </w:r>
      <w:r w:rsidR="00E06F43" w:rsidRPr="00244D65">
        <w:rPr>
          <w:rStyle w:val="normaltextrun"/>
          <w:noProof/>
        </w:rPr>
        <w:t>and PO3 have</w:t>
      </w:r>
      <w:r w:rsidRPr="00244D65">
        <w:rPr>
          <w:rStyle w:val="normaltextrun"/>
          <w:noProof/>
        </w:rPr>
        <w:t xml:space="preserve"> a marginally lower air pollution impact of -0.0</w:t>
      </w:r>
      <w:r w:rsidR="00E2578C" w:rsidRPr="00244D65">
        <w:rPr>
          <w:rStyle w:val="normaltextrun"/>
          <w:noProof/>
        </w:rPr>
        <w:t>6</w:t>
      </w:r>
      <w:r w:rsidRPr="00244D65">
        <w:rPr>
          <w:rStyle w:val="normaltextrun"/>
          <w:noProof/>
        </w:rPr>
        <w:t xml:space="preserve">% </w:t>
      </w:r>
      <w:r w:rsidR="00E06F43" w:rsidRPr="00244D65">
        <w:rPr>
          <w:rStyle w:val="normaltextrun"/>
          <w:noProof/>
        </w:rPr>
        <w:t xml:space="preserve">and </w:t>
      </w:r>
      <w:r w:rsidR="006E0C1E" w:rsidRPr="00244D65">
        <w:rPr>
          <w:rStyle w:val="normaltextrun"/>
          <w:noProof/>
        </w:rPr>
        <w:t>-</w:t>
      </w:r>
      <w:r w:rsidR="00E06F43" w:rsidRPr="00244D65">
        <w:rPr>
          <w:rStyle w:val="normaltextrun"/>
          <w:noProof/>
        </w:rPr>
        <w:t>0.05% respectively,</w:t>
      </w:r>
      <w:r w:rsidRPr="00244D65">
        <w:rPr>
          <w:rStyle w:val="normaltextrun"/>
          <w:noProof/>
        </w:rPr>
        <w:t xml:space="preserve"> in comparison to option PO1</w:t>
      </w:r>
      <w:r w:rsidR="00982ABF" w:rsidRPr="00244D65">
        <w:rPr>
          <w:rStyle w:val="normaltextrun"/>
          <w:noProof/>
        </w:rPr>
        <w:t xml:space="preserve"> and Baseline</w:t>
      </w:r>
      <w:r w:rsidR="006D6CCD" w:rsidRPr="00244D65">
        <w:rPr>
          <w:rStyle w:val="normaltextrun"/>
          <w:noProof/>
        </w:rPr>
        <w:t>, in terms of m</w:t>
      </w:r>
      <w:r w:rsidR="00CB531B" w:rsidRPr="00244D65">
        <w:rPr>
          <w:rStyle w:val="normaltextrun"/>
          <w:noProof/>
        </w:rPr>
        <w:t>onetised air pollution impact over the period 2030-2050</w:t>
      </w:r>
      <w:r w:rsidRPr="00244D65">
        <w:rPr>
          <w:rStyle w:val="normaltextrun"/>
          <w:noProof/>
        </w:rPr>
        <w:t xml:space="preserve">. The drivers for the air pollutant emission reduction are the switching to fuels with lower </w:t>
      </w:r>
      <w:r w:rsidR="003871BB" w:rsidRPr="00244D65">
        <w:rPr>
          <w:rStyle w:val="normaltextrun"/>
          <w:noProof/>
        </w:rPr>
        <w:t xml:space="preserve">local </w:t>
      </w:r>
      <w:r w:rsidRPr="00244D65">
        <w:rPr>
          <w:rStyle w:val="normaltextrun"/>
          <w:noProof/>
        </w:rPr>
        <w:t>emission</w:t>
      </w:r>
      <w:r w:rsidR="003871BB" w:rsidRPr="00244D65">
        <w:rPr>
          <w:rStyle w:val="normaltextrun"/>
          <w:noProof/>
        </w:rPr>
        <w:t>s</w:t>
      </w:r>
      <w:r w:rsidRPr="00244D65">
        <w:rPr>
          <w:rStyle w:val="normaltextrun"/>
          <w:noProof/>
        </w:rPr>
        <w:t xml:space="preserve"> (e.g. LNG</w:t>
      </w:r>
      <w:r w:rsidR="00392306" w:rsidRPr="00244D65">
        <w:rPr>
          <w:rStyle w:val="normaltextrun"/>
          <w:noProof/>
        </w:rPr>
        <w:t xml:space="preserve">, </w:t>
      </w:r>
      <w:r w:rsidR="0016657D" w:rsidRPr="00244D65">
        <w:rPr>
          <w:rStyle w:val="normaltextrun"/>
          <w:noProof/>
        </w:rPr>
        <w:t>renewable</w:t>
      </w:r>
      <w:r w:rsidR="007F121B" w:rsidRPr="00244D65">
        <w:rPr>
          <w:rStyle w:val="normaltextrun"/>
          <w:noProof/>
        </w:rPr>
        <w:t xml:space="preserve"> and low-carbon fuels</w:t>
      </w:r>
      <w:r w:rsidR="00392306" w:rsidRPr="00244D65">
        <w:rPr>
          <w:rStyle w:val="normaltextrun"/>
          <w:noProof/>
        </w:rPr>
        <w:t xml:space="preserve">, </w:t>
      </w:r>
      <w:r w:rsidRPr="00244D65">
        <w:rPr>
          <w:rStyle w:val="normaltextrun"/>
          <w:noProof/>
        </w:rPr>
        <w:t>or electricity), as well as the energy efficiency improvements of the ships within the smaller vessels segment.</w:t>
      </w:r>
      <w:r w:rsidR="00F95BCF" w:rsidRPr="00244D65">
        <w:rPr>
          <w:rStyle w:val="normaltextrun"/>
          <w:noProof/>
        </w:rPr>
        <w:t xml:space="preserve"> </w:t>
      </w:r>
      <w:r w:rsidR="00F95BCF" w:rsidRPr="00244D65">
        <w:rPr>
          <w:noProof/>
        </w:rPr>
        <w:t>The very small differences between PO1, PO2 and PO3 are consistent with the nature of the proposed measures, considering that the focus i</w:t>
      </w:r>
      <w:r w:rsidR="006939B3" w:rsidRPr="00244D65">
        <w:rPr>
          <w:noProof/>
        </w:rPr>
        <w:t>s</w:t>
      </w:r>
      <w:r w:rsidR="00F95BCF" w:rsidRPr="00244D65">
        <w:rPr>
          <w:noProof/>
        </w:rPr>
        <w:t xml:space="preserve"> on ETS coverage, compliance rules and governance aspects.</w:t>
      </w:r>
      <w:r w:rsidR="000C653C" w:rsidRPr="00244D65">
        <w:rPr>
          <w:rStyle w:val="normaltextrun"/>
          <w:noProof/>
        </w:rPr>
        <w:t xml:space="preserve"> </w:t>
      </w:r>
      <w:r w:rsidR="0052117E" w:rsidRPr="00244D65">
        <w:rPr>
          <w:rStyle w:val="normaltextrun"/>
          <w:noProof/>
        </w:rPr>
        <w:t> </w:t>
      </w:r>
    </w:p>
    <w:p w14:paraId="5E306CD2" w14:textId="37447385" w:rsidR="00694D48" w:rsidRPr="00244D65" w:rsidRDefault="6EDE25BD" w:rsidP="0085595C">
      <w:pPr>
        <w:pStyle w:val="Heading4"/>
        <w:rPr>
          <w:noProof/>
        </w:rPr>
      </w:pPr>
      <w:r w:rsidRPr="00244D65">
        <w:rPr>
          <w:noProof/>
        </w:rPr>
        <w:t xml:space="preserve"> </w:t>
      </w:r>
      <w:r w:rsidR="00694D48" w:rsidRPr="00244D65">
        <w:rPr>
          <w:noProof/>
        </w:rPr>
        <w:t>Waste</w:t>
      </w:r>
    </w:p>
    <w:p w14:paraId="3F53084C" w14:textId="77777777" w:rsidR="00435D75" w:rsidRPr="00244D65" w:rsidRDefault="003C087C" w:rsidP="0085595C">
      <w:pPr>
        <w:rPr>
          <w:noProof/>
          <w:lang w:eastAsia="en-GB"/>
        </w:rPr>
      </w:pPr>
      <w:r w:rsidRPr="00244D65">
        <w:rPr>
          <w:noProof/>
          <w:lang w:eastAsia="en-GB"/>
        </w:rPr>
        <w:t xml:space="preserve">Action </w:t>
      </w:r>
      <w:r w:rsidR="001C5C6D" w:rsidRPr="00244D65">
        <w:rPr>
          <w:noProof/>
          <w:lang w:eastAsia="en-GB"/>
        </w:rPr>
        <w:t xml:space="preserve">is needed at different levels to move waste up the waste hierarchy. Many Member States are currently not on track to achieve their 2025 and 2030 recycling and recovery targets under the EU’s environmental policy framework. </w:t>
      </w:r>
    </w:p>
    <w:p w14:paraId="245227B9" w14:textId="1FCF53FD" w:rsidR="00401AAF" w:rsidRPr="00244D65" w:rsidRDefault="001C5C6D" w:rsidP="0085595C">
      <w:pPr>
        <w:rPr>
          <w:noProof/>
          <w:lang w:eastAsia="en-GB"/>
        </w:rPr>
      </w:pPr>
      <w:r w:rsidRPr="00244D65">
        <w:rPr>
          <w:noProof/>
          <w:lang w:eastAsia="en-GB"/>
        </w:rPr>
        <w:t xml:space="preserve">Extending carbon pricing to GHG emissions from municipal waste incineration (PO2) can provide an important complementary financial incentive supporting the circular economy by making waste prevention, recycling and reuse more financially competitive through the application of a carbon price on waste management processes further down the waste hierarchy. PO2 is additionally projected to lead to improved air quality for citizens, as increased waste reduction, prevention and recycling incentivised by the carbon price signal reduces harmful emissions by reducing or diverting materials like plastics and organics from incineration, thereby lowering the formation of air pollutants and toxic compounds. </w:t>
      </w:r>
      <w:r w:rsidR="00C3660C" w:rsidRPr="00244D65">
        <w:rPr>
          <w:noProof/>
          <w:lang w:eastAsia="en-GB"/>
        </w:rPr>
        <w:t>Member States with high recycling rates</w:t>
      </w:r>
      <w:r w:rsidR="003A36D2" w:rsidRPr="00244D65">
        <w:rPr>
          <w:noProof/>
          <w:lang w:eastAsia="en-GB"/>
        </w:rPr>
        <w:t xml:space="preserve"> </w:t>
      </w:r>
      <w:r w:rsidR="00F3356C" w:rsidRPr="00244D65">
        <w:rPr>
          <w:noProof/>
          <w:lang w:eastAsia="en-GB"/>
        </w:rPr>
        <w:t xml:space="preserve">are </w:t>
      </w:r>
      <w:r w:rsidR="00E45DA2" w:rsidRPr="00244D65">
        <w:rPr>
          <w:noProof/>
          <w:lang w:eastAsia="en-GB"/>
        </w:rPr>
        <w:t xml:space="preserve">overall </w:t>
      </w:r>
      <w:r w:rsidR="00F3356C" w:rsidRPr="00244D65">
        <w:rPr>
          <w:noProof/>
          <w:lang w:eastAsia="en-GB"/>
        </w:rPr>
        <w:t xml:space="preserve">found to have lower environmental </w:t>
      </w:r>
      <w:r w:rsidR="00E45DA2" w:rsidRPr="00244D65">
        <w:rPr>
          <w:noProof/>
          <w:lang w:eastAsia="en-GB"/>
        </w:rPr>
        <w:t xml:space="preserve">life cycle costs than those with high disposal rates. </w:t>
      </w:r>
      <w:r w:rsidR="00FE27D0" w:rsidRPr="00244D65">
        <w:rPr>
          <w:noProof/>
          <w:lang w:eastAsia="en-GB"/>
        </w:rPr>
        <w:t>In isolation, PO2 carries a risk of waste, in particular fossil waste streams, being diverted from incineration to landfills</w:t>
      </w:r>
      <w:r w:rsidR="00E164C5" w:rsidRPr="00244D65">
        <w:rPr>
          <w:noProof/>
          <w:lang w:eastAsia="en-GB"/>
        </w:rPr>
        <w:t xml:space="preserve"> where no </w:t>
      </w:r>
      <w:r w:rsidR="00DE16BC" w:rsidRPr="00244D65">
        <w:rPr>
          <w:noProof/>
          <w:lang w:eastAsia="en-GB"/>
        </w:rPr>
        <w:t xml:space="preserve">effective </w:t>
      </w:r>
      <w:r w:rsidR="002B61C2" w:rsidRPr="00244D65">
        <w:rPr>
          <w:noProof/>
          <w:lang w:eastAsia="en-GB"/>
        </w:rPr>
        <w:t>regulatory or fiscal policies</w:t>
      </w:r>
      <w:r w:rsidR="000F63B4" w:rsidRPr="00244D65">
        <w:rPr>
          <w:noProof/>
          <w:lang w:eastAsia="en-GB"/>
        </w:rPr>
        <w:t xml:space="preserve"> </w:t>
      </w:r>
      <w:r w:rsidR="00B53A76" w:rsidRPr="00244D65">
        <w:rPr>
          <w:noProof/>
          <w:lang w:eastAsia="en-GB"/>
        </w:rPr>
        <w:t xml:space="preserve">(reduction targets, taxation, bans on organic and combustible waste streams sent to landfilling) </w:t>
      </w:r>
      <w:r w:rsidR="002B61C2" w:rsidRPr="00244D65">
        <w:rPr>
          <w:noProof/>
          <w:lang w:eastAsia="en-GB"/>
        </w:rPr>
        <w:t>to discourage landfill</w:t>
      </w:r>
      <w:r w:rsidR="00D813C8" w:rsidRPr="00244D65">
        <w:rPr>
          <w:noProof/>
          <w:lang w:eastAsia="en-GB"/>
        </w:rPr>
        <w:t>ing</w:t>
      </w:r>
      <w:r w:rsidR="00B36867" w:rsidRPr="00244D65">
        <w:rPr>
          <w:noProof/>
          <w:lang w:eastAsia="en-GB"/>
        </w:rPr>
        <w:t xml:space="preserve"> are in place</w:t>
      </w:r>
      <w:r w:rsidR="00366547" w:rsidRPr="00244D65">
        <w:rPr>
          <w:noProof/>
          <w:lang w:eastAsia="en-GB"/>
        </w:rPr>
        <w:t xml:space="preserve">. In those </w:t>
      </w:r>
      <w:r w:rsidR="0021253E" w:rsidRPr="00244D65">
        <w:rPr>
          <w:noProof/>
          <w:lang w:eastAsia="en-GB"/>
        </w:rPr>
        <w:t>cases</w:t>
      </w:r>
      <w:r w:rsidR="00366547" w:rsidRPr="00244D65">
        <w:rPr>
          <w:noProof/>
          <w:lang w:eastAsia="en-GB"/>
        </w:rPr>
        <w:t xml:space="preserve">, </w:t>
      </w:r>
      <w:r w:rsidR="00CD1E1A" w:rsidRPr="00244D65">
        <w:rPr>
          <w:noProof/>
          <w:lang w:eastAsia="en-GB"/>
        </w:rPr>
        <w:t xml:space="preserve">higher compliance and operational costs for municipal waste incineration may </w:t>
      </w:r>
      <w:r w:rsidR="00306CE2" w:rsidRPr="00244D65">
        <w:rPr>
          <w:noProof/>
          <w:lang w:eastAsia="en-GB"/>
        </w:rPr>
        <w:t>further</w:t>
      </w:r>
      <w:r w:rsidR="0021253E" w:rsidRPr="00244D65">
        <w:rPr>
          <w:noProof/>
          <w:lang w:eastAsia="en-GB"/>
        </w:rPr>
        <w:t xml:space="preserve"> increase the cost differential with landfilling, </w:t>
      </w:r>
      <w:r w:rsidR="00E115A5" w:rsidRPr="00244D65">
        <w:rPr>
          <w:noProof/>
          <w:lang w:eastAsia="en-GB"/>
        </w:rPr>
        <w:t xml:space="preserve">incentivising some operators or waste producers to look for cheaper treatment or disposal routes, which would </w:t>
      </w:r>
      <w:r w:rsidR="00DE16BC" w:rsidRPr="00244D65">
        <w:rPr>
          <w:noProof/>
          <w:lang w:eastAsia="en-GB"/>
        </w:rPr>
        <w:t xml:space="preserve">run counter to </w:t>
      </w:r>
      <w:r w:rsidRPr="00244D65">
        <w:rPr>
          <w:noProof/>
          <w:lang w:eastAsia="en-GB"/>
        </w:rPr>
        <w:t xml:space="preserve">the waste hierarchy. This was also consistently raised in the public consultation, with a majority of respondents stressing the need to address potential </w:t>
      </w:r>
      <w:r w:rsidR="00BD3723" w:rsidRPr="00244D65">
        <w:rPr>
          <w:noProof/>
          <w:lang w:eastAsia="en-GB"/>
        </w:rPr>
        <w:t xml:space="preserve">risks of </w:t>
      </w:r>
      <w:r w:rsidRPr="00244D65">
        <w:rPr>
          <w:noProof/>
          <w:lang w:eastAsia="en-GB"/>
        </w:rPr>
        <w:t xml:space="preserve">diversion to landfills. </w:t>
      </w:r>
    </w:p>
    <w:p w14:paraId="39AA8576" w14:textId="076BF08A" w:rsidR="000919EE" w:rsidRPr="00244D65" w:rsidRDefault="00391F68" w:rsidP="0085595C">
      <w:pPr>
        <w:rPr>
          <w:noProof/>
          <w:lang w:eastAsia="en-GB"/>
        </w:rPr>
      </w:pPr>
      <w:r w:rsidRPr="00244D65">
        <w:rPr>
          <w:noProof/>
          <w:lang w:eastAsia="en-GB"/>
        </w:rPr>
        <w:t xml:space="preserve">The EU has </w:t>
      </w:r>
      <w:r w:rsidR="00686849" w:rsidRPr="00244D65">
        <w:rPr>
          <w:noProof/>
          <w:lang w:eastAsia="en-GB"/>
        </w:rPr>
        <w:t xml:space="preserve">a comprehensive framework </w:t>
      </w:r>
      <w:r w:rsidR="00424CE4" w:rsidRPr="00244D65">
        <w:rPr>
          <w:noProof/>
          <w:lang w:eastAsia="en-GB"/>
        </w:rPr>
        <w:t xml:space="preserve">to reduce </w:t>
      </w:r>
      <w:r w:rsidR="00686849" w:rsidRPr="00244D65">
        <w:rPr>
          <w:noProof/>
          <w:lang w:eastAsia="en-GB"/>
        </w:rPr>
        <w:t xml:space="preserve">landfilling </w:t>
      </w:r>
      <w:r w:rsidR="0014115E" w:rsidRPr="00244D65">
        <w:rPr>
          <w:noProof/>
          <w:lang w:eastAsia="en-GB"/>
        </w:rPr>
        <w:t xml:space="preserve">in place. </w:t>
      </w:r>
      <w:r w:rsidR="1BD867C4" w:rsidRPr="00244D65">
        <w:rPr>
          <w:noProof/>
          <w:lang w:eastAsia="en-GB"/>
        </w:rPr>
        <w:t>However, implementation</w:t>
      </w:r>
      <w:r w:rsidR="00401AAF" w:rsidRPr="00244D65">
        <w:rPr>
          <w:noProof/>
          <w:lang w:eastAsia="en-GB"/>
        </w:rPr>
        <w:t xml:space="preserve"> varies significantly across Member States and national regulatory and fiscal measures differ widely in scope, enforcement and impact. </w:t>
      </w:r>
      <w:r w:rsidR="00424CE4" w:rsidRPr="00244D65">
        <w:rPr>
          <w:noProof/>
          <w:lang w:eastAsia="en-GB"/>
        </w:rPr>
        <w:t xml:space="preserve">In addition to PO2, </w:t>
      </w:r>
      <w:r w:rsidR="008E12C6" w:rsidRPr="00244D65">
        <w:rPr>
          <w:noProof/>
          <w:lang w:eastAsia="en-GB"/>
        </w:rPr>
        <w:t>the</w:t>
      </w:r>
      <w:r w:rsidR="002D5B8A" w:rsidRPr="00244D65">
        <w:rPr>
          <w:noProof/>
          <w:lang w:eastAsia="en-GB"/>
        </w:rPr>
        <w:t xml:space="preserve"> harmonised price signal</w:t>
      </w:r>
      <w:r w:rsidR="00424CE4" w:rsidRPr="00244D65">
        <w:rPr>
          <w:noProof/>
          <w:lang w:eastAsia="en-GB"/>
        </w:rPr>
        <w:t xml:space="preserve"> </w:t>
      </w:r>
      <w:r w:rsidR="008E12C6" w:rsidRPr="00244D65">
        <w:rPr>
          <w:noProof/>
          <w:lang w:eastAsia="en-GB"/>
        </w:rPr>
        <w:t xml:space="preserve">on biodegradable organic fractions under </w:t>
      </w:r>
      <w:r w:rsidR="00424CE4" w:rsidRPr="00244D65">
        <w:rPr>
          <w:noProof/>
          <w:lang w:eastAsia="en-GB"/>
        </w:rPr>
        <w:t xml:space="preserve">PO3 </w:t>
      </w:r>
      <w:r w:rsidR="00BE5629" w:rsidRPr="00244D65">
        <w:rPr>
          <w:noProof/>
          <w:lang w:eastAsia="en-GB"/>
        </w:rPr>
        <w:t xml:space="preserve">can </w:t>
      </w:r>
      <w:r w:rsidR="008E12C6" w:rsidRPr="00244D65">
        <w:rPr>
          <w:noProof/>
          <w:lang w:eastAsia="en-GB"/>
        </w:rPr>
        <w:t>contribute</w:t>
      </w:r>
      <w:r w:rsidR="00424CE4" w:rsidRPr="00244D65">
        <w:rPr>
          <w:noProof/>
          <w:lang w:eastAsia="en-GB"/>
        </w:rPr>
        <w:t xml:space="preserve"> to reduce </w:t>
      </w:r>
      <w:r w:rsidR="002D5B8A" w:rsidRPr="00244D65">
        <w:rPr>
          <w:noProof/>
          <w:lang w:eastAsia="en-GB"/>
        </w:rPr>
        <w:t xml:space="preserve">landfilling and </w:t>
      </w:r>
      <w:r w:rsidR="00424CE4" w:rsidRPr="00244D65">
        <w:rPr>
          <w:noProof/>
          <w:lang w:eastAsia="en-GB"/>
        </w:rPr>
        <w:t xml:space="preserve">land and groundwater contamination from leachate. </w:t>
      </w:r>
      <w:r w:rsidR="746ED406" w:rsidRPr="00244D65">
        <w:rPr>
          <w:noProof/>
          <w:lang w:eastAsia="en-GB"/>
        </w:rPr>
        <w:t>However,</w:t>
      </w:r>
      <w:r w:rsidR="00C0652C" w:rsidRPr="00244D65">
        <w:rPr>
          <w:noProof/>
          <w:lang w:eastAsia="en-GB"/>
        </w:rPr>
        <w:t xml:space="preserve"> </w:t>
      </w:r>
      <w:r w:rsidR="00D2267C" w:rsidRPr="00244D65">
        <w:rPr>
          <w:noProof/>
          <w:lang w:eastAsia="en-GB"/>
        </w:rPr>
        <w:t>PO3 does not substantially address the risk</w:t>
      </w:r>
      <w:r w:rsidR="00291C4F" w:rsidRPr="00244D65">
        <w:rPr>
          <w:noProof/>
          <w:lang w:eastAsia="en-GB"/>
        </w:rPr>
        <w:t xml:space="preserve"> that </w:t>
      </w:r>
      <w:r w:rsidR="007D5C1D" w:rsidRPr="00244D65">
        <w:rPr>
          <w:noProof/>
          <w:lang w:eastAsia="en-GB"/>
        </w:rPr>
        <w:t xml:space="preserve">waste with high </w:t>
      </w:r>
      <w:r w:rsidR="00564096" w:rsidRPr="00244D65">
        <w:rPr>
          <w:noProof/>
          <w:lang w:eastAsia="en-GB"/>
        </w:rPr>
        <w:t>fossil waste</w:t>
      </w:r>
      <w:r w:rsidR="0063373D" w:rsidRPr="00244D65">
        <w:rPr>
          <w:noProof/>
          <w:lang w:eastAsia="en-GB"/>
        </w:rPr>
        <w:t xml:space="preserve"> fractions</w:t>
      </w:r>
      <w:r w:rsidR="007D5C1D" w:rsidRPr="00244D65">
        <w:rPr>
          <w:noProof/>
          <w:lang w:eastAsia="en-GB"/>
        </w:rPr>
        <w:t xml:space="preserve"> or </w:t>
      </w:r>
      <w:r w:rsidR="000B4228" w:rsidRPr="00244D65">
        <w:rPr>
          <w:noProof/>
          <w:lang w:eastAsia="en-GB"/>
        </w:rPr>
        <w:t>fossil fractions separated from mixed municipal waste</w:t>
      </w:r>
      <w:r w:rsidR="0063373D" w:rsidRPr="00244D65">
        <w:rPr>
          <w:noProof/>
          <w:lang w:eastAsia="en-GB"/>
        </w:rPr>
        <w:t xml:space="preserve"> </w:t>
      </w:r>
      <w:r w:rsidR="002E4467" w:rsidRPr="00244D65">
        <w:rPr>
          <w:noProof/>
          <w:lang w:eastAsia="en-GB"/>
        </w:rPr>
        <w:t>could be diverted to landfills</w:t>
      </w:r>
      <w:r w:rsidR="000B4228" w:rsidRPr="00244D65">
        <w:rPr>
          <w:noProof/>
          <w:lang w:eastAsia="en-GB"/>
        </w:rPr>
        <w:t xml:space="preserve"> </w:t>
      </w:r>
      <w:r w:rsidR="00E11C19" w:rsidRPr="00244D65">
        <w:rPr>
          <w:noProof/>
          <w:lang w:eastAsia="en-GB"/>
        </w:rPr>
        <w:t>to circumvent</w:t>
      </w:r>
      <w:r w:rsidR="008642BA" w:rsidRPr="00244D65">
        <w:rPr>
          <w:noProof/>
          <w:lang w:eastAsia="en-GB"/>
        </w:rPr>
        <w:t xml:space="preserve"> </w:t>
      </w:r>
      <w:r w:rsidR="26B1901E" w:rsidRPr="00244D65">
        <w:rPr>
          <w:noProof/>
          <w:lang w:eastAsia="en-GB"/>
        </w:rPr>
        <w:t xml:space="preserve">the carbon price </w:t>
      </w:r>
      <w:r w:rsidR="00356233" w:rsidRPr="00244D65">
        <w:rPr>
          <w:noProof/>
          <w:lang w:eastAsia="en-GB"/>
        </w:rPr>
        <w:t xml:space="preserve">on </w:t>
      </w:r>
      <w:r w:rsidR="0092001B" w:rsidRPr="00244D65">
        <w:rPr>
          <w:noProof/>
          <w:lang w:eastAsia="en-GB"/>
        </w:rPr>
        <w:t>incineration</w:t>
      </w:r>
      <w:r w:rsidR="00ED481C" w:rsidRPr="00244D65">
        <w:rPr>
          <w:noProof/>
          <w:lang w:eastAsia="en-GB"/>
        </w:rPr>
        <w:t>.</w:t>
      </w:r>
      <w:r w:rsidR="00993075" w:rsidRPr="00244D65">
        <w:rPr>
          <w:noProof/>
          <w:lang w:eastAsia="en-GB"/>
        </w:rPr>
        <w:t xml:space="preserve"> </w:t>
      </w:r>
      <w:r w:rsidR="00242384" w:rsidRPr="00244D65">
        <w:rPr>
          <w:noProof/>
          <w:lang w:eastAsia="en-GB"/>
        </w:rPr>
        <w:t>The</w:t>
      </w:r>
      <w:r w:rsidR="00790209" w:rsidRPr="00244D65">
        <w:rPr>
          <w:noProof/>
          <w:lang w:eastAsia="en-GB"/>
        </w:rPr>
        <w:t xml:space="preserve"> </w:t>
      </w:r>
      <w:r w:rsidR="00601861" w:rsidRPr="00244D65">
        <w:rPr>
          <w:noProof/>
          <w:lang w:eastAsia="en-GB"/>
        </w:rPr>
        <w:t>simultaneous</w:t>
      </w:r>
      <w:r w:rsidR="00242384" w:rsidRPr="00244D65">
        <w:rPr>
          <w:noProof/>
          <w:lang w:eastAsia="en-GB"/>
        </w:rPr>
        <w:t xml:space="preserve"> implementation </w:t>
      </w:r>
      <w:r w:rsidR="00CF3A30" w:rsidRPr="00244D65">
        <w:rPr>
          <w:noProof/>
          <w:lang w:eastAsia="en-GB"/>
        </w:rPr>
        <w:t xml:space="preserve">and enforcement </w:t>
      </w:r>
      <w:r w:rsidR="00242384" w:rsidRPr="00244D65">
        <w:rPr>
          <w:noProof/>
          <w:lang w:eastAsia="en-GB"/>
        </w:rPr>
        <w:t xml:space="preserve">of </w:t>
      </w:r>
      <w:r w:rsidR="00EF2005" w:rsidRPr="00244D65">
        <w:rPr>
          <w:noProof/>
          <w:lang w:eastAsia="en-GB"/>
        </w:rPr>
        <w:t xml:space="preserve">effective </w:t>
      </w:r>
      <w:r w:rsidR="000036FF" w:rsidRPr="00244D65">
        <w:rPr>
          <w:noProof/>
          <w:lang w:eastAsia="en-GB"/>
        </w:rPr>
        <w:t>complementary waste policies to discourage landfilling</w:t>
      </w:r>
      <w:r w:rsidR="002B3B00" w:rsidRPr="00244D65">
        <w:rPr>
          <w:noProof/>
          <w:lang w:eastAsia="en-GB"/>
        </w:rPr>
        <w:t xml:space="preserve"> </w:t>
      </w:r>
      <w:r w:rsidR="00557615" w:rsidRPr="00244D65">
        <w:rPr>
          <w:noProof/>
          <w:lang w:eastAsia="en-GB"/>
        </w:rPr>
        <w:t xml:space="preserve">therefore </w:t>
      </w:r>
      <w:r w:rsidR="00D2267C" w:rsidRPr="00244D65">
        <w:rPr>
          <w:noProof/>
          <w:lang w:eastAsia="en-GB"/>
        </w:rPr>
        <w:t xml:space="preserve">remains </w:t>
      </w:r>
      <w:r w:rsidR="002B3B00" w:rsidRPr="00244D65">
        <w:rPr>
          <w:noProof/>
          <w:lang w:eastAsia="en-GB"/>
        </w:rPr>
        <w:t xml:space="preserve">crucial </w:t>
      </w:r>
      <w:r w:rsidR="00557615" w:rsidRPr="00244D65">
        <w:rPr>
          <w:noProof/>
          <w:lang w:eastAsia="en-GB"/>
        </w:rPr>
        <w:t>under all policy scenarios.</w:t>
      </w:r>
      <w:r w:rsidR="000036FF" w:rsidRPr="00244D65">
        <w:rPr>
          <w:noProof/>
          <w:lang w:eastAsia="en-GB"/>
        </w:rPr>
        <w:t xml:space="preserve"> </w:t>
      </w:r>
      <w:r w:rsidR="001C5C6D" w:rsidRPr="00244D65">
        <w:rPr>
          <w:noProof/>
          <w:lang w:eastAsia="en-GB"/>
        </w:rPr>
        <w:t xml:space="preserve">In terms of incentivising waste treatment higher up the waste hierarchy, the additional impact of the application of the carbon price to hazardous waste incineration is expected to be more limited, especially for highly hazardous substances required to be disposed at high temperatures, as there is generally lower technical and regulatory flexibility in treatment options for materials that cannot be safely recycled, recovered, or treated by other means. </w:t>
      </w:r>
      <w:r w:rsidR="000919EE" w:rsidRPr="00244D65">
        <w:rPr>
          <w:noProof/>
          <w:lang w:eastAsia="en-GB"/>
        </w:rPr>
        <w:t xml:space="preserve">The risk of waste diversion to exports to third countries under </w:t>
      </w:r>
      <w:r w:rsidR="001C5C6D" w:rsidRPr="00244D65">
        <w:rPr>
          <w:noProof/>
          <w:lang w:eastAsia="en-GB"/>
        </w:rPr>
        <w:t xml:space="preserve">both </w:t>
      </w:r>
      <w:r w:rsidR="000919EE" w:rsidRPr="00244D65">
        <w:rPr>
          <w:noProof/>
          <w:lang w:eastAsia="en-GB"/>
        </w:rPr>
        <w:t>PO2 and PO3 is considered to be limited as a result of legal restrictions under the Waste Shipment Regulation, with stricter rules and enforcement upcoming from 2027.</w:t>
      </w:r>
    </w:p>
    <w:p w14:paraId="2A4BEDAF" w14:textId="60CB3844" w:rsidR="002009C1" w:rsidRPr="00244D65" w:rsidRDefault="00926B04" w:rsidP="0085595C">
      <w:pPr>
        <w:pStyle w:val="Heading2"/>
        <w:rPr>
          <w:noProof/>
        </w:rPr>
      </w:pPr>
      <w:bookmarkStart w:id="181" w:name="_Toc234949746"/>
      <w:bookmarkStart w:id="182" w:name="_Toc232752502"/>
      <w:r w:rsidRPr="00244D65">
        <w:rPr>
          <w:noProof/>
        </w:rPr>
        <w:t>Economic impacts</w:t>
      </w:r>
      <w:bookmarkEnd w:id="181"/>
      <w:bookmarkEnd w:id="182"/>
    </w:p>
    <w:p w14:paraId="764E7BAD" w14:textId="5E22A93E" w:rsidR="00142668" w:rsidRPr="00244D65" w:rsidRDefault="00142668" w:rsidP="0085595C">
      <w:pPr>
        <w:rPr>
          <w:noProof/>
        </w:rPr>
      </w:pPr>
      <w:r w:rsidRPr="00244D65">
        <w:rPr>
          <w:noProof/>
        </w:rPr>
        <w:t>This section assesses the economic impacts associated with the</w:t>
      </w:r>
      <w:r w:rsidR="009A6958" w:rsidRPr="00244D65">
        <w:rPr>
          <w:noProof/>
        </w:rPr>
        <w:t xml:space="preserve"> different policy meas</w:t>
      </w:r>
      <w:r w:rsidR="006349C8" w:rsidRPr="00244D65">
        <w:rPr>
          <w:noProof/>
        </w:rPr>
        <w:t>u</w:t>
      </w:r>
      <w:r w:rsidR="009A6958" w:rsidRPr="00244D65">
        <w:rPr>
          <w:noProof/>
        </w:rPr>
        <w:t xml:space="preserve">res that make up the </w:t>
      </w:r>
      <w:r w:rsidR="001767B0" w:rsidRPr="00244D65">
        <w:rPr>
          <w:noProof/>
        </w:rPr>
        <w:t>three policy options</w:t>
      </w:r>
      <w:r w:rsidR="006349C8" w:rsidRPr="00244D65">
        <w:rPr>
          <w:noProof/>
        </w:rPr>
        <w:t>.</w:t>
      </w:r>
      <w:r w:rsidR="43708B1B" w:rsidRPr="00244D65">
        <w:rPr>
          <w:noProof/>
        </w:rPr>
        <w:t xml:space="preserve"> It is not an assessment of the</w:t>
      </w:r>
      <w:r w:rsidR="00130B08" w:rsidRPr="00244D65">
        <w:rPr>
          <w:noProof/>
        </w:rPr>
        <w:t xml:space="preserve"> economic impact of the c</w:t>
      </w:r>
      <w:r w:rsidR="43708B1B" w:rsidRPr="00244D65">
        <w:rPr>
          <w:noProof/>
        </w:rPr>
        <w:t xml:space="preserve">limate </w:t>
      </w:r>
      <w:r w:rsidR="00130B08" w:rsidRPr="00244D65">
        <w:rPr>
          <w:noProof/>
        </w:rPr>
        <w:t>a</w:t>
      </w:r>
      <w:r w:rsidR="43708B1B" w:rsidRPr="00244D65">
        <w:rPr>
          <w:noProof/>
        </w:rPr>
        <w:t xml:space="preserve">mbition itself, which was </w:t>
      </w:r>
      <w:r w:rsidR="00130B08" w:rsidRPr="00244D65">
        <w:rPr>
          <w:noProof/>
        </w:rPr>
        <w:t>analysed as part of</w:t>
      </w:r>
      <w:r w:rsidR="43708B1B" w:rsidRPr="00244D65">
        <w:rPr>
          <w:noProof/>
        </w:rPr>
        <w:t xml:space="preserve"> the 2040 Climate Target Impact Assessment.</w:t>
      </w:r>
      <w:r w:rsidR="000C653C" w:rsidRPr="00244D65">
        <w:rPr>
          <w:noProof/>
        </w:rPr>
        <w:t xml:space="preserve"> </w:t>
      </w:r>
      <w:r w:rsidRPr="00244D65">
        <w:rPr>
          <w:noProof/>
        </w:rPr>
        <w:t xml:space="preserve">The focus of this assessment is on whether the policy options will impose additional costs (i.e. </w:t>
      </w:r>
      <w:r w:rsidR="00130B08" w:rsidRPr="00244D65">
        <w:rPr>
          <w:noProof/>
        </w:rPr>
        <w:t xml:space="preserve">ETS price </w:t>
      </w:r>
      <w:r w:rsidRPr="00244D65">
        <w:rPr>
          <w:noProof/>
        </w:rPr>
        <w:t xml:space="preserve">or administrative) on business and, if so, how might this impact upon their competitiveness. These impacts will also be considered specifically for SMEs and the impact of the policy options more broadly on the functioning of the internal market and the impact on public authorities will also be carefully assessed. </w:t>
      </w:r>
    </w:p>
    <w:p w14:paraId="1105BAAA" w14:textId="5940A3CB" w:rsidR="00F7754E" w:rsidRPr="00244D65" w:rsidRDefault="002009C1" w:rsidP="0085595C">
      <w:pPr>
        <w:pStyle w:val="Heading3"/>
        <w:rPr>
          <w:noProof/>
        </w:rPr>
      </w:pPr>
      <w:bookmarkStart w:id="183" w:name="_Toc212594969"/>
      <w:bookmarkStart w:id="184" w:name="_Toc234949747"/>
      <w:bookmarkStart w:id="185" w:name="_Toc232752503"/>
      <w:r w:rsidRPr="00244D65">
        <w:rPr>
          <w:noProof/>
        </w:rPr>
        <w:t>Co</w:t>
      </w:r>
      <w:r w:rsidR="000C4754" w:rsidRPr="00244D65">
        <w:rPr>
          <w:noProof/>
        </w:rPr>
        <w:t>st of complianc</w:t>
      </w:r>
      <w:bookmarkEnd w:id="183"/>
      <w:r w:rsidR="00E10EA5" w:rsidRPr="00244D65">
        <w:rPr>
          <w:noProof/>
        </w:rPr>
        <w:t>e</w:t>
      </w:r>
      <w:bookmarkEnd w:id="184"/>
      <w:bookmarkEnd w:id="185"/>
    </w:p>
    <w:p w14:paraId="76DD0F33" w14:textId="1B9A9043" w:rsidR="00F7754E" w:rsidRPr="00244D65" w:rsidRDefault="00F7754E" w:rsidP="0085595C">
      <w:pPr>
        <w:rPr>
          <w:noProof/>
        </w:rPr>
      </w:pPr>
      <w:r w:rsidRPr="00244D65">
        <w:rPr>
          <w:noProof/>
        </w:rPr>
        <w:t>The</w:t>
      </w:r>
      <w:r w:rsidR="000C4754" w:rsidRPr="00244D65">
        <w:rPr>
          <w:noProof/>
        </w:rPr>
        <w:t xml:space="preserve"> </w:t>
      </w:r>
      <w:r w:rsidRPr="00244D65">
        <w:rPr>
          <w:noProof/>
        </w:rPr>
        <w:t xml:space="preserve">cost of compliance </w:t>
      </w:r>
      <w:r w:rsidR="00E116FB" w:rsidRPr="00244D65">
        <w:rPr>
          <w:noProof/>
        </w:rPr>
        <w:t>refers</w:t>
      </w:r>
      <w:r w:rsidRPr="00244D65">
        <w:rPr>
          <w:noProof/>
        </w:rPr>
        <w:t xml:space="preserve"> to the </w:t>
      </w:r>
      <w:r w:rsidR="000C4754" w:rsidRPr="00244D65">
        <w:rPr>
          <w:noProof/>
        </w:rPr>
        <w:t>impact of the policy measures on the carbon price</w:t>
      </w:r>
      <w:r w:rsidR="00570A20" w:rsidRPr="00244D65">
        <w:rPr>
          <w:noProof/>
        </w:rPr>
        <w:t xml:space="preserve"> and the cost</w:t>
      </w:r>
      <w:r w:rsidR="00C47CDA" w:rsidRPr="00244D65">
        <w:rPr>
          <w:noProof/>
        </w:rPr>
        <w:t xml:space="preserve"> for installations to comply based on their exposure to the ETS price</w:t>
      </w:r>
      <w:r w:rsidR="009B1E2B" w:rsidRPr="00244D65">
        <w:rPr>
          <w:noProof/>
        </w:rPr>
        <w:t>.</w:t>
      </w:r>
    </w:p>
    <w:p w14:paraId="7B3C1FC4" w14:textId="0474C84C" w:rsidR="00F77B0A" w:rsidRPr="00244D65" w:rsidRDefault="00DF517E" w:rsidP="0085595C">
      <w:pPr>
        <w:pStyle w:val="Heading4"/>
        <w:rPr>
          <w:noProof/>
        </w:rPr>
      </w:pPr>
      <w:r w:rsidRPr="00244D65">
        <w:rPr>
          <w:noProof/>
        </w:rPr>
        <w:t xml:space="preserve"> </w:t>
      </w:r>
      <w:r w:rsidR="00DF18A0" w:rsidRPr="00244D65">
        <w:rPr>
          <w:noProof/>
        </w:rPr>
        <w:t>Carbon r</w:t>
      </w:r>
      <w:r w:rsidR="00F77B0A" w:rsidRPr="00244D65">
        <w:rPr>
          <w:noProof/>
        </w:rPr>
        <w:t>emovals</w:t>
      </w:r>
    </w:p>
    <w:p w14:paraId="71B4E834" w14:textId="21DB3786" w:rsidR="00884A6A" w:rsidRPr="00244D65" w:rsidRDefault="00884A6A" w:rsidP="0085595C">
      <w:pPr>
        <w:rPr>
          <w:noProof/>
        </w:rPr>
      </w:pPr>
      <w:r w:rsidRPr="00244D65">
        <w:rPr>
          <w:noProof/>
        </w:rPr>
        <w:t>The integration of removals is expected to help with cost containment, especially for hard to abate sectors by putting downward pressure on the allowance price over time. Compared to the baseline</w:t>
      </w:r>
      <w:r w:rsidR="00642B50" w:rsidRPr="00244D65">
        <w:rPr>
          <w:rStyle w:val="FootnoteReference"/>
          <w:noProof/>
        </w:rPr>
        <w:footnoteReference w:id="63"/>
      </w:r>
      <w:r w:rsidRPr="00244D65">
        <w:rPr>
          <w:noProof/>
        </w:rPr>
        <w:t>, all of the policy options will provide greater flexibility for the cost of compliance</w:t>
      </w:r>
      <w:r w:rsidR="009C0D42" w:rsidRPr="00244D65">
        <w:rPr>
          <w:noProof/>
        </w:rPr>
        <w:t>,</w:t>
      </w:r>
      <w:r w:rsidRPr="00244D65">
        <w:rPr>
          <w:noProof/>
        </w:rPr>
        <w:t xml:space="preserve"> but the impact is likely to vary depending upon how removals are integrated into the EU ETS</w:t>
      </w:r>
      <w:r w:rsidR="009133D4" w:rsidRPr="00244D65">
        <w:rPr>
          <w:noProof/>
        </w:rPr>
        <w:t>.</w:t>
      </w:r>
      <w:r w:rsidR="00FE665B" w:rsidRPr="00244D65">
        <w:rPr>
          <w:noProof/>
        </w:rPr>
        <w:t xml:space="preserve"> The net effect on compliance costs would depend among others on marginal abatement costs, on the removal supply curve and on complementary CDR support instruments.</w:t>
      </w:r>
    </w:p>
    <w:p w14:paraId="458EBB98" w14:textId="08CE5E1F" w:rsidR="00896A92" w:rsidRPr="00244D65" w:rsidRDefault="00884A6A" w:rsidP="0085595C">
      <w:pPr>
        <w:rPr>
          <w:noProof/>
        </w:rPr>
      </w:pPr>
      <w:r w:rsidRPr="00244D65">
        <w:rPr>
          <w:noProof/>
        </w:rPr>
        <w:t xml:space="preserve">Under PO1, a net cap with integration </w:t>
      </w:r>
      <w:r w:rsidR="009623D6" w:rsidRPr="00244D65">
        <w:rPr>
          <w:noProof/>
        </w:rPr>
        <w:t xml:space="preserve">of </w:t>
      </w:r>
      <w:r w:rsidRPr="00244D65">
        <w:rPr>
          <w:noProof/>
        </w:rPr>
        <w:t xml:space="preserve">removals through a public authority, it is expected that the allowance price goes down as compared to the baseline in line with the increased availability of allowances as removal-backed allowances via auctions. </w:t>
      </w:r>
      <w:r w:rsidR="009B2C4E" w:rsidRPr="00244D65">
        <w:rPr>
          <w:noProof/>
        </w:rPr>
        <w:t xml:space="preserve">Indeed, it </w:t>
      </w:r>
      <w:r w:rsidR="00896A92" w:rsidRPr="00244D65">
        <w:rPr>
          <w:noProof/>
        </w:rPr>
        <w:t>is associated with potentially lower ETS prices</w:t>
      </w:r>
      <w:r w:rsidR="005F6EE0" w:rsidRPr="00244D65">
        <w:rPr>
          <w:noProof/>
        </w:rPr>
        <w:t>, as shown below</w:t>
      </w:r>
      <w:r w:rsidR="00896A92" w:rsidRPr="00244D65">
        <w:rPr>
          <w:noProof/>
        </w:rPr>
        <w:t xml:space="preserve">, as it introduces two positive effects of regulatory intervention: </w:t>
      </w:r>
    </w:p>
    <w:p w14:paraId="0FBF9AB3" w14:textId="77777777" w:rsidR="00896A92" w:rsidRPr="00244D65" w:rsidRDefault="00896A92" w:rsidP="0085595C">
      <w:pPr>
        <w:pStyle w:val="ListParagraph"/>
        <w:numPr>
          <w:ilvl w:val="0"/>
          <w:numId w:val="11"/>
        </w:numPr>
        <w:rPr>
          <w:noProof/>
        </w:rPr>
      </w:pPr>
      <w:r w:rsidRPr="00244D65">
        <w:rPr>
          <w:noProof/>
        </w:rPr>
        <w:t>a reduction in capital risk premiums for removal operators, due to the guaranteed purchase of removals, and</w:t>
      </w:r>
    </w:p>
    <w:p w14:paraId="449E8EC2" w14:textId="77777777" w:rsidR="00896A92" w:rsidRPr="00244D65" w:rsidRDefault="00896A92" w:rsidP="0085595C">
      <w:pPr>
        <w:pStyle w:val="ListParagraph"/>
        <w:numPr>
          <w:ilvl w:val="0"/>
          <w:numId w:val="11"/>
        </w:numPr>
        <w:rPr>
          <w:noProof/>
        </w:rPr>
      </w:pPr>
      <w:r w:rsidRPr="00244D65">
        <w:rPr>
          <w:noProof/>
        </w:rPr>
        <w:t>for industry emitters, a guarantee of removals availability that provides greater compliance certainty.</w:t>
      </w:r>
    </w:p>
    <w:p w14:paraId="122840B0" w14:textId="6FFD7525" w:rsidR="00896A92" w:rsidRPr="00244D65" w:rsidRDefault="00896A92" w:rsidP="0085595C">
      <w:pPr>
        <w:rPr>
          <w:noProof/>
        </w:rPr>
      </w:pPr>
      <w:r w:rsidRPr="00244D65">
        <w:rPr>
          <w:noProof/>
        </w:rPr>
        <w:t xml:space="preserve">Overall, public intervention </w:t>
      </w:r>
      <w:r w:rsidR="324C7C1E" w:rsidRPr="00244D65">
        <w:rPr>
          <w:noProof/>
        </w:rPr>
        <w:t xml:space="preserve">is expected to </w:t>
      </w:r>
      <w:r w:rsidRPr="00244D65">
        <w:rPr>
          <w:noProof/>
        </w:rPr>
        <w:t>provide</w:t>
      </w:r>
      <w:r w:rsidR="3A0588D2" w:rsidRPr="00244D65">
        <w:rPr>
          <w:noProof/>
        </w:rPr>
        <w:t xml:space="preserve"> a</w:t>
      </w:r>
      <w:r w:rsidRPr="00244D65">
        <w:rPr>
          <w:noProof/>
        </w:rPr>
        <w:t xml:space="preserve"> </w:t>
      </w:r>
      <w:r w:rsidR="00F02CA3" w:rsidRPr="00244D65">
        <w:rPr>
          <w:noProof/>
        </w:rPr>
        <w:t>mutual benefit</w:t>
      </w:r>
      <w:r w:rsidRPr="00244D65">
        <w:rPr>
          <w:noProof/>
        </w:rPr>
        <w:t xml:space="preserve"> to both emitters and removal operators through greater predictability and reduced market risk.</w:t>
      </w:r>
    </w:p>
    <w:p w14:paraId="7AE89C32" w14:textId="77777777" w:rsidR="005E5CF2" w:rsidRPr="00244D65" w:rsidRDefault="005E5CF2" w:rsidP="0085595C">
      <w:pPr>
        <w:rPr>
          <w:noProof/>
        </w:rPr>
      </w:pPr>
      <w:r w:rsidRPr="00244D65">
        <w:rPr>
          <w:noProof/>
        </w:rPr>
        <w:t xml:space="preserve">Under PO2, a net cap with direct integration of removals and a limit, </w:t>
      </w:r>
      <w:r w:rsidRPr="00244D65" w:rsidDel="00773F4F">
        <w:rPr>
          <w:noProof/>
        </w:rPr>
        <w:t xml:space="preserve">it is expected </w:t>
      </w:r>
      <w:r w:rsidRPr="00244D65">
        <w:rPr>
          <w:noProof/>
        </w:rPr>
        <w:t xml:space="preserve">that removal units increase compliance unit supply and affect allowance prices primarily if and when marginal abatement costs equal or exceed marginal removal costs, although expectations of future CDR cost declines and availability can lower EUA prices before parity is reached. </w:t>
      </w:r>
    </w:p>
    <w:p w14:paraId="3502C8B7" w14:textId="25010BB4" w:rsidR="005E5CF2" w:rsidRPr="00244D65" w:rsidRDefault="005E5CF2" w:rsidP="0085595C">
      <w:pPr>
        <w:rPr>
          <w:noProof/>
        </w:rPr>
      </w:pPr>
      <w:r w:rsidRPr="00244D65" w:rsidDel="00773F4F">
        <w:rPr>
          <w:noProof/>
        </w:rPr>
        <w:t>Under PO3, a gross cap with direct integration of removals</w:t>
      </w:r>
      <w:r w:rsidRPr="00244D65">
        <w:rPr>
          <w:noProof/>
        </w:rPr>
        <w:t>,</w:t>
      </w:r>
      <w:r w:rsidR="23F66D4B" w:rsidRPr="00244D65">
        <w:rPr>
          <w:noProof/>
        </w:rPr>
        <w:t xml:space="preserve"> the </w:t>
      </w:r>
      <w:r w:rsidRPr="00244D65">
        <w:rPr>
          <w:noProof/>
        </w:rPr>
        <w:t xml:space="preserve">regulator would increase the number of conventional allowances in circulation through an increase in allowance auction volumes distributed throughout the period. The increase in conventional allowances would not be conditional on removal units coming in. This would reduce scarcity in the </w:t>
      </w:r>
      <w:r w:rsidR="00F909E3" w:rsidRPr="00244D65">
        <w:rPr>
          <w:noProof/>
        </w:rPr>
        <w:t>EU ETS</w:t>
      </w:r>
      <w:r w:rsidRPr="00244D65">
        <w:rPr>
          <w:noProof/>
        </w:rPr>
        <w:t xml:space="preserve"> and exert downward pressure on the price</w:t>
      </w:r>
      <w:r w:rsidR="00ED122E" w:rsidRPr="00244D65">
        <w:rPr>
          <w:noProof/>
        </w:rPr>
        <w:t xml:space="preserve"> –</w:t>
      </w:r>
      <w:r w:rsidRPr="00244D65">
        <w:rPr>
          <w:noProof/>
        </w:rPr>
        <w:t xml:space="preserve"> thereby reducing compliance costs compared to the baseline. Conversely, the use of removal units would trigger the cancellation of a conventional allowance from future auctions, </w:t>
      </w:r>
      <w:r w:rsidR="00B16C77" w:rsidRPr="00244D65">
        <w:rPr>
          <w:noProof/>
        </w:rPr>
        <w:t>potentially</w:t>
      </w:r>
      <w:r w:rsidRPr="00244D65">
        <w:rPr>
          <w:noProof/>
        </w:rPr>
        <w:t xml:space="preserve"> creating an upward price pressure</w:t>
      </w:r>
      <w:r w:rsidR="00B16C77" w:rsidRPr="00244D65">
        <w:rPr>
          <w:rStyle w:val="FootnoteReference"/>
          <w:noProof/>
        </w:rPr>
        <w:footnoteReference w:id="64"/>
      </w:r>
      <w:r w:rsidRPr="00244D65">
        <w:rPr>
          <w:noProof/>
        </w:rPr>
        <w:t xml:space="preserve">. </w:t>
      </w:r>
    </w:p>
    <w:p w14:paraId="10ACC6E1" w14:textId="77777777" w:rsidR="006B48BF" w:rsidRPr="00244D65" w:rsidRDefault="005E5CF2" w:rsidP="0085595C">
      <w:pPr>
        <w:rPr>
          <w:noProof/>
        </w:rPr>
      </w:pPr>
      <w:r w:rsidRPr="00244D65">
        <w:rPr>
          <w:noProof/>
        </w:rPr>
        <w:t xml:space="preserve">The effects of the different integration options </w:t>
      </w:r>
      <w:r w:rsidR="23F66D4B" w:rsidRPr="00244D65">
        <w:rPr>
          <w:noProof/>
        </w:rPr>
        <w:t xml:space="preserve">can be shown </w:t>
      </w:r>
      <w:r w:rsidRPr="00244D65">
        <w:rPr>
          <w:noProof/>
        </w:rPr>
        <w:t>through either</w:t>
      </w:r>
      <w:r w:rsidR="23F66D4B" w:rsidRPr="00244D65">
        <w:rPr>
          <w:noProof/>
        </w:rPr>
        <w:t xml:space="preserve"> higher or lower discount rates, representing higher and lower risks for removals operators, </w:t>
      </w:r>
      <w:r w:rsidR="00EE7D19" w:rsidRPr="00244D65">
        <w:rPr>
          <w:noProof/>
        </w:rPr>
        <w:t xml:space="preserve">which </w:t>
      </w:r>
      <w:r w:rsidR="23F66D4B" w:rsidRPr="00244D65">
        <w:rPr>
          <w:noProof/>
        </w:rPr>
        <w:t>impact the removals price and therefore the ETS price</w:t>
      </w:r>
      <w:r w:rsidR="0058322C" w:rsidRPr="00244D65">
        <w:rPr>
          <w:noProof/>
        </w:rPr>
        <w:t xml:space="preserve"> in PO2 and PO3</w:t>
      </w:r>
      <w:r w:rsidR="23F66D4B" w:rsidRPr="00244D65">
        <w:rPr>
          <w:noProof/>
        </w:rPr>
        <w:t xml:space="preserve">. </w:t>
      </w:r>
      <w:r w:rsidR="0791AFB6" w:rsidRPr="00244D65">
        <w:rPr>
          <w:noProof/>
        </w:rPr>
        <w:t xml:space="preserve">In the modelling results, </w:t>
      </w:r>
      <w:r w:rsidR="2C023A11" w:rsidRPr="00244D65">
        <w:rPr>
          <w:noProof/>
        </w:rPr>
        <w:t>PO</w:t>
      </w:r>
      <w:r w:rsidR="16E54994" w:rsidRPr="00244D65">
        <w:rPr>
          <w:noProof/>
        </w:rPr>
        <w:t>1</w:t>
      </w:r>
      <w:r w:rsidR="000C653C" w:rsidRPr="00244D65">
        <w:rPr>
          <w:noProof/>
        </w:rPr>
        <w:t xml:space="preserve"> </w:t>
      </w:r>
      <w:r w:rsidR="16E54994" w:rsidRPr="00244D65">
        <w:rPr>
          <w:noProof/>
        </w:rPr>
        <w:t xml:space="preserve">actually operates with a higher number of removals </w:t>
      </w:r>
      <w:r w:rsidR="00954C0C" w:rsidRPr="00244D65">
        <w:rPr>
          <w:noProof/>
        </w:rPr>
        <w:t>than those considered in the design of the policy option</w:t>
      </w:r>
      <w:r w:rsidR="16E54994" w:rsidRPr="00244D65">
        <w:rPr>
          <w:noProof/>
        </w:rPr>
        <w:t>, due to removals becoming more attractive: more certainty leads to lower interest rates for investments, and thus to lower removals prices, and higher removals amounts.</w:t>
      </w:r>
      <w:r w:rsidR="0058322C" w:rsidRPr="00244D65">
        <w:rPr>
          <w:noProof/>
        </w:rPr>
        <w:t xml:space="preserve"> Thus, PO1 prices are affected indirectly through the increased of supply.</w:t>
      </w:r>
      <w:r w:rsidR="73821054" w:rsidRPr="00244D65">
        <w:rPr>
          <w:noProof/>
        </w:rPr>
        <w:t xml:space="preserve"> </w:t>
      </w:r>
    </w:p>
    <w:p w14:paraId="73DAB919" w14:textId="09023058" w:rsidR="00F77B0A" w:rsidRPr="00244D65" w:rsidRDefault="004B4811" w:rsidP="0085595C">
      <w:pPr>
        <w:pStyle w:val="Heading4"/>
        <w:rPr>
          <w:noProof/>
        </w:rPr>
      </w:pPr>
      <w:r w:rsidRPr="00244D65">
        <w:rPr>
          <w:noProof/>
        </w:rPr>
        <w:t xml:space="preserve"> </w:t>
      </w:r>
      <w:bookmarkStart w:id="186" w:name="_Ref232076463"/>
      <w:r w:rsidR="00F77B0A" w:rsidRPr="00244D65">
        <w:rPr>
          <w:noProof/>
        </w:rPr>
        <w:t>MSR</w:t>
      </w:r>
      <w:bookmarkEnd w:id="186"/>
    </w:p>
    <w:p w14:paraId="29E73461" w14:textId="0455B812" w:rsidR="00904D31" w:rsidRPr="00244D65" w:rsidRDefault="00E83F82" w:rsidP="0085595C">
      <w:pPr>
        <w:rPr>
          <w:noProof/>
        </w:rPr>
      </w:pPr>
      <w:r w:rsidRPr="00244D65">
        <w:rPr>
          <w:noProof/>
          <w:lang w:eastAsia="en-GB"/>
        </w:rPr>
        <w:t xml:space="preserve">The MSR </w:t>
      </w:r>
      <w:r w:rsidR="004E2D62" w:rsidRPr="00244D65">
        <w:rPr>
          <w:noProof/>
          <w:lang w:eastAsia="en-GB"/>
        </w:rPr>
        <w:t xml:space="preserve">reform </w:t>
      </w:r>
      <w:r w:rsidRPr="00244D65">
        <w:rPr>
          <w:noProof/>
        </w:rPr>
        <w:t>impact</w:t>
      </w:r>
      <w:r w:rsidR="004E2D62" w:rsidRPr="00244D65">
        <w:rPr>
          <w:noProof/>
        </w:rPr>
        <w:t>s</w:t>
      </w:r>
      <w:r w:rsidRPr="00244D65">
        <w:rPr>
          <w:noProof/>
        </w:rPr>
        <w:t xml:space="preserve"> compliance costs because MSR rules and parameters interact with all other elements in a given policy option </w:t>
      </w:r>
      <w:r w:rsidR="00000E50" w:rsidRPr="00244D65">
        <w:rPr>
          <w:noProof/>
        </w:rPr>
        <w:t>(in particular as regards cap trajectory, removals integration and sectoral scope)</w:t>
      </w:r>
      <w:r w:rsidR="00C3028C" w:rsidRPr="00244D65">
        <w:rPr>
          <w:noProof/>
        </w:rPr>
        <w:t xml:space="preserve">, </w:t>
      </w:r>
      <w:r w:rsidRPr="00244D65">
        <w:rPr>
          <w:noProof/>
        </w:rPr>
        <w:t xml:space="preserve">to alter the allowance supply and demand, and therefore EUA prices. These will </w:t>
      </w:r>
      <w:r w:rsidRPr="00244D65">
        <w:rPr>
          <w:noProof/>
          <w:lang w:eastAsia="en-GB"/>
        </w:rPr>
        <w:t>result in different compliance costs that will impact the standing of businesses across the economy.</w:t>
      </w:r>
      <w:r w:rsidR="007B64AF" w:rsidRPr="00244D65">
        <w:rPr>
          <w:noProof/>
          <w:lang w:eastAsia="en-GB"/>
        </w:rPr>
        <w:t xml:space="preserve"> Three </w:t>
      </w:r>
      <w:r w:rsidR="00011889" w:rsidRPr="00244D65">
        <w:rPr>
          <w:noProof/>
          <w:lang w:eastAsia="en-GB"/>
        </w:rPr>
        <w:t xml:space="preserve">main </w:t>
      </w:r>
      <w:r w:rsidR="007B64AF" w:rsidRPr="00244D65">
        <w:rPr>
          <w:noProof/>
          <w:lang w:eastAsia="en-GB"/>
        </w:rPr>
        <w:t xml:space="preserve">indicators </w:t>
      </w:r>
      <w:r w:rsidR="00011889" w:rsidRPr="00244D65">
        <w:rPr>
          <w:noProof/>
          <w:lang w:eastAsia="en-GB"/>
        </w:rPr>
        <w:t xml:space="preserve">can be considered in the analysis of economic impacts of the MSR: </w:t>
      </w:r>
      <w:r w:rsidR="00C247CF" w:rsidRPr="00244D65">
        <w:rPr>
          <w:noProof/>
          <w:lang w:eastAsia="en-GB"/>
        </w:rPr>
        <w:t>future prices, price volatility</w:t>
      </w:r>
      <w:r w:rsidR="009338D6" w:rsidRPr="00244D65">
        <w:rPr>
          <w:noProof/>
          <w:lang w:eastAsia="en-GB"/>
        </w:rPr>
        <w:t xml:space="preserve"> </w:t>
      </w:r>
      <w:r w:rsidR="00FD71E1" w:rsidRPr="00244D65">
        <w:rPr>
          <w:noProof/>
          <w:lang w:eastAsia="en-GB"/>
        </w:rPr>
        <w:t xml:space="preserve">and </w:t>
      </w:r>
      <w:r w:rsidR="00B84349" w:rsidRPr="00244D65">
        <w:rPr>
          <w:noProof/>
          <w:lang w:eastAsia="en-GB"/>
        </w:rPr>
        <w:t xml:space="preserve">the TNAC-to-emissions ratio </w:t>
      </w:r>
      <w:r w:rsidR="000C2680" w:rsidRPr="00244D65">
        <w:rPr>
          <w:noProof/>
          <w:lang w:eastAsia="en-GB"/>
        </w:rPr>
        <w:t xml:space="preserve">as </w:t>
      </w:r>
      <w:r w:rsidR="00A17622" w:rsidRPr="00244D65">
        <w:rPr>
          <w:noProof/>
          <w:lang w:eastAsia="en-GB"/>
        </w:rPr>
        <w:t>a measure of market balance / liquidity</w:t>
      </w:r>
      <w:r w:rsidR="00B84349" w:rsidRPr="00244D65">
        <w:rPr>
          <w:noProof/>
          <w:lang w:eastAsia="en-GB"/>
        </w:rPr>
        <w:t>.</w:t>
      </w:r>
      <w:r w:rsidR="00A17622" w:rsidRPr="00244D65">
        <w:rPr>
          <w:noProof/>
          <w:lang w:eastAsia="en-GB"/>
        </w:rPr>
        <w:t xml:space="preserve"> </w:t>
      </w:r>
      <w:r w:rsidR="00BC56A0" w:rsidRPr="00244D65">
        <w:rPr>
          <w:noProof/>
        </w:rPr>
        <w:t>As explained</w:t>
      </w:r>
      <w:r w:rsidR="00332617" w:rsidRPr="00244D65">
        <w:rPr>
          <w:noProof/>
        </w:rPr>
        <w:t xml:space="preserve"> </w:t>
      </w:r>
      <w:r w:rsidR="00BC56A0" w:rsidRPr="00244D65">
        <w:rPr>
          <w:noProof/>
        </w:rPr>
        <w:t xml:space="preserve">above, the MSR1 design was chosen for PO1 and the MSR3 design for PO2 and PO3 and were tested for an </w:t>
      </w:r>
      <w:r w:rsidR="00F909E3" w:rsidRPr="00244D65">
        <w:rPr>
          <w:noProof/>
        </w:rPr>
        <w:t>EU ETS</w:t>
      </w:r>
      <w:r w:rsidR="00BC56A0" w:rsidRPr="00244D65">
        <w:rPr>
          <w:noProof/>
        </w:rPr>
        <w:t xml:space="preserve"> contribution to the </w:t>
      </w:r>
      <w:r>
        <w:rPr>
          <w:noProof/>
        </w:rPr>
        <w:t>90-85%</w:t>
      </w:r>
      <w:r w:rsidR="00BC56A0" w:rsidRPr="00244D65">
        <w:rPr>
          <w:noProof/>
        </w:rPr>
        <w:t xml:space="preserve"> economy-wide emissions reduction target.</w:t>
      </w:r>
      <w:r w:rsidR="00BF1CD3" w:rsidRPr="00244D65">
        <w:rPr>
          <w:noProof/>
        </w:rPr>
        <w:t xml:space="preserve"> The results for PO2 and PO3 are identical </w:t>
      </w:r>
      <w:r w:rsidR="007F456E" w:rsidRPr="00244D65">
        <w:rPr>
          <w:noProof/>
        </w:rPr>
        <w:t xml:space="preserve">given certain </w:t>
      </w:r>
      <w:r w:rsidR="00B522A0" w:rsidRPr="00244D65">
        <w:rPr>
          <w:noProof/>
        </w:rPr>
        <w:t xml:space="preserve">MSR </w:t>
      </w:r>
      <w:r w:rsidR="007F456E" w:rsidRPr="00244D65">
        <w:rPr>
          <w:noProof/>
        </w:rPr>
        <w:t xml:space="preserve">modelling limitations as regards the integration of removals </w:t>
      </w:r>
      <w:r w:rsidR="00B522A0" w:rsidRPr="00244D65">
        <w:rPr>
          <w:noProof/>
        </w:rPr>
        <w:t xml:space="preserve">and the different sector scope in the two policy options (see more detailed explanations in Annex </w:t>
      </w:r>
      <w:r w:rsidR="005636B5" w:rsidRPr="00244D65">
        <w:rPr>
          <w:noProof/>
        </w:rPr>
        <w:t>8</w:t>
      </w:r>
      <w:r w:rsidR="006C3B64" w:rsidRPr="00244D65">
        <w:rPr>
          <w:noProof/>
        </w:rPr>
        <w:t>)</w:t>
      </w:r>
      <w:r w:rsidR="00A14779" w:rsidRPr="00244D65">
        <w:rPr>
          <w:noProof/>
        </w:rPr>
        <w:t>.</w:t>
      </w:r>
    </w:p>
    <w:p w14:paraId="7E4CAC4D" w14:textId="67792820" w:rsidR="00CB5B61" w:rsidRPr="00244D65" w:rsidRDefault="00CB5B61" w:rsidP="0085595C">
      <w:pPr>
        <w:rPr>
          <w:noProof/>
        </w:rPr>
      </w:pPr>
      <w:r w:rsidRPr="00244D65">
        <w:rPr>
          <w:noProof/>
        </w:rPr>
        <w:t xml:space="preserve">The modelling provides estimates of the TNAC trajectory and corresponding MSR operations (intakes and releases) for each policy option, which impact the </w:t>
      </w:r>
      <w:r w:rsidR="00145023" w:rsidRPr="00244D65">
        <w:rPr>
          <w:noProof/>
        </w:rPr>
        <w:t xml:space="preserve">indexed </w:t>
      </w:r>
      <w:r w:rsidRPr="00244D65">
        <w:rPr>
          <w:noProof/>
        </w:rPr>
        <w:t xml:space="preserve">carbon price trajectories. The EUA price evolution </w:t>
      </w:r>
      <w:r w:rsidR="003E0249" w:rsidRPr="00244D65">
        <w:rPr>
          <w:noProof/>
        </w:rPr>
        <w:t>was simulated using the POLES-Enerdata model</w:t>
      </w:r>
      <w:r w:rsidR="00DD6CC8" w:rsidRPr="00244D65">
        <w:rPr>
          <w:noProof/>
        </w:rPr>
        <w:t>,</w:t>
      </w:r>
      <w:r w:rsidRPr="00244D65">
        <w:rPr>
          <w:noProof/>
        </w:rPr>
        <w:t xml:space="preserve"> based on a supply-demand equilibrium</w:t>
      </w:r>
      <w:r w:rsidR="00AE67E0" w:rsidRPr="00244D65">
        <w:rPr>
          <w:noProof/>
        </w:rPr>
        <w:t xml:space="preserve">. </w:t>
      </w:r>
      <w:r w:rsidR="004A43EB" w:rsidRPr="00244D65">
        <w:rPr>
          <w:noProof/>
        </w:rPr>
        <w:t>In</w:t>
      </w:r>
      <w:r w:rsidR="004501C4" w:rsidRPr="00244D65">
        <w:rPr>
          <w:noProof/>
        </w:rPr>
        <w:t xml:space="preserve"> Annex 8</w:t>
      </w:r>
      <w:r w:rsidR="004A43EB" w:rsidRPr="00244D65">
        <w:rPr>
          <w:noProof/>
        </w:rPr>
        <w:t xml:space="preserve">, </w:t>
      </w:r>
      <w:r w:rsidR="00EF2CFF" w:rsidRPr="00244D65">
        <w:rPr>
          <w:noProof/>
        </w:rPr>
        <w:t>index</w:t>
      </w:r>
      <w:r w:rsidR="00117579" w:rsidRPr="00244D65">
        <w:rPr>
          <w:noProof/>
        </w:rPr>
        <w:t>ed price</w:t>
      </w:r>
      <w:r w:rsidR="00CB5383" w:rsidRPr="00244D65">
        <w:rPr>
          <w:noProof/>
        </w:rPr>
        <w:t xml:space="preserve"> curves</w:t>
      </w:r>
      <w:r w:rsidR="00EF2CFF" w:rsidRPr="00244D65">
        <w:rPr>
          <w:noProof/>
        </w:rPr>
        <w:t xml:space="preserve"> are</w:t>
      </w:r>
      <w:r w:rsidR="004073CC" w:rsidRPr="00244D65">
        <w:rPr>
          <w:noProof/>
        </w:rPr>
        <w:t xml:space="preserve"> </w:t>
      </w:r>
      <w:r w:rsidR="005607AA" w:rsidRPr="00244D65">
        <w:rPr>
          <w:noProof/>
        </w:rPr>
        <w:t>presented</w:t>
      </w:r>
      <w:r w:rsidR="004073CC" w:rsidRPr="00244D65">
        <w:rPr>
          <w:noProof/>
        </w:rPr>
        <w:t xml:space="preserve"> </w:t>
      </w:r>
      <w:r w:rsidR="002F7B80" w:rsidRPr="00244D65">
        <w:rPr>
          <w:noProof/>
        </w:rPr>
        <w:t xml:space="preserve">to </w:t>
      </w:r>
      <w:r w:rsidR="00357893" w:rsidRPr="00244D65">
        <w:rPr>
          <w:noProof/>
        </w:rPr>
        <w:t>illustrate</w:t>
      </w:r>
      <w:r w:rsidR="004073CC" w:rsidRPr="00244D65">
        <w:rPr>
          <w:noProof/>
        </w:rPr>
        <w:t xml:space="preserve"> overall annual price trends</w:t>
      </w:r>
      <w:r w:rsidR="006E69A8" w:rsidRPr="00244D65">
        <w:rPr>
          <w:noProof/>
        </w:rPr>
        <w:t xml:space="preserve"> compared to 2028</w:t>
      </w:r>
      <w:r w:rsidR="004073CC" w:rsidRPr="00244D65">
        <w:rPr>
          <w:noProof/>
        </w:rPr>
        <w:t xml:space="preserve">. </w:t>
      </w:r>
      <w:r w:rsidR="00FA3569" w:rsidRPr="00244D65">
        <w:rPr>
          <w:noProof/>
        </w:rPr>
        <w:t>Such illustrations</w:t>
      </w:r>
      <w:r w:rsidR="004073CC" w:rsidRPr="00244D65">
        <w:rPr>
          <w:noProof/>
        </w:rPr>
        <w:t xml:space="preserve"> require careful interpretation as </w:t>
      </w:r>
      <w:r w:rsidR="008E1170" w:rsidRPr="00244D65">
        <w:rPr>
          <w:noProof/>
        </w:rPr>
        <w:t>modelling</w:t>
      </w:r>
      <w:r w:rsidR="00A06B3A" w:rsidRPr="00244D65">
        <w:rPr>
          <w:noProof/>
        </w:rPr>
        <w:t xml:space="preserve"> </w:t>
      </w:r>
      <w:r w:rsidR="008E1170" w:rsidRPr="00244D65">
        <w:rPr>
          <w:noProof/>
        </w:rPr>
        <w:t>relies</w:t>
      </w:r>
      <w:r w:rsidR="004073CC" w:rsidRPr="00244D65">
        <w:rPr>
          <w:noProof/>
        </w:rPr>
        <w:t xml:space="preserve"> on uncertain assumptions and may not </w:t>
      </w:r>
      <w:r w:rsidR="00C71AD0" w:rsidRPr="00244D65">
        <w:rPr>
          <w:noProof/>
        </w:rPr>
        <w:t>capture</w:t>
      </w:r>
      <w:r w:rsidR="004073CC" w:rsidRPr="00244D65">
        <w:rPr>
          <w:noProof/>
        </w:rPr>
        <w:t xml:space="preserve"> actual short term price </w:t>
      </w:r>
      <w:r w:rsidR="0092284B" w:rsidRPr="00244D65">
        <w:rPr>
          <w:noProof/>
        </w:rPr>
        <w:t>movements,</w:t>
      </w:r>
      <w:r w:rsidR="004073CC" w:rsidRPr="00244D65">
        <w:rPr>
          <w:noProof/>
        </w:rPr>
        <w:t xml:space="preserve"> which </w:t>
      </w:r>
      <w:r w:rsidR="001F612D" w:rsidRPr="00244D65">
        <w:rPr>
          <w:noProof/>
        </w:rPr>
        <w:t>can be driven by</w:t>
      </w:r>
      <w:r w:rsidR="004073CC" w:rsidRPr="00244D65">
        <w:rPr>
          <w:noProof/>
        </w:rPr>
        <w:t xml:space="preserve"> other </w:t>
      </w:r>
      <w:r w:rsidR="001F612D" w:rsidRPr="00244D65">
        <w:rPr>
          <w:noProof/>
        </w:rPr>
        <w:t>factors</w:t>
      </w:r>
      <w:r w:rsidR="004073CC" w:rsidRPr="00244D65">
        <w:rPr>
          <w:noProof/>
        </w:rPr>
        <w:t xml:space="preserve"> outside the scope of this assessment. </w:t>
      </w:r>
      <w:r w:rsidR="00A06B3A" w:rsidRPr="00244D65">
        <w:rPr>
          <w:noProof/>
        </w:rPr>
        <w:t>The indexes</w:t>
      </w:r>
      <w:r w:rsidR="00D01C33" w:rsidRPr="00244D65">
        <w:rPr>
          <w:noProof/>
        </w:rPr>
        <w:t xml:space="preserve"> are </w:t>
      </w:r>
      <w:r w:rsidR="002F4700" w:rsidRPr="00244D65">
        <w:rPr>
          <w:noProof/>
        </w:rPr>
        <w:t>therefore used</w:t>
      </w:r>
      <w:r w:rsidR="00D01C33" w:rsidRPr="00244D65">
        <w:rPr>
          <w:noProof/>
        </w:rPr>
        <w:t xml:space="preserve"> to illustrate trends - such as </w:t>
      </w:r>
      <w:r w:rsidR="00A06B3A" w:rsidRPr="00244D65">
        <w:rPr>
          <w:noProof/>
        </w:rPr>
        <w:t xml:space="preserve">relative </w:t>
      </w:r>
      <w:r w:rsidR="004073CC" w:rsidRPr="00244D65">
        <w:rPr>
          <w:noProof/>
        </w:rPr>
        <w:t xml:space="preserve">annual price </w:t>
      </w:r>
      <w:r w:rsidR="00A06B3A" w:rsidRPr="00244D65">
        <w:rPr>
          <w:noProof/>
        </w:rPr>
        <w:t>increases</w:t>
      </w:r>
      <w:r w:rsidR="00D01C33" w:rsidRPr="00244D65">
        <w:rPr>
          <w:noProof/>
        </w:rPr>
        <w:t xml:space="preserve"> and directional movements - and to serve as a comparison framework across </w:t>
      </w:r>
      <w:r w:rsidR="008635B6" w:rsidRPr="00244D65">
        <w:rPr>
          <w:noProof/>
        </w:rPr>
        <w:t>policy options</w:t>
      </w:r>
      <w:r w:rsidR="00157200" w:rsidRPr="00244D65">
        <w:rPr>
          <w:noProof/>
        </w:rPr>
        <w:t xml:space="preserve">, rather than </w:t>
      </w:r>
      <w:r w:rsidR="00A0526E" w:rsidRPr="00244D65">
        <w:rPr>
          <w:noProof/>
        </w:rPr>
        <w:t xml:space="preserve">to deliver precise </w:t>
      </w:r>
      <w:r w:rsidR="00E64664" w:rsidRPr="00244D65">
        <w:rPr>
          <w:noProof/>
        </w:rPr>
        <w:t xml:space="preserve">price </w:t>
      </w:r>
      <w:r w:rsidR="00A0526E" w:rsidRPr="00244D65">
        <w:rPr>
          <w:noProof/>
        </w:rPr>
        <w:t>forecasts</w:t>
      </w:r>
      <w:r w:rsidR="00A06B3A" w:rsidRPr="00244D65">
        <w:rPr>
          <w:noProof/>
        </w:rPr>
        <w:t>.</w:t>
      </w:r>
      <w:r w:rsidR="00D01C33" w:rsidRPr="00244D65">
        <w:rPr>
          <w:noProof/>
        </w:rPr>
        <w:t xml:space="preserve"> </w:t>
      </w:r>
      <w:r w:rsidR="00A06B3A" w:rsidRPr="00244D65">
        <w:rPr>
          <w:noProof/>
        </w:rPr>
        <w:t>This approach applies to all measures modelled in Annex</w:t>
      </w:r>
      <w:r w:rsidR="003C7487" w:rsidRPr="00244D65">
        <w:rPr>
          <w:noProof/>
        </w:rPr>
        <w:t xml:space="preserve"> 8</w:t>
      </w:r>
      <w:r w:rsidR="004073CC" w:rsidRPr="00244D65">
        <w:rPr>
          <w:noProof/>
        </w:rPr>
        <w:t>.</w:t>
      </w:r>
      <w:r w:rsidR="00D01C33" w:rsidRPr="00244D65">
        <w:rPr>
          <w:noProof/>
        </w:rPr>
        <w:t xml:space="preserve"> </w:t>
      </w:r>
    </w:p>
    <w:p w14:paraId="5E7B0041" w14:textId="2E053C27" w:rsidR="00CB5B61" w:rsidRPr="00244D65" w:rsidRDefault="00CB5B61" w:rsidP="0085595C">
      <w:pPr>
        <w:rPr>
          <w:noProof/>
        </w:rPr>
      </w:pPr>
      <w:r w:rsidRPr="00244D65">
        <w:rPr>
          <w:noProof/>
        </w:rPr>
        <w:t xml:space="preserve">For PO1, the MSR1 design leads to an EUA </w:t>
      </w:r>
      <w:r w:rsidR="00552C83" w:rsidRPr="00244D65">
        <w:rPr>
          <w:noProof/>
        </w:rPr>
        <w:t xml:space="preserve">indexed </w:t>
      </w:r>
      <w:r w:rsidRPr="00244D65">
        <w:rPr>
          <w:noProof/>
        </w:rPr>
        <w:t xml:space="preserve">price that gradually increases until 2029, but then declines until 2034, which could potentially send mixed signals to actors investing in decarbonization. Then, the price increase after 2034 is steep and steady, as faster decarbonisation needs to be triggered to reach the 2040 target. However, this could prove challenging for regulated entities facing rapidly rising carbon costs and having limited time to adjust and decarbonize their activities. The </w:t>
      </w:r>
      <w:r w:rsidR="00C42179" w:rsidRPr="00244D65">
        <w:rPr>
          <w:noProof/>
        </w:rPr>
        <w:t xml:space="preserve">indexed </w:t>
      </w:r>
      <w:r w:rsidRPr="00244D65">
        <w:rPr>
          <w:noProof/>
        </w:rPr>
        <w:t>price curve in this policy option therefore depicts a lack of continuity in market tightness across the studied horizon.</w:t>
      </w:r>
    </w:p>
    <w:p w14:paraId="2FC5A83D" w14:textId="1E84D605" w:rsidR="00CB5B61" w:rsidRPr="00244D65" w:rsidRDefault="00CB5B61" w:rsidP="0085595C">
      <w:pPr>
        <w:rPr>
          <w:noProof/>
        </w:rPr>
      </w:pPr>
      <w:r w:rsidRPr="00244D65">
        <w:rPr>
          <w:noProof/>
        </w:rPr>
        <w:t>For PO2 and PO3, the MSR3 design allows for a monotonic and steady increase in the price throughout the period, indicative of a healthy supply-demand balance on the market. More generally, the MSR3 design used for PO2 and PO3 brings a form of stability to the EU ETS price signal, with a progressively increasing price signal, providing a well-balanced environment for actors to invest in decarbonization activities while leaving them time to undertake the necessary transformations (i.e. not exposing them to rapid price increases).</w:t>
      </w:r>
    </w:p>
    <w:p w14:paraId="5AE1C01E" w14:textId="0425DD0C" w:rsidR="000269B6" w:rsidRPr="00244D65" w:rsidRDefault="00571A5F" w:rsidP="00244D65">
      <w:pPr>
        <w:pStyle w:val="Figuretitle"/>
        <w:rPr>
          <w:noProof/>
        </w:rPr>
      </w:pPr>
      <w:bookmarkStart w:id="187" w:name="_Toc234496404"/>
      <w:bookmarkStart w:id="188" w:name="_Toc232754560"/>
      <w:r w:rsidRPr="00244D65">
        <w:rPr>
          <w:noProof/>
        </w:rPr>
        <w:t>MSR Policy options results – indexed EUA price evolution</w:t>
      </w:r>
      <w:bookmarkEnd w:id="187"/>
      <w:bookmarkEnd w:id="188"/>
    </w:p>
    <w:p w14:paraId="152EAA43" w14:textId="167258A0" w:rsidR="00D42C55" w:rsidRPr="00244D65" w:rsidRDefault="0048015F" w:rsidP="0085595C">
      <w:pPr>
        <w:pStyle w:val="BodyText"/>
        <w:spacing w:line="240" w:lineRule="auto"/>
        <w:rPr>
          <w:noProof/>
        </w:rPr>
      </w:pPr>
      <w:r>
        <w:rPr>
          <w:noProof/>
          <w:szCs w:val="24"/>
          <w:lang w:eastAsia="en-GB"/>
        </w:rPr>
        <w:drawing>
          <wp:inline distT="0" distB="0" distL="0" distR="0" wp14:anchorId="20F17FCE" wp14:editId="2FDA6F15">
            <wp:extent cx="5759450" cy="2988127"/>
            <wp:effectExtent l="0" t="0" r="0" b="3175"/>
            <wp:docPr id="1238733915" name="Picture 10" descr="A line graph with numbers and a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733915" name="Picture 10" descr="A line graph with numbers and a line&#10;&#10;AI-generated content may be incorrect."/>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59450" cy="2988127"/>
                    </a:xfrm>
                    <a:prstGeom prst="rect">
                      <a:avLst/>
                    </a:prstGeom>
                    <a:noFill/>
                  </pic:spPr>
                </pic:pic>
              </a:graphicData>
            </a:graphic>
          </wp:inline>
        </w:drawing>
      </w:r>
    </w:p>
    <w:p w14:paraId="434662E4" w14:textId="51F0DD94" w:rsidR="00CB5B61" w:rsidRPr="00244D65" w:rsidRDefault="00F30E3F" w:rsidP="0085595C">
      <w:pPr>
        <w:tabs>
          <w:tab w:val="left" w:pos="2302"/>
        </w:tabs>
        <w:rPr>
          <w:rFonts w:eastAsia="Times New Roman"/>
          <w:i/>
          <w:noProof/>
          <w:sz w:val="20"/>
          <w:szCs w:val="20"/>
        </w:rPr>
      </w:pPr>
      <w:r w:rsidRPr="00244D65">
        <w:rPr>
          <w:rFonts w:eastAsia="Times New Roman"/>
          <w:i/>
          <w:noProof/>
          <w:sz w:val="20"/>
          <w:szCs w:val="20"/>
        </w:rPr>
        <w:t xml:space="preserve">Source: </w:t>
      </w:r>
      <w:r w:rsidR="00F43646" w:rsidRPr="00244D65">
        <w:rPr>
          <w:rFonts w:eastAsia="Times New Roman"/>
          <w:i/>
          <w:noProof/>
          <w:sz w:val="20"/>
          <w:szCs w:val="20"/>
        </w:rPr>
        <w:t>O</w:t>
      </w:r>
      <w:r w:rsidRPr="00244D65">
        <w:rPr>
          <w:rFonts w:eastAsia="Times New Roman"/>
          <w:i/>
          <w:noProof/>
          <w:sz w:val="20"/>
          <w:szCs w:val="20"/>
        </w:rPr>
        <w:t xml:space="preserve">wn </w:t>
      </w:r>
      <w:r w:rsidR="65575990" w:rsidRPr="00244D65">
        <w:rPr>
          <w:rFonts w:eastAsia="Times New Roman"/>
          <w:i/>
          <w:iCs/>
          <w:noProof/>
          <w:sz w:val="20"/>
          <w:szCs w:val="20"/>
        </w:rPr>
        <w:t>visualisation</w:t>
      </w:r>
      <w:r w:rsidRPr="00244D65">
        <w:rPr>
          <w:rFonts w:eastAsia="Times New Roman"/>
          <w:i/>
          <w:noProof/>
          <w:sz w:val="20"/>
          <w:szCs w:val="20"/>
        </w:rPr>
        <w:t xml:space="preserve"> </w:t>
      </w:r>
      <w:r w:rsidR="003216AE" w:rsidRPr="00244D65">
        <w:rPr>
          <w:rFonts w:eastAsia="Times New Roman"/>
          <w:i/>
          <w:noProof/>
          <w:sz w:val="20"/>
          <w:szCs w:val="20"/>
        </w:rPr>
        <w:t xml:space="preserve">derived from </w:t>
      </w:r>
      <w:r w:rsidR="00001133" w:rsidRPr="00244D65">
        <w:rPr>
          <w:rFonts w:eastAsia="Times New Roman"/>
          <w:i/>
          <w:noProof/>
          <w:sz w:val="20"/>
          <w:szCs w:val="20"/>
        </w:rPr>
        <w:t>POLES</w:t>
      </w:r>
      <w:r w:rsidR="003216AE" w:rsidRPr="00244D65">
        <w:rPr>
          <w:rFonts w:eastAsia="Times New Roman"/>
          <w:i/>
          <w:noProof/>
          <w:sz w:val="20"/>
          <w:szCs w:val="20"/>
        </w:rPr>
        <w:t>-</w:t>
      </w:r>
      <w:r w:rsidRPr="00244D65">
        <w:rPr>
          <w:rFonts w:eastAsia="Times New Roman"/>
          <w:i/>
          <w:noProof/>
          <w:sz w:val="20"/>
          <w:szCs w:val="20"/>
        </w:rPr>
        <w:t>E</w:t>
      </w:r>
      <w:r w:rsidR="00023B25" w:rsidRPr="00244D65">
        <w:rPr>
          <w:rFonts w:eastAsia="Times New Roman"/>
          <w:i/>
          <w:noProof/>
          <w:sz w:val="20"/>
          <w:szCs w:val="20"/>
        </w:rPr>
        <w:t xml:space="preserve">nerdata </w:t>
      </w:r>
      <w:r w:rsidR="003216AE" w:rsidRPr="00244D65">
        <w:rPr>
          <w:rFonts w:eastAsia="Times New Roman"/>
          <w:i/>
          <w:noProof/>
          <w:sz w:val="20"/>
          <w:szCs w:val="20"/>
        </w:rPr>
        <w:t>model</w:t>
      </w:r>
    </w:p>
    <w:p w14:paraId="37AC0C44" w14:textId="756118CE" w:rsidR="00CB5B61" w:rsidRPr="00244D65" w:rsidRDefault="00F10ED9" w:rsidP="0085595C">
      <w:pPr>
        <w:rPr>
          <w:noProof/>
        </w:rPr>
      </w:pPr>
      <w:r w:rsidRPr="00244D65">
        <w:rPr>
          <w:noProof/>
        </w:rPr>
        <w:t>It is important to note that within-year price volatility cannot be assessed quantitatively with the modelling approach employed in this analysis. In addition, all the policy options assessed share the same Article 29a release mechanism, whose objective is to address high price movements, so cannot be distinguished in this regard. More generally, high price volatility, whether within-year or inter-annual, tends to occur in markets characterised by low liquidity.</w:t>
      </w:r>
    </w:p>
    <w:p w14:paraId="12616CB2" w14:textId="383384B4" w:rsidR="0020036A" w:rsidRPr="00244D65" w:rsidRDefault="0020036A" w:rsidP="0085595C">
      <w:pPr>
        <w:rPr>
          <w:noProof/>
        </w:rPr>
      </w:pPr>
      <w:r w:rsidRPr="00244D65">
        <w:rPr>
          <w:noProof/>
        </w:rPr>
        <w:t xml:space="preserve">Nonetheless, the inter-annual variability of the price paths shown reveals information about the comparative stability offered by the different policy options. As explained above, PO1 exhibits a notable price dip around </w:t>
      </w:r>
      <w:r w:rsidR="003D1416" w:rsidRPr="00244D65">
        <w:rPr>
          <w:noProof/>
        </w:rPr>
        <w:t>2030</w:t>
      </w:r>
      <w:r w:rsidRPr="00244D65">
        <w:rPr>
          <w:noProof/>
        </w:rPr>
        <w:t>-2034, followed by a rapid and steep increase through to 2040, which would prove challenging for regulated entities facing such a price trajectory. In contrast, PO2 and PO3 demonstrates first a stabilisation of prices in the period of 2030-203</w:t>
      </w:r>
      <w:r w:rsidR="00C45E63" w:rsidRPr="00244D65">
        <w:rPr>
          <w:noProof/>
        </w:rPr>
        <w:t>4</w:t>
      </w:r>
      <w:r w:rsidRPr="00244D65">
        <w:rPr>
          <w:noProof/>
        </w:rPr>
        <w:t>, followed by a progressive, monotonic price trajectory until 2040, offering a credible and steady price signal that facilitates long-term investment planning.</w:t>
      </w:r>
    </w:p>
    <w:p w14:paraId="12E0EFBD" w14:textId="77777777" w:rsidR="0020036A" w:rsidRPr="00244D65" w:rsidRDefault="0020036A" w:rsidP="0085595C">
      <w:pPr>
        <w:rPr>
          <w:i/>
          <w:iCs/>
          <w:noProof/>
          <w:u w:val="single"/>
        </w:rPr>
      </w:pPr>
      <w:r w:rsidRPr="00244D65">
        <w:rPr>
          <w:i/>
          <w:iCs/>
          <w:noProof/>
          <w:u w:val="single"/>
        </w:rPr>
        <w:t>Market liquidity</w:t>
      </w:r>
    </w:p>
    <w:p w14:paraId="500F2B93" w14:textId="2B76B9E5" w:rsidR="0020036A" w:rsidRPr="00244D65" w:rsidRDefault="0020036A" w:rsidP="0085595C">
      <w:pPr>
        <w:rPr>
          <w:noProof/>
        </w:rPr>
      </w:pPr>
      <w:r w:rsidRPr="00244D65">
        <w:rPr>
          <w:noProof/>
        </w:rPr>
        <w:t>The TNAC-to-emissions ratio is used as an approximate measure of market liquidity. In all policy options, the ratio decreases from its high historical values to about 0.</w:t>
      </w:r>
      <w:r w:rsidR="00571A5F" w:rsidRPr="00244D65">
        <w:rPr>
          <w:noProof/>
        </w:rPr>
        <w:t xml:space="preserve">6 </w:t>
      </w:r>
      <w:r w:rsidRPr="00244D65">
        <w:rPr>
          <w:noProof/>
        </w:rPr>
        <w:t xml:space="preserve">for the 2027 TNAC, given the downward TNAC technical adjustment for the historic net aviation demand in 2012-2023 of approximately 173 million EUAs. The ratio then slightly decreases by 2030, after which it diverges in the different policy options. </w:t>
      </w:r>
    </w:p>
    <w:p w14:paraId="45FCD918" w14:textId="29B673A9" w:rsidR="0020036A" w:rsidRPr="00244D65" w:rsidRDefault="0020036A" w:rsidP="0085595C">
      <w:pPr>
        <w:rPr>
          <w:noProof/>
        </w:rPr>
      </w:pPr>
      <w:r w:rsidRPr="00244D65">
        <w:rPr>
          <w:noProof/>
        </w:rPr>
        <w:t>In PO1, the decrease continues slowly until 2036 to 0.</w:t>
      </w:r>
      <w:r w:rsidR="00CF4707" w:rsidRPr="00244D65">
        <w:rPr>
          <w:noProof/>
        </w:rPr>
        <w:t>29</w:t>
      </w:r>
      <w:r w:rsidR="00CF4707" w:rsidRPr="00244D65" w:rsidDel="00BE66EB">
        <w:rPr>
          <w:noProof/>
        </w:rPr>
        <w:t>,</w:t>
      </w:r>
      <w:r w:rsidR="00256D9F" w:rsidRPr="00244D65">
        <w:rPr>
          <w:noProof/>
        </w:rPr>
        <w:t xml:space="preserve"> a year after </w:t>
      </w:r>
      <w:r w:rsidRPr="00244D65" w:rsidDel="00BE66EB">
        <w:rPr>
          <w:noProof/>
        </w:rPr>
        <w:t>the first MSR release takes place</w:t>
      </w:r>
      <w:r w:rsidRPr="00244D65">
        <w:rPr>
          <w:noProof/>
        </w:rPr>
        <w:t>. After that, due to the continued annual releases, the ratio rises again and reaches its maximum value of 0.</w:t>
      </w:r>
      <w:r w:rsidR="00256D9F" w:rsidRPr="00244D65">
        <w:rPr>
          <w:noProof/>
        </w:rPr>
        <w:t xml:space="preserve">68 </w:t>
      </w:r>
      <w:r w:rsidRPr="00244D65">
        <w:rPr>
          <w:noProof/>
        </w:rPr>
        <w:t>in 2040, exhibiting a u-shaped pattern.</w:t>
      </w:r>
    </w:p>
    <w:p w14:paraId="63B61B38" w14:textId="77777777" w:rsidR="0020036A" w:rsidRPr="00244D65" w:rsidRDefault="0020036A" w:rsidP="0085595C">
      <w:pPr>
        <w:rPr>
          <w:noProof/>
        </w:rPr>
      </w:pPr>
      <w:r w:rsidRPr="00244D65">
        <w:rPr>
          <w:noProof/>
        </w:rPr>
        <w:t>Starting in 2027, the PO2 &amp; PO3 options include extra-EU aviation one-way emissions, not included in PO1, explaining the slight translation between their respective trajectories after 2027 (before other factors make them diverge further). Likewise, the inclusion of hazardous waste and landfills emissions from 2031 in PO3, not covered in PO2, creates the translation between their respective curves, otherwise comparable in evolution.</w:t>
      </w:r>
    </w:p>
    <w:p w14:paraId="5C3F2E86" w14:textId="25CEFFE4" w:rsidR="0020036A" w:rsidRPr="00244D65" w:rsidRDefault="0020036A" w:rsidP="0085595C">
      <w:pPr>
        <w:rPr>
          <w:noProof/>
        </w:rPr>
      </w:pPr>
      <w:r w:rsidRPr="00244D65">
        <w:rPr>
          <w:noProof/>
        </w:rPr>
        <w:t xml:space="preserve">For PO2 &amp; PO3, the ratio starts to increase again in </w:t>
      </w:r>
      <w:r w:rsidR="009A48A9" w:rsidRPr="00244D65">
        <w:rPr>
          <w:noProof/>
        </w:rPr>
        <w:t>2038</w:t>
      </w:r>
      <w:r w:rsidRPr="00244D65">
        <w:rPr>
          <w:noProof/>
        </w:rPr>
        <w:t>, due to the first MSR release</w:t>
      </w:r>
      <w:r w:rsidR="009A48A9" w:rsidRPr="00244D65">
        <w:rPr>
          <w:noProof/>
        </w:rPr>
        <w:t>s</w:t>
      </w:r>
      <w:r w:rsidRPr="00244D65">
        <w:rPr>
          <w:noProof/>
        </w:rPr>
        <w:t>, and then oscillates in a narrow band, maintained by ongoing releases by the MSR, suggesting a steady state for this indicator. The spread of the ratio for the 2027-2040 period is slightly lower for PO2 (0.</w:t>
      </w:r>
      <w:r w:rsidR="00A42CD8" w:rsidRPr="00244D65">
        <w:rPr>
          <w:noProof/>
        </w:rPr>
        <w:t>28</w:t>
      </w:r>
      <w:r w:rsidRPr="00244D65">
        <w:rPr>
          <w:noProof/>
        </w:rPr>
        <w:t>-0.</w:t>
      </w:r>
      <w:r w:rsidR="00A42CD8" w:rsidRPr="00244D65">
        <w:rPr>
          <w:noProof/>
        </w:rPr>
        <w:t>59</w:t>
      </w:r>
      <w:r w:rsidRPr="00244D65">
        <w:rPr>
          <w:noProof/>
        </w:rPr>
        <w:t>) than for PO3 (0.</w:t>
      </w:r>
      <w:r w:rsidR="00A42CD8" w:rsidRPr="00244D65">
        <w:rPr>
          <w:noProof/>
        </w:rPr>
        <w:t>25</w:t>
      </w:r>
      <w:r w:rsidRPr="00244D65">
        <w:rPr>
          <w:noProof/>
        </w:rPr>
        <w:t>-0.</w:t>
      </w:r>
      <w:r w:rsidR="00A42CD8" w:rsidRPr="00244D65">
        <w:rPr>
          <w:noProof/>
        </w:rPr>
        <w:t>59</w:t>
      </w:r>
      <w:r w:rsidRPr="00244D65">
        <w:rPr>
          <w:noProof/>
        </w:rPr>
        <w:t>), although both are within an acceptable range. The PO1 spread is wider (0.</w:t>
      </w:r>
      <w:r w:rsidR="0087618C" w:rsidRPr="00244D65">
        <w:rPr>
          <w:noProof/>
        </w:rPr>
        <w:t>29</w:t>
      </w:r>
      <w:r w:rsidRPr="00244D65">
        <w:rPr>
          <w:noProof/>
        </w:rPr>
        <w:t>-0.</w:t>
      </w:r>
      <w:r w:rsidR="0087618C" w:rsidRPr="00244D65">
        <w:rPr>
          <w:noProof/>
        </w:rPr>
        <w:t>68</w:t>
      </w:r>
      <w:r w:rsidRPr="00244D65">
        <w:rPr>
          <w:noProof/>
        </w:rPr>
        <w:t xml:space="preserve">), and features values on the </w:t>
      </w:r>
      <w:bookmarkStart w:id="189" w:name="_Int_BqkTSLes"/>
      <w:r w:rsidRPr="00244D65">
        <w:rPr>
          <w:noProof/>
        </w:rPr>
        <w:t>relatively high</w:t>
      </w:r>
      <w:bookmarkEnd w:id="189"/>
      <w:r w:rsidRPr="00244D65">
        <w:rPr>
          <w:noProof/>
        </w:rPr>
        <w:t xml:space="preserve"> range in the last years of the period (above 0.6).</w:t>
      </w:r>
    </w:p>
    <w:p w14:paraId="3814C03B" w14:textId="62DD1AD7" w:rsidR="0020036A" w:rsidRPr="00244D65" w:rsidRDefault="0020036A" w:rsidP="00244D65">
      <w:pPr>
        <w:pStyle w:val="Figuretitle"/>
        <w:rPr>
          <w:rFonts w:eastAsia="Times New Roman"/>
          <w:noProof/>
          <w:szCs w:val="22"/>
        </w:rPr>
      </w:pPr>
      <w:bookmarkStart w:id="190" w:name="_Ref212534777"/>
      <w:bookmarkStart w:id="191" w:name="_Toc234496405"/>
      <w:bookmarkStart w:id="192" w:name="_Toc232754561"/>
      <w:r w:rsidRPr="00244D65">
        <w:rPr>
          <w:rFonts w:eastAsia="Times New Roman"/>
          <w:noProof/>
          <w:szCs w:val="22"/>
        </w:rPr>
        <w:t>P</w:t>
      </w:r>
      <w:bookmarkEnd w:id="190"/>
      <w:r w:rsidRPr="00244D65">
        <w:rPr>
          <w:rFonts w:eastAsia="Times New Roman"/>
          <w:noProof/>
          <w:szCs w:val="22"/>
        </w:rPr>
        <w:t>olicy</w:t>
      </w:r>
      <w:r w:rsidRPr="00244D65">
        <w:rPr>
          <w:noProof/>
        </w:rPr>
        <w:t xml:space="preserve"> options results - TNAC-to-Emissions ratio</w:t>
      </w:r>
      <w:bookmarkEnd w:id="191"/>
      <w:bookmarkEnd w:id="192"/>
    </w:p>
    <w:p w14:paraId="5AC3272F" w14:textId="7AA512FC" w:rsidR="008B0C63" w:rsidRPr="00244D65" w:rsidRDefault="00DC0E00" w:rsidP="0085595C">
      <w:pPr>
        <w:pStyle w:val="BodyText"/>
        <w:spacing w:line="240" w:lineRule="auto"/>
        <w:rPr>
          <w:noProof/>
        </w:rPr>
      </w:pPr>
      <w:r w:rsidRPr="00244D65">
        <w:rPr>
          <w:noProof/>
          <w:lang w:eastAsia="en-GB"/>
        </w:rPr>
        <w:drawing>
          <wp:inline distT="0" distB="0" distL="0" distR="0" wp14:anchorId="16EB6B2E" wp14:editId="1CDA8CC8">
            <wp:extent cx="5876925" cy="2883535"/>
            <wp:effectExtent l="0" t="0" r="9525" b="0"/>
            <wp:docPr id="11006223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876925" cy="2883535"/>
                    </a:xfrm>
                    <a:prstGeom prst="rect">
                      <a:avLst/>
                    </a:prstGeom>
                    <a:noFill/>
                  </pic:spPr>
                </pic:pic>
              </a:graphicData>
            </a:graphic>
          </wp:inline>
        </w:drawing>
      </w:r>
    </w:p>
    <w:p w14:paraId="687B3D9E" w14:textId="29D63759" w:rsidR="00726E2D" w:rsidRPr="00244D65" w:rsidRDefault="008B0C63" w:rsidP="0085595C">
      <w:pPr>
        <w:tabs>
          <w:tab w:val="left" w:pos="2302"/>
        </w:tabs>
        <w:rPr>
          <w:rFonts w:eastAsia="Times New Roman"/>
          <w:i/>
          <w:noProof/>
        </w:rPr>
      </w:pPr>
      <w:r w:rsidRPr="00244D65">
        <w:rPr>
          <w:rFonts w:eastAsia="Times New Roman"/>
          <w:i/>
          <w:noProof/>
          <w:sz w:val="20"/>
          <w:szCs w:val="20"/>
        </w:rPr>
        <w:t xml:space="preserve">Source: Own </w:t>
      </w:r>
      <w:r w:rsidRPr="00244D65">
        <w:rPr>
          <w:rFonts w:eastAsia="Times New Roman"/>
          <w:i/>
          <w:iCs/>
          <w:noProof/>
          <w:sz w:val="20"/>
          <w:szCs w:val="20"/>
        </w:rPr>
        <w:t>visualisation</w:t>
      </w:r>
      <w:r w:rsidRPr="00244D65">
        <w:rPr>
          <w:rFonts w:eastAsia="Times New Roman"/>
          <w:i/>
          <w:noProof/>
          <w:sz w:val="20"/>
          <w:szCs w:val="20"/>
        </w:rPr>
        <w:t xml:space="preserve"> derived from POLES-Enerdata mode</w:t>
      </w:r>
      <w:r w:rsidR="00EB17AD" w:rsidRPr="00244D65">
        <w:rPr>
          <w:rFonts w:eastAsia="Times New Roman"/>
          <w:i/>
          <w:noProof/>
          <w:sz w:val="20"/>
          <w:szCs w:val="20"/>
        </w:rPr>
        <w:t>l</w:t>
      </w:r>
    </w:p>
    <w:p w14:paraId="7FFA98A9" w14:textId="20358FE6" w:rsidR="00F77B0A" w:rsidRPr="00244D65" w:rsidRDefault="0A997908" w:rsidP="0085595C">
      <w:pPr>
        <w:pStyle w:val="Heading4"/>
        <w:rPr>
          <w:noProof/>
        </w:rPr>
      </w:pPr>
      <w:r w:rsidRPr="00244D65">
        <w:rPr>
          <w:noProof/>
        </w:rPr>
        <w:t xml:space="preserve"> </w:t>
      </w:r>
      <w:r w:rsidR="13283272" w:rsidRPr="00244D65">
        <w:rPr>
          <w:noProof/>
        </w:rPr>
        <w:t xml:space="preserve">Instruments to support investments </w:t>
      </w:r>
    </w:p>
    <w:p w14:paraId="5FEC9BE3" w14:textId="6C127C32" w:rsidR="006B47B9" w:rsidRPr="00244D65" w:rsidRDefault="00AB0B5F" w:rsidP="0085595C">
      <w:pPr>
        <w:rPr>
          <w:rFonts w:eastAsia="Times New Roman"/>
          <w:noProof/>
        </w:rPr>
      </w:pPr>
      <w:r w:rsidRPr="00244D65">
        <w:rPr>
          <w:rFonts w:eastAsia="Times New Roman"/>
          <w:noProof/>
        </w:rPr>
        <w:t xml:space="preserve">The IDB by providing the support to investments will </w:t>
      </w:r>
      <w:r w:rsidR="0021370F" w:rsidRPr="00244D65">
        <w:rPr>
          <w:rFonts w:eastAsia="Times New Roman"/>
          <w:noProof/>
        </w:rPr>
        <w:t xml:space="preserve">help the industry </w:t>
      </w:r>
      <w:r w:rsidR="00417FD6" w:rsidRPr="00244D65">
        <w:rPr>
          <w:rFonts w:eastAsia="Times New Roman"/>
          <w:noProof/>
        </w:rPr>
        <w:t>to stay on the net-zero trajectory</w:t>
      </w:r>
      <w:r w:rsidR="006E2183" w:rsidRPr="00244D65">
        <w:rPr>
          <w:rFonts w:eastAsia="Times New Roman"/>
          <w:noProof/>
        </w:rPr>
        <w:t>. It</w:t>
      </w:r>
      <w:r w:rsidR="005447E1" w:rsidRPr="00244D65">
        <w:rPr>
          <w:rFonts w:eastAsia="Times New Roman"/>
          <w:noProof/>
        </w:rPr>
        <w:t xml:space="preserve"> thus </w:t>
      </w:r>
      <w:r w:rsidR="006E2183" w:rsidRPr="00244D65">
        <w:rPr>
          <w:rFonts w:eastAsia="Times New Roman"/>
          <w:noProof/>
        </w:rPr>
        <w:t xml:space="preserve">helps to </w:t>
      </w:r>
      <w:r w:rsidR="005447E1" w:rsidRPr="00244D65">
        <w:rPr>
          <w:rFonts w:eastAsia="Times New Roman"/>
          <w:noProof/>
        </w:rPr>
        <w:t xml:space="preserve">avoid </w:t>
      </w:r>
      <w:r w:rsidR="002A611B" w:rsidRPr="00244D65">
        <w:rPr>
          <w:rFonts w:eastAsia="Times New Roman"/>
          <w:noProof/>
        </w:rPr>
        <w:t>higher compliance c</w:t>
      </w:r>
      <w:r w:rsidR="00712762" w:rsidRPr="00244D65">
        <w:rPr>
          <w:rFonts w:eastAsia="Times New Roman"/>
          <w:noProof/>
        </w:rPr>
        <w:t xml:space="preserve">osts for industry stemming from </w:t>
      </w:r>
      <w:r w:rsidR="00027494" w:rsidRPr="00244D65">
        <w:rPr>
          <w:rFonts w:eastAsia="Times New Roman"/>
          <w:noProof/>
        </w:rPr>
        <w:t xml:space="preserve">further increases in the ETS carbon price that would have happened in case </w:t>
      </w:r>
      <w:r w:rsidR="006E2183" w:rsidRPr="00244D65">
        <w:rPr>
          <w:rFonts w:eastAsia="Times New Roman"/>
          <w:noProof/>
        </w:rPr>
        <w:t>investments do not materialise or are delayed.</w:t>
      </w:r>
      <w:r w:rsidR="003E1945" w:rsidRPr="00244D65">
        <w:rPr>
          <w:rFonts w:eastAsia="Times New Roman"/>
          <w:noProof/>
        </w:rPr>
        <w:t xml:space="preserve"> </w:t>
      </w:r>
    </w:p>
    <w:p w14:paraId="39DC1D22" w14:textId="1559CF1D" w:rsidR="000E5E00" w:rsidRPr="00244D65" w:rsidRDefault="49A4587C" w:rsidP="0085595C">
      <w:pPr>
        <w:rPr>
          <w:rFonts w:eastAsia="Times New Roman"/>
          <w:noProof/>
        </w:rPr>
      </w:pPr>
      <w:r w:rsidRPr="00244D65">
        <w:rPr>
          <w:rFonts w:eastAsia="Times New Roman"/>
          <w:noProof/>
        </w:rPr>
        <w:t>Considering</w:t>
      </w:r>
      <w:r w:rsidR="000E5E00" w:rsidRPr="00244D65">
        <w:rPr>
          <w:rFonts w:eastAsia="Times New Roman"/>
          <w:noProof/>
        </w:rPr>
        <w:t xml:space="preserve"> the role of the IDB to </w:t>
      </w:r>
      <w:r w:rsidR="00415214" w:rsidRPr="00244D65">
        <w:rPr>
          <w:rFonts w:eastAsia="Times New Roman"/>
          <w:noProof/>
        </w:rPr>
        <w:t xml:space="preserve">contribute to </w:t>
      </w:r>
      <w:r w:rsidR="000E5E00" w:rsidRPr="00244D65">
        <w:rPr>
          <w:rFonts w:eastAsia="Times New Roman"/>
          <w:noProof/>
        </w:rPr>
        <w:t>ensur</w:t>
      </w:r>
      <w:r w:rsidR="00415214" w:rsidRPr="00244D65">
        <w:rPr>
          <w:rFonts w:eastAsia="Times New Roman"/>
          <w:noProof/>
        </w:rPr>
        <w:t>ing</w:t>
      </w:r>
      <w:r w:rsidR="000E5E00" w:rsidRPr="00244D65">
        <w:rPr>
          <w:rFonts w:eastAsia="Times New Roman"/>
          <w:noProof/>
        </w:rPr>
        <w:t xml:space="preserve"> that </w:t>
      </w:r>
      <w:r w:rsidR="00B4451D" w:rsidRPr="00244D65">
        <w:rPr>
          <w:rFonts w:eastAsia="Times New Roman"/>
          <w:noProof/>
        </w:rPr>
        <w:t xml:space="preserve">the investments foreseen in the 2040 climate target modelling </w:t>
      </w:r>
      <w:r w:rsidR="5B5298A1" w:rsidRPr="00244D65">
        <w:rPr>
          <w:rFonts w:eastAsia="Times New Roman"/>
          <w:noProof/>
        </w:rPr>
        <w:t>materialise</w:t>
      </w:r>
      <w:r w:rsidR="45633C3A" w:rsidRPr="00244D65">
        <w:rPr>
          <w:rFonts w:eastAsia="Times New Roman"/>
          <w:noProof/>
        </w:rPr>
        <w:t>s</w:t>
      </w:r>
      <w:r w:rsidR="00B4451D" w:rsidRPr="00244D65">
        <w:rPr>
          <w:rFonts w:eastAsia="Times New Roman"/>
          <w:noProof/>
        </w:rPr>
        <w:t xml:space="preserve">, there should be a </w:t>
      </w:r>
      <w:r w:rsidR="1DBA9541" w:rsidRPr="00244D65">
        <w:rPr>
          <w:rFonts w:eastAsia="Times New Roman"/>
          <w:noProof/>
        </w:rPr>
        <w:t xml:space="preserve">limited/no </w:t>
      </w:r>
      <w:r w:rsidR="00B4451D" w:rsidRPr="00244D65">
        <w:rPr>
          <w:rFonts w:eastAsia="Times New Roman"/>
          <w:noProof/>
        </w:rPr>
        <w:t>impact on the ETS carbon price</w:t>
      </w:r>
      <w:r w:rsidR="004F7139" w:rsidRPr="00244D65">
        <w:rPr>
          <w:rFonts w:eastAsia="Times New Roman"/>
          <w:noProof/>
        </w:rPr>
        <w:t xml:space="preserve"> </w:t>
      </w:r>
      <w:r w:rsidR="009E6CEC" w:rsidRPr="00244D65">
        <w:rPr>
          <w:rFonts w:eastAsia="Times New Roman"/>
          <w:noProof/>
        </w:rPr>
        <w:t>that was modelled</w:t>
      </w:r>
      <w:r w:rsidR="00B4451D" w:rsidRPr="00244D65">
        <w:rPr>
          <w:rFonts w:eastAsia="Times New Roman"/>
          <w:noProof/>
        </w:rPr>
        <w:t xml:space="preserve">. </w:t>
      </w:r>
      <w:r w:rsidR="007467A7" w:rsidRPr="00244D65">
        <w:rPr>
          <w:rFonts w:eastAsia="Times New Roman"/>
          <w:noProof/>
        </w:rPr>
        <w:t>I</w:t>
      </w:r>
      <w:r w:rsidR="00B4451D" w:rsidRPr="00244D65">
        <w:rPr>
          <w:rFonts w:eastAsia="Times New Roman"/>
          <w:noProof/>
        </w:rPr>
        <w:t>n the modelling exercise investments happe</w:t>
      </w:r>
      <w:r w:rsidR="007467A7" w:rsidRPr="00244D65">
        <w:rPr>
          <w:rFonts w:eastAsia="Times New Roman"/>
          <w:noProof/>
        </w:rPr>
        <w:t>n due to the carbon price trajectory and regulatory framework</w:t>
      </w:r>
      <w:r w:rsidR="00D75E5E" w:rsidRPr="00244D65">
        <w:rPr>
          <w:rFonts w:eastAsia="Times New Roman"/>
          <w:noProof/>
        </w:rPr>
        <w:t>, fully implemented and</w:t>
      </w:r>
      <w:r w:rsidR="007467A7" w:rsidRPr="00244D65">
        <w:rPr>
          <w:rFonts w:eastAsia="Times New Roman"/>
          <w:noProof/>
        </w:rPr>
        <w:t xml:space="preserve"> perfectly integrated in the decision-making of all economic actors.</w:t>
      </w:r>
      <w:r w:rsidR="000C653C" w:rsidRPr="00244D65">
        <w:rPr>
          <w:rFonts w:eastAsia="Times New Roman"/>
          <w:noProof/>
        </w:rPr>
        <w:t xml:space="preserve"> </w:t>
      </w:r>
      <w:bookmarkStart w:id="193" w:name="_Int_rnElxAL8"/>
      <w:r w:rsidR="00D75E5E" w:rsidRPr="00244D65">
        <w:rPr>
          <w:rFonts w:eastAsia="Times New Roman"/>
          <w:noProof/>
        </w:rPr>
        <w:t xml:space="preserve">In </w:t>
      </w:r>
      <w:r w:rsidR="00BB4649" w:rsidRPr="00244D65">
        <w:rPr>
          <w:rFonts w:eastAsia="Times New Roman"/>
          <w:noProof/>
        </w:rPr>
        <w:t>reality,</w:t>
      </w:r>
      <w:r w:rsidR="000C653C" w:rsidRPr="00244D65">
        <w:rPr>
          <w:rFonts w:eastAsia="Times New Roman"/>
          <w:noProof/>
        </w:rPr>
        <w:t xml:space="preserve"> </w:t>
      </w:r>
      <w:r w:rsidR="00173234" w:rsidRPr="00244D65">
        <w:rPr>
          <w:rFonts w:eastAsia="Times New Roman"/>
          <w:noProof/>
        </w:rPr>
        <w:t>however</w:t>
      </w:r>
      <w:bookmarkEnd w:id="193"/>
      <w:r w:rsidR="00173234" w:rsidRPr="00244D65">
        <w:rPr>
          <w:rFonts w:eastAsia="Times New Roman"/>
          <w:noProof/>
        </w:rPr>
        <w:t xml:space="preserve">, </w:t>
      </w:r>
      <w:r w:rsidR="00BB4649" w:rsidRPr="00244D65">
        <w:rPr>
          <w:rFonts w:eastAsia="Times New Roman"/>
          <w:noProof/>
        </w:rPr>
        <w:t xml:space="preserve">there </w:t>
      </w:r>
      <w:r w:rsidR="00D75E5E" w:rsidRPr="00244D65">
        <w:rPr>
          <w:rFonts w:eastAsia="Times New Roman"/>
          <w:noProof/>
        </w:rPr>
        <w:t xml:space="preserve">will </w:t>
      </w:r>
      <w:r w:rsidR="00776F23" w:rsidRPr="00244D65">
        <w:rPr>
          <w:rFonts w:eastAsia="Times New Roman"/>
          <w:noProof/>
        </w:rPr>
        <w:t>still be shortcoming</w:t>
      </w:r>
      <w:r w:rsidR="00CF7CC6" w:rsidRPr="00244D65">
        <w:rPr>
          <w:rFonts w:eastAsia="Times New Roman"/>
          <w:noProof/>
        </w:rPr>
        <w:t xml:space="preserve">s </w:t>
      </w:r>
      <w:r w:rsidR="001F728A" w:rsidRPr="00244D65">
        <w:rPr>
          <w:rFonts w:eastAsia="Times New Roman"/>
          <w:noProof/>
        </w:rPr>
        <w:t>compared to model-based exercise and those shortcomings need to be addresse</w:t>
      </w:r>
      <w:r w:rsidR="00BB4649" w:rsidRPr="00244D65">
        <w:rPr>
          <w:rFonts w:eastAsia="Times New Roman"/>
          <w:noProof/>
        </w:rPr>
        <w:t>d by the support mechanisms.</w:t>
      </w:r>
    </w:p>
    <w:p w14:paraId="227B5E6F" w14:textId="4BB7B890" w:rsidR="00232016" w:rsidRPr="00244D65" w:rsidRDefault="00A04B52" w:rsidP="0085595C">
      <w:pPr>
        <w:rPr>
          <w:rFonts w:eastAsia="Times New Roman"/>
          <w:noProof/>
        </w:rPr>
      </w:pPr>
      <w:r w:rsidRPr="00244D65">
        <w:rPr>
          <w:rFonts w:eastAsia="Times New Roman"/>
          <w:noProof/>
        </w:rPr>
        <w:t xml:space="preserve">The IDB has no compliance costs for the ETS installation, instead it will </w:t>
      </w:r>
      <w:r w:rsidR="00933271" w:rsidRPr="00244D65">
        <w:rPr>
          <w:rFonts w:eastAsia="Times New Roman"/>
          <w:noProof/>
        </w:rPr>
        <w:t xml:space="preserve">turn the </w:t>
      </w:r>
      <w:r w:rsidR="0097209B" w:rsidRPr="00244D65">
        <w:rPr>
          <w:rFonts w:eastAsia="Times New Roman"/>
          <w:noProof/>
        </w:rPr>
        <w:t xml:space="preserve">ETS </w:t>
      </w:r>
      <w:r w:rsidR="00265940" w:rsidRPr="00244D65">
        <w:rPr>
          <w:rFonts w:eastAsia="Times New Roman"/>
          <w:noProof/>
        </w:rPr>
        <w:t xml:space="preserve">resources </w:t>
      </w:r>
      <w:r w:rsidR="00BF6C90" w:rsidRPr="00244D65">
        <w:rPr>
          <w:rFonts w:eastAsia="Times New Roman"/>
          <w:noProof/>
        </w:rPr>
        <w:t xml:space="preserve">into </w:t>
      </w:r>
      <w:r w:rsidR="00265940" w:rsidRPr="00244D65">
        <w:rPr>
          <w:rFonts w:eastAsia="Times New Roman"/>
          <w:noProof/>
        </w:rPr>
        <w:t xml:space="preserve">the </w:t>
      </w:r>
      <w:r w:rsidR="00BF6C90" w:rsidRPr="00244D65">
        <w:rPr>
          <w:rFonts w:eastAsia="Times New Roman"/>
          <w:noProof/>
        </w:rPr>
        <w:t>investment support for the industry</w:t>
      </w:r>
      <w:r w:rsidRPr="00244D65">
        <w:rPr>
          <w:rFonts w:eastAsia="Times New Roman"/>
          <w:noProof/>
        </w:rPr>
        <w:t xml:space="preserve"> </w:t>
      </w:r>
      <w:r w:rsidR="0043016E" w:rsidRPr="00244D65">
        <w:rPr>
          <w:rFonts w:eastAsia="Times New Roman"/>
          <w:noProof/>
        </w:rPr>
        <w:t xml:space="preserve">so that the industry can </w:t>
      </w:r>
      <w:r w:rsidR="00E851AB" w:rsidRPr="00244D65">
        <w:rPr>
          <w:rFonts w:eastAsia="Times New Roman"/>
          <w:noProof/>
        </w:rPr>
        <w:t>follow the net-zero trajectory</w:t>
      </w:r>
      <w:r w:rsidR="00BF6C90" w:rsidRPr="00244D65">
        <w:rPr>
          <w:rFonts w:eastAsia="Times New Roman"/>
          <w:noProof/>
        </w:rPr>
        <w:t xml:space="preserve">. </w:t>
      </w:r>
      <w:r w:rsidR="7EF7459E" w:rsidRPr="00244D65">
        <w:rPr>
          <w:rFonts w:eastAsia="Times New Roman"/>
          <w:noProof/>
        </w:rPr>
        <w:t xml:space="preserve">The </w:t>
      </w:r>
      <w:r w:rsidR="005F3ADD" w:rsidRPr="00244D65">
        <w:rPr>
          <w:rFonts w:eastAsia="Times New Roman"/>
          <w:noProof/>
        </w:rPr>
        <w:t>magnitude of this support wi</w:t>
      </w:r>
      <w:r w:rsidR="00F30C3D" w:rsidRPr="00244D65">
        <w:rPr>
          <w:rFonts w:eastAsia="Times New Roman"/>
          <w:noProof/>
        </w:rPr>
        <w:t xml:space="preserve">ll vary </w:t>
      </w:r>
      <w:r w:rsidR="7EF7459E" w:rsidRPr="00244D65">
        <w:rPr>
          <w:rFonts w:eastAsia="Times New Roman"/>
          <w:noProof/>
        </w:rPr>
        <w:t xml:space="preserve">across </w:t>
      </w:r>
      <w:r w:rsidR="00446247" w:rsidRPr="00244D65">
        <w:rPr>
          <w:rFonts w:eastAsia="Times New Roman"/>
          <w:noProof/>
        </w:rPr>
        <w:t xml:space="preserve">the </w:t>
      </w:r>
      <w:r w:rsidR="7EF7459E" w:rsidRPr="00244D65">
        <w:rPr>
          <w:rFonts w:eastAsia="Times New Roman"/>
          <w:noProof/>
        </w:rPr>
        <w:t xml:space="preserve">IDB options primarily </w:t>
      </w:r>
      <w:r w:rsidR="00F30C3D" w:rsidRPr="00244D65">
        <w:rPr>
          <w:rFonts w:eastAsia="Times New Roman"/>
          <w:noProof/>
        </w:rPr>
        <w:t xml:space="preserve">due to </w:t>
      </w:r>
      <w:r w:rsidR="000A3217" w:rsidRPr="00244D65">
        <w:rPr>
          <w:rFonts w:eastAsia="Times New Roman"/>
          <w:noProof/>
        </w:rPr>
        <w:t>type of support (fixed or variable premium</w:t>
      </w:r>
      <w:r w:rsidR="00A866B0" w:rsidRPr="00244D65">
        <w:rPr>
          <w:rFonts w:eastAsia="Times New Roman"/>
          <w:noProof/>
        </w:rPr>
        <w:t>) and even more granular support features than those analysed in this I</w:t>
      </w:r>
      <w:r w:rsidR="00DA2D5B" w:rsidRPr="00244D65">
        <w:rPr>
          <w:rFonts w:eastAsia="Times New Roman"/>
          <w:noProof/>
        </w:rPr>
        <w:t xml:space="preserve">mpact </w:t>
      </w:r>
      <w:r w:rsidR="00A866B0" w:rsidRPr="00244D65">
        <w:rPr>
          <w:rFonts w:eastAsia="Times New Roman"/>
          <w:noProof/>
        </w:rPr>
        <w:t>A</w:t>
      </w:r>
      <w:r w:rsidR="00DA2D5B" w:rsidRPr="00244D65">
        <w:rPr>
          <w:rFonts w:eastAsia="Times New Roman"/>
          <w:noProof/>
        </w:rPr>
        <w:t>ssessment</w:t>
      </w:r>
      <w:r w:rsidR="00935039" w:rsidRPr="00244D65">
        <w:rPr>
          <w:rFonts w:eastAsia="Times New Roman"/>
          <w:noProof/>
        </w:rPr>
        <w:t>, e.g.</w:t>
      </w:r>
      <w:r w:rsidR="00232016" w:rsidRPr="00244D65">
        <w:rPr>
          <w:rFonts w:eastAsia="Times New Roman"/>
          <w:noProof/>
        </w:rPr>
        <w:t xml:space="preserve"> the </w:t>
      </w:r>
      <w:r w:rsidR="00935039" w:rsidRPr="00244D65">
        <w:rPr>
          <w:rFonts w:eastAsia="Times New Roman"/>
          <w:noProof/>
        </w:rPr>
        <w:t>size of fixed premium.</w:t>
      </w:r>
      <w:r w:rsidR="000C653C" w:rsidRPr="00244D65">
        <w:rPr>
          <w:rFonts w:eastAsia="Times New Roman"/>
          <w:noProof/>
        </w:rPr>
        <w:t xml:space="preserve"> </w:t>
      </w:r>
    </w:p>
    <w:p w14:paraId="61DDA89C" w14:textId="566ABC85" w:rsidR="00F77B0A" w:rsidRPr="00244D65" w:rsidRDefault="07586D2E" w:rsidP="0085595C">
      <w:pPr>
        <w:pStyle w:val="Heading4"/>
        <w:rPr>
          <w:noProof/>
        </w:rPr>
      </w:pPr>
      <w:r w:rsidRPr="00244D65">
        <w:rPr>
          <w:noProof/>
        </w:rPr>
        <w:t xml:space="preserve"> </w:t>
      </w:r>
      <w:r w:rsidR="00F77B0A" w:rsidRPr="00244D65">
        <w:rPr>
          <w:noProof/>
        </w:rPr>
        <w:t>Aviation</w:t>
      </w:r>
    </w:p>
    <w:p w14:paraId="0040D41A" w14:textId="61AD3238" w:rsidR="00B01B35" w:rsidRPr="00244D65" w:rsidRDefault="00D7331E" w:rsidP="0085595C">
      <w:pPr>
        <w:rPr>
          <w:noProof/>
          <w:lang w:eastAsia="en-GB"/>
        </w:rPr>
      </w:pPr>
      <w:r w:rsidRPr="00244D65">
        <w:rPr>
          <w:b/>
          <w:bCs/>
          <w:noProof/>
          <w:lang w:eastAsia="en-GB"/>
        </w:rPr>
        <w:t>Compliance costs for aviation</w:t>
      </w:r>
      <w:r w:rsidRPr="00244D65">
        <w:rPr>
          <w:noProof/>
          <w:lang w:eastAsia="en-GB"/>
        </w:rPr>
        <w:t xml:space="preserve"> are </w:t>
      </w:r>
      <w:r w:rsidR="008C14E0" w:rsidRPr="00244D65">
        <w:rPr>
          <w:noProof/>
          <w:lang w:eastAsia="en-GB"/>
        </w:rPr>
        <w:t>made up by</w:t>
      </w:r>
      <w:r w:rsidRPr="00244D65">
        <w:rPr>
          <w:noProof/>
          <w:lang w:eastAsia="en-GB"/>
        </w:rPr>
        <w:t xml:space="preserve"> ETS compliance costs </w:t>
      </w:r>
      <w:r w:rsidR="00C50AFD" w:rsidRPr="00244D65">
        <w:rPr>
          <w:noProof/>
          <w:lang w:eastAsia="en-GB"/>
        </w:rPr>
        <w:t xml:space="preserve">(minus </w:t>
      </w:r>
      <w:r w:rsidR="00764F2D" w:rsidRPr="00244D65">
        <w:rPr>
          <w:noProof/>
          <w:lang w:eastAsia="en-GB"/>
        </w:rPr>
        <w:t xml:space="preserve">benefits from ETS-financed SAF support) </w:t>
      </w:r>
      <w:r w:rsidRPr="00244D65">
        <w:rPr>
          <w:noProof/>
          <w:lang w:eastAsia="en-GB"/>
        </w:rPr>
        <w:t>and CORSIA compliance costs, as applicable in the different policy options.</w:t>
      </w:r>
      <w:r w:rsidR="00766DD8" w:rsidRPr="00244D65">
        <w:rPr>
          <w:noProof/>
          <w:lang w:eastAsia="en-GB"/>
        </w:rPr>
        <w:t xml:space="preserve"> </w:t>
      </w:r>
      <w:r w:rsidR="00032059" w:rsidRPr="00244D65">
        <w:rPr>
          <w:noProof/>
          <w:lang w:eastAsia="en-GB"/>
        </w:rPr>
        <w:t xml:space="preserve">Costs for compliance with ReFuelEU Aviation are </w:t>
      </w:r>
      <w:r w:rsidR="00840606" w:rsidRPr="00244D65">
        <w:rPr>
          <w:noProof/>
          <w:lang w:eastAsia="en-GB"/>
        </w:rPr>
        <w:t>out of the scope of this Impact Assessment</w:t>
      </w:r>
      <w:r w:rsidR="00032059" w:rsidRPr="00244D65">
        <w:rPr>
          <w:noProof/>
          <w:lang w:eastAsia="en-GB"/>
        </w:rPr>
        <w:t xml:space="preserve">. </w:t>
      </w:r>
      <w:r w:rsidR="00CA0087" w:rsidRPr="00244D65">
        <w:rPr>
          <w:noProof/>
          <w:lang w:eastAsia="en-GB"/>
        </w:rPr>
        <w:t>A</w:t>
      </w:r>
      <w:r w:rsidR="00292A80" w:rsidRPr="00244D65">
        <w:rPr>
          <w:noProof/>
          <w:lang w:eastAsia="en-GB"/>
        </w:rPr>
        <w:t>dministrative costs</w:t>
      </w:r>
      <w:r w:rsidR="00CA0087" w:rsidRPr="00244D65">
        <w:rPr>
          <w:noProof/>
          <w:lang w:eastAsia="en-GB"/>
        </w:rPr>
        <w:t xml:space="preserve"> are limited and covered in</w:t>
      </w:r>
      <w:r w:rsidR="00292A80" w:rsidRPr="00244D65">
        <w:rPr>
          <w:noProof/>
          <w:lang w:eastAsia="en-GB"/>
        </w:rPr>
        <w:t xml:space="preserve"> </w:t>
      </w:r>
      <w:r w:rsidR="00E455D7" w:rsidRPr="00244D65">
        <w:rPr>
          <w:noProof/>
          <w:lang w:eastAsia="en-GB"/>
        </w:rPr>
        <w:t>S</w:t>
      </w:r>
      <w:r w:rsidR="00292A80" w:rsidRPr="00244D65">
        <w:rPr>
          <w:noProof/>
          <w:lang w:eastAsia="en-GB"/>
        </w:rPr>
        <w:t xml:space="preserve">ection </w:t>
      </w:r>
      <w:r w:rsidR="00292A80" w:rsidRPr="00244D65">
        <w:rPr>
          <w:noProof/>
          <w:lang w:eastAsia="en-GB"/>
        </w:rPr>
        <w:fldChar w:fldCharType="begin"/>
      </w:r>
      <w:r w:rsidR="00292A80" w:rsidRPr="00244D65">
        <w:rPr>
          <w:noProof/>
          <w:lang w:eastAsia="en-GB"/>
        </w:rPr>
        <w:instrText xml:space="preserve"> REF _Ref214955294 \w \h </w:instrText>
      </w:r>
      <w:r w:rsidR="001F5833" w:rsidRPr="00244D65">
        <w:rPr>
          <w:noProof/>
          <w:lang w:eastAsia="en-GB"/>
        </w:rPr>
        <w:instrText xml:space="preserve"> \* MERGEFORMAT </w:instrText>
      </w:r>
      <w:r w:rsidR="00292A80" w:rsidRPr="00244D65">
        <w:rPr>
          <w:noProof/>
          <w:lang w:eastAsia="en-GB"/>
        </w:rPr>
      </w:r>
      <w:r w:rsidR="00292A80" w:rsidRPr="00244D65">
        <w:rPr>
          <w:noProof/>
          <w:lang w:eastAsia="en-GB"/>
        </w:rPr>
        <w:fldChar w:fldCharType="separate"/>
      </w:r>
      <w:r w:rsidR="005134CF" w:rsidRPr="00244D65">
        <w:rPr>
          <w:noProof/>
          <w:lang w:eastAsia="en-GB"/>
        </w:rPr>
        <w:t>6.2.2.3</w:t>
      </w:r>
      <w:r w:rsidR="00292A80" w:rsidRPr="00244D65">
        <w:rPr>
          <w:noProof/>
          <w:lang w:eastAsia="en-GB"/>
        </w:rPr>
        <w:fldChar w:fldCharType="end"/>
      </w:r>
      <w:r w:rsidR="00292A80" w:rsidRPr="00244D65">
        <w:rPr>
          <w:noProof/>
          <w:lang w:eastAsia="en-GB"/>
        </w:rPr>
        <w:t xml:space="preserve">. </w:t>
      </w:r>
      <w:r w:rsidR="00A2695A" w:rsidRPr="00244D65">
        <w:rPr>
          <w:noProof/>
          <w:lang w:eastAsia="en-GB"/>
        </w:rPr>
        <w:t xml:space="preserve">In the baseline, </w:t>
      </w:r>
      <w:r w:rsidRPr="00244D65">
        <w:rPr>
          <w:b/>
          <w:bCs/>
          <w:noProof/>
          <w:lang w:eastAsia="en-GB"/>
        </w:rPr>
        <w:t>ETS compliance costs</w:t>
      </w:r>
      <w:r w:rsidRPr="00244D65">
        <w:rPr>
          <w:noProof/>
          <w:lang w:eastAsia="en-GB"/>
        </w:rPr>
        <w:t xml:space="preserve"> </w:t>
      </w:r>
      <w:r w:rsidR="00CA7158" w:rsidRPr="00244D65">
        <w:rPr>
          <w:noProof/>
          <w:lang w:eastAsia="en-GB"/>
        </w:rPr>
        <w:t xml:space="preserve">are highest, </w:t>
      </w:r>
      <w:r w:rsidR="00A2695A" w:rsidRPr="00244D65">
        <w:rPr>
          <w:noProof/>
          <w:lang w:eastAsia="en-GB"/>
        </w:rPr>
        <w:t xml:space="preserve">because </w:t>
      </w:r>
      <w:r w:rsidR="00CA7158" w:rsidRPr="00244D65">
        <w:rPr>
          <w:noProof/>
          <w:lang w:eastAsia="en-GB"/>
        </w:rPr>
        <w:t>the ETS scope is largest</w:t>
      </w:r>
      <w:r w:rsidR="004A7953" w:rsidRPr="00244D65">
        <w:rPr>
          <w:noProof/>
          <w:lang w:eastAsia="en-GB"/>
        </w:rPr>
        <w:t xml:space="preserve">. </w:t>
      </w:r>
      <w:r w:rsidR="00EC2325" w:rsidRPr="00244D65">
        <w:rPr>
          <w:noProof/>
          <w:lang w:eastAsia="en-GB"/>
        </w:rPr>
        <w:t>When looking at 2035</w:t>
      </w:r>
      <w:r w:rsidR="007535E5" w:rsidRPr="00244D65">
        <w:rPr>
          <w:noProof/>
          <w:lang w:eastAsia="en-GB"/>
        </w:rPr>
        <w:t xml:space="preserve">, ETS compliance costs </w:t>
      </w:r>
      <w:r w:rsidR="002A31B2" w:rsidRPr="00244D65">
        <w:rPr>
          <w:noProof/>
          <w:lang w:eastAsia="en-GB"/>
        </w:rPr>
        <w:t xml:space="preserve">are lowest in PO3, where ETS-financed SAF support is highest. </w:t>
      </w:r>
      <w:r w:rsidR="00281812" w:rsidRPr="00244D65">
        <w:rPr>
          <w:noProof/>
          <w:lang w:eastAsia="en-GB"/>
        </w:rPr>
        <w:t>ETS compliance costs are highest in the baseline, and second highest in PO2</w:t>
      </w:r>
      <w:r w:rsidR="00875B29" w:rsidRPr="00244D65">
        <w:rPr>
          <w:noProof/>
          <w:lang w:eastAsia="en-GB"/>
        </w:rPr>
        <w:t>, where the ETS scope is the same as in PO3, but ETS-financed SAF support is modelled to have run out.</w:t>
      </w:r>
      <w:r w:rsidR="00143E6E" w:rsidRPr="00244D65">
        <w:rPr>
          <w:noProof/>
          <w:lang w:eastAsia="en-GB"/>
        </w:rPr>
        <w:t xml:space="preserve"> </w:t>
      </w:r>
      <w:r w:rsidR="00C429AA" w:rsidRPr="00244D65">
        <w:rPr>
          <w:noProof/>
          <w:lang w:eastAsia="en-GB"/>
        </w:rPr>
        <w:t xml:space="preserve">ETS compliance costs are </w:t>
      </w:r>
      <w:r w:rsidR="00515F13" w:rsidRPr="00244D65">
        <w:rPr>
          <w:noProof/>
          <w:lang w:eastAsia="en-GB"/>
        </w:rPr>
        <w:t>mostly</w:t>
      </w:r>
      <w:r w:rsidR="003F1FC2" w:rsidRPr="00244D65">
        <w:rPr>
          <w:noProof/>
          <w:lang w:eastAsia="en-GB"/>
        </w:rPr>
        <w:t xml:space="preserve"> channelled back </w:t>
      </w:r>
      <w:r w:rsidR="00515F13" w:rsidRPr="00244D65">
        <w:rPr>
          <w:noProof/>
          <w:lang w:eastAsia="en-GB"/>
        </w:rPr>
        <w:t>towards</w:t>
      </w:r>
      <w:r w:rsidR="003F1FC2" w:rsidRPr="00244D65">
        <w:rPr>
          <w:noProof/>
          <w:lang w:eastAsia="en-GB"/>
        </w:rPr>
        <w:t xml:space="preserve"> climate action</w:t>
      </w:r>
      <w:r w:rsidR="00515F13" w:rsidRPr="00244D65">
        <w:rPr>
          <w:noProof/>
          <w:lang w:eastAsia="en-GB"/>
        </w:rPr>
        <w:t xml:space="preserve">: either </w:t>
      </w:r>
      <w:r w:rsidR="00022AFB" w:rsidRPr="00244D65">
        <w:rPr>
          <w:noProof/>
          <w:lang w:eastAsia="en-GB"/>
        </w:rPr>
        <w:t xml:space="preserve">through revenues for </w:t>
      </w:r>
      <w:r w:rsidR="003F1FC2" w:rsidRPr="00244D65">
        <w:rPr>
          <w:noProof/>
          <w:lang w:eastAsia="en-GB"/>
        </w:rPr>
        <w:t>Member States</w:t>
      </w:r>
      <w:r w:rsidR="00022AFB" w:rsidRPr="00244D65">
        <w:rPr>
          <w:noProof/>
          <w:lang w:eastAsia="en-GB"/>
        </w:rPr>
        <w:t>, which they</w:t>
      </w:r>
      <w:r w:rsidR="000F709C" w:rsidRPr="00244D65">
        <w:rPr>
          <w:noProof/>
          <w:lang w:eastAsia="en-GB"/>
        </w:rPr>
        <w:t xml:space="preserve"> must use</w:t>
      </w:r>
      <w:r w:rsidR="00CE4050" w:rsidRPr="00244D65">
        <w:rPr>
          <w:noProof/>
          <w:lang w:eastAsia="en-GB"/>
        </w:rPr>
        <w:t xml:space="preserve"> towards climate purposes</w:t>
      </w:r>
      <w:r w:rsidR="00022AFB" w:rsidRPr="00244D65">
        <w:rPr>
          <w:noProof/>
          <w:lang w:eastAsia="en-GB"/>
        </w:rPr>
        <w:t xml:space="preserve"> (in the sector of their choosing)</w:t>
      </w:r>
      <w:r w:rsidR="00840606" w:rsidRPr="00244D65">
        <w:rPr>
          <w:noProof/>
          <w:lang w:eastAsia="en-GB"/>
        </w:rPr>
        <w:t>,</w:t>
      </w:r>
      <w:r w:rsidR="000F709C" w:rsidRPr="00244D65">
        <w:rPr>
          <w:noProof/>
          <w:lang w:eastAsia="en-GB"/>
        </w:rPr>
        <w:t xml:space="preserve"> </w:t>
      </w:r>
      <w:r w:rsidR="00B01B35" w:rsidRPr="00244D65">
        <w:rPr>
          <w:noProof/>
          <w:lang w:eastAsia="en-GB"/>
        </w:rPr>
        <w:t>and/ or</w:t>
      </w:r>
      <w:r w:rsidR="000F709C" w:rsidRPr="00244D65">
        <w:rPr>
          <w:noProof/>
          <w:lang w:eastAsia="en-GB"/>
        </w:rPr>
        <w:t xml:space="preserve"> </w:t>
      </w:r>
      <w:r w:rsidR="009A10C3" w:rsidRPr="00244D65">
        <w:rPr>
          <w:noProof/>
          <w:lang w:eastAsia="en-GB"/>
        </w:rPr>
        <w:t xml:space="preserve">for </w:t>
      </w:r>
      <w:r w:rsidR="00E55C6A" w:rsidRPr="00244D65">
        <w:rPr>
          <w:noProof/>
          <w:lang w:eastAsia="en-GB"/>
        </w:rPr>
        <w:t>allowances for the support of uplift of eligible SAF</w:t>
      </w:r>
      <w:r w:rsidR="00B01B35" w:rsidRPr="00244D65">
        <w:rPr>
          <w:noProof/>
          <w:lang w:eastAsia="en-GB"/>
        </w:rPr>
        <w:t xml:space="preserve"> which are set aside before the revenues reach Member States. Most revenues are set aside for ETS-financed SAF support in PO3, </w:t>
      </w:r>
      <w:r w:rsidR="00780949" w:rsidRPr="00244D65">
        <w:rPr>
          <w:noProof/>
          <w:lang w:eastAsia="en-GB"/>
        </w:rPr>
        <w:t xml:space="preserve">and least (none) in PO1 and the baseline. The baseline and PO2 result in the highest </w:t>
      </w:r>
      <w:r w:rsidR="00055D09" w:rsidRPr="00244D65">
        <w:rPr>
          <w:noProof/>
          <w:lang w:eastAsia="en-GB"/>
        </w:rPr>
        <w:t>revenues for Member States</w:t>
      </w:r>
      <w:r w:rsidR="0093603C" w:rsidRPr="00244D65">
        <w:rPr>
          <w:noProof/>
          <w:lang w:eastAsia="en-GB"/>
        </w:rPr>
        <w:t xml:space="preserve">, </w:t>
      </w:r>
      <w:r w:rsidR="00B61020" w:rsidRPr="00244D65">
        <w:rPr>
          <w:noProof/>
          <w:lang w:eastAsia="en-GB"/>
        </w:rPr>
        <w:t xml:space="preserve">as the ETS scope of application is larger (largest in the baseline) and </w:t>
      </w:r>
      <w:r w:rsidR="002731AF" w:rsidRPr="00244D65">
        <w:rPr>
          <w:noProof/>
          <w:lang w:eastAsia="en-GB"/>
        </w:rPr>
        <w:t>SAF support is smaller (none in the baseline).</w:t>
      </w:r>
      <w:r w:rsidR="00913E40" w:rsidRPr="00244D65">
        <w:rPr>
          <w:noProof/>
          <w:lang w:eastAsia="en-GB"/>
        </w:rPr>
        <w:t xml:space="preserve"> </w:t>
      </w:r>
      <w:r w:rsidR="00AD2A73" w:rsidRPr="00244D65">
        <w:rPr>
          <w:noProof/>
          <w:lang w:eastAsia="en-GB"/>
        </w:rPr>
        <w:t>S</w:t>
      </w:r>
      <w:r w:rsidR="00056520" w:rsidRPr="00244D65">
        <w:rPr>
          <w:noProof/>
          <w:lang w:eastAsia="en-GB"/>
        </w:rPr>
        <w:t>ee Annex 10</w:t>
      </w:r>
      <w:r w:rsidR="0029094A" w:rsidRPr="00244D65">
        <w:rPr>
          <w:noProof/>
          <w:lang w:eastAsia="en-GB"/>
        </w:rPr>
        <w:t xml:space="preserve">, </w:t>
      </w:r>
      <w:r w:rsidR="00E455D7" w:rsidRPr="00244D65">
        <w:rPr>
          <w:noProof/>
          <w:lang w:eastAsia="en-GB"/>
        </w:rPr>
        <w:t>S</w:t>
      </w:r>
      <w:r w:rsidR="00464A9C" w:rsidRPr="00244D65">
        <w:rPr>
          <w:noProof/>
          <w:lang w:eastAsia="en-GB"/>
        </w:rPr>
        <w:t>ection 3.1, tables 13</w:t>
      </w:r>
      <w:r w:rsidR="00D02A6D" w:rsidRPr="00244D65">
        <w:rPr>
          <w:noProof/>
          <w:lang w:eastAsia="en-GB"/>
        </w:rPr>
        <w:t xml:space="preserve"> and 14</w:t>
      </w:r>
      <w:r w:rsidR="00AD2A73" w:rsidRPr="00244D65">
        <w:rPr>
          <w:noProof/>
          <w:lang w:eastAsia="en-GB"/>
        </w:rPr>
        <w:t>.</w:t>
      </w:r>
    </w:p>
    <w:p w14:paraId="760F114B" w14:textId="02B8E11E" w:rsidR="00D7331E" w:rsidRPr="00244D65" w:rsidRDefault="00D7331E" w:rsidP="0085595C">
      <w:pPr>
        <w:rPr>
          <w:noProof/>
          <w:lang w:eastAsia="en-GB"/>
        </w:rPr>
      </w:pPr>
      <w:r w:rsidRPr="00244D65">
        <w:rPr>
          <w:b/>
          <w:bCs/>
          <w:noProof/>
          <w:lang w:eastAsia="en-GB"/>
        </w:rPr>
        <w:t xml:space="preserve">CORSIA compliance costs </w:t>
      </w:r>
      <w:r w:rsidR="001165E1" w:rsidRPr="00244D65">
        <w:rPr>
          <w:noProof/>
          <w:lang w:eastAsia="en-GB"/>
        </w:rPr>
        <w:t>depend on the level of participation of third countries</w:t>
      </w:r>
      <w:r w:rsidR="00075C10" w:rsidRPr="00244D65">
        <w:rPr>
          <w:noProof/>
          <w:lang w:eastAsia="en-GB"/>
        </w:rPr>
        <w:t xml:space="preserve"> (see Annex 10).</w:t>
      </w:r>
      <w:r w:rsidR="0071542F" w:rsidRPr="00244D65">
        <w:rPr>
          <w:noProof/>
          <w:lang w:eastAsia="en-GB"/>
        </w:rPr>
        <w:t xml:space="preserve"> CORSIA compliance costs are highest in PO1, </w:t>
      </w:r>
      <w:r w:rsidR="00607EB9" w:rsidRPr="00244D65">
        <w:rPr>
          <w:noProof/>
          <w:lang w:eastAsia="en-GB"/>
        </w:rPr>
        <w:t xml:space="preserve">since it assumes highest implementation of CORSIA by third countries. </w:t>
      </w:r>
      <w:r w:rsidR="00BE57F6" w:rsidRPr="00244D65">
        <w:rPr>
          <w:noProof/>
          <w:lang w:eastAsia="en-GB"/>
        </w:rPr>
        <w:t>CORSIA is currently implemented in EU law until the end of 2026</w:t>
      </w:r>
      <w:r w:rsidR="00CB382C" w:rsidRPr="00244D65">
        <w:rPr>
          <w:noProof/>
          <w:lang w:eastAsia="en-GB"/>
        </w:rPr>
        <w:t xml:space="preserve">, therefore CORSIA costs are zero in the baseline. For all policy options, CORSIA costs are zero after 2035, as this is when CORSIA is set to end. In PO2/3, CORSIA costs are </w:t>
      </w:r>
      <w:r w:rsidR="00C3568F" w:rsidRPr="00244D65">
        <w:rPr>
          <w:noProof/>
          <w:lang w:eastAsia="en-GB"/>
        </w:rPr>
        <w:t xml:space="preserve">lower than in PO1, because </w:t>
      </w:r>
      <w:r w:rsidR="003679A4" w:rsidRPr="00244D65">
        <w:rPr>
          <w:noProof/>
          <w:lang w:eastAsia="en-GB"/>
        </w:rPr>
        <w:t xml:space="preserve">it is assumed that fewer third countries implement the scheme. </w:t>
      </w:r>
      <w:r w:rsidR="00E504EE" w:rsidRPr="00244D65">
        <w:rPr>
          <w:noProof/>
          <w:lang w:eastAsia="en-GB"/>
        </w:rPr>
        <w:t>An important characteristic of t</w:t>
      </w:r>
      <w:r w:rsidR="00B52188" w:rsidRPr="00244D65">
        <w:rPr>
          <w:noProof/>
          <w:lang w:eastAsia="en-GB"/>
        </w:rPr>
        <w:t xml:space="preserve">his Impact Assessment and </w:t>
      </w:r>
      <w:r w:rsidR="00B8799F" w:rsidRPr="00244D65">
        <w:rPr>
          <w:noProof/>
          <w:lang w:eastAsia="en-GB"/>
        </w:rPr>
        <w:t xml:space="preserve">the </w:t>
      </w:r>
      <w:r w:rsidR="00B52188" w:rsidRPr="00244D65">
        <w:rPr>
          <w:noProof/>
          <w:lang w:eastAsia="en-GB"/>
        </w:rPr>
        <w:t>Commission approach</w:t>
      </w:r>
      <w:r w:rsidR="00E504EE" w:rsidRPr="00244D65">
        <w:rPr>
          <w:noProof/>
          <w:lang w:eastAsia="en-GB"/>
        </w:rPr>
        <w:t xml:space="preserve"> is that </w:t>
      </w:r>
      <w:r w:rsidR="00E95CA5" w:rsidRPr="00244D65">
        <w:rPr>
          <w:noProof/>
          <w:lang w:eastAsia="en-GB"/>
        </w:rPr>
        <w:t xml:space="preserve">it </w:t>
      </w:r>
      <w:r w:rsidR="00E95CA5" w:rsidRPr="00244D65">
        <w:rPr>
          <w:b/>
          <w:bCs/>
          <w:noProof/>
          <w:lang w:eastAsia="en-GB"/>
        </w:rPr>
        <w:t xml:space="preserve">avoids </w:t>
      </w:r>
      <w:r w:rsidR="00E504EE" w:rsidRPr="00244D65">
        <w:rPr>
          <w:b/>
          <w:bCs/>
          <w:noProof/>
          <w:lang w:eastAsia="en-GB"/>
        </w:rPr>
        <w:t>double pricing emissions</w:t>
      </w:r>
      <w:r w:rsidR="00E504EE" w:rsidRPr="00244D65">
        <w:rPr>
          <w:noProof/>
          <w:lang w:eastAsia="en-GB"/>
        </w:rPr>
        <w:t xml:space="preserve"> </w:t>
      </w:r>
      <w:r w:rsidR="00E95CA5" w:rsidRPr="00244D65">
        <w:rPr>
          <w:noProof/>
          <w:lang w:eastAsia="en-GB"/>
        </w:rPr>
        <w:t>– for each tonne of CO</w:t>
      </w:r>
      <w:r w:rsidR="00E95CA5" w:rsidRPr="00244D65">
        <w:rPr>
          <w:noProof/>
          <w:vertAlign w:val="subscript"/>
          <w:lang w:eastAsia="en-GB"/>
        </w:rPr>
        <w:t>2</w:t>
      </w:r>
      <w:r w:rsidR="00E95CA5" w:rsidRPr="00244D65">
        <w:rPr>
          <w:noProof/>
          <w:lang w:eastAsia="en-GB"/>
        </w:rPr>
        <w:t xml:space="preserve"> emissions, airlines either pay the ETS carbon price, CORSIA offsetting, </w:t>
      </w:r>
      <w:r w:rsidR="00CD25F2" w:rsidRPr="00244D65">
        <w:rPr>
          <w:noProof/>
          <w:lang w:eastAsia="en-GB"/>
        </w:rPr>
        <w:t>or no carbon price (if an exemption applies): airlines pay at most once per tonne of CO</w:t>
      </w:r>
      <w:r w:rsidR="00CD25F2" w:rsidRPr="00244D65">
        <w:rPr>
          <w:noProof/>
          <w:vertAlign w:val="subscript"/>
          <w:lang w:eastAsia="en-GB"/>
        </w:rPr>
        <w:t>2</w:t>
      </w:r>
      <w:r w:rsidR="00CD25F2" w:rsidRPr="00244D65">
        <w:rPr>
          <w:noProof/>
          <w:lang w:eastAsia="en-GB"/>
        </w:rPr>
        <w:t xml:space="preserve"> emissions, never more than once, because PO2/3 allow for the deduction of CORSIA offsetting costs from ETS </w:t>
      </w:r>
      <w:r w:rsidR="00982ABD" w:rsidRPr="00244D65">
        <w:rPr>
          <w:noProof/>
          <w:lang w:eastAsia="en-GB"/>
        </w:rPr>
        <w:t xml:space="preserve">costs. This is </w:t>
      </w:r>
      <w:bookmarkStart w:id="194" w:name="_Int_GrRRxB3p"/>
      <w:r w:rsidR="00982ABD" w:rsidRPr="00244D65">
        <w:rPr>
          <w:noProof/>
          <w:lang w:eastAsia="en-GB"/>
        </w:rPr>
        <w:t>taken into account</w:t>
      </w:r>
      <w:bookmarkEnd w:id="194"/>
      <w:r w:rsidR="00982ABD" w:rsidRPr="00244D65">
        <w:rPr>
          <w:noProof/>
          <w:lang w:eastAsia="en-GB"/>
        </w:rPr>
        <w:t xml:space="preserve"> in all modelling.</w:t>
      </w:r>
      <w:r w:rsidR="003679A4" w:rsidRPr="00244D65">
        <w:rPr>
          <w:noProof/>
          <w:lang w:eastAsia="en-GB"/>
        </w:rPr>
        <w:t xml:space="preserve"> </w:t>
      </w:r>
      <w:r w:rsidR="001A67A2" w:rsidRPr="00244D65">
        <w:rPr>
          <w:noProof/>
          <w:lang w:eastAsia="en-GB"/>
        </w:rPr>
        <w:t xml:space="preserve">CORSIA compliance costs </w:t>
      </w:r>
      <w:r w:rsidR="00931953" w:rsidRPr="00244D65">
        <w:rPr>
          <w:noProof/>
          <w:lang w:eastAsia="en-GB"/>
        </w:rPr>
        <w:t xml:space="preserve">are expected </w:t>
      </w:r>
      <w:r w:rsidR="005452AA" w:rsidRPr="00244D65">
        <w:rPr>
          <w:noProof/>
          <w:lang w:eastAsia="en-GB"/>
        </w:rPr>
        <w:t xml:space="preserve">to </w:t>
      </w:r>
      <w:r w:rsidR="00A25949" w:rsidRPr="00244D65">
        <w:rPr>
          <w:noProof/>
          <w:lang w:eastAsia="en-GB"/>
        </w:rPr>
        <w:t>nearly exclusively</w:t>
      </w:r>
      <w:r w:rsidR="001A67A2" w:rsidRPr="00244D65">
        <w:rPr>
          <w:noProof/>
          <w:lang w:eastAsia="en-GB"/>
        </w:rPr>
        <w:t xml:space="preserve"> </w:t>
      </w:r>
      <w:r w:rsidRPr="00244D65">
        <w:rPr>
          <w:noProof/>
          <w:lang w:eastAsia="en-GB"/>
        </w:rPr>
        <w:t>go towards</w:t>
      </w:r>
      <w:r w:rsidR="00C926B1" w:rsidRPr="00244D65">
        <w:rPr>
          <w:noProof/>
          <w:lang w:eastAsia="en-GB"/>
        </w:rPr>
        <w:t xml:space="preserve"> the purchase </w:t>
      </w:r>
      <w:r w:rsidR="007617F6" w:rsidRPr="00244D65">
        <w:rPr>
          <w:noProof/>
          <w:lang w:eastAsia="en-GB"/>
        </w:rPr>
        <w:t>of offset credits</w:t>
      </w:r>
      <w:r w:rsidRPr="00244D65">
        <w:rPr>
          <w:noProof/>
          <w:lang w:eastAsia="en-GB"/>
        </w:rPr>
        <w:t xml:space="preserve"> </w:t>
      </w:r>
      <w:r w:rsidR="00ED75F4" w:rsidRPr="00244D65">
        <w:rPr>
          <w:noProof/>
          <w:lang w:eastAsia="en-GB"/>
        </w:rPr>
        <w:t xml:space="preserve">which </w:t>
      </w:r>
      <w:bookmarkStart w:id="195" w:name="_Int_9uajMJn3"/>
      <w:r w:rsidR="00E450C9" w:rsidRPr="00244D65">
        <w:rPr>
          <w:noProof/>
          <w:lang w:eastAsia="en-GB"/>
        </w:rPr>
        <w:t>are located in</w:t>
      </w:r>
      <w:bookmarkEnd w:id="195"/>
      <w:r w:rsidRPr="00244D65">
        <w:rPr>
          <w:noProof/>
          <w:lang w:eastAsia="en-GB"/>
        </w:rPr>
        <w:t xml:space="preserve"> third countries </w:t>
      </w:r>
      <w:r w:rsidR="00E450C9" w:rsidRPr="00244D65">
        <w:rPr>
          <w:noProof/>
          <w:lang w:eastAsia="en-GB"/>
        </w:rPr>
        <w:t>outside Europe</w:t>
      </w:r>
      <w:r w:rsidR="00075191" w:rsidRPr="00244D65">
        <w:rPr>
          <w:noProof/>
          <w:lang w:eastAsia="en-GB"/>
        </w:rPr>
        <w:t xml:space="preserve">, for example Guyana </w:t>
      </w:r>
      <w:r w:rsidRPr="00244D65">
        <w:rPr>
          <w:noProof/>
          <w:lang w:eastAsia="en-GB"/>
        </w:rPr>
        <w:t>(</w:t>
      </w:r>
      <w:r w:rsidR="00075191" w:rsidRPr="00244D65">
        <w:rPr>
          <w:noProof/>
          <w:lang w:eastAsia="en-GB"/>
        </w:rPr>
        <w:t xml:space="preserve">for detail, </w:t>
      </w:r>
      <w:r w:rsidRPr="00244D65">
        <w:rPr>
          <w:noProof/>
          <w:lang w:eastAsia="en-GB"/>
        </w:rPr>
        <w:t>see Annex</w:t>
      </w:r>
      <w:r w:rsidR="00065B24" w:rsidRPr="00244D65">
        <w:rPr>
          <w:noProof/>
          <w:lang w:eastAsia="en-GB"/>
        </w:rPr>
        <w:t xml:space="preserve"> 10</w:t>
      </w:r>
      <w:r w:rsidR="00E036A7" w:rsidRPr="00244D65">
        <w:rPr>
          <w:noProof/>
          <w:lang w:eastAsia="en-GB"/>
        </w:rPr>
        <w:t xml:space="preserve">, </w:t>
      </w:r>
      <w:r w:rsidR="00C65A21" w:rsidRPr="00244D65">
        <w:rPr>
          <w:noProof/>
          <w:lang w:eastAsia="en-GB"/>
        </w:rPr>
        <w:t>S</w:t>
      </w:r>
      <w:r w:rsidR="00E036A7" w:rsidRPr="00244D65">
        <w:rPr>
          <w:noProof/>
          <w:lang w:eastAsia="en-GB"/>
        </w:rPr>
        <w:t>ection 5</w:t>
      </w:r>
      <w:r w:rsidR="00812360" w:rsidRPr="00244D65">
        <w:rPr>
          <w:noProof/>
          <w:lang w:eastAsia="en-GB"/>
        </w:rPr>
        <w:t>.1</w:t>
      </w:r>
      <w:r w:rsidRPr="00244D65">
        <w:rPr>
          <w:noProof/>
          <w:lang w:eastAsia="en-GB"/>
        </w:rPr>
        <w:t xml:space="preserve">). </w:t>
      </w:r>
    </w:p>
    <w:p w14:paraId="0F9A61E9" w14:textId="631E3260" w:rsidR="00F77B0A" w:rsidRPr="00244D65" w:rsidRDefault="0ACB7597" w:rsidP="0085595C">
      <w:pPr>
        <w:pStyle w:val="Heading4"/>
        <w:rPr>
          <w:noProof/>
        </w:rPr>
      </w:pPr>
      <w:r w:rsidRPr="00244D65">
        <w:rPr>
          <w:noProof/>
        </w:rPr>
        <w:t xml:space="preserve"> </w:t>
      </w:r>
      <w:r w:rsidR="00F77B0A" w:rsidRPr="00244D65">
        <w:rPr>
          <w:noProof/>
        </w:rPr>
        <w:t>Maritime</w:t>
      </w:r>
    </w:p>
    <w:p w14:paraId="054CF657" w14:textId="688D8C95" w:rsidR="001E6061" w:rsidRPr="00244D65" w:rsidRDefault="00E6771E" w:rsidP="0085595C">
      <w:pPr>
        <w:rPr>
          <w:rStyle w:val="eop"/>
          <w:noProof/>
          <w:szCs w:val="20"/>
          <w:lang w:eastAsia="en-GB"/>
        </w:rPr>
      </w:pPr>
      <w:bookmarkStart w:id="196" w:name="_Hlk213087639"/>
      <w:bookmarkStart w:id="197" w:name="_Hlk213086368"/>
      <w:r w:rsidRPr="00244D65">
        <w:rPr>
          <w:rStyle w:val="normaltextrun"/>
          <w:noProof/>
        </w:rPr>
        <w:t>For maritime, t</w:t>
      </w:r>
      <w:r w:rsidR="001E6061" w:rsidRPr="00244D65">
        <w:rPr>
          <w:rStyle w:val="normaltextrun"/>
          <w:noProof/>
        </w:rPr>
        <w:t xml:space="preserve">he Baseline and </w:t>
      </w:r>
      <w:r w:rsidR="003041F8" w:rsidRPr="00244D65">
        <w:rPr>
          <w:rStyle w:val="normaltextrun"/>
          <w:noProof/>
        </w:rPr>
        <w:t>PO1</w:t>
      </w:r>
      <w:r w:rsidR="001E6061" w:rsidRPr="00244D65">
        <w:rPr>
          <w:rStyle w:val="normaltextrun"/>
          <w:noProof/>
        </w:rPr>
        <w:t xml:space="preserve"> </w:t>
      </w:r>
      <w:r w:rsidR="000E36AC" w:rsidRPr="00244D65">
        <w:rPr>
          <w:rStyle w:val="normaltextrun"/>
          <w:noProof/>
        </w:rPr>
        <w:t xml:space="preserve">have similar economic impacts in terms of </w:t>
      </w:r>
      <w:r w:rsidR="001F3597" w:rsidRPr="00244D65">
        <w:rPr>
          <w:rStyle w:val="normaltextrun"/>
          <w:noProof/>
        </w:rPr>
        <w:t xml:space="preserve">compliance </w:t>
      </w:r>
      <w:r w:rsidR="000E36AC" w:rsidRPr="00244D65">
        <w:rPr>
          <w:rStyle w:val="normaltextrun"/>
          <w:noProof/>
        </w:rPr>
        <w:t>cost</w:t>
      </w:r>
      <w:r w:rsidR="001F3597" w:rsidRPr="00244D65">
        <w:rPr>
          <w:rStyle w:val="normaltextrun"/>
          <w:noProof/>
        </w:rPr>
        <w:t>.</w:t>
      </w:r>
      <w:r w:rsidR="000E36AC" w:rsidRPr="00244D65">
        <w:rPr>
          <w:rStyle w:val="normaltextrun"/>
          <w:noProof/>
        </w:rPr>
        <w:t xml:space="preserve"> </w:t>
      </w:r>
      <w:bookmarkEnd w:id="196"/>
      <w:bookmarkEnd w:id="197"/>
    </w:p>
    <w:p w14:paraId="7E17F975" w14:textId="2F3724EA" w:rsidR="009A3398" w:rsidRPr="00244D65" w:rsidRDefault="7ED47FD7" w:rsidP="0085595C">
      <w:pPr>
        <w:rPr>
          <w:rStyle w:val="eop"/>
          <w:noProof/>
        </w:rPr>
      </w:pPr>
      <w:r w:rsidRPr="00244D65">
        <w:rPr>
          <w:rStyle w:val="normaltextrun"/>
          <w:noProof/>
        </w:rPr>
        <w:t xml:space="preserve">The increased </w:t>
      </w:r>
      <w:r w:rsidRPr="00244D65">
        <w:rPr>
          <w:rStyle w:val="normaltextrun"/>
          <w:b/>
          <w:bCs/>
          <w:noProof/>
        </w:rPr>
        <w:t xml:space="preserve">recycling of EU ETS revenues </w:t>
      </w:r>
      <w:r w:rsidRPr="00244D65">
        <w:rPr>
          <w:rStyle w:val="normaltextrun"/>
          <w:noProof/>
        </w:rPr>
        <w:t xml:space="preserve">to support the decarbonisation of the maritime sector would reduce costs across all vessel sizes. PO2 assumes that 50% of the ETS revenues generated by the maritime sector are going back to the sector, through national support programmes or the implementation of an EU ETS support mechanism for sustainable maritime propulsion, that would notably help bridging the price gap between renewable and low-carbon fuels and the use of fossil fuels. If designed in a way </w:t>
      </w:r>
      <w:bookmarkStart w:id="198" w:name="_Int_PcG4r3bn"/>
      <w:r w:rsidRPr="00244D65">
        <w:rPr>
          <w:rStyle w:val="normaltextrun"/>
          <w:noProof/>
        </w:rPr>
        <w:t>similar to</w:t>
      </w:r>
      <w:bookmarkEnd w:id="198"/>
      <w:r>
        <w:rPr>
          <w:rStyle w:val="normaltextrun"/>
          <w:noProof/>
        </w:rPr>
        <w:t xml:space="preserve"> the present</w:t>
      </w:r>
      <w:r w:rsidRPr="00244D65">
        <w:rPr>
          <w:rStyle w:val="normaltextrun"/>
          <w:noProof/>
        </w:rPr>
        <w:t xml:space="preserve"> SAF in aviation, the establishment of such a mechanism to support sustainable maritime propulsion </w:t>
      </w:r>
      <w:r w:rsidRPr="00244D65">
        <w:rPr>
          <w:noProof/>
        </w:rPr>
        <w:t xml:space="preserve">would lead to </w:t>
      </w:r>
      <w:r>
        <w:rPr>
          <w:noProof/>
        </w:rPr>
        <w:t>46</w:t>
      </w:r>
      <w:r w:rsidRPr="00244D65">
        <w:rPr>
          <w:noProof/>
        </w:rPr>
        <w:t xml:space="preserve"> million EUAs being attributed to bridge the price gap between sustainable propulsion and fossil fuels over 2031-2040</w:t>
      </w:r>
      <w:r>
        <w:rPr>
          <w:noProof/>
        </w:rPr>
        <w:t>.</w:t>
      </w:r>
      <w:r w:rsidRPr="00244D65">
        <w:rPr>
          <w:rStyle w:val="eop"/>
          <w:noProof/>
        </w:rPr>
        <w:t> </w:t>
      </w:r>
    </w:p>
    <w:p w14:paraId="78C9FA1B" w14:textId="718FE8BE" w:rsidR="009A3398" w:rsidRPr="00244D65" w:rsidRDefault="009A3398" w:rsidP="0085595C">
      <w:pPr>
        <w:rPr>
          <w:rFonts w:ascii="Segoe UI" w:hAnsi="Segoe UI" w:cs="Segoe UI"/>
          <w:noProof/>
          <w:sz w:val="18"/>
          <w:szCs w:val="18"/>
        </w:rPr>
      </w:pPr>
      <w:r w:rsidRPr="00244D65">
        <w:rPr>
          <w:rStyle w:val="eop"/>
          <w:noProof/>
        </w:rPr>
        <w:t xml:space="preserve">The extension of </w:t>
      </w:r>
      <w:r w:rsidRPr="00244D65">
        <w:rPr>
          <w:rStyle w:val="eop"/>
          <w:b/>
          <w:bCs/>
          <w:noProof/>
        </w:rPr>
        <w:t>existing derogations</w:t>
      </w:r>
      <w:r w:rsidRPr="00244D65">
        <w:rPr>
          <w:rStyle w:val="eop"/>
          <w:noProof/>
        </w:rPr>
        <w:t xml:space="preserve"> in PO2 would reduce compliance costs for shipping companies compared to the baseline, </w:t>
      </w:r>
      <w:r>
        <w:rPr>
          <w:rStyle w:val="eop"/>
          <w:noProof/>
        </w:rPr>
        <w:t>corresponding to the none-surrendering of around 5 million EUAs</w:t>
      </w:r>
      <w:r w:rsidR="35C10C04" w:rsidRPr="00244D65">
        <w:rPr>
          <w:rStyle w:val="eop"/>
          <w:noProof/>
        </w:rPr>
        <w:t>.</w:t>
      </w:r>
    </w:p>
    <w:p w14:paraId="2FCC23E8" w14:textId="75F16503" w:rsidR="00B9336E" w:rsidRPr="00244D65" w:rsidRDefault="007D5A39" w:rsidP="0085595C">
      <w:pPr>
        <w:rPr>
          <w:rStyle w:val="normaltextrun"/>
          <w:noProof/>
        </w:rPr>
      </w:pPr>
      <w:r w:rsidRPr="00244D65">
        <w:rPr>
          <w:rStyle w:val="normaltextrun"/>
          <w:noProof/>
        </w:rPr>
        <w:t xml:space="preserve">The </w:t>
      </w:r>
      <w:r w:rsidRPr="00244D65">
        <w:rPr>
          <w:rStyle w:val="normaltextrun"/>
          <w:b/>
          <w:noProof/>
        </w:rPr>
        <w:t xml:space="preserve">application of the IMO </w:t>
      </w:r>
      <w:r w:rsidR="005F12AF" w:rsidRPr="00244D65">
        <w:rPr>
          <w:rStyle w:val="normaltextrun"/>
          <w:b/>
          <w:noProof/>
        </w:rPr>
        <w:t>deduction</w:t>
      </w:r>
      <w:r w:rsidRPr="00244D65">
        <w:rPr>
          <w:rStyle w:val="normaltextrun"/>
          <w:b/>
          <w:noProof/>
        </w:rPr>
        <w:t xml:space="preserve"> in PO2 </w:t>
      </w:r>
      <w:r w:rsidRPr="00244D65">
        <w:rPr>
          <w:rStyle w:val="normaltextrun"/>
          <w:noProof/>
        </w:rPr>
        <w:t xml:space="preserve">would lead to lower compliance costs for vessels subject to both the EU ETS and the IMO mid-term measure (once adopted), compared to PO1 and the Baseline. It would prevent double regulation and double payment for the same emissions, while ensuring that emissions are always priced at a level at least equivalent to that of the ETS. The economic impact of the IMO </w:t>
      </w:r>
      <w:r w:rsidR="005F12AF" w:rsidRPr="00244D65">
        <w:rPr>
          <w:rStyle w:val="normaltextrun"/>
          <w:noProof/>
        </w:rPr>
        <w:t>deduction</w:t>
      </w:r>
      <w:r w:rsidRPr="00244D65">
        <w:rPr>
          <w:rStyle w:val="normaltextrun"/>
          <w:noProof/>
        </w:rPr>
        <w:t xml:space="preserve"> depends notably on the </w:t>
      </w:r>
      <w:r w:rsidR="00A517FB" w:rsidRPr="00244D65">
        <w:rPr>
          <w:rStyle w:val="normaltextrun"/>
          <w:noProof/>
        </w:rPr>
        <w:t xml:space="preserve">stringency of the IMO </w:t>
      </w:r>
      <w:r w:rsidR="00A069A4" w:rsidRPr="00244D65">
        <w:rPr>
          <w:rStyle w:val="normaltextrun"/>
          <w:noProof/>
        </w:rPr>
        <w:t xml:space="preserve">measure once adopted and the </w:t>
      </w:r>
      <w:r w:rsidR="00CA2279" w:rsidRPr="00244D65">
        <w:rPr>
          <w:rStyle w:val="normaltextrun"/>
          <w:noProof/>
        </w:rPr>
        <w:t xml:space="preserve">respective </w:t>
      </w:r>
      <w:r w:rsidR="00A069A4" w:rsidRPr="00244D65">
        <w:rPr>
          <w:rStyle w:val="normaltextrun"/>
          <w:noProof/>
        </w:rPr>
        <w:t>decisions of each ship regarding the use of fuels</w:t>
      </w:r>
      <w:r w:rsidRPr="00244D65">
        <w:rPr>
          <w:rStyle w:val="normaltextrun"/>
          <w:noProof/>
        </w:rPr>
        <w:t>.</w:t>
      </w:r>
      <w:r w:rsidR="00087BF5" w:rsidRPr="00244D65">
        <w:rPr>
          <w:rStyle w:val="normaltextrun"/>
          <w:noProof/>
        </w:rPr>
        <w:t> </w:t>
      </w:r>
    </w:p>
    <w:p w14:paraId="536D9D96" w14:textId="790431E4" w:rsidR="00132D9F" w:rsidRPr="00244D65" w:rsidRDefault="1E16880F" w:rsidP="0085595C">
      <w:pPr>
        <w:rPr>
          <w:rStyle w:val="normaltextrun"/>
          <w:noProof/>
        </w:rPr>
      </w:pPr>
      <w:r w:rsidRPr="00244D65">
        <w:rPr>
          <w:rStyle w:val="normaltextrun"/>
          <w:noProof/>
        </w:rPr>
        <w:t>T</w:t>
      </w:r>
      <w:r w:rsidR="1DF969B2" w:rsidRPr="00244D65">
        <w:rPr>
          <w:rStyle w:val="normaltextrun"/>
          <w:noProof/>
        </w:rPr>
        <w:t xml:space="preserve">he </w:t>
      </w:r>
      <w:r w:rsidR="1DF969B2" w:rsidRPr="00244D65">
        <w:rPr>
          <w:rStyle w:val="normaltextrun"/>
          <w:b/>
          <w:bCs/>
          <w:noProof/>
        </w:rPr>
        <w:t>extension of the EU ETS scope to emissions from smaller vessels</w:t>
      </w:r>
      <w:r w:rsidRPr="00244D65">
        <w:rPr>
          <w:rStyle w:val="normaltextrun"/>
          <w:b/>
          <w:bCs/>
          <w:noProof/>
        </w:rPr>
        <w:t xml:space="preserve"> </w:t>
      </w:r>
      <w:r w:rsidR="1545F238" w:rsidRPr="00244D65">
        <w:rPr>
          <w:rStyle w:val="normaltextrun"/>
          <w:noProof/>
        </w:rPr>
        <w:t>contributes</w:t>
      </w:r>
      <w:r w:rsidRPr="00244D65">
        <w:rPr>
          <w:rStyle w:val="normaltextrun"/>
          <w:noProof/>
        </w:rPr>
        <w:t xml:space="preserve"> to</w:t>
      </w:r>
      <w:r w:rsidRPr="00244D65">
        <w:rPr>
          <w:rStyle w:val="normaltextrun"/>
          <w:b/>
          <w:bCs/>
          <w:noProof/>
        </w:rPr>
        <w:t xml:space="preserve"> </w:t>
      </w:r>
      <w:r w:rsidRPr="00244D65">
        <w:rPr>
          <w:rStyle w:val="normaltextrun"/>
          <w:noProof/>
        </w:rPr>
        <w:t>a</w:t>
      </w:r>
      <w:r w:rsidR="28B17A1D" w:rsidRPr="00244D65">
        <w:rPr>
          <w:rStyle w:val="normaltextrun"/>
          <w:noProof/>
        </w:rPr>
        <w:t xml:space="preserve"> modest</w:t>
      </w:r>
      <w:r w:rsidRPr="00244D65">
        <w:rPr>
          <w:rStyle w:val="normaltextrun"/>
          <w:noProof/>
        </w:rPr>
        <w:t xml:space="preserve"> increase in total shipping costs in </w:t>
      </w:r>
      <w:r w:rsidRPr="00244D65">
        <w:rPr>
          <w:rStyle w:val="normaltextrun"/>
          <w:b/>
          <w:bCs/>
          <w:noProof/>
        </w:rPr>
        <w:t>PO2</w:t>
      </w:r>
      <w:r w:rsidRPr="00244D65">
        <w:rPr>
          <w:rStyle w:val="normaltextrun"/>
          <w:noProof/>
        </w:rPr>
        <w:t xml:space="preserve"> compared to PO1 </w:t>
      </w:r>
      <w:r w:rsidR="7BA62D5C" w:rsidRPr="00244D65">
        <w:rPr>
          <w:rStyle w:val="normaltextrun"/>
          <w:noProof/>
        </w:rPr>
        <w:t>in 20</w:t>
      </w:r>
      <w:r w:rsidRPr="00244D65">
        <w:rPr>
          <w:rStyle w:val="normaltextrun"/>
          <w:noProof/>
        </w:rPr>
        <w:t>30 and an increase of 1</w:t>
      </w:r>
      <w:r w:rsidR="2D763541" w:rsidRPr="00244D65">
        <w:rPr>
          <w:rStyle w:val="normaltextrun"/>
          <w:noProof/>
        </w:rPr>
        <w:t>.</w:t>
      </w:r>
      <w:r w:rsidR="3EAC18D1" w:rsidRPr="00244D65">
        <w:rPr>
          <w:rStyle w:val="normaltextrun"/>
          <w:noProof/>
        </w:rPr>
        <w:t>6</w:t>
      </w:r>
      <w:r w:rsidRPr="00244D65">
        <w:rPr>
          <w:rStyle w:val="normaltextrun"/>
          <w:noProof/>
        </w:rPr>
        <w:t>% in 2040 and 1</w:t>
      </w:r>
      <w:r w:rsidR="2D763541" w:rsidRPr="00244D65">
        <w:rPr>
          <w:rStyle w:val="normaltextrun"/>
          <w:noProof/>
        </w:rPr>
        <w:t>.</w:t>
      </w:r>
      <w:r w:rsidR="3EAC18D1" w:rsidRPr="00244D65">
        <w:rPr>
          <w:rStyle w:val="normaltextrun"/>
          <w:noProof/>
        </w:rPr>
        <w:t>5</w:t>
      </w:r>
      <w:r w:rsidRPr="00244D65">
        <w:rPr>
          <w:rStyle w:val="normaltextrun"/>
          <w:noProof/>
        </w:rPr>
        <w:t>% in 2050</w:t>
      </w:r>
      <w:r w:rsidR="1DF969B2">
        <w:rPr>
          <w:rStyle w:val="normaltextrun"/>
          <w:noProof/>
        </w:rPr>
        <w:t xml:space="preserve">. </w:t>
      </w:r>
      <w:r w:rsidR="1DF969B2" w:rsidRPr="00244D65">
        <w:rPr>
          <w:rStyle w:val="normaltextrun"/>
          <w:noProof/>
        </w:rPr>
        <w:t>In comparison to PO1 and Baseline, in PO2 it</w:t>
      </w:r>
      <w:r w:rsidR="1DF969B2" w:rsidRPr="00244D65">
        <w:rPr>
          <w:rStyle w:val="normaltextrun"/>
          <w:b/>
          <w:bCs/>
          <w:noProof/>
        </w:rPr>
        <w:t xml:space="preserve"> </w:t>
      </w:r>
      <w:r w:rsidR="1DF969B2" w:rsidRPr="00244D65">
        <w:rPr>
          <w:rStyle w:val="normaltextrun"/>
          <w:noProof/>
        </w:rPr>
        <w:t xml:space="preserve">is expected that companies responsible for smaller vessels will face a total shipping costs increase of EUR </w:t>
      </w:r>
      <w:r>
        <w:rPr>
          <w:rStyle w:val="normaltextrun"/>
          <w:noProof/>
        </w:rPr>
        <w:t>1.2</w:t>
      </w:r>
      <w:r w:rsidR="1DF969B2" w:rsidRPr="00244D65">
        <w:rPr>
          <w:rStyle w:val="normaltextrun"/>
          <w:noProof/>
        </w:rPr>
        <w:t xml:space="preserve"> billion in 2030, EUR </w:t>
      </w:r>
      <w:r>
        <w:rPr>
          <w:rStyle w:val="normaltextrun"/>
          <w:noProof/>
        </w:rPr>
        <w:t>1.8</w:t>
      </w:r>
      <w:r w:rsidR="1DF969B2" w:rsidRPr="00244D65">
        <w:rPr>
          <w:rStyle w:val="normaltextrun"/>
          <w:noProof/>
        </w:rPr>
        <w:t xml:space="preserve"> billion in 2040 and </w:t>
      </w:r>
      <w:r w:rsidR="63F46D9F" w:rsidRPr="00244D65">
        <w:rPr>
          <w:rStyle w:val="normaltextrun"/>
          <w:noProof/>
        </w:rPr>
        <w:t>EUR</w:t>
      </w:r>
      <w:r w:rsidR="1DF969B2" w:rsidRPr="00244D65">
        <w:rPr>
          <w:rStyle w:val="normaltextrun"/>
          <w:noProof/>
        </w:rPr>
        <w:t xml:space="preserve"> </w:t>
      </w:r>
      <w:r>
        <w:rPr>
          <w:rStyle w:val="normaltextrun"/>
          <w:noProof/>
        </w:rPr>
        <w:t>0.7</w:t>
      </w:r>
      <w:r w:rsidR="1DF969B2" w:rsidRPr="00244D65">
        <w:rPr>
          <w:rStyle w:val="normaltextrun"/>
          <w:noProof/>
        </w:rPr>
        <w:t xml:space="preserve"> billion in 2050. These additional costs correspond to ETS payments but also to fuel costs and capital expenditure associated with decarbonisation measures within the segment. It should further be noted that smaller vessels are also eligible to benefit from existing maritime derogations under ETS (i.e. </w:t>
      </w:r>
      <w:r w:rsidR="5711BA6F" w:rsidRPr="00244D65">
        <w:rPr>
          <w:rStyle w:val="normaltextrun"/>
          <w:noProof/>
        </w:rPr>
        <w:t>for outermost regions</w:t>
      </w:r>
      <w:r w:rsidR="1DF969B2" w:rsidRPr="00244D65">
        <w:rPr>
          <w:rStyle w:val="normaltextrun"/>
          <w:noProof/>
        </w:rPr>
        <w:t xml:space="preserve">, </w:t>
      </w:r>
      <w:r w:rsidR="0D68D88B" w:rsidRPr="00244D65">
        <w:rPr>
          <w:rStyle w:val="normaltextrun"/>
          <w:noProof/>
        </w:rPr>
        <w:t>public service contracts/obligations and ice-class ships</w:t>
      </w:r>
      <w:r w:rsidR="1DF969B2" w:rsidRPr="00244D65">
        <w:rPr>
          <w:rStyle w:val="normaltextrun"/>
          <w:noProof/>
        </w:rPr>
        <w:t>), which would partially offset any compliance cost.</w:t>
      </w:r>
    </w:p>
    <w:p w14:paraId="3CD093FF" w14:textId="5382CB00" w:rsidR="00AE2720" w:rsidRPr="00244D65" w:rsidRDefault="00AE2720" w:rsidP="0085595C">
      <w:pPr>
        <w:rPr>
          <w:rStyle w:val="normaltextrun"/>
          <w:noProof/>
        </w:rPr>
      </w:pPr>
      <w:r w:rsidRPr="00244D65">
        <w:rPr>
          <w:rStyle w:val="normaltextrun"/>
          <w:noProof/>
        </w:rPr>
        <w:t>While the application of the cancellation mechanism accompanying the IMO deduction measure in PO2 w</w:t>
      </w:r>
      <w:r w:rsidR="00697251" w:rsidRPr="00244D65">
        <w:rPr>
          <w:rStyle w:val="normaltextrun"/>
          <w:noProof/>
        </w:rPr>
        <w:t>ould</w:t>
      </w:r>
      <w:r w:rsidRPr="00244D65">
        <w:rPr>
          <w:rStyle w:val="normaltextrun"/>
          <w:noProof/>
        </w:rPr>
        <w:t xml:space="preserve"> lead to reduced </w:t>
      </w:r>
      <w:r w:rsidRPr="00244D65">
        <w:rPr>
          <w:rStyle w:val="normaltextrun"/>
          <w:b/>
          <w:noProof/>
        </w:rPr>
        <w:t>ETS revenues</w:t>
      </w:r>
      <w:r w:rsidRPr="00244D65">
        <w:rPr>
          <w:rStyle w:val="normaltextrun"/>
          <w:noProof/>
        </w:rPr>
        <w:t xml:space="preserve">, the extension of the ETS scope to small vessels will increase ETS revenues. </w:t>
      </w:r>
      <w:r w:rsidR="00DA33DE" w:rsidRPr="00244D65">
        <w:rPr>
          <w:rStyle w:val="normaltextrun"/>
          <w:noProof/>
        </w:rPr>
        <w:t xml:space="preserve">Depending on the </w:t>
      </w:r>
      <w:r w:rsidR="00C01DA1" w:rsidRPr="00244D65">
        <w:rPr>
          <w:rStyle w:val="normaltextrun"/>
          <w:noProof/>
        </w:rPr>
        <w:t>stringency of the global measure</w:t>
      </w:r>
      <w:r w:rsidR="00B64165" w:rsidRPr="00244D65">
        <w:rPr>
          <w:rStyle w:val="normaltextrun"/>
          <w:noProof/>
        </w:rPr>
        <w:t>, the fuel used by shipping companies</w:t>
      </w:r>
      <w:r w:rsidR="00C01DA1" w:rsidRPr="00244D65">
        <w:rPr>
          <w:rStyle w:val="normaltextrun"/>
          <w:noProof/>
        </w:rPr>
        <w:t xml:space="preserve"> and the</w:t>
      </w:r>
      <w:r w:rsidR="00B371EE" w:rsidRPr="00244D65">
        <w:rPr>
          <w:rStyle w:val="normaltextrun"/>
          <w:noProof/>
        </w:rPr>
        <w:t xml:space="preserve"> scope of the priced</w:t>
      </w:r>
      <w:r w:rsidR="00C01DA1" w:rsidRPr="00244D65">
        <w:rPr>
          <w:rStyle w:val="normaltextrun"/>
          <w:noProof/>
        </w:rPr>
        <w:t xml:space="preserve"> emissions</w:t>
      </w:r>
      <w:r w:rsidR="005E6D21" w:rsidRPr="00244D65">
        <w:rPr>
          <w:rStyle w:val="normaltextrun"/>
          <w:noProof/>
        </w:rPr>
        <w:t>,</w:t>
      </w:r>
      <w:r w:rsidRPr="00244D65">
        <w:rPr>
          <w:rStyle w:val="normaltextrun"/>
          <w:noProof/>
        </w:rPr>
        <w:t xml:space="preserve"> the combined impact of these two factors will result in a net gain </w:t>
      </w:r>
      <w:r w:rsidR="00B371EE" w:rsidRPr="00244D65">
        <w:rPr>
          <w:rStyle w:val="normaltextrun"/>
          <w:noProof/>
        </w:rPr>
        <w:t xml:space="preserve">or net loss </w:t>
      </w:r>
      <w:r w:rsidRPr="00244D65">
        <w:rPr>
          <w:rStyle w:val="normaltextrun"/>
          <w:noProof/>
        </w:rPr>
        <w:t xml:space="preserve">of </w:t>
      </w:r>
      <w:r w:rsidR="00B371EE" w:rsidRPr="00244D65">
        <w:rPr>
          <w:rStyle w:val="normaltextrun"/>
          <w:noProof/>
        </w:rPr>
        <w:t xml:space="preserve">the </w:t>
      </w:r>
      <w:r w:rsidRPr="00244D65">
        <w:rPr>
          <w:rStyle w:val="normaltextrun"/>
          <w:noProof/>
        </w:rPr>
        <w:t>ETS revenues over the period 2030-2040 in PO2.</w:t>
      </w:r>
    </w:p>
    <w:p w14:paraId="45096298" w14:textId="6F84A8E9" w:rsidR="0043036A" w:rsidRPr="00244D65" w:rsidRDefault="0043036A" w:rsidP="0085595C">
      <w:pPr>
        <w:rPr>
          <w:rStyle w:val="eop"/>
          <w:noProof/>
        </w:rPr>
      </w:pPr>
      <w:r w:rsidRPr="00244D65">
        <w:rPr>
          <w:rStyle w:val="normaltextrun"/>
          <w:noProof/>
        </w:rPr>
        <w:t>Similar</w:t>
      </w:r>
      <w:r w:rsidR="00DC3533" w:rsidRPr="00244D65">
        <w:rPr>
          <w:rStyle w:val="normaltextrun"/>
          <w:noProof/>
        </w:rPr>
        <w:t xml:space="preserve"> to </w:t>
      </w:r>
      <w:r w:rsidRPr="00244D65">
        <w:rPr>
          <w:rStyle w:val="normaltextrun"/>
          <w:noProof/>
        </w:rPr>
        <w:t>PO2,</w:t>
      </w:r>
      <w:r w:rsidRPr="00244D65">
        <w:rPr>
          <w:rStyle w:val="normaltextrun"/>
          <w:b/>
          <w:bCs/>
          <w:noProof/>
        </w:rPr>
        <w:t xml:space="preserve"> the competitive and economic impacts of option PO3 for maritime</w:t>
      </w:r>
      <w:r w:rsidRPr="00244D65">
        <w:rPr>
          <w:rStyle w:val="normaltextrun"/>
          <w:noProof/>
        </w:rPr>
        <w:t>, are mostly driven by the extension of EU ETS to smaller vessels. Inclusion of all smaller vessel</w:t>
      </w:r>
      <w:r w:rsidR="00CF2094" w:rsidRPr="00244D65">
        <w:rPr>
          <w:rStyle w:val="normaltextrun"/>
          <w:noProof/>
        </w:rPr>
        <w:t xml:space="preserve"> categories</w:t>
      </w:r>
      <w:r w:rsidRPr="00244D65">
        <w:rPr>
          <w:rStyle w:val="normaltextrun"/>
          <w:noProof/>
        </w:rPr>
        <w:t xml:space="preserve"> instead of only the most </w:t>
      </w:r>
      <w:r w:rsidR="00CF2094" w:rsidRPr="00244D65">
        <w:rPr>
          <w:rStyle w:val="normaltextrun"/>
          <w:noProof/>
        </w:rPr>
        <w:t>emitting ones</w:t>
      </w:r>
      <w:r w:rsidRPr="00244D65">
        <w:rPr>
          <w:rStyle w:val="normaltextrun"/>
          <w:noProof/>
        </w:rPr>
        <w:t xml:space="preserve"> (as in PO2) incurs only marginally higher compliance costs</w:t>
      </w:r>
      <w:r w:rsidR="007F6965" w:rsidRPr="00244D65">
        <w:rPr>
          <w:rStyle w:val="normaltextrun"/>
          <w:noProof/>
        </w:rPr>
        <w:t xml:space="preserve"> when considering the entire fleet</w:t>
      </w:r>
      <w:r w:rsidRPr="00244D65">
        <w:rPr>
          <w:rStyle w:val="normaltextrun"/>
          <w:noProof/>
        </w:rPr>
        <w:t>.</w:t>
      </w:r>
      <w:r w:rsidR="000C653C" w:rsidRPr="00244D65">
        <w:rPr>
          <w:rStyle w:val="normaltextrun"/>
          <w:noProof/>
        </w:rPr>
        <w:t xml:space="preserve"> </w:t>
      </w:r>
    </w:p>
    <w:p w14:paraId="72A39CD4" w14:textId="466A851D" w:rsidR="00825AB8" w:rsidRPr="00244D65" w:rsidRDefault="179E83E1" w:rsidP="0085595C">
      <w:pPr>
        <w:rPr>
          <w:rFonts w:ascii="Segoe UI" w:hAnsi="Segoe UI" w:cs="Segoe UI"/>
          <w:noProof/>
          <w:sz w:val="18"/>
          <w:szCs w:val="18"/>
        </w:rPr>
      </w:pPr>
      <w:r w:rsidRPr="00244D65">
        <w:rPr>
          <w:rStyle w:val="normaltextrun"/>
          <w:noProof/>
        </w:rPr>
        <w:t xml:space="preserve">Since </w:t>
      </w:r>
      <w:r w:rsidRPr="00244D65">
        <w:rPr>
          <w:rStyle w:val="normaltextrun"/>
          <w:b/>
          <w:bCs/>
          <w:noProof/>
        </w:rPr>
        <w:t>PO3</w:t>
      </w:r>
      <w:r w:rsidRPr="00244D65">
        <w:rPr>
          <w:rStyle w:val="normaltextrun"/>
          <w:noProof/>
        </w:rPr>
        <w:t xml:space="preserve"> does not differ to PO2 as regards the application of the IMO </w:t>
      </w:r>
      <w:r w:rsidR="6453C962" w:rsidRPr="00244D65">
        <w:rPr>
          <w:rStyle w:val="normaltextrun"/>
          <w:noProof/>
        </w:rPr>
        <w:t>deduction</w:t>
      </w:r>
      <w:r w:rsidRPr="00244D65">
        <w:rPr>
          <w:rStyle w:val="normaltextrun"/>
          <w:noProof/>
        </w:rPr>
        <w:t xml:space="preserve">, derogations, the recycling of ETS revenues into decarbonisation measures within maritime sector as well as additional anti-evasion measures, the impacts in PO3 are </w:t>
      </w:r>
      <w:r w:rsidR="647E636C" w:rsidRPr="00244D65">
        <w:rPr>
          <w:rStyle w:val="normaltextrun"/>
          <w:noProof/>
        </w:rPr>
        <w:t xml:space="preserve">only impacted by </w:t>
      </w:r>
      <w:r w:rsidR="29903659" w:rsidRPr="00244D65">
        <w:rPr>
          <w:rStyle w:val="normaltextrun"/>
          <w:noProof/>
        </w:rPr>
        <w:t xml:space="preserve">wider </w:t>
      </w:r>
      <w:r w:rsidR="647E636C" w:rsidRPr="00244D65">
        <w:rPr>
          <w:rStyle w:val="normaltextrun"/>
          <w:noProof/>
        </w:rPr>
        <w:t>extension</w:t>
      </w:r>
      <w:r w:rsidR="29903659" w:rsidRPr="00244D65">
        <w:rPr>
          <w:rStyle w:val="normaltextrun"/>
          <w:noProof/>
        </w:rPr>
        <w:t xml:space="preserve"> of ETS</w:t>
      </w:r>
      <w:r w:rsidR="647E636C" w:rsidRPr="00244D65">
        <w:rPr>
          <w:rStyle w:val="normaltextrun"/>
          <w:noProof/>
        </w:rPr>
        <w:t xml:space="preserve"> </w:t>
      </w:r>
      <w:r w:rsidR="29903659" w:rsidRPr="00244D65">
        <w:rPr>
          <w:rStyle w:val="normaltextrun"/>
          <w:noProof/>
        </w:rPr>
        <w:t>to all small ships</w:t>
      </w:r>
      <w:r w:rsidRPr="00244D65">
        <w:rPr>
          <w:rStyle w:val="normaltextrun"/>
          <w:noProof/>
        </w:rPr>
        <w:t xml:space="preserve">. </w:t>
      </w:r>
      <w:r w:rsidR="64AB9C9E" w:rsidRPr="00244D65">
        <w:rPr>
          <w:rStyle w:val="normaltextrun"/>
          <w:noProof/>
        </w:rPr>
        <w:t xml:space="preserve">In comparison to PO1 and Baseline, in PO3 companies responsible for smaller vessels will face a total shipping costs increase of EUR </w:t>
      </w:r>
      <w:r>
        <w:rPr>
          <w:rStyle w:val="normaltextrun"/>
          <w:noProof/>
        </w:rPr>
        <w:t>1.5</w:t>
      </w:r>
      <w:r w:rsidR="64AB9C9E" w:rsidRPr="00244D65">
        <w:rPr>
          <w:rStyle w:val="normaltextrun"/>
          <w:noProof/>
        </w:rPr>
        <w:t xml:space="preserve"> billion in 2030, EUR </w:t>
      </w:r>
      <w:r>
        <w:rPr>
          <w:rStyle w:val="normaltextrun"/>
          <w:noProof/>
        </w:rPr>
        <w:t>1.9</w:t>
      </w:r>
      <w:r w:rsidR="64AB9C9E" w:rsidRPr="00244D65">
        <w:rPr>
          <w:rStyle w:val="normaltextrun"/>
          <w:noProof/>
        </w:rPr>
        <w:t xml:space="preserve"> billion in 2040 and </w:t>
      </w:r>
      <w:r w:rsidR="6F651058" w:rsidRPr="00244D65">
        <w:rPr>
          <w:rStyle w:val="normaltextrun"/>
          <w:noProof/>
        </w:rPr>
        <w:t xml:space="preserve">EUR </w:t>
      </w:r>
      <w:r>
        <w:rPr>
          <w:rStyle w:val="normaltextrun"/>
          <w:noProof/>
        </w:rPr>
        <w:t>0.5</w:t>
      </w:r>
      <w:r w:rsidR="64AB9C9E" w:rsidRPr="00244D65">
        <w:rPr>
          <w:rStyle w:val="normaltextrun"/>
          <w:noProof/>
        </w:rPr>
        <w:t xml:space="preserve"> billion in 2050</w:t>
      </w:r>
      <w:r w:rsidR="6F651058" w:rsidRPr="00244D65">
        <w:rPr>
          <w:rStyle w:val="normaltextrun"/>
          <w:noProof/>
        </w:rPr>
        <w:t xml:space="preserve">. </w:t>
      </w:r>
      <w:r w:rsidR="01B4E87C" w:rsidRPr="00244D65">
        <w:rPr>
          <w:rStyle w:val="normaltextrun"/>
          <w:noProof/>
        </w:rPr>
        <w:t xml:space="preserve">As </w:t>
      </w:r>
      <w:r w:rsidR="63B2491E" w:rsidRPr="00244D65">
        <w:rPr>
          <w:rStyle w:val="normaltextrun"/>
          <w:noProof/>
        </w:rPr>
        <w:t>for</w:t>
      </w:r>
      <w:r w:rsidR="01B4E87C" w:rsidRPr="00244D65">
        <w:rPr>
          <w:rStyle w:val="normaltextrun"/>
          <w:noProof/>
        </w:rPr>
        <w:t xml:space="preserve"> PO2,</w:t>
      </w:r>
      <w:r w:rsidR="63B2491E" w:rsidRPr="00244D65">
        <w:rPr>
          <w:rStyle w:val="normaltextrun"/>
          <w:noProof/>
        </w:rPr>
        <w:t xml:space="preserve"> </w:t>
      </w:r>
      <w:r w:rsidR="2A89A191" w:rsidRPr="00244D65">
        <w:rPr>
          <w:rStyle w:val="normaltextrun"/>
          <w:noProof/>
        </w:rPr>
        <w:t>change</w:t>
      </w:r>
      <w:r w:rsidR="39BC8C70" w:rsidRPr="00244D65">
        <w:rPr>
          <w:rStyle w:val="normaltextrun"/>
          <w:noProof/>
        </w:rPr>
        <w:t>s</w:t>
      </w:r>
      <w:r w:rsidR="2A89A191" w:rsidRPr="00244D65">
        <w:rPr>
          <w:rStyle w:val="normaltextrun"/>
          <w:noProof/>
        </w:rPr>
        <w:t xml:space="preserve"> in </w:t>
      </w:r>
      <w:r w:rsidRPr="00244D65">
        <w:rPr>
          <w:rStyle w:val="normaltextrun"/>
          <w:noProof/>
        </w:rPr>
        <w:t>ETS revenues</w:t>
      </w:r>
      <w:r w:rsidR="2A89A191" w:rsidRPr="00244D65">
        <w:rPr>
          <w:rStyle w:val="normaltextrun"/>
          <w:noProof/>
        </w:rPr>
        <w:t xml:space="preserve"> depends on the</w:t>
      </w:r>
      <w:r w:rsidR="0DFFB0FE" w:rsidRPr="00244D65">
        <w:rPr>
          <w:rStyle w:val="normaltextrun"/>
          <w:noProof/>
        </w:rPr>
        <w:t xml:space="preserve"> </w:t>
      </w:r>
      <w:bookmarkStart w:id="199" w:name="_Int_5VSuonVK"/>
      <w:r w:rsidR="0DFFB0FE" w:rsidRPr="00244D65">
        <w:rPr>
          <w:rStyle w:val="normaltextrun"/>
          <w:noProof/>
        </w:rPr>
        <w:t>amount</w:t>
      </w:r>
      <w:bookmarkEnd w:id="199"/>
      <w:r w:rsidR="0DFFB0FE" w:rsidRPr="00244D65">
        <w:rPr>
          <w:rStyle w:val="normaltextrun"/>
          <w:noProof/>
        </w:rPr>
        <w:t xml:space="preserve"> of allowances to be cancelled</w:t>
      </w:r>
      <w:r w:rsidR="1C8FE56A" w:rsidRPr="00244D65">
        <w:rPr>
          <w:rStyle w:val="normaltextrun"/>
          <w:noProof/>
        </w:rPr>
        <w:t xml:space="preserve"> under the IMO deduction measure, which</w:t>
      </w:r>
      <w:r w:rsidR="1203CE28" w:rsidRPr="00244D65">
        <w:rPr>
          <w:rStyle w:val="normaltextrun"/>
          <w:noProof/>
        </w:rPr>
        <w:t xml:space="preserve"> would</w:t>
      </w:r>
      <w:r w:rsidR="39BC8C70" w:rsidRPr="00244D65">
        <w:rPr>
          <w:rStyle w:val="normaltextrun"/>
          <w:noProof/>
        </w:rPr>
        <w:t xml:space="preserve"> in turn largely</w:t>
      </w:r>
      <w:r w:rsidR="4DF95FA0" w:rsidRPr="00244D65">
        <w:rPr>
          <w:rStyle w:val="normaltextrun"/>
          <w:noProof/>
        </w:rPr>
        <w:t xml:space="preserve"> </w:t>
      </w:r>
      <w:r w:rsidR="1CA0705D" w:rsidRPr="00244D65">
        <w:rPr>
          <w:rStyle w:val="normaltextrun"/>
          <w:noProof/>
        </w:rPr>
        <w:t>depend</w:t>
      </w:r>
      <w:r w:rsidR="4DF95FA0" w:rsidRPr="00244D65">
        <w:rPr>
          <w:rStyle w:val="normaltextrun"/>
          <w:noProof/>
        </w:rPr>
        <w:t xml:space="preserve"> on the</w:t>
      </w:r>
      <w:r w:rsidR="6626573F" w:rsidRPr="00244D65">
        <w:rPr>
          <w:rStyle w:val="normaltextrun"/>
          <w:noProof/>
        </w:rPr>
        <w:t xml:space="preserve"> level of ambition of the</w:t>
      </w:r>
      <w:r w:rsidR="4DF95FA0" w:rsidRPr="00244D65">
        <w:rPr>
          <w:rStyle w:val="normaltextrun"/>
          <w:noProof/>
        </w:rPr>
        <w:t xml:space="preserve"> global measure.</w:t>
      </w:r>
    </w:p>
    <w:p w14:paraId="4AB7E194" w14:textId="6DD8B692" w:rsidR="00A52D5F" w:rsidRPr="00244D65" w:rsidRDefault="00C0439F" w:rsidP="0085595C">
      <w:pPr>
        <w:rPr>
          <w:rFonts w:ascii="Segoe UI" w:hAnsi="Segoe UI" w:cs="Segoe UI"/>
          <w:noProof/>
          <w:sz w:val="18"/>
          <w:szCs w:val="18"/>
        </w:rPr>
      </w:pPr>
      <w:r w:rsidRPr="00244D65">
        <w:rPr>
          <w:rStyle w:val="eop"/>
          <w:noProof/>
        </w:rPr>
        <w:t>In sum</w:t>
      </w:r>
      <w:r w:rsidR="008C5411" w:rsidRPr="00244D65">
        <w:rPr>
          <w:rStyle w:val="eop"/>
          <w:noProof/>
        </w:rPr>
        <w:t>,</w:t>
      </w:r>
      <w:r w:rsidRPr="00244D65">
        <w:rPr>
          <w:rStyle w:val="eop"/>
          <w:noProof/>
        </w:rPr>
        <w:t xml:space="preserve"> the recycling of EU ETS revenues back to maritime sector is expected to incentivise the use of sustainable propulsion fuels and </w:t>
      </w:r>
      <w:r w:rsidR="002D62A1" w:rsidRPr="00244D65">
        <w:rPr>
          <w:rStyle w:val="eop"/>
          <w:noProof/>
        </w:rPr>
        <w:t xml:space="preserve">clean </w:t>
      </w:r>
      <w:r w:rsidRPr="00244D65">
        <w:rPr>
          <w:rStyle w:val="eop"/>
          <w:noProof/>
        </w:rPr>
        <w:t xml:space="preserve">technologies and reduce costs of energy transition in shipping. </w:t>
      </w:r>
      <w:r w:rsidR="000E5913" w:rsidRPr="00244D65">
        <w:rPr>
          <w:rStyle w:val="eop"/>
          <w:noProof/>
        </w:rPr>
        <w:t xml:space="preserve">The IMO deduction </w:t>
      </w:r>
      <w:r w:rsidR="003D2F5A" w:rsidRPr="00244D65">
        <w:rPr>
          <w:rStyle w:val="eop"/>
          <w:noProof/>
        </w:rPr>
        <w:t xml:space="preserve">measure </w:t>
      </w:r>
      <w:r w:rsidR="000E5913" w:rsidRPr="00244D65">
        <w:rPr>
          <w:rStyle w:val="eop"/>
          <w:noProof/>
        </w:rPr>
        <w:t>in PO2 and PO3</w:t>
      </w:r>
      <w:r w:rsidR="003D2F5A" w:rsidRPr="00244D65">
        <w:rPr>
          <w:rStyle w:val="eop"/>
          <w:noProof/>
        </w:rPr>
        <w:t xml:space="preserve"> also ensures that</w:t>
      </w:r>
      <w:r w:rsidR="00EE7E1A" w:rsidRPr="00244D65">
        <w:rPr>
          <w:rStyle w:val="eop"/>
          <w:noProof/>
        </w:rPr>
        <w:t xml:space="preserve"> emissions priced under IMO global measure (once adopted) are not priced for the second time under EU ETS</w:t>
      </w:r>
      <w:r w:rsidR="00FD17E1" w:rsidRPr="00244D65">
        <w:rPr>
          <w:rStyle w:val="eop"/>
          <w:noProof/>
        </w:rPr>
        <w:t>, avoiding therefore double paymen</w:t>
      </w:r>
      <w:r w:rsidR="006B04AB" w:rsidRPr="00244D65">
        <w:rPr>
          <w:rStyle w:val="eop"/>
          <w:noProof/>
        </w:rPr>
        <w:t>t</w:t>
      </w:r>
      <w:r w:rsidR="00EE7E1A" w:rsidRPr="00244D65">
        <w:rPr>
          <w:rStyle w:val="eop"/>
          <w:noProof/>
        </w:rPr>
        <w:t xml:space="preserve">. The concrete economic impact on each </w:t>
      </w:r>
      <w:r w:rsidR="006B04AB" w:rsidRPr="00244D65">
        <w:rPr>
          <w:rStyle w:val="eop"/>
          <w:noProof/>
        </w:rPr>
        <w:t xml:space="preserve">shipping </w:t>
      </w:r>
      <w:r w:rsidR="00EE7E1A" w:rsidRPr="00244D65">
        <w:rPr>
          <w:rStyle w:val="eop"/>
          <w:noProof/>
        </w:rPr>
        <w:t xml:space="preserve">company will depend on the </w:t>
      </w:r>
      <w:r w:rsidR="0072174F" w:rsidRPr="00244D65">
        <w:rPr>
          <w:rStyle w:val="eop"/>
          <w:noProof/>
        </w:rPr>
        <w:t>stringency of the global measure and the</w:t>
      </w:r>
      <w:r w:rsidR="00EE7E1A" w:rsidRPr="00244D65">
        <w:rPr>
          <w:rStyle w:val="eop"/>
          <w:noProof/>
        </w:rPr>
        <w:t xml:space="preserve"> fuels used</w:t>
      </w:r>
      <w:r w:rsidR="0072174F" w:rsidRPr="00244D65">
        <w:rPr>
          <w:rStyle w:val="eop"/>
          <w:noProof/>
        </w:rPr>
        <w:t xml:space="preserve"> </w:t>
      </w:r>
      <w:r w:rsidR="32E5EA81" w:rsidRPr="00244D65">
        <w:rPr>
          <w:rStyle w:val="eop"/>
          <w:noProof/>
        </w:rPr>
        <w:t>on board</w:t>
      </w:r>
      <w:r w:rsidR="0072174F" w:rsidRPr="00244D65">
        <w:rPr>
          <w:rStyle w:val="eop"/>
          <w:noProof/>
        </w:rPr>
        <w:t xml:space="preserve"> each ship</w:t>
      </w:r>
      <w:r w:rsidR="00EE7E1A" w:rsidRPr="00244D65">
        <w:rPr>
          <w:rStyle w:val="eop"/>
          <w:noProof/>
        </w:rPr>
        <w:t xml:space="preserve">. </w:t>
      </w:r>
      <w:r w:rsidR="003F7727" w:rsidRPr="00244D65">
        <w:rPr>
          <w:rStyle w:val="eop"/>
          <w:noProof/>
        </w:rPr>
        <w:t>The</w:t>
      </w:r>
      <w:r w:rsidR="008C5411" w:rsidRPr="00244D65">
        <w:rPr>
          <w:rStyle w:val="eop"/>
          <w:noProof/>
        </w:rPr>
        <w:t xml:space="preserve"> prolong</w:t>
      </w:r>
      <w:r w:rsidR="003F7727" w:rsidRPr="00244D65">
        <w:rPr>
          <w:rStyle w:val="eop"/>
          <w:noProof/>
        </w:rPr>
        <w:t>ation of</w:t>
      </w:r>
      <w:r w:rsidR="008C5411" w:rsidRPr="00244D65">
        <w:rPr>
          <w:rStyle w:val="eop"/>
          <w:noProof/>
        </w:rPr>
        <w:t xml:space="preserve"> derogations </w:t>
      </w:r>
      <w:r w:rsidR="003146FB" w:rsidRPr="00244D65">
        <w:rPr>
          <w:rStyle w:val="eop"/>
          <w:noProof/>
        </w:rPr>
        <w:t>contemplated in PO2 and PO3</w:t>
      </w:r>
      <w:r w:rsidR="005113A8" w:rsidRPr="00244D65">
        <w:rPr>
          <w:rStyle w:val="eop"/>
          <w:noProof/>
        </w:rPr>
        <w:t xml:space="preserve"> leads to avoided costs for shipping compan</w:t>
      </w:r>
      <w:r w:rsidR="006C32F8" w:rsidRPr="00244D65">
        <w:rPr>
          <w:rStyle w:val="eop"/>
          <w:noProof/>
        </w:rPr>
        <w:t>ies</w:t>
      </w:r>
      <w:r w:rsidR="005113A8" w:rsidRPr="00244D65">
        <w:rPr>
          <w:rStyle w:val="eop"/>
          <w:noProof/>
        </w:rPr>
        <w:t xml:space="preserve">, </w:t>
      </w:r>
      <w:r w:rsidR="00C81DE0" w:rsidRPr="00244D65">
        <w:rPr>
          <w:rStyle w:val="eop"/>
          <w:noProof/>
        </w:rPr>
        <w:t xml:space="preserve">which </w:t>
      </w:r>
      <w:r w:rsidR="00E61DF1" w:rsidRPr="00244D65">
        <w:rPr>
          <w:rStyle w:val="eop"/>
          <w:noProof/>
        </w:rPr>
        <w:t>could help</w:t>
      </w:r>
      <w:r w:rsidR="00C72352" w:rsidRPr="00244D65">
        <w:rPr>
          <w:rStyle w:val="eop"/>
          <w:noProof/>
        </w:rPr>
        <w:t xml:space="preserve"> support</w:t>
      </w:r>
      <w:r w:rsidR="00C81DE0" w:rsidRPr="00244D65">
        <w:rPr>
          <w:rStyle w:val="eop"/>
          <w:noProof/>
        </w:rPr>
        <w:t xml:space="preserve"> the</w:t>
      </w:r>
      <w:r w:rsidR="008C5411" w:rsidRPr="00244D65">
        <w:rPr>
          <w:rStyle w:val="eop"/>
          <w:noProof/>
        </w:rPr>
        <w:t xml:space="preserve"> connectivity of islands and outermost regions</w:t>
      </w:r>
      <w:r w:rsidR="00316F00" w:rsidRPr="00244D65">
        <w:rPr>
          <w:rStyle w:val="eop"/>
          <w:noProof/>
        </w:rPr>
        <w:t xml:space="preserve"> but delay</w:t>
      </w:r>
      <w:r w:rsidR="00CF75EB" w:rsidRPr="00244D65">
        <w:rPr>
          <w:rStyle w:val="eop"/>
          <w:noProof/>
        </w:rPr>
        <w:t xml:space="preserve"> at the same time</w:t>
      </w:r>
      <w:r w:rsidR="00316F00" w:rsidRPr="00244D65">
        <w:rPr>
          <w:rStyle w:val="eop"/>
          <w:noProof/>
        </w:rPr>
        <w:t xml:space="preserve"> </w:t>
      </w:r>
      <w:r w:rsidR="00CF75EB" w:rsidRPr="00244D65">
        <w:rPr>
          <w:rStyle w:val="eop"/>
          <w:noProof/>
        </w:rPr>
        <w:t>investments for decarbonisation.</w:t>
      </w:r>
      <w:r w:rsidR="008C5411" w:rsidRPr="00244D65">
        <w:rPr>
          <w:rStyle w:val="eop"/>
          <w:noProof/>
        </w:rPr>
        <w:t xml:space="preserve"> </w:t>
      </w:r>
      <w:r w:rsidR="00D74A09" w:rsidRPr="00244D65">
        <w:rPr>
          <w:rStyle w:val="eop"/>
          <w:noProof/>
        </w:rPr>
        <w:t>The economic impacts</w:t>
      </w:r>
      <w:r w:rsidR="00186FAE" w:rsidRPr="00244D65">
        <w:rPr>
          <w:rStyle w:val="eop"/>
          <w:noProof/>
        </w:rPr>
        <w:t xml:space="preserve"> </w:t>
      </w:r>
      <w:r w:rsidR="00794AFE" w:rsidRPr="00244D65">
        <w:rPr>
          <w:rStyle w:val="eop"/>
          <w:noProof/>
        </w:rPr>
        <w:t>linked to the</w:t>
      </w:r>
      <w:r w:rsidR="00186FAE" w:rsidRPr="00244D65">
        <w:rPr>
          <w:rStyle w:val="eop"/>
          <w:noProof/>
        </w:rPr>
        <w:t xml:space="preserve"> </w:t>
      </w:r>
      <w:r w:rsidR="00D74A09" w:rsidRPr="00244D65">
        <w:rPr>
          <w:rStyle w:val="eop"/>
          <w:noProof/>
        </w:rPr>
        <w:t>inclusion</w:t>
      </w:r>
      <w:r w:rsidR="00816E99" w:rsidRPr="00244D65">
        <w:rPr>
          <w:rStyle w:val="eop"/>
          <w:noProof/>
        </w:rPr>
        <w:t xml:space="preserve"> of </w:t>
      </w:r>
      <w:r w:rsidR="00D74A09" w:rsidRPr="00244D65">
        <w:rPr>
          <w:rStyle w:val="eop"/>
          <w:noProof/>
        </w:rPr>
        <w:t xml:space="preserve">smaller vessels </w:t>
      </w:r>
      <w:r w:rsidR="000A0E3D" w:rsidRPr="00244D65">
        <w:rPr>
          <w:rStyle w:val="eop"/>
          <w:noProof/>
        </w:rPr>
        <w:t xml:space="preserve">in PO2 and PO3 </w:t>
      </w:r>
      <w:r w:rsidR="00B76245" w:rsidRPr="00244D65">
        <w:rPr>
          <w:rStyle w:val="eop"/>
          <w:noProof/>
        </w:rPr>
        <w:t xml:space="preserve">are relatively modest </w:t>
      </w:r>
      <w:r w:rsidR="005B4B3D" w:rsidRPr="00244D65">
        <w:rPr>
          <w:rStyle w:val="eop"/>
          <w:noProof/>
        </w:rPr>
        <w:t>when considering the costs</w:t>
      </w:r>
      <w:r w:rsidR="00B76245" w:rsidRPr="00244D65">
        <w:rPr>
          <w:rStyle w:val="eop"/>
          <w:noProof/>
        </w:rPr>
        <w:t xml:space="preserve"> </w:t>
      </w:r>
      <w:r w:rsidR="000C357F" w:rsidRPr="00244D65">
        <w:rPr>
          <w:rStyle w:val="eop"/>
          <w:noProof/>
        </w:rPr>
        <w:t xml:space="preserve">for the whole fleet. It also </w:t>
      </w:r>
      <w:r w:rsidR="00623B76" w:rsidRPr="00244D65">
        <w:rPr>
          <w:rStyle w:val="eop"/>
          <w:noProof/>
        </w:rPr>
        <w:t>bring</w:t>
      </w:r>
      <w:r w:rsidR="000C357F" w:rsidRPr="00244D65">
        <w:rPr>
          <w:rStyle w:val="eop"/>
          <w:noProof/>
        </w:rPr>
        <w:t>s</w:t>
      </w:r>
      <w:r w:rsidR="00623B76" w:rsidRPr="00244D65">
        <w:rPr>
          <w:rStyle w:val="eop"/>
          <w:noProof/>
        </w:rPr>
        <w:t xml:space="preserve"> some</w:t>
      </w:r>
      <w:r w:rsidR="000A0E3D" w:rsidRPr="00244D65">
        <w:rPr>
          <w:rStyle w:val="eop"/>
          <w:noProof/>
        </w:rPr>
        <w:t xml:space="preserve"> positive effect</w:t>
      </w:r>
      <w:r w:rsidR="000C357F" w:rsidRPr="00244D65">
        <w:rPr>
          <w:rStyle w:val="eop"/>
          <w:noProof/>
        </w:rPr>
        <w:t>s</w:t>
      </w:r>
      <w:r w:rsidR="000A0E3D" w:rsidRPr="00244D65">
        <w:rPr>
          <w:rStyle w:val="eop"/>
          <w:noProof/>
        </w:rPr>
        <w:t xml:space="preserve"> in terms of level playing field with </w:t>
      </w:r>
      <w:r w:rsidR="009D5A43" w:rsidRPr="00244D65">
        <w:rPr>
          <w:rStyle w:val="eop"/>
          <w:noProof/>
        </w:rPr>
        <w:t xml:space="preserve">the </w:t>
      </w:r>
      <w:r w:rsidR="000A0E3D" w:rsidRPr="00244D65">
        <w:rPr>
          <w:rStyle w:val="eop"/>
          <w:noProof/>
        </w:rPr>
        <w:t>larger</w:t>
      </w:r>
      <w:r w:rsidR="00816E99" w:rsidRPr="00244D65">
        <w:rPr>
          <w:rStyle w:val="eop"/>
          <w:noProof/>
        </w:rPr>
        <w:t xml:space="preserve"> vessels </w:t>
      </w:r>
      <w:r w:rsidR="000A0E3D" w:rsidRPr="00244D65">
        <w:rPr>
          <w:rStyle w:val="eop"/>
          <w:noProof/>
        </w:rPr>
        <w:t xml:space="preserve">that are </w:t>
      </w:r>
      <w:r w:rsidR="009D5A43" w:rsidRPr="00244D65">
        <w:rPr>
          <w:rStyle w:val="eop"/>
          <w:noProof/>
        </w:rPr>
        <w:t>already</w:t>
      </w:r>
      <w:r w:rsidR="000A0E3D" w:rsidRPr="00244D65">
        <w:rPr>
          <w:rStyle w:val="eop"/>
          <w:noProof/>
        </w:rPr>
        <w:t xml:space="preserve"> subject to EU </w:t>
      </w:r>
      <w:r w:rsidR="003A3143" w:rsidRPr="00244D65">
        <w:rPr>
          <w:rStyle w:val="eop"/>
          <w:noProof/>
        </w:rPr>
        <w:t>ETS</w:t>
      </w:r>
      <w:r w:rsidR="000A0E3D" w:rsidRPr="00244D65">
        <w:rPr>
          <w:rStyle w:val="eop"/>
          <w:noProof/>
        </w:rPr>
        <w:t>.</w:t>
      </w:r>
      <w:r w:rsidR="005D793F" w:rsidRPr="00244D65">
        <w:rPr>
          <w:rStyle w:val="eop"/>
          <w:noProof/>
        </w:rPr>
        <w:t xml:space="preserve"> </w:t>
      </w:r>
    </w:p>
    <w:p w14:paraId="30AAD713" w14:textId="09D1D196" w:rsidR="00F77B0A" w:rsidRPr="00244D65" w:rsidRDefault="5FC6419C" w:rsidP="0085595C">
      <w:pPr>
        <w:pStyle w:val="Heading4"/>
        <w:rPr>
          <w:noProof/>
        </w:rPr>
      </w:pPr>
      <w:r w:rsidRPr="00244D65">
        <w:rPr>
          <w:noProof/>
        </w:rPr>
        <w:t xml:space="preserve"> </w:t>
      </w:r>
      <w:r w:rsidR="00DE4C48" w:rsidRPr="00244D65">
        <w:rPr>
          <w:noProof/>
        </w:rPr>
        <w:t>Carbon leakage prevention</w:t>
      </w:r>
    </w:p>
    <w:p w14:paraId="4154B1EA" w14:textId="6B74573B" w:rsidR="005936E7" w:rsidRPr="00244D65" w:rsidRDefault="005936E7" w:rsidP="0085595C">
      <w:pPr>
        <w:rPr>
          <w:noProof/>
        </w:rPr>
      </w:pPr>
      <w:r w:rsidRPr="00244D65">
        <w:rPr>
          <w:noProof/>
        </w:rPr>
        <w:t>The different carbon leakage protection measure</w:t>
      </w:r>
      <w:r w:rsidR="006A45E8" w:rsidRPr="00244D65">
        <w:rPr>
          <w:noProof/>
        </w:rPr>
        <w:t>s</w:t>
      </w:r>
      <w:r w:rsidRPr="00244D65">
        <w:rPr>
          <w:noProof/>
        </w:rPr>
        <w:t xml:space="preserve"> described in </w:t>
      </w:r>
      <w:r w:rsidR="489324BA" w:rsidRPr="00244D65">
        <w:rPr>
          <w:noProof/>
        </w:rPr>
        <w:t>Annexes</w:t>
      </w:r>
      <w:r w:rsidR="00C42777" w:rsidRPr="00244D65">
        <w:rPr>
          <w:noProof/>
        </w:rPr>
        <w:t xml:space="preserve"> 7 and 12</w:t>
      </w:r>
      <w:r w:rsidRPr="00244D65">
        <w:rPr>
          <w:noProof/>
        </w:rPr>
        <w:t xml:space="preserve"> will result in varying free allocation levels for non-CBAM sectors. This in turn will result in different levels of exposure to the carbon price in each of the policy scenario, impacting the carbon compliance costs faced by businesses. </w:t>
      </w:r>
    </w:p>
    <w:p w14:paraId="693A4721" w14:textId="61D09CE8" w:rsidR="005936E7" w:rsidRPr="00244D65" w:rsidRDefault="005936E7" w:rsidP="0085595C">
      <w:pPr>
        <w:rPr>
          <w:noProof/>
        </w:rPr>
      </w:pPr>
      <w:r w:rsidRPr="00244D65">
        <w:rPr>
          <w:noProof/>
        </w:rPr>
        <w:t xml:space="preserve">The reforms to the provision of free allocation that are included within the policy options are compared to the baseline, which simply assumes a continuation of free allocation with updated benchmarks (same as CL1), but with a lower free allocation budget as the baseline is set in accordance with the legal default that sets a more stringent </w:t>
      </w:r>
      <w:r w:rsidR="00F909E3" w:rsidRPr="00244D65">
        <w:rPr>
          <w:noProof/>
        </w:rPr>
        <w:t>EU ETS</w:t>
      </w:r>
      <w:r w:rsidRPr="00244D65">
        <w:rPr>
          <w:noProof/>
        </w:rPr>
        <w:t xml:space="preserve"> cap than assumed in the policy options.</w:t>
      </w:r>
    </w:p>
    <w:p w14:paraId="755C80FA" w14:textId="073980D5" w:rsidR="00091D60" w:rsidRPr="00244D65" w:rsidRDefault="005936E7" w:rsidP="0085595C">
      <w:pPr>
        <w:rPr>
          <w:noProof/>
        </w:rPr>
      </w:pPr>
      <w:r w:rsidRPr="00244D65">
        <w:rPr>
          <w:noProof/>
        </w:rPr>
        <w:t xml:space="preserve">In the baseline, the free allocation is expected to be </w:t>
      </w:r>
      <w:r>
        <w:rPr>
          <w:noProof/>
        </w:rPr>
        <w:t>778</w:t>
      </w:r>
      <w:r w:rsidR="00022EDE" w:rsidRPr="00244D65">
        <w:rPr>
          <w:noProof/>
        </w:rPr>
        <w:t xml:space="preserve"> </w:t>
      </w:r>
      <w:r w:rsidRPr="00244D65">
        <w:rPr>
          <w:noProof/>
        </w:rPr>
        <w:t>M EUAs</w:t>
      </w:r>
      <w:r w:rsidR="006F6916" w:rsidRPr="00244D65">
        <w:rPr>
          <w:noProof/>
        </w:rPr>
        <w:t xml:space="preserve">. For the policy options, based on the available free allocation budget (see </w:t>
      </w:r>
      <w:r w:rsidR="00B00992" w:rsidRPr="00244D65">
        <w:rPr>
          <w:noProof/>
        </w:rPr>
        <w:t xml:space="preserve">Table </w:t>
      </w:r>
      <w:r w:rsidR="00686CE1" w:rsidRPr="00244D65">
        <w:rPr>
          <w:noProof/>
        </w:rPr>
        <w:t>4</w:t>
      </w:r>
      <w:r w:rsidR="00B00992" w:rsidRPr="00244D65">
        <w:rPr>
          <w:noProof/>
        </w:rPr>
        <w:t xml:space="preserve"> in Annex 12) and the policy measure, the resulting free allocation will range between </w:t>
      </w:r>
      <w:r>
        <w:rPr>
          <w:noProof/>
        </w:rPr>
        <w:t>487</w:t>
      </w:r>
      <w:r w:rsidR="00EA46F2" w:rsidRPr="00244D65">
        <w:rPr>
          <w:noProof/>
        </w:rPr>
        <w:t xml:space="preserve"> and </w:t>
      </w:r>
      <w:r>
        <w:rPr>
          <w:noProof/>
        </w:rPr>
        <w:t>990</w:t>
      </w:r>
      <w:r w:rsidR="00EA46F2" w:rsidRPr="00244D65">
        <w:rPr>
          <w:noProof/>
        </w:rPr>
        <w:t xml:space="preserve"> </w:t>
      </w:r>
      <w:r w:rsidR="00B00992" w:rsidRPr="00244D65">
        <w:rPr>
          <w:noProof/>
        </w:rPr>
        <w:t>million EUAs over the period 2031-2040.</w:t>
      </w:r>
      <w:r w:rsidR="000C653C" w:rsidRPr="00244D65">
        <w:rPr>
          <w:noProof/>
        </w:rPr>
        <w:t xml:space="preserve"> </w:t>
      </w:r>
      <w:r>
        <w:rPr>
          <w:noProof/>
        </w:rPr>
        <w:t>The equivalent financial volume of this free allocation amounts to over 110 billion EUR for the baseline and between aproximately 70 – 170 billion EUR for the policy scenarios (see Table 12 in Annex 12 for additional details).</w:t>
      </w:r>
      <w:r w:rsidR="00713EAF" w:rsidRPr="00244D65">
        <w:rPr>
          <w:noProof/>
        </w:rPr>
        <w:t xml:space="preserve"> </w:t>
      </w:r>
    </w:p>
    <w:p w14:paraId="6E8E67E7" w14:textId="7297A51F" w:rsidR="00BF1C63" w:rsidRPr="00244D65" w:rsidRDefault="00BF1C63" w:rsidP="0085595C">
      <w:pPr>
        <w:rPr>
          <w:noProof/>
        </w:rPr>
      </w:pPr>
      <w:r w:rsidRPr="00244D65">
        <w:rPr>
          <w:noProof/>
        </w:rPr>
        <w:t>In terms of the adjustment cost of each policy option compared to the baseline, it would have a positive impact in PO1 and PO2 on the conduct of business as the provision of free allocation would increase compared to the baseline. This primarily reflects the less stringent ETS cap set for the policy options than the baseline, but the extended scope of the EU ETS into waste activities also has an upward effect on the number of free allowances available under PO2 and PO3.</w:t>
      </w:r>
      <w:r w:rsidR="000C653C" w:rsidRPr="00244D65">
        <w:rPr>
          <w:noProof/>
        </w:rPr>
        <w:t xml:space="preserve"> </w:t>
      </w:r>
      <w:r w:rsidRPr="00244D65">
        <w:rPr>
          <w:noProof/>
        </w:rPr>
        <w:t>However, in the case of PO3 the increase in allowances due to the extension of the scope is offset completely by the rapid phase out of free allocation envisaged under CL3 for non-CBAM sectors and the total number of allowances available is lower than the baseline.</w:t>
      </w:r>
    </w:p>
    <w:p w14:paraId="6B1921D6" w14:textId="3A541F88" w:rsidR="000E41E2" w:rsidRPr="00244D65" w:rsidRDefault="00C06F80" w:rsidP="0085595C">
      <w:pPr>
        <w:rPr>
          <w:noProof/>
          <w:lang w:eastAsia="en-GB"/>
        </w:rPr>
      </w:pPr>
      <w:r w:rsidRPr="00244D65">
        <w:rPr>
          <w:noProof/>
        </w:rPr>
        <w:t>In addition, under PO2</w:t>
      </w:r>
      <w:r w:rsidR="00CA08E4" w:rsidRPr="00244D65">
        <w:rPr>
          <w:noProof/>
        </w:rPr>
        <w:t xml:space="preserve">, part of the </w:t>
      </w:r>
      <w:r w:rsidRPr="00244D65">
        <w:rPr>
          <w:noProof/>
        </w:rPr>
        <w:t xml:space="preserve">free allocation is made conditional to </w:t>
      </w:r>
      <w:r w:rsidR="00CA08E4" w:rsidRPr="00244D65">
        <w:rPr>
          <w:noProof/>
        </w:rPr>
        <w:t xml:space="preserve">making investment of equivalent value to that of the free allocation given. This results in an expected level of investment due to conditionalities </w:t>
      </w:r>
      <w:r w:rsidR="00943A35" w:rsidRPr="00244D65">
        <w:rPr>
          <w:noProof/>
        </w:rPr>
        <w:t>between</w:t>
      </w:r>
      <w:r w:rsidR="000F0C32" w:rsidRPr="00244D65">
        <w:rPr>
          <w:noProof/>
        </w:rPr>
        <w:t xml:space="preserve"> </w:t>
      </w:r>
      <w:r>
        <w:rPr>
          <w:noProof/>
        </w:rPr>
        <w:t xml:space="preserve">approximately </w:t>
      </w:r>
      <w:r>
        <w:rPr>
          <w:noProof/>
          <w:lang w:eastAsia="en-GB"/>
        </w:rPr>
        <w:t>50</w:t>
      </w:r>
      <w:r w:rsidR="00DD427A" w:rsidRPr="00244D65">
        <w:rPr>
          <w:noProof/>
          <w:lang w:eastAsia="en-GB"/>
        </w:rPr>
        <w:t xml:space="preserve"> </w:t>
      </w:r>
      <w:r w:rsidR="00C15382" w:rsidRPr="00244D65">
        <w:rPr>
          <w:noProof/>
          <w:lang w:eastAsia="en-GB"/>
        </w:rPr>
        <w:t xml:space="preserve">and </w:t>
      </w:r>
      <w:r>
        <w:rPr>
          <w:noProof/>
          <w:lang w:eastAsia="en-GB"/>
        </w:rPr>
        <w:t>90</w:t>
      </w:r>
      <w:r w:rsidR="00362262" w:rsidRPr="00244D65">
        <w:rPr>
          <w:noProof/>
          <w:lang w:eastAsia="en-GB"/>
        </w:rPr>
        <w:t xml:space="preserve"> </w:t>
      </w:r>
      <w:r w:rsidR="00943A35" w:rsidRPr="00244D65">
        <w:rPr>
          <w:noProof/>
        </w:rPr>
        <w:t xml:space="preserve">billion EUR, depending on the assumed level of compliance. </w:t>
      </w:r>
      <w:r w:rsidR="000641B8" w:rsidRPr="00244D65">
        <w:rPr>
          <w:b/>
          <w:bCs/>
          <w:noProof/>
          <w:lang w:eastAsia="en-GB"/>
        </w:rPr>
        <w:t>ICC</w:t>
      </w:r>
      <w:r w:rsidR="000641B8" w:rsidRPr="00244D65">
        <w:rPr>
          <w:noProof/>
          <w:lang w:eastAsia="en-GB"/>
        </w:rPr>
        <w:t xml:space="preserve"> compensation </w:t>
      </w:r>
      <w:r w:rsidR="00752EF2" w:rsidRPr="00244D65">
        <w:rPr>
          <w:noProof/>
          <w:lang w:eastAsia="en-GB"/>
        </w:rPr>
        <w:t xml:space="preserve">can prevent carbon leakage and encourage industrial electrification by </w:t>
      </w:r>
      <w:r w:rsidR="005024C2" w:rsidRPr="00244D65">
        <w:rPr>
          <w:noProof/>
          <w:lang w:eastAsia="en-GB"/>
        </w:rPr>
        <w:t xml:space="preserve">compensating for </w:t>
      </w:r>
      <w:r w:rsidR="00526F88" w:rsidRPr="00244D65">
        <w:rPr>
          <w:noProof/>
          <w:lang w:eastAsia="en-GB"/>
        </w:rPr>
        <w:t xml:space="preserve">some of the ICC cost that electro-intensive industries incur. </w:t>
      </w:r>
    </w:p>
    <w:p w14:paraId="580BC079" w14:textId="6C756D15" w:rsidR="00BB2F1D" w:rsidRPr="00244D65" w:rsidRDefault="00DD00A3" w:rsidP="0085595C">
      <w:pPr>
        <w:rPr>
          <w:noProof/>
          <w:lang w:eastAsia="en-GB"/>
        </w:rPr>
      </w:pPr>
      <w:r w:rsidRPr="00244D65">
        <w:rPr>
          <w:noProof/>
          <w:lang w:eastAsia="en-GB"/>
        </w:rPr>
        <w:t>A</w:t>
      </w:r>
      <w:r w:rsidR="000F3223" w:rsidRPr="00244D65">
        <w:rPr>
          <w:noProof/>
          <w:lang w:eastAsia="en-GB"/>
        </w:rPr>
        <w:t xml:space="preserve">nalysis in Annex 12 suggests that </w:t>
      </w:r>
      <w:r w:rsidR="00526F88" w:rsidRPr="00244D65">
        <w:rPr>
          <w:noProof/>
          <w:lang w:eastAsia="en-GB"/>
        </w:rPr>
        <w:t>the</w:t>
      </w:r>
      <w:r w:rsidR="000F3223" w:rsidRPr="00244D65">
        <w:rPr>
          <w:noProof/>
          <w:lang w:eastAsia="en-GB"/>
        </w:rPr>
        <w:t xml:space="preserve"> cost </w:t>
      </w:r>
      <w:r w:rsidR="00526F88" w:rsidRPr="00244D65">
        <w:rPr>
          <w:noProof/>
          <w:lang w:eastAsia="en-GB"/>
        </w:rPr>
        <w:t>of such compensation</w:t>
      </w:r>
      <w:r w:rsidR="000F3223" w:rsidRPr="00244D65">
        <w:rPr>
          <w:noProof/>
          <w:lang w:eastAsia="en-GB"/>
        </w:rPr>
        <w:t xml:space="preserve"> could be equivalent to </w:t>
      </w:r>
      <w:r>
        <w:rPr>
          <w:noProof/>
          <w:lang w:eastAsia="en-GB"/>
        </w:rPr>
        <w:t>11%</w:t>
      </w:r>
      <w:r w:rsidR="000F3223" w:rsidRPr="00244D65" w:rsidDel="00374D65">
        <w:rPr>
          <w:noProof/>
          <w:lang w:eastAsia="en-GB"/>
        </w:rPr>
        <w:t xml:space="preserve"> </w:t>
      </w:r>
      <w:r w:rsidR="000F3223" w:rsidRPr="00244D65">
        <w:rPr>
          <w:noProof/>
          <w:lang w:eastAsia="en-GB"/>
        </w:rPr>
        <w:t xml:space="preserve">of ETS revenues in 2031-40 on </w:t>
      </w:r>
      <w:bookmarkStart w:id="200" w:name="_Int_7ON03PRW"/>
      <w:r w:rsidR="000F3223" w:rsidRPr="00244D65">
        <w:rPr>
          <w:noProof/>
          <w:lang w:eastAsia="en-GB"/>
        </w:rPr>
        <w:t xml:space="preserve">average, </w:t>
      </w:r>
      <w:r w:rsidR="00A52784" w:rsidRPr="00244D65">
        <w:rPr>
          <w:noProof/>
          <w:lang w:eastAsia="en-GB"/>
        </w:rPr>
        <w:t>if</w:t>
      </w:r>
      <w:bookmarkEnd w:id="200"/>
      <w:r w:rsidR="000F3223" w:rsidRPr="00244D65">
        <w:rPr>
          <w:noProof/>
          <w:lang w:eastAsia="en-GB"/>
        </w:rPr>
        <w:t xml:space="preserve"> all Member States </w:t>
      </w:r>
      <w:r w:rsidR="00672DDA" w:rsidRPr="00244D65">
        <w:rPr>
          <w:noProof/>
          <w:lang w:eastAsia="en-GB"/>
        </w:rPr>
        <w:t>were to provide</w:t>
      </w:r>
      <w:r w:rsidR="000F3223" w:rsidRPr="00244D65">
        <w:rPr>
          <w:noProof/>
          <w:lang w:eastAsia="en-GB"/>
        </w:rPr>
        <w:t xml:space="preserve"> </w:t>
      </w:r>
      <w:r w:rsidR="006D1B29" w:rsidRPr="00244D65">
        <w:rPr>
          <w:noProof/>
          <w:lang w:eastAsia="en-GB"/>
        </w:rPr>
        <w:t>State aid post-2030 using schemes similar to those currently in place</w:t>
      </w:r>
      <w:r w:rsidR="000F3223" w:rsidRPr="00244D65">
        <w:rPr>
          <w:rStyle w:val="FootnoteReference"/>
          <w:noProof/>
          <w:lang w:eastAsia="en-GB"/>
        </w:rPr>
        <w:footnoteReference w:id="65"/>
      </w:r>
      <w:r w:rsidR="000F3223" w:rsidRPr="00244D65">
        <w:rPr>
          <w:noProof/>
          <w:lang w:eastAsia="en-GB"/>
        </w:rPr>
        <w:t xml:space="preserve">. </w:t>
      </w:r>
      <w:r w:rsidR="002961F1" w:rsidRPr="00244D65">
        <w:rPr>
          <w:noProof/>
          <w:lang w:eastAsia="en-GB"/>
        </w:rPr>
        <w:t xml:space="preserve">Among </w:t>
      </w:r>
      <w:r w:rsidR="00CB6E16" w:rsidRPr="00244D65">
        <w:rPr>
          <w:noProof/>
          <w:lang w:eastAsia="en-GB"/>
        </w:rPr>
        <w:t>other drivers, t</w:t>
      </w:r>
      <w:r w:rsidR="00693B95" w:rsidRPr="00244D65">
        <w:rPr>
          <w:noProof/>
          <w:lang w:eastAsia="en-GB"/>
        </w:rPr>
        <w:t>his estimate assumes that</w:t>
      </w:r>
      <w:r w:rsidR="00BA7848" w:rsidRPr="00244D65">
        <w:rPr>
          <w:noProof/>
          <w:lang w:eastAsia="en-GB"/>
        </w:rPr>
        <w:t xml:space="preserve"> indirect carbon costs are dampened </w:t>
      </w:r>
      <w:r w:rsidR="00363EAA" w:rsidRPr="00244D65">
        <w:rPr>
          <w:noProof/>
          <w:lang w:eastAsia="en-GB"/>
        </w:rPr>
        <w:t>by</w:t>
      </w:r>
      <w:r w:rsidR="00693B95" w:rsidRPr="00244D65">
        <w:rPr>
          <w:noProof/>
          <w:lang w:eastAsia="en-GB"/>
        </w:rPr>
        <w:t xml:space="preserve"> the increasing role of non-fossil generation in setting electricity prices </w:t>
      </w:r>
      <w:r w:rsidR="003D7D6E" w:rsidRPr="00244D65">
        <w:rPr>
          <w:noProof/>
          <w:lang w:eastAsia="en-GB"/>
        </w:rPr>
        <w:t>post-2030</w:t>
      </w:r>
      <w:r w:rsidR="00693B95" w:rsidRPr="00244D65">
        <w:rPr>
          <w:noProof/>
          <w:lang w:eastAsia="en-GB"/>
        </w:rPr>
        <w:t xml:space="preserve"> (meaning that indirect carbon cost accounts for a smaller share of electricity bills).</w:t>
      </w:r>
      <w:r w:rsidR="00B84AC9" w:rsidRPr="00244D65">
        <w:rPr>
          <w:noProof/>
          <w:lang w:eastAsia="en-GB"/>
        </w:rPr>
        <w:t xml:space="preserve"> </w:t>
      </w:r>
      <w:r w:rsidR="00B17A82" w:rsidRPr="00244D65">
        <w:rPr>
          <w:noProof/>
          <w:lang w:eastAsia="en-GB"/>
        </w:rPr>
        <w:t>Without the estimated price-setting effect of non-fossil generation</w:t>
      </w:r>
      <w:r w:rsidR="00387D1A" w:rsidRPr="00244D65">
        <w:rPr>
          <w:noProof/>
          <w:lang w:eastAsia="en-GB"/>
        </w:rPr>
        <w:t>,</w:t>
      </w:r>
      <w:r w:rsidR="00B17A82" w:rsidRPr="00244D65">
        <w:rPr>
          <w:noProof/>
          <w:lang w:eastAsia="en-GB"/>
        </w:rPr>
        <w:t xml:space="preserve"> d</w:t>
      </w:r>
      <w:r w:rsidR="004449A4" w:rsidRPr="00244D65">
        <w:rPr>
          <w:noProof/>
          <w:lang w:eastAsia="en-GB"/>
        </w:rPr>
        <w:t>emand for ICC compensation could reach even higher levels</w:t>
      </w:r>
      <w:r w:rsidR="00B22008" w:rsidRPr="00244D65">
        <w:rPr>
          <w:noProof/>
          <w:lang w:eastAsia="en-GB"/>
        </w:rPr>
        <w:t xml:space="preserve"> (</w:t>
      </w:r>
      <w:r w:rsidR="005312BC" w:rsidRPr="00244D65">
        <w:rPr>
          <w:noProof/>
          <w:lang w:eastAsia="en-GB"/>
        </w:rPr>
        <w:t xml:space="preserve">up to </w:t>
      </w:r>
      <w:r>
        <w:rPr>
          <w:noProof/>
          <w:lang w:eastAsia="en-GB"/>
        </w:rPr>
        <w:t>22%</w:t>
      </w:r>
      <w:r w:rsidR="00B22008" w:rsidRPr="00244D65">
        <w:rPr>
          <w:noProof/>
          <w:lang w:eastAsia="en-GB"/>
        </w:rPr>
        <w:t xml:space="preserve"> of </w:t>
      </w:r>
      <w:r w:rsidR="004449A4" w:rsidRPr="00244D65">
        <w:rPr>
          <w:noProof/>
          <w:lang w:eastAsia="en-GB"/>
        </w:rPr>
        <w:t>revenues</w:t>
      </w:r>
      <w:r w:rsidR="00B22008" w:rsidRPr="00244D65">
        <w:rPr>
          <w:noProof/>
          <w:lang w:eastAsia="en-GB"/>
        </w:rPr>
        <w:t xml:space="preserve">). </w:t>
      </w:r>
    </w:p>
    <w:p w14:paraId="33E492C6" w14:textId="18F0FCA7" w:rsidR="00A25C11" w:rsidRPr="00244D65" w:rsidRDefault="00D1397E" w:rsidP="0085595C">
      <w:pPr>
        <w:rPr>
          <w:noProof/>
        </w:rPr>
      </w:pPr>
      <w:r w:rsidRPr="00244D65">
        <w:rPr>
          <w:noProof/>
        </w:rPr>
        <w:t xml:space="preserve">Under both ICC1 and ICC2, actual expenditure could be lower than the range given above due to budget constraints and priorities of Member States. However, under ICC2 a minimum compensation level of 5% of the total revenue generated from 2031-2040 would be guaranteed, provided this level of eligible indirect carbon cost can be demonstrated. </w:t>
      </w:r>
    </w:p>
    <w:p w14:paraId="2509CCEB" w14:textId="11A3ECEE" w:rsidR="00F77B0A" w:rsidRPr="00244D65" w:rsidRDefault="63DB89E7" w:rsidP="0085595C">
      <w:pPr>
        <w:pStyle w:val="Heading4"/>
        <w:rPr>
          <w:noProof/>
        </w:rPr>
      </w:pPr>
      <w:r w:rsidRPr="00244D65">
        <w:rPr>
          <w:noProof/>
        </w:rPr>
        <w:t xml:space="preserve"> </w:t>
      </w:r>
      <w:r w:rsidR="00D1397E" w:rsidRPr="00244D65">
        <w:rPr>
          <w:noProof/>
        </w:rPr>
        <w:t>Waste</w:t>
      </w:r>
    </w:p>
    <w:p w14:paraId="477F5E96" w14:textId="7797E228" w:rsidR="00522241" w:rsidRPr="00244D65" w:rsidRDefault="00522241" w:rsidP="0085595C">
      <w:pPr>
        <w:rPr>
          <w:noProof/>
        </w:rPr>
      </w:pPr>
      <w:r w:rsidRPr="00244D65">
        <w:rPr>
          <w:noProof/>
        </w:rPr>
        <w:t>Under PO1</w:t>
      </w:r>
      <w:r w:rsidR="007C59B5" w:rsidRPr="00244D65">
        <w:rPr>
          <w:noProof/>
        </w:rPr>
        <w:t xml:space="preserve"> (no inclusion of additional waste management processes)</w:t>
      </w:r>
      <w:r w:rsidRPr="00244D65">
        <w:rPr>
          <w:noProof/>
        </w:rPr>
        <w:t xml:space="preserve">, no additional cost of compliance is </w:t>
      </w:r>
      <w:r w:rsidR="00966EC8" w:rsidRPr="00244D65">
        <w:rPr>
          <w:noProof/>
        </w:rPr>
        <w:t>expected</w:t>
      </w:r>
      <w:r w:rsidRPr="00244D65">
        <w:rPr>
          <w:noProof/>
        </w:rPr>
        <w:t xml:space="preserve"> compared to the baseline. </w:t>
      </w:r>
    </w:p>
    <w:p w14:paraId="222AA7F3" w14:textId="7B689CEF" w:rsidR="00D71766" w:rsidRPr="00244D65" w:rsidRDefault="002C48E9" w:rsidP="0085595C">
      <w:pPr>
        <w:rPr>
          <w:noProof/>
        </w:rPr>
      </w:pPr>
      <w:r w:rsidRPr="00244D65">
        <w:rPr>
          <w:noProof/>
        </w:rPr>
        <w:t xml:space="preserve">Under PO2 </w:t>
      </w:r>
      <w:r w:rsidR="000B7804" w:rsidRPr="00244D65">
        <w:rPr>
          <w:noProof/>
        </w:rPr>
        <w:t xml:space="preserve">(inclusion of municipal waste incineration installations) </w:t>
      </w:r>
      <w:r w:rsidRPr="00244D65">
        <w:rPr>
          <w:noProof/>
        </w:rPr>
        <w:t>and PO3</w:t>
      </w:r>
      <w:r w:rsidR="007173B5" w:rsidRPr="00244D65">
        <w:rPr>
          <w:noProof/>
        </w:rPr>
        <w:t xml:space="preserve"> (inclusion of all waste incineration installations and landfills of non-hazardous waste)</w:t>
      </w:r>
      <w:r w:rsidRPr="00244D65">
        <w:rPr>
          <w:noProof/>
        </w:rPr>
        <w:t xml:space="preserve">, the </w:t>
      </w:r>
      <w:r w:rsidR="00387A23" w:rsidRPr="00244D65">
        <w:rPr>
          <w:noProof/>
        </w:rPr>
        <w:t>effective</w:t>
      </w:r>
      <w:r w:rsidR="000D6AA4" w:rsidRPr="00244D65">
        <w:rPr>
          <w:noProof/>
        </w:rPr>
        <w:t xml:space="preserve"> </w:t>
      </w:r>
      <w:r w:rsidR="00D5338D" w:rsidRPr="00244D65">
        <w:rPr>
          <w:noProof/>
        </w:rPr>
        <w:t xml:space="preserve">carbon </w:t>
      </w:r>
      <w:r w:rsidRPr="00244D65">
        <w:rPr>
          <w:noProof/>
        </w:rPr>
        <w:t xml:space="preserve">cost </w:t>
      </w:r>
      <w:r w:rsidR="009A65D0" w:rsidRPr="00244D65">
        <w:rPr>
          <w:noProof/>
        </w:rPr>
        <w:t>for</w:t>
      </w:r>
      <w:r w:rsidR="00D5338D" w:rsidRPr="00244D65">
        <w:rPr>
          <w:noProof/>
        </w:rPr>
        <w:t xml:space="preserve"> </w:t>
      </w:r>
      <w:r w:rsidR="000D244D" w:rsidRPr="00244D65">
        <w:rPr>
          <w:noProof/>
          <w:lang w:eastAsia="en-GB"/>
        </w:rPr>
        <w:t>operators depends</w:t>
      </w:r>
      <w:r w:rsidR="000D6AA4" w:rsidRPr="00244D65">
        <w:rPr>
          <w:noProof/>
        </w:rPr>
        <w:t xml:space="preserve"> on the </w:t>
      </w:r>
      <w:r w:rsidR="000D244D" w:rsidRPr="00244D65">
        <w:rPr>
          <w:noProof/>
          <w:lang w:eastAsia="en-GB"/>
        </w:rPr>
        <w:t>volume</w:t>
      </w:r>
      <w:r w:rsidR="00751884" w:rsidRPr="00244D65">
        <w:rPr>
          <w:noProof/>
          <w:lang w:eastAsia="en-GB"/>
        </w:rPr>
        <w:t>s</w:t>
      </w:r>
      <w:r w:rsidR="000D244D" w:rsidRPr="00244D65">
        <w:rPr>
          <w:noProof/>
          <w:lang w:eastAsia="en-GB"/>
        </w:rPr>
        <w:t xml:space="preserve"> of waste treated, the share of fossil</w:t>
      </w:r>
      <w:r w:rsidR="00FD2EA4" w:rsidRPr="00244D65">
        <w:rPr>
          <w:noProof/>
          <w:lang w:eastAsia="en-GB"/>
        </w:rPr>
        <w:t xml:space="preserve"> versus biogenic </w:t>
      </w:r>
      <w:r w:rsidR="000D6AA4" w:rsidRPr="00244D65">
        <w:rPr>
          <w:noProof/>
        </w:rPr>
        <w:t>emissions</w:t>
      </w:r>
      <w:r w:rsidR="00397FC2" w:rsidRPr="00244D65">
        <w:rPr>
          <w:noProof/>
        </w:rPr>
        <w:t>,</w:t>
      </w:r>
      <w:r w:rsidR="00754085" w:rsidRPr="00244D65">
        <w:rPr>
          <w:noProof/>
          <w:lang w:eastAsia="en-GB"/>
        </w:rPr>
        <w:t xml:space="preserve"> </w:t>
      </w:r>
      <w:r w:rsidR="000D6AA4" w:rsidRPr="00244D65">
        <w:rPr>
          <w:noProof/>
        </w:rPr>
        <w:t>the carbon price</w:t>
      </w:r>
      <w:r w:rsidRPr="00244D65">
        <w:rPr>
          <w:noProof/>
        </w:rPr>
        <w:t>,</w:t>
      </w:r>
      <w:r w:rsidR="000D6AA4" w:rsidRPr="00244D65">
        <w:rPr>
          <w:noProof/>
        </w:rPr>
        <w:t xml:space="preserve"> </w:t>
      </w:r>
      <w:r w:rsidR="00040AFD" w:rsidRPr="00244D65">
        <w:rPr>
          <w:noProof/>
        </w:rPr>
        <w:t>the ability of operators to pass on carbon costs to other actors</w:t>
      </w:r>
      <w:r w:rsidR="00E54840" w:rsidRPr="00244D65">
        <w:rPr>
          <w:noProof/>
        </w:rPr>
        <w:t xml:space="preserve"> </w:t>
      </w:r>
      <w:r w:rsidR="00754085" w:rsidRPr="00244D65">
        <w:rPr>
          <w:noProof/>
        </w:rPr>
        <w:t xml:space="preserve">and </w:t>
      </w:r>
      <w:r w:rsidR="00E54840" w:rsidRPr="00244D65">
        <w:rPr>
          <w:noProof/>
        </w:rPr>
        <w:t>the availability and cost</w:t>
      </w:r>
      <w:r w:rsidR="00595A48" w:rsidRPr="00244D65">
        <w:rPr>
          <w:noProof/>
        </w:rPr>
        <w:t>-effectiveness of</w:t>
      </w:r>
      <w:r w:rsidR="00563801" w:rsidRPr="00244D65">
        <w:rPr>
          <w:noProof/>
        </w:rPr>
        <w:t xml:space="preserve"> </w:t>
      </w:r>
      <w:r w:rsidR="00754085" w:rsidRPr="00244D65">
        <w:rPr>
          <w:noProof/>
        </w:rPr>
        <w:t xml:space="preserve">abatement </w:t>
      </w:r>
      <w:r w:rsidR="00754085" w:rsidRPr="00244D65">
        <w:rPr>
          <w:noProof/>
          <w:lang w:eastAsia="en-GB"/>
        </w:rPr>
        <w:t>solutions</w:t>
      </w:r>
      <w:r w:rsidR="000D6AA4" w:rsidRPr="00244D65">
        <w:rPr>
          <w:noProof/>
        </w:rPr>
        <w:t xml:space="preserve"> </w:t>
      </w:r>
      <w:r w:rsidR="00740364" w:rsidRPr="00244D65">
        <w:rPr>
          <w:noProof/>
        </w:rPr>
        <w:t>across</w:t>
      </w:r>
      <w:r w:rsidRPr="00244D65">
        <w:rPr>
          <w:noProof/>
        </w:rPr>
        <w:t xml:space="preserve"> the waste value chain</w:t>
      </w:r>
      <w:r w:rsidR="00E90D70" w:rsidRPr="00244D65">
        <w:rPr>
          <w:noProof/>
        </w:rPr>
        <w:t xml:space="preserve">. </w:t>
      </w:r>
      <w:r w:rsidR="00F7387B" w:rsidRPr="00244D65">
        <w:rPr>
          <w:noProof/>
        </w:rPr>
        <w:t xml:space="preserve">Complementary </w:t>
      </w:r>
      <w:r w:rsidR="00003114" w:rsidRPr="00244D65">
        <w:rPr>
          <w:noProof/>
        </w:rPr>
        <w:t xml:space="preserve">policies and </w:t>
      </w:r>
      <w:r w:rsidR="00694F86" w:rsidRPr="00244D65">
        <w:rPr>
          <w:noProof/>
        </w:rPr>
        <w:t>targeted</w:t>
      </w:r>
      <w:r w:rsidR="00B96F4C" w:rsidRPr="00244D65">
        <w:rPr>
          <w:noProof/>
        </w:rPr>
        <w:t xml:space="preserve"> support mechanisms</w:t>
      </w:r>
      <w:r w:rsidR="00E7391B" w:rsidRPr="00244D65">
        <w:rPr>
          <w:noProof/>
        </w:rPr>
        <w:t xml:space="preserve"> </w:t>
      </w:r>
      <w:r w:rsidR="00C445A3" w:rsidRPr="00244D65">
        <w:rPr>
          <w:noProof/>
        </w:rPr>
        <w:t>can be</w:t>
      </w:r>
      <w:r w:rsidR="0024692A" w:rsidRPr="00244D65">
        <w:rPr>
          <w:noProof/>
        </w:rPr>
        <w:t xml:space="preserve"> </w:t>
      </w:r>
      <w:r w:rsidR="00C445A3" w:rsidRPr="00244D65">
        <w:rPr>
          <w:noProof/>
        </w:rPr>
        <w:t>essential</w:t>
      </w:r>
      <w:r w:rsidR="0024692A" w:rsidRPr="00244D65">
        <w:rPr>
          <w:noProof/>
        </w:rPr>
        <w:t xml:space="preserve"> enabling</w:t>
      </w:r>
      <w:r w:rsidR="00C97B12" w:rsidRPr="00244D65">
        <w:rPr>
          <w:noProof/>
        </w:rPr>
        <w:t xml:space="preserve"> conditions</w:t>
      </w:r>
      <w:r w:rsidR="004D5930" w:rsidRPr="00244D65">
        <w:rPr>
          <w:noProof/>
        </w:rPr>
        <w:t xml:space="preserve"> </w:t>
      </w:r>
      <w:r w:rsidR="002A3754" w:rsidRPr="00244D65">
        <w:rPr>
          <w:noProof/>
        </w:rPr>
        <w:t>to provide</w:t>
      </w:r>
      <w:r w:rsidR="006C4F6D" w:rsidRPr="00244D65">
        <w:rPr>
          <w:noProof/>
        </w:rPr>
        <w:t xml:space="preserve"> </w:t>
      </w:r>
      <w:r w:rsidR="006D7F91" w:rsidRPr="00244D65">
        <w:rPr>
          <w:noProof/>
        </w:rPr>
        <w:t>investment and planning predictability for local authorities and operators, investment support</w:t>
      </w:r>
      <w:r w:rsidR="00D64530" w:rsidRPr="00244D65">
        <w:rPr>
          <w:noProof/>
        </w:rPr>
        <w:t xml:space="preserve"> </w:t>
      </w:r>
      <w:r w:rsidR="00336792" w:rsidRPr="00244D65">
        <w:rPr>
          <w:noProof/>
        </w:rPr>
        <w:t xml:space="preserve">to </w:t>
      </w:r>
      <w:r w:rsidR="002A3754" w:rsidRPr="00244D65">
        <w:rPr>
          <w:noProof/>
        </w:rPr>
        <w:t xml:space="preserve">help manage the impact </w:t>
      </w:r>
      <w:r w:rsidR="00336792" w:rsidRPr="00244D65">
        <w:rPr>
          <w:noProof/>
        </w:rPr>
        <w:t xml:space="preserve">and </w:t>
      </w:r>
      <w:r w:rsidR="00C54ED3" w:rsidRPr="00244D65">
        <w:rPr>
          <w:noProof/>
        </w:rPr>
        <w:t>implement</w:t>
      </w:r>
      <w:r w:rsidR="00782FAC" w:rsidRPr="00244D65">
        <w:rPr>
          <w:noProof/>
        </w:rPr>
        <w:t xml:space="preserve"> key decarbonisation pathways, and </w:t>
      </w:r>
      <w:r w:rsidR="00D64530" w:rsidRPr="00244D65">
        <w:rPr>
          <w:noProof/>
        </w:rPr>
        <w:t xml:space="preserve">synergies with </w:t>
      </w:r>
      <w:r w:rsidR="00C54ED3" w:rsidRPr="00244D65">
        <w:rPr>
          <w:noProof/>
        </w:rPr>
        <w:t>cir</w:t>
      </w:r>
      <w:r w:rsidR="00B547FD" w:rsidRPr="00244D65">
        <w:rPr>
          <w:noProof/>
        </w:rPr>
        <w:t>cular economy</w:t>
      </w:r>
      <w:r w:rsidR="00D64530" w:rsidRPr="00244D65">
        <w:rPr>
          <w:noProof/>
        </w:rPr>
        <w:t xml:space="preserve"> policies</w:t>
      </w:r>
      <w:r w:rsidR="00404160" w:rsidRPr="00244D65">
        <w:rPr>
          <w:noProof/>
        </w:rPr>
        <w:t xml:space="preserve"> </w:t>
      </w:r>
      <w:r w:rsidR="00E119C4" w:rsidRPr="00244D65">
        <w:rPr>
          <w:noProof/>
        </w:rPr>
        <w:t>to strengthen</w:t>
      </w:r>
      <w:r w:rsidR="0051002D" w:rsidRPr="00244D65">
        <w:rPr>
          <w:noProof/>
        </w:rPr>
        <w:t xml:space="preserve"> the market for recycled materials, </w:t>
      </w:r>
      <w:r w:rsidR="00CD7694" w:rsidRPr="00244D65">
        <w:rPr>
          <w:noProof/>
        </w:rPr>
        <w:t xml:space="preserve">address upstream producer responsibility and </w:t>
      </w:r>
      <w:r w:rsidR="0051002D" w:rsidRPr="00244D65">
        <w:rPr>
          <w:noProof/>
        </w:rPr>
        <w:t xml:space="preserve">discourage landfilling </w:t>
      </w:r>
      <w:r w:rsidR="00B34F9A" w:rsidRPr="00244D65">
        <w:rPr>
          <w:noProof/>
        </w:rPr>
        <w:t xml:space="preserve">(see Annex 13, </w:t>
      </w:r>
      <w:r w:rsidR="00C65A21" w:rsidRPr="00244D65">
        <w:rPr>
          <w:noProof/>
        </w:rPr>
        <w:t>S</w:t>
      </w:r>
      <w:r w:rsidR="00B34F9A" w:rsidRPr="00244D65">
        <w:rPr>
          <w:noProof/>
        </w:rPr>
        <w:t>ections 1.3.1. and 1.3.2.)</w:t>
      </w:r>
      <w:r w:rsidR="00E65BA3" w:rsidRPr="00244D65">
        <w:rPr>
          <w:noProof/>
        </w:rPr>
        <w:t>.</w:t>
      </w:r>
      <w:r w:rsidR="00213EE8" w:rsidRPr="00244D65">
        <w:rPr>
          <w:noProof/>
        </w:rPr>
        <w:t xml:space="preserve"> </w:t>
      </w:r>
      <w:r w:rsidR="00967717" w:rsidRPr="00244D65">
        <w:rPr>
          <w:noProof/>
        </w:rPr>
        <w:t>T</w:t>
      </w:r>
      <w:r w:rsidR="00BE708C" w:rsidRPr="00244D65">
        <w:rPr>
          <w:noProof/>
        </w:rPr>
        <w:t xml:space="preserve">he extension of </w:t>
      </w:r>
      <w:r w:rsidR="00B96F4C" w:rsidRPr="00244D65">
        <w:rPr>
          <w:noProof/>
        </w:rPr>
        <w:t>the carbon price to waste management operations will</w:t>
      </w:r>
      <w:r w:rsidR="00CA374B" w:rsidRPr="00244D65">
        <w:rPr>
          <w:noProof/>
        </w:rPr>
        <w:t xml:space="preserve"> </w:t>
      </w:r>
      <w:r w:rsidR="00E80465" w:rsidRPr="00244D65">
        <w:rPr>
          <w:noProof/>
        </w:rPr>
        <w:t>generate</w:t>
      </w:r>
      <w:r w:rsidR="0069360D" w:rsidRPr="00244D65">
        <w:rPr>
          <w:noProof/>
        </w:rPr>
        <w:t xml:space="preserve"> </w:t>
      </w:r>
      <w:r w:rsidR="00B96F4C" w:rsidRPr="00244D65">
        <w:rPr>
          <w:noProof/>
        </w:rPr>
        <w:t xml:space="preserve">significant </w:t>
      </w:r>
      <w:r w:rsidR="0069360D" w:rsidRPr="00244D65">
        <w:rPr>
          <w:noProof/>
        </w:rPr>
        <w:t>revenue</w:t>
      </w:r>
      <w:r w:rsidR="00BE708C" w:rsidRPr="00244D65">
        <w:rPr>
          <w:noProof/>
        </w:rPr>
        <w:t>s</w:t>
      </w:r>
      <w:r w:rsidR="0069360D" w:rsidRPr="00244D65">
        <w:rPr>
          <w:noProof/>
        </w:rPr>
        <w:t xml:space="preserve"> which can be used for </w:t>
      </w:r>
      <w:r w:rsidR="00BE708C" w:rsidRPr="00244D65">
        <w:rPr>
          <w:noProof/>
        </w:rPr>
        <w:t>targeted investments</w:t>
      </w:r>
      <w:r w:rsidR="00967717" w:rsidRPr="00244D65">
        <w:rPr>
          <w:noProof/>
        </w:rPr>
        <w:t xml:space="preserve"> </w:t>
      </w:r>
      <w:r w:rsidR="00C877C0" w:rsidRPr="00244D65">
        <w:rPr>
          <w:noProof/>
        </w:rPr>
        <w:t>for these purposes</w:t>
      </w:r>
      <w:r w:rsidR="0069360D" w:rsidRPr="00244D65">
        <w:rPr>
          <w:noProof/>
        </w:rPr>
        <w:t xml:space="preserve">. </w:t>
      </w:r>
    </w:p>
    <w:p w14:paraId="2688BE47" w14:textId="2B42D058" w:rsidR="007838A1" w:rsidRPr="00244D65" w:rsidRDefault="007838A1" w:rsidP="0085595C">
      <w:pPr>
        <w:rPr>
          <w:rFonts w:eastAsia="Arial"/>
          <w:noProof/>
        </w:rPr>
      </w:pPr>
      <w:r w:rsidRPr="00244D65">
        <w:rPr>
          <w:noProof/>
          <w:lang w:eastAsia="en-GB"/>
        </w:rPr>
        <w:t xml:space="preserve">Under PO2, the </w:t>
      </w:r>
      <w:r w:rsidR="00F6288F" w:rsidRPr="00244D65">
        <w:rPr>
          <w:noProof/>
          <w:lang w:eastAsia="en-GB"/>
        </w:rPr>
        <w:t xml:space="preserve">effective </w:t>
      </w:r>
      <w:r w:rsidRPr="00244D65">
        <w:rPr>
          <w:noProof/>
          <w:lang w:eastAsia="en-GB"/>
        </w:rPr>
        <w:t xml:space="preserve">carbon cost </w:t>
      </w:r>
      <w:r w:rsidR="005C1346" w:rsidRPr="00244D65">
        <w:rPr>
          <w:noProof/>
          <w:lang w:eastAsia="en-GB"/>
        </w:rPr>
        <w:t>is substantial</w:t>
      </w:r>
      <w:r w:rsidR="00880F35" w:rsidRPr="00244D65">
        <w:rPr>
          <w:noProof/>
          <w:lang w:eastAsia="en-GB"/>
        </w:rPr>
        <w:t xml:space="preserve">ly reduced due to </w:t>
      </w:r>
      <w:r w:rsidR="2F936B66" w:rsidRPr="00244D65">
        <w:rPr>
          <w:noProof/>
          <w:lang w:eastAsia="en-GB"/>
        </w:rPr>
        <w:t>the zero</w:t>
      </w:r>
      <w:r w:rsidR="00B62FB5" w:rsidRPr="00244D65">
        <w:rPr>
          <w:noProof/>
          <w:lang w:eastAsia="en-GB"/>
        </w:rPr>
        <w:t>-rated biogenic</w:t>
      </w:r>
      <w:r w:rsidR="00E50CE1" w:rsidRPr="00244D65">
        <w:rPr>
          <w:noProof/>
          <w:lang w:eastAsia="en-GB"/>
        </w:rPr>
        <w:t xml:space="preserve"> </w:t>
      </w:r>
      <w:r w:rsidR="00A1576B" w:rsidRPr="00244D65">
        <w:rPr>
          <w:noProof/>
          <w:lang w:eastAsia="en-GB"/>
        </w:rPr>
        <w:t xml:space="preserve">share </w:t>
      </w:r>
      <w:r w:rsidR="00E50CE1" w:rsidRPr="00244D65">
        <w:rPr>
          <w:noProof/>
          <w:lang w:eastAsia="en-GB"/>
        </w:rPr>
        <w:t>of emissions</w:t>
      </w:r>
      <w:r w:rsidR="00A1576B" w:rsidRPr="00244D65">
        <w:rPr>
          <w:noProof/>
          <w:lang w:eastAsia="en-GB"/>
        </w:rPr>
        <w:t xml:space="preserve"> (roughly half</w:t>
      </w:r>
      <w:r w:rsidR="00880F35" w:rsidRPr="00244D65">
        <w:rPr>
          <w:noProof/>
          <w:lang w:eastAsia="en-GB"/>
        </w:rPr>
        <w:t>)</w:t>
      </w:r>
      <w:r w:rsidR="00296BE3" w:rsidRPr="00244D65">
        <w:rPr>
          <w:noProof/>
          <w:lang w:eastAsia="en-GB"/>
        </w:rPr>
        <w:t xml:space="preserve">. </w:t>
      </w:r>
      <w:r w:rsidR="00527244" w:rsidRPr="00244D65">
        <w:rPr>
          <w:noProof/>
          <w:lang w:eastAsia="en-GB"/>
        </w:rPr>
        <w:t xml:space="preserve">Compared to the baseline, ETS inclusion can financially incentivise and support </w:t>
      </w:r>
      <w:r w:rsidR="00376AAA" w:rsidRPr="00244D65">
        <w:rPr>
          <w:noProof/>
          <w:lang w:eastAsia="en-GB"/>
        </w:rPr>
        <w:t xml:space="preserve">investments in </w:t>
      </w:r>
      <w:r w:rsidR="00527244" w:rsidRPr="00244D65">
        <w:rPr>
          <w:noProof/>
          <w:lang w:eastAsia="en-GB"/>
        </w:rPr>
        <w:t xml:space="preserve">carbon capture technology, which is a key decarbonisation pathway for the </w:t>
      </w:r>
      <w:r w:rsidR="002C4B86" w:rsidRPr="00244D65">
        <w:rPr>
          <w:noProof/>
          <w:lang w:eastAsia="en-GB"/>
        </w:rPr>
        <w:t xml:space="preserve">waste incineration </w:t>
      </w:r>
      <w:r w:rsidR="00527244" w:rsidRPr="00244D65">
        <w:rPr>
          <w:noProof/>
          <w:lang w:eastAsia="en-GB"/>
        </w:rPr>
        <w:t>sector to reduce hard-to-abate emissions and contribute to</w:t>
      </w:r>
      <w:r w:rsidR="009E6F29" w:rsidRPr="00244D65">
        <w:rPr>
          <w:noProof/>
          <w:lang w:eastAsia="en-GB"/>
        </w:rPr>
        <w:t>wards</w:t>
      </w:r>
      <w:r w:rsidR="00527244" w:rsidRPr="00244D65">
        <w:rPr>
          <w:noProof/>
          <w:lang w:eastAsia="en-GB"/>
        </w:rPr>
        <w:t xml:space="preserve"> the economy-wide 2050 climate neutrality target.</w:t>
      </w:r>
      <w:r w:rsidR="009E6F29" w:rsidRPr="00244D65">
        <w:rPr>
          <w:noProof/>
          <w:lang w:eastAsia="en-GB"/>
        </w:rPr>
        <w:t xml:space="preserve"> </w:t>
      </w:r>
      <w:r w:rsidR="00C873E9" w:rsidRPr="00244D65">
        <w:rPr>
          <w:noProof/>
          <w:lang w:eastAsia="en-GB"/>
        </w:rPr>
        <w:t xml:space="preserve">The integration of permanent carbon removals into the EU ETS can </w:t>
      </w:r>
      <w:r w:rsidR="009E6F29" w:rsidRPr="00244D65">
        <w:rPr>
          <w:noProof/>
          <w:lang w:eastAsia="en-GB"/>
        </w:rPr>
        <w:t xml:space="preserve">further provide </w:t>
      </w:r>
      <w:r w:rsidR="00210470" w:rsidRPr="00244D65">
        <w:rPr>
          <w:noProof/>
          <w:lang w:eastAsia="en-GB"/>
        </w:rPr>
        <w:t xml:space="preserve">opportunities to mitigate or offset the </w:t>
      </w:r>
      <w:r w:rsidR="001A6123" w:rsidRPr="00244D65">
        <w:rPr>
          <w:noProof/>
          <w:lang w:eastAsia="en-GB"/>
        </w:rPr>
        <w:t>cost of carbon capture implementation</w:t>
      </w:r>
      <w:r w:rsidR="00477D0A" w:rsidRPr="00244D65">
        <w:rPr>
          <w:noProof/>
          <w:lang w:eastAsia="en-GB"/>
        </w:rPr>
        <w:t xml:space="preserve"> </w:t>
      </w:r>
      <w:r w:rsidR="001310A7" w:rsidRPr="00244D65">
        <w:rPr>
          <w:noProof/>
          <w:lang w:eastAsia="en-GB"/>
        </w:rPr>
        <w:t>mitigated</w:t>
      </w:r>
      <w:r w:rsidR="00477D0A" w:rsidRPr="00244D65">
        <w:rPr>
          <w:noProof/>
          <w:lang w:eastAsia="en-GB"/>
        </w:rPr>
        <w:t xml:space="preserve"> or compensated</w:t>
      </w:r>
      <w:r w:rsidR="00752909" w:rsidRPr="00244D65">
        <w:rPr>
          <w:noProof/>
          <w:lang w:eastAsia="en-GB"/>
        </w:rPr>
        <w:t xml:space="preserve"> </w:t>
      </w:r>
      <w:r w:rsidR="00ED7665" w:rsidRPr="00244D65">
        <w:rPr>
          <w:noProof/>
          <w:lang w:eastAsia="en-GB"/>
        </w:rPr>
        <w:t>through</w:t>
      </w:r>
      <w:r w:rsidR="00477D0A" w:rsidRPr="00244D65">
        <w:rPr>
          <w:noProof/>
          <w:lang w:eastAsia="en-GB"/>
        </w:rPr>
        <w:t xml:space="preserve"> the generation of biogenic carbon removals</w:t>
      </w:r>
      <w:r w:rsidR="00310B19" w:rsidRPr="00244D65">
        <w:rPr>
          <w:noProof/>
          <w:lang w:eastAsia="en-GB"/>
        </w:rPr>
        <w:t>.</w:t>
      </w:r>
      <w:r w:rsidR="00ED7665" w:rsidRPr="00244D65">
        <w:rPr>
          <w:noProof/>
          <w:lang w:eastAsia="en-GB"/>
        </w:rPr>
        <w:t xml:space="preserve"> </w:t>
      </w:r>
      <w:r w:rsidR="001256B5" w:rsidRPr="00244D65">
        <w:rPr>
          <w:noProof/>
          <w:lang w:eastAsia="en-GB"/>
        </w:rPr>
        <w:t>T</w:t>
      </w:r>
      <w:r w:rsidR="00DB21FC" w:rsidRPr="00244D65">
        <w:rPr>
          <w:noProof/>
          <w:lang w:eastAsia="en-GB"/>
        </w:rPr>
        <w:t xml:space="preserve">he </w:t>
      </w:r>
      <w:r w:rsidR="00900E98" w:rsidRPr="00244D65">
        <w:rPr>
          <w:noProof/>
          <w:lang w:eastAsia="en-GB"/>
        </w:rPr>
        <w:t xml:space="preserve">carbon price </w:t>
      </w:r>
      <w:r w:rsidR="00DB21FC" w:rsidRPr="00244D65">
        <w:rPr>
          <w:noProof/>
          <w:lang w:eastAsia="en-GB"/>
        </w:rPr>
        <w:t xml:space="preserve">cost passthrough </w:t>
      </w:r>
      <w:r w:rsidR="00516FF3" w:rsidRPr="00244D65">
        <w:rPr>
          <w:noProof/>
          <w:lang w:eastAsia="en-GB"/>
        </w:rPr>
        <w:t>can also</w:t>
      </w:r>
      <w:r w:rsidR="00DB21FC" w:rsidRPr="00244D65">
        <w:rPr>
          <w:noProof/>
          <w:lang w:eastAsia="en-GB"/>
        </w:rPr>
        <w:t xml:space="preserve"> </w:t>
      </w:r>
      <w:r w:rsidR="00900E98" w:rsidRPr="00244D65">
        <w:rPr>
          <w:noProof/>
          <w:lang w:eastAsia="en-GB"/>
        </w:rPr>
        <w:t xml:space="preserve">incentivise </w:t>
      </w:r>
      <w:r w:rsidR="005E40E7" w:rsidRPr="00244D65">
        <w:rPr>
          <w:noProof/>
          <w:lang w:eastAsia="en-GB"/>
        </w:rPr>
        <w:t>circular economy</w:t>
      </w:r>
      <w:r w:rsidR="00900E98" w:rsidRPr="00244D65">
        <w:rPr>
          <w:noProof/>
          <w:lang w:eastAsia="en-GB"/>
        </w:rPr>
        <w:t xml:space="preserve"> policies</w:t>
      </w:r>
      <w:r w:rsidR="005E40E7" w:rsidRPr="00244D65">
        <w:rPr>
          <w:noProof/>
          <w:lang w:eastAsia="en-GB"/>
        </w:rPr>
        <w:t>, such as</w:t>
      </w:r>
      <w:r w:rsidR="00E51BF0" w:rsidRPr="00244D65">
        <w:rPr>
          <w:noProof/>
          <w:lang w:eastAsia="en-GB"/>
        </w:rPr>
        <w:t xml:space="preserve"> </w:t>
      </w:r>
      <w:r w:rsidR="00346925" w:rsidRPr="00244D65">
        <w:rPr>
          <w:noProof/>
          <w:lang w:eastAsia="en-GB"/>
        </w:rPr>
        <w:t>improved waste prevention, reduction</w:t>
      </w:r>
      <w:r w:rsidR="007C6345" w:rsidRPr="00244D65">
        <w:rPr>
          <w:noProof/>
          <w:lang w:eastAsia="en-GB"/>
        </w:rPr>
        <w:t xml:space="preserve">, </w:t>
      </w:r>
      <w:r w:rsidR="00E51BF0" w:rsidRPr="00244D65">
        <w:rPr>
          <w:noProof/>
          <w:lang w:eastAsia="en-GB"/>
        </w:rPr>
        <w:t xml:space="preserve">collection, </w:t>
      </w:r>
      <w:r w:rsidR="00346925" w:rsidRPr="00244D65">
        <w:rPr>
          <w:noProof/>
          <w:lang w:eastAsia="en-GB"/>
        </w:rPr>
        <w:t xml:space="preserve">sorting </w:t>
      </w:r>
      <w:r w:rsidR="007C6345" w:rsidRPr="00244D65">
        <w:rPr>
          <w:noProof/>
          <w:lang w:eastAsia="en-GB"/>
        </w:rPr>
        <w:t>and recycling</w:t>
      </w:r>
      <w:r w:rsidR="00C277AD" w:rsidRPr="00244D65">
        <w:rPr>
          <w:noProof/>
          <w:lang w:eastAsia="en-GB"/>
        </w:rPr>
        <w:t>, to be more successful,</w:t>
      </w:r>
      <w:r w:rsidR="007C6345" w:rsidRPr="00244D65">
        <w:rPr>
          <w:noProof/>
          <w:lang w:eastAsia="en-GB"/>
        </w:rPr>
        <w:t xml:space="preserve"> </w:t>
      </w:r>
      <w:r w:rsidR="00C277AD" w:rsidRPr="00244D65">
        <w:rPr>
          <w:noProof/>
          <w:lang w:eastAsia="en-GB"/>
        </w:rPr>
        <w:t>if channelled t</w:t>
      </w:r>
      <w:r w:rsidR="00CE46C7" w:rsidRPr="00244D65">
        <w:rPr>
          <w:noProof/>
          <w:lang w:eastAsia="en-GB"/>
        </w:rPr>
        <w:t>o</w:t>
      </w:r>
      <w:r w:rsidR="00C277AD" w:rsidRPr="00244D65">
        <w:rPr>
          <w:noProof/>
          <w:lang w:eastAsia="en-GB"/>
        </w:rPr>
        <w:t xml:space="preserve"> </w:t>
      </w:r>
      <w:r w:rsidR="00CE46C7" w:rsidRPr="00244D65">
        <w:rPr>
          <w:noProof/>
          <w:lang w:eastAsia="en-GB"/>
        </w:rPr>
        <w:t xml:space="preserve">targeted </w:t>
      </w:r>
      <w:r w:rsidR="00100B74" w:rsidRPr="00244D65">
        <w:rPr>
          <w:noProof/>
          <w:lang w:eastAsia="en-GB"/>
        </w:rPr>
        <w:t xml:space="preserve">and proven </w:t>
      </w:r>
      <w:r w:rsidR="00CE46C7" w:rsidRPr="00244D65">
        <w:rPr>
          <w:noProof/>
          <w:lang w:eastAsia="en-GB"/>
        </w:rPr>
        <w:t xml:space="preserve">waste </w:t>
      </w:r>
      <w:r w:rsidR="00100B74" w:rsidRPr="00244D65">
        <w:rPr>
          <w:noProof/>
          <w:lang w:eastAsia="en-GB"/>
        </w:rPr>
        <w:t>measures and policies</w:t>
      </w:r>
      <w:r w:rsidR="007C6345" w:rsidRPr="00244D65">
        <w:rPr>
          <w:noProof/>
          <w:lang w:eastAsia="en-GB"/>
        </w:rPr>
        <w:t xml:space="preserve"> </w:t>
      </w:r>
      <w:r w:rsidR="00C024DD" w:rsidRPr="00244D65">
        <w:rPr>
          <w:noProof/>
          <w:lang w:eastAsia="en-GB"/>
        </w:rPr>
        <w:t xml:space="preserve">with </w:t>
      </w:r>
      <w:r w:rsidR="00E735E8" w:rsidRPr="00244D65">
        <w:rPr>
          <w:noProof/>
          <w:lang w:eastAsia="en-GB"/>
        </w:rPr>
        <w:t xml:space="preserve">a </w:t>
      </w:r>
      <w:r w:rsidR="003C6911" w:rsidRPr="00244D65">
        <w:rPr>
          <w:noProof/>
          <w:lang w:eastAsia="en-GB"/>
        </w:rPr>
        <w:t xml:space="preserve">positive </w:t>
      </w:r>
      <w:r w:rsidR="00C024DD" w:rsidRPr="00244D65">
        <w:rPr>
          <w:noProof/>
          <w:lang w:eastAsia="en-GB"/>
        </w:rPr>
        <w:t>steering effect</w:t>
      </w:r>
      <w:r w:rsidR="003C6911" w:rsidRPr="00244D65">
        <w:rPr>
          <w:noProof/>
          <w:lang w:eastAsia="en-GB"/>
        </w:rPr>
        <w:t>, such as Pay-As-You-Throw or weight-based</w:t>
      </w:r>
      <w:r w:rsidR="003C64A1" w:rsidRPr="00244D65">
        <w:rPr>
          <w:noProof/>
          <w:lang w:eastAsia="en-GB"/>
        </w:rPr>
        <w:t xml:space="preserve"> disposal fees </w:t>
      </w:r>
      <w:r w:rsidR="007C6345" w:rsidRPr="00244D65">
        <w:rPr>
          <w:noProof/>
          <w:lang w:eastAsia="en-GB"/>
        </w:rPr>
        <w:t xml:space="preserve">(see Annex 13, </w:t>
      </w:r>
      <w:r w:rsidR="00C65A21" w:rsidRPr="00244D65">
        <w:rPr>
          <w:noProof/>
          <w:lang w:eastAsia="en-GB"/>
        </w:rPr>
        <w:t>S</w:t>
      </w:r>
      <w:r w:rsidR="001F5833" w:rsidRPr="00244D65">
        <w:rPr>
          <w:noProof/>
          <w:lang w:eastAsia="en-GB"/>
        </w:rPr>
        <w:t>ection</w:t>
      </w:r>
      <w:r w:rsidR="007C6345" w:rsidRPr="00244D65">
        <w:rPr>
          <w:noProof/>
          <w:lang w:eastAsia="en-GB"/>
        </w:rPr>
        <w:t xml:space="preserve"> 1.3.1.)</w:t>
      </w:r>
      <w:r w:rsidR="00346925" w:rsidRPr="00244D65">
        <w:rPr>
          <w:noProof/>
          <w:lang w:eastAsia="en-GB"/>
        </w:rPr>
        <w:t>,</w:t>
      </w:r>
      <w:r w:rsidR="00E51BF0" w:rsidRPr="00244D65">
        <w:rPr>
          <w:noProof/>
          <w:lang w:eastAsia="en-GB"/>
        </w:rPr>
        <w:t xml:space="preserve"> </w:t>
      </w:r>
      <w:r w:rsidR="00DB4248" w:rsidRPr="00244D65">
        <w:rPr>
          <w:noProof/>
          <w:lang w:eastAsia="en-GB"/>
        </w:rPr>
        <w:t>reducing emissions and costs at source</w:t>
      </w:r>
      <w:r w:rsidR="0019507B" w:rsidRPr="00244D65">
        <w:rPr>
          <w:noProof/>
          <w:lang w:eastAsia="en-GB"/>
        </w:rPr>
        <w:t>.</w:t>
      </w:r>
      <w:r w:rsidR="00100B74" w:rsidRPr="00244D65">
        <w:rPr>
          <w:noProof/>
          <w:lang w:eastAsia="en-GB"/>
        </w:rPr>
        <w:t xml:space="preserve"> </w:t>
      </w:r>
      <w:r w:rsidRPr="00244D65">
        <w:rPr>
          <w:noProof/>
          <w:lang w:eastAsia="en-GB"/>
        </w:rPr>
        <w:t xml:space="preserve">While operating costs </w:t>
      </w:r>
      <w:r w:rsidR="004C3E36" w:rsidRPr="00244D65">
        <w:rPr>
          <w:noProof/>
          <w:lang w:eastAsia="en-GB"/>
        </w:rPr>
        <w:t>are expected to</w:t>
      </w:r>
      <w:r w:rsidRPr="00244D65">
        <w:rPr>
          <w:noProof/>
          <w:lang w:eastAsia="en-GB"/>
        </w:rPr>
        <w:t xml:space="preserve"> vary depending on installation type, size and location, evidence from the </w:t>
      </w:r>
      <w:r w:rsidR="00781590" w:rsidRPr="00244D65">
        <w:rPr>
          <w:noProof/>
          <w:lang w:eastAsia="en-GB"/>
        </w:rPr>
        <w:t xml:space="preserve">national </w:t>
      </w:r>
      <w:r w:rsidRPr="00244D65">
        <w:rPr>
          <w:noProof/>
          <w:lang w:eastAsia="en-GB"/>
        </w:rPr>
        <w:t xml:space="preserve">application of the EU ETS to municipal waste incinerators in Sweden and Denmark indicates the carbon cost (2025) represented </w:t>
      </w:r>
      <w:r w:rsidR="00A505E9" w:rsidRPr="00244D65">
        <w:rPr>
          <w:noProof/>
          <w:lang w:eastAsia="en-GB"/>
        </w:rPr>
        <w:t>≥</w:t>
      </w:r>
      <w:r w:rsidRPr="00244D65">
        <w:rPr>
          <w:noProof/>
          <w:lang w:eastAsia="en-GB"/>
        </w:rPr>
        <w:t>10% of total operating costs</w:t>
      </w:r>
      <w:r w:rsidR="0081101D" w:rsidRPr="00244D65">
        <w:rPr>
          <w:noProof/>
          <w:lang w:eastAsia="en-GB"/>
        </w:rPr>
        <w:t xml:space="preserve"> prior</w:t>
      </w:r>
      <w:r w:rsidRPr="00244D65">
        <w:rPr>
          <w:noProof/>
          <w:lang w:eastAsia="en-GB"/>
        </w:rPr>
        <w:t xml:space="preserve"> to </w:t>
      </w:r>
      <w:r w:rsidR="0081101D" w:rsidRPr="00244D65">
        <w:rPr>
          <w:noProof/>
          <w:lang w:eastAsia="en-GB"/>
        </w:rPr>
        <w:t xml:space="preserve">the implementation of </w:t>
      </w:r>
      <w:r w:rsidRPr="00244D65">
        <w:rPr>
          <w:noProof/>
          <w:lang w:eastAsia="en-GB"/>
        </w:rPr>
        <w:t xml:space="preserve">abatement </w:t>
      </w:r>
      <w:r w:rsidR="00C97BE7" w:rsidRPr="00244D65">
        <w:rPr>
          <w:noProof/>
          <w:lang w:eastAsia="en-GB"/>
        </w:rPr>
        <w:t>solutions</w:t>
      </w:r>
      <w:r w:rsidR="00825197" w:rsidRPr="00244D65">
        <w:rPr>
          <w:noProof/>
          <w:lang w:eastAsia="en-GB"/>
        </w:rPr>
        <w:t xml:space="preserve"> or cost passthrough</w:t>
      </w:r>
      <w:r w:rsidRPr="00244D65">
        <w:rPr>
          <w:noProof/>
          <w:lang w:eastAsia="en-GB"/>
        </w:rPr>
        <w:t>.</w:t>
      </w:r>
      <w:r w:rsidR="00FD2EA4" w:rsidRPr="00244D65">
        <w:rPr>
          <w:noProof/>
          <w:lang w:eastAsia="en-GB"/>
        </w:rPr>
        <w:t xml:space="preserve"> </w:t>
      </w:r>
    </w:p>
    <w:p w14:paraId="518B2E75" w14:textId="00F504F8" w:rsidR="00D71766" w:rsidRPr="00244D65" w:rsidRDefault="00E458EF" w:rsidP="0085595C">
      <w:pPr>
        <w:rPr>
          <w:noProof/>
          <w:lang w:eastAsia="en-GB"/>
        </w:rPr>
      </w:pPr>
      <w:r w:rsidRPr="00244D65">
        <w:rPr>
          <w:noProof/>
          <w:lang w:eastAsia="en-GB"/>
        </w:rPr>
        <w:t xml:space="preserve">Under PO3 the cost of compliance differs </w:t>
      </w:r>
      <w:r w:rsidR="00331049" w:rsidRPr="00244D65">
        <w:rPr>
          <w:noProof/>
          <w:lang w:eastAsia="en-GB"/>
        </w:rPr>
        <w:t>per</w:t>
      </w:r>
      <w:r w:rsidRPr="00244D65">
        <w:rPr>
          <w:noProof/>
          <w:lang w:eastAsia="en-GB"/>
        </w:rPr>
        <w:t xml:space="preserve"> type of waste treatment. </w:t>
      </w:r>
      <w:r w:rsidR="00331049" w:rsidRPr="00244D65">
        <w:rPr>
          <w:noProof/>
          <w:lang w:eastAsia="en-GB"/>
        </w:rPr>
        <w:t>C</w:t>
      </w:r>
      <w:r w:rsidR="00FD2EA4" w:rsidRPr="00244D65">
        <w:rPr>
          <w:noProof/>
          <w:lang w:eastAsia="en-GB"/>
        </w:rPr>
        <w:t>ost</w:t>
      </w:r>
      <w:r w:rsidR="00331049" w:rsidRPr="00244D65">
        <w:rPr>
          <w:noProof/>
          <w:lang w:eastAsia="en-GB"/>
        </w:rPr>
        <w:t>s</w:t>
      </w:r>
      <w:r w:rsidR="00FD2EA4" w:rsidRPr="00244D65">
        <w:rPr>
          <w:noProof/>
          <w:lang w:eastAsia="en-GB"/>
        </w:rPr>
        <w:t xml:space="preserve"> are expected to be comparatively higher </w:t>
      </w:r>
      <w:r w:rsidR="00331049" w:rsidRPr="00244D65">
        <w:rPr>
          <w:noProof/>
          <w:lang w:eastAsia="en-GB"/>
        </w:rPr>
        <w:t>for hazardous waste incineration compared to municipal waste</w:t>
      </w:r>
      <w:r w:rsidR="00FD2EA4" w:rsidRPr="00244D65">
        <w:rPr>
          <w:noProof/>
          <w:lang w:eastAsia="en-GB"/>
        </w:rPr>
        <w:t xml:space="preserve"> incineration </w:t>
      </w:r>
      <w:r w:rsidR="00331049" w:rsidRPr="00244D65">
        <w:rPr>
          <w:noProof/>
          <w:lang w:eastAsia="en-GB"/>
        </w:rPr>
        <w:t>due to a</w:t>
      </w:r>
      <w:r w:rsidR="00FD2EA4" w:rsidRPr="00244D65">
        <w:rPr>
          <w:noProof/>
          <w:lang w:eastAsia="en-GB"/>
        </w:rPr>
        <w:t xml:space="preserve"> higher fossil content of </w:t>
      </w:r>
      <w:r w:rsidR="00331049" w:rsidRPr="00244D65">
        <w:rPr>
          <w:noProof/>
          <w:lang w:eastAsia="en-GB"/>
        </w:rPr>
        <w:t xml:space="preserve">the </w:t>
      </w:r>
      <w:r w:rsidR="00FD2EA4" w:rsidRPr="00244D65">
        <w:rPr>
          <w:noProof/>
          <w:lang w:eastAsia="en-GB"/>
        </w:rPr>
        <w:t xml:space="preserve">waste </w:t>
      </w:r>
      <w:r w:rsidR="00331049" w:rsidRPr="00244D65">
        <w:rPr>
          <w:noProof/>
          <w:lang w:eastAsia="en-GB"/>
        </w:rPr>
        <w:t xml:space="preserve">treated, also </w:t>
      </w:r>
      <w:r w:rsidR="00EE3780" w:rsidRPr="00244D65">
        <w:rPr>
          <w:noProof/>
          <w:lang w:eastAsia="en-GB"/>
        </w:rPr>
        <w:t>leading to a more</w:t>
      </w:r>
      <w:r w:rsidR="00FD2EA4" w:rsidRPr="00244D65">
        <w:rPr>
          <w:noProof/>
          <w:lang w:eastAsia="en-GB"/>
        </w:rPr>
        <w:t xml:space="preserve"> limited potential for biogenic carbon </w:t>
      </w:r>
      <w:r w:rsidR="00EE3780" w:rsidRPr="00244D65">
        <w:rPr>
          <w:noProof/>
          <w:lang w:eastAsia="en-GB"/>
        </w:rPr>
        <w:t xml:space="preserve">removal </w:t>
      </w:r>
      <w:r w:rsidR="00FD2EA4" w:rsidRPr="00244D65">
        <w:rPr>
          <w:noProof/>
          <w:lang w:eastAsia="en-GB"/>
        </w:rPr>
        <w:t>generation.</w:t>
      </w:r>
      <w:r w:rsidRPr="00244D65">
        <w:rPr>
          <w:noProof/>
          <w:lang w:eastAsia="en-GB"/>
        </w:rPr>
        <w:t xml:space="preserve"> </w:t>
      </w:r>
      <w:r w:rsidR="00FD2EA4" w:rsidRPr="00244D65">
        <w:rPr>
          <w:noProof/>
          <w:lang w:eastAsia="en-GB"/>
        </w:rPr>
        <w:t xml:space="preserve">For non-hazardous landfilling, the </w:t>
      </w:r>
      <w:r w:rsidR="00D44EE0" w:rsidRPr="00244D65">
        <w:rPr>
          <w:noProof/>
          <w:lang w:eastAsia="en-GB"/>
        </w:rPr>
        <w:t xml:space="preserve">average effective carbon cost per tonne </w:t>
      </w:r>
      <w:r w:rsidR="00DC317D" w:rsidRPr="00244D65">
        <w:rPr>
          <w:noProof/>
          <w:lang w:eastAsia="en-GB"/>
        </w:rPr>
        <w:t>of waste</w:t>
      </w:r>
      <w:r w:rsidR="00D44EE0" w:rsidRPr="00244D65">
        <w:rPr>
          <w:noProof/>
          <w:lang w:eastAsia="en-GB"/>
        </w:rPr>
        <w:t xml:space="preserve"> is </w:t>
      </w:r>
      <w:r w:rsidR="007F676E" w:rsidRPr="00244D65">
        <w:rPr>
          <w:noProof/>
          <w:lang w:eastAsia="en-GB"/>
        </w:rPr>
        <w:t>projected to be</w:t>
      </w:r>
      <w:r w:rsidR="00D44EE0" w:rsidRPr="00244D65">
        <w:rPr>
          <w:noProof/>
          <w:lang w:eastAsia="en-GB"/>
        </w:rPr>
        <w:t xml:space="preserve"> higher than for municipal waste incineration</w:t>
      </w:r>
      <w:r w:rsidR="007F676E" w:rsidRPr="00244D65">
        <w:rPr>
          <w:noProof/>
          <w:lang w:eastAsia="en-GB"/>
        </w:rPr>
        <w:t xml:space="preserve"> </w:t>
      </w:r>
      <w:r w:rsidR="005A2BA1" w:rsidRPr="00244D65">
        <w:rPr>
          <w:noProof/>
          <w:lang w:eastAsia="en-GB"/>
        </w:rPr>
        <w:t>in both absolute and relative terms</w:t>
      </w:r>
      <w:r w:rsidR="00D44EE0" w:rsidRPr="00244D65">
        <w:rPr>
          <w:noProof/>
          <w:lang w:eastAsia="en-GB"/>
        </w:rPr>
        <w:t xml:space="preserve">. </w:t>
      </w:r>
      <w:r w:rsidR="007F676E" w:rsidRPr="00244D65">
        <w:rPr>
          <w:noProof/>
          <w:lang w:eastAsia="en-GB"/>
        </w:rPr>
        <w:t>At the same time</w:t>
      </w:r>
      <w:r w:rsidR="00FD2EA4" w:rsidRPr="00244D65">
        <w:rPr>
          <w:noProof/>
          <w:lang w:eastAsia="en-GB"/>
        </w:rPr>
        <w:t>, the assessment indicates a higher cost-effective abatement potential for emissions under PO3 (coming from landfills), with biogas production from landfill gas capture providing a substantial economic benefit potential for operators.</w:t>
      </w:r>
      <w:r w:rsidR="007F676E" w:rsidRPr="00244D65">
        <w:rPr>
          <w:noProof/>
          <w:lang w:eastAsia="en-GB"/>
        </w:rPr>
        <w:t xml:space="preserve"> T</w:t>
      </w:r>
      <w:r w:rsidR="00D44EE0" w:rsidRPr="00244D65">
        <w:rPr>
          <w:noProof/>
          <w:lang w:eastAsia="en-GB"/>
        </w:rPr>
        <w:t xml:space="preserve">he </w:t>
      </w:r>
      <w:r w:rsidR="007F676E" w:rsidRPr="00244D65">
        <w:rPr>
          <w:noProof/>
          <w:lang w:eastAsia="en-GB"/>
        </w:rPr>
        <w:t>specific</w:t>
      </w:r>
      <w:r w:rsidR="00D44EE0" w:rsidRPr="00244D65">
        <w:rPr>
          <w:noProof/>
          <w:lang w:eastAsia="en-GB"/>
        </w:rPr>
        <w:t xml:space="preserve"> </w:t>
      </w:r>
      <w:r w:rsidR="00FD2EA4" w:rsidRPr="00244D65">
        <w:rPr>
          <w:noProof/>
          <w:lang w:eastAsia="en-GB"/>
        </w:rPr>
        <w:t xml:space="preserve">associated costs </w:t>
      </w:r>
      <w:r w:rsidR="00D44EE0" w:rsidRPr="00244D65">
        <w:rPr>
          <w:noProof/>
          <w:lang w:eastAsia="en-GB"/>
        </w:rPr>
        <w:t>of compliance for the sector</w:t>
      </w:r>
      <w:r w:rsidR="00FD2EA4" w:rsidRPr="00244D65">
        <w:rPr>
          <w:noProof/>
          <w:lang w:eastAsia="en-GB"/>
        </w:rPr>
        <w:t xml:space="preserve"> would </w:t>
      </w:r>
      <w:r w:rsidR="007F676E" w:rsidRPr="00244D65">
        <w:rPr>
          <w:noProof/>
          <w:lang w:eastAsia="en-GB"/>
        </w:rPr>
        <w:t xml:space="preserve">further </w:t>
      </w:r>
      <w:r w:rsidR="00FD2EA4" w:rsidRPr="00244D65">
        <w:rPr>
          <w:noProof/>
          <w:lang w:eastAsia="en-GB"/>
        </w:rPr>
        <w:t xml:space="preserve">depend on the scope of PO3 covering only emissions from </w:t>
      </w:r>
      <w:r w:rsidR="007D4C65" w:rsidRPr="00244D65">
        <w:rPr>
          <w:noProof/>
          <w:lang w:eastAsia="en-GB"/>
        </w:rPr>
        <w:t xml:space="preserve">future </w:t>
      </w:r>
      <w:r w:rsidR="00FD2EA4" w:rsidRPr="00244D65">
        <w:rPr>
          <w:noProof/>
          <w:lang w:eastAsia="en-GB"/>
        </w:rPr>
        <w:t xml:space="preserve">landfilling or also emissions from </w:t>
      </w:r>
      <w:r w:rsidR="00E33FB4" w:rsidRPr="00244D65">
        <w:rPr>
          <w:noProof/>
          <w:lang w:eastAsia="en-GB"/>
        </w:rPr>
        <w:t>historical deposits</w:t>
      </w:r>
      <w:r w:rsidR="00FD2EA4" w:rsidRPr="00244D65">
        <w:rPr>
          <w:noProof/>
          <w:lang w:eastAsia="en-GB"/>
        </w:rPr>
        <w:t xml:space="preserve"> before the application of the carbon price. </w:t>
      </w:r>
      <w:r w:rsidR="00CA16F6" w:rsidRPr="00244D65">
        <w:rPr>
          <w:noProof/>
          <w:lang w:eastAsia="en-GB"/>
        </w:rPr>
        <w:t>While positive in terms of environmental integrity, t</w:t>
      </w:r>
      <w:r w:rsidR="00244117" w:rsidRPr="00244D65">
        <w:rPr>
          <w:noProof/>
          <w:lang w:eastAsia="en-GB"/>
        </w:rPr>
        <w:t xml:space="preserve">he latter scope would pose </w:t>
      </w:r>
      <w:r w:rsidR="00390132" w:rsidRPr="00244D65">
        <w:rPr>
          <w:noProof/>
          <w:lang w:eastAsia="en-GB"/>
        </w:rPr>
        <w:t>additional</w:t>
      </w:r>
      <w:r w:rsidR="00244117" w:rsidRPr="00244D65">
        <w:rPr>
          <w:noProof/>
          <w:lang w:eastAsia="en-GB"/>
        </w:rPr>
        <w:t xml:space="preserve"> </w:t>
      </w:r>
      <w:r w:rsidR="00CA16F6" w:rsidRPr="00244D65">
        <w:rPr>
          <w:noProof/>
          <w:lang w:eastAsia="en-GB"/>
        </w:rPr>
        <w:t>monitoring</w:t>
      </w:r>
      <w:r w:rsidR="00D06A9A" w:rsidRPr="00244D65">
        <w:rPr>
          <w:noProof/>
          <w:lang w:eastAsia="en-GB"/>
        </w:rPr>
        <w:t>, economic</w:t>
      </w:r>
      <w:r w:rsidR="00697E65" w:rsidRPr="00244D65">
        <w:rPr>
          <w:noProof/>
          <w:lang w:eastAsia="en-GB"/>
        </w:rPr>
        <w:t xml:space="preserve"> and o</w:t>
      </w:r>
      <w:r w:rsidR="00C33AD1" w:rsidRPr="00244D65">
        <w:rPr>
          <w:noProof/>
          <w:lang w:eastAsia="en-GB"/>
        </w:rPr>
        <w:t xml:space="preserve">perational </w:t>
      </w:r>
      <w:r w:rsidR="00D06A9A" w:rsidRPr="00244D65">
        <w:rPr>
          <w:noProof/>
          <w:lang w:eastAsia="en-GB"/>
        </w:rPr>
        <w:t>constraints</w:t>
      </w:r>
      <w:r w:rsidR="007A484C" w:rsidRPr="00244D65">
        <w:rPr>
          <w:noProof/>
          <w:lang w:eastAsia="en-GB"/>
        </w:rPr>
        <w:t xml:space="preserve"> while not being </w:t>
      </w:r>
      <w:r w:rsidR="000011F0" w:rsidRPr="00244D65">
        <w:rPr>
          <w:noProof/>
          <w:lang w:eastAsia="en-GB"/>
        </w:rPr>
        <w:t>influenced</w:t>
      </w:r>
      <w:r w:rsidR="00675090" w:rsidRPr="00244D65">
        <w:rPr>
          <w:noProof/>
          <w:lang w:eastAsia="en-GB"/>
        </w:rPr>
        <w:t xml:space="preserve"> by pre-treatment or alternative waste management higher up the waste hierarchy</w:t>
      </w:r>
      <w:r w:rsidR="00B96F79" w:rsidRPr="00244D65">
        <w:rPr>
          <w:noProof/>
          <w:lang w:eastAsia="en-GB"/>
        </w:rPr>
        <w:t xml:space="preserve">. </w:t>
      </w:r>
    </w:p>
    <w:p w14:paraId="2436EE7C" w14:textId="24101717" w:rsidR="005936E7" w:rsidRPr="00244D65" w:rsidRDefault="0E3F043F" w:rsidP="0085595C">
      <w:pPr>
        <w:pStyle w:val="Heading4"/>
        <w:rPr>
          <w:noProof/>
        </w:rPr>
      </w:pPr>
      <w:r w:rsidRPr="00244D65">
        <w:rPr>
          <w:noProof/>
        </w:rPr>
        <w:t xml:space="preserve"> </w:t>
      </w:r>
      <w:r w:rsidR="00F77B0A" w:rsidRPr="00244D65">
        <w:rPr>
          <w:noProof/>
        </w:rPr>
        <w:t>CCU</w:t>
      </w:r>
    </w:p>
    <w:p w14:paraId="6EB77BF9" w14:textId="179B68AA" w:rsidR="00B45527" w:rsidRPr="00244D65" w:rsidRDefault="00020823" w:rsidP="0085595C">
      <w:pPr>
        <w:rPr>
          <w:noProof/>
        </w:rPr>
      </w:pPr>
      <w:r w:rsidRPr="00244D65">
        <w:rPr>
          <w:noProof/>
        </w:rPr>
        <w:t xml:space="preserve">Compared to the baseline, PO1 represents no change </w:t>
      </w:r>
      <w:r w:rsidR="00651AB5" w:rsidRPr="00244D65">
        <w:rPr>
          <w:noProof/>
        </w:rPr>
        <w:t>to the</w:t>
      </w:r>
      <w:r w:rsidRPr="00244D65">
        <w:rPr>
          <w:noProof/>
        </w:rPr>
        <w:t xml:space="preserve"> current</w:t>
      </w:r>
      <w:r w:rsidR="008B3799" w:rsidRPr="00244D65">
        <w:rPr>
          <w:noProof/>
        </w:rPr>
        <w:t xml:space="preserve"> upstream accounting</w:t>
      </w:r>
      <w:r w:rsidR="00651AB5" w:rsidRPr="00244D65">
        <w:rPr>
          <w:noProof/>
        </w:rPr>
        <w:t>, which</w:t>
      </w:r>
      <w:r w:rsidR="008B3799" w:rsidRPr="00244D65">
        <w:rPr>
          <w:noProof/>
        </w:rPr>
        <w:t xml:space="preserve"> </w:t>
      </w:r>
      <w:r w:rsidR="00175ECF" w:rsidRPr="00244D65">
        <w:rPr>
          <w:noProof/>
        </w:rPr>
        <w:t xml:space="preserve">continues to </w:t>
      </w:r>
      <w:r w:rsidR="008B3799" w:rsidRPr="00244D65">
        <w:rPr>
          <w:noProof/>
        </w:rPr>
        <w:t xml:space="preserve">reward only the capture of emissions for </w:t>
      </w:r>
      <w:r w:rsidR="00175ECF" w:rsidRPr="00244D65">
        <w:rPr>
          <w:noProof/>
        </w:rPr>
        <w:t>permanent</w:t>
      </w:r>
      <w:r w:rsidR="008B3799" w:rsidRPr="00244D65">
        <w:rPr>
          <w:noProof/>
        </w:rPr>
        <w:t xml:space="preserve"> storage</w:t>
      </w:r>
      <w:r w:rsidR="00605EAB" w:rsidRPr="00244D65">
        <w:rPr>
          <w:noProof/>
        </w:rPr>
        <w:t xml:space="preserve"> (CCU0)</w:t>
      </w:r>
      <w:r w:rsidR="008B3799" w:rsidRPr="00244D65">
        <w:rPr>
          <w:noProof/>
        </w:rPr>
        <w:t>. As CCS is not an economically</w:t>
      </w:r>
      <w:r w:rsidR="00520D4F" w:rsidRPr="00244D65">
        <w:rPr>
          <w:noProof/>
        </w:rPr>
        <w:t xml:space="preserve"> feasible</w:t>
      </w:r>
      <w:r w:rsidR="008B3799" w:rsidRPr="00244D65">
        <w:rPr>
          <w:noProof/>
        </w:rPr>
        <w:t xml:space="preserve"> option for all installations that could benefit from carbon capture, upstream accounting effectively restricts the development of alternative technologies that make use of the capture carbon instead of storing it. </w:t>
      </w:r>
      <w:r w:rsidR="005F5F8D" w:rsidRPr="00244D65">
        <w:rPr>
          <w:noProof/>
        </w:rPr>
        <w:t>Therefore, under PO1, the upstream accounting negatively affects</w:t>
      </w:r>
      <w:r w:rsidR="008B3799" w:rsidRPr="00244D65">
        <w:rPr>
          <w:noProof/>
        </w:rPr>
        <w:t xml:space="preserve"> the efficiency and effectiveness of the EU ETS in achieving its objectives. </w:t>
      </w:r>
    </w:p>
    <w:p w14:paraId="601E7B7E" w14:textId="5672745B" w:rsidR="00B45527" w:rsidRPr="00244D65" w:rsidRDefault="00B45527" w:rsidP="0085595C">
      <w:pPr>
        <w:rPr>
          <w:noProof/>
        </w:rPr>
      </w:pPr>
      <w:r w:rsidRPr="00244D65">
        <w:rPr>
          <w:noProof/>
        </w:rPr>
        <w:t xml:space="preserve">The </w:t>
      </w:r>
      <w:r w:rsidR="00C35976" w:rsidRPr="00244D65">
        <w:rPr>
          <w:noProof/>
        </w:rPr>
        <w:t>measure CCU3,</w:t>
      </w:r>
      <w:r w:rsidRPr="00244D65">
        <w:rPr>
          <w:noProof/>
        </w:rPr>
        <w:t xml:space="preserve"> hybrid downstream and midstream accounting</w:t>
      </w:r>
      <w:r w:rsidR="00C35976" w:rsidRPr="00244D65">
        <w:rPr>
          <w:noProof/>
        </w:rPr>
        <w:t>, included in PO2 and PO3</w:t>
      </w:r>
      <w:r w:rsidRPr="00244D65">
        <w:rPr>
          <w:noProof/>
        </w:rPr>
        <w:t xml:space="preserve"> effectively addresses the issues outlined in the previous paragraph and it enables investments in carbon capture and non-permanent </w:t>
      </w:r>
      <w:r w:rsidR="00520D4F" w:rsidRPr="00244D65">
        <w:rPr>
          <w:noProof/>
        </w:rPr>
        <w:t>CCU</w:t>
      </w:r>
      <w:r w:rsidRPr="00244D65">
        <w:rPr>
          <w:noProof/>
        </w:rPr>
        <w:t>. This in turn contributes to reduction in costs of CO</w:t>
      </w:r>
      <w:r w:rsidRPr="00244D65">
        <w:rPr>
          <w:noProof/>
          <w:vertAlign w:val="subscript"/>
        </w:rPr>
        <w:t xml:space="preserve">2 </w:t>
      </w:r>
      <w:r w:rsidRPr="00244D65">
        <w:rPr>
          <w:noProof/>
        </w:rPr>
        <w:t xml:space="preserve">feedstock and </w:t>
      </w:r>
      <w:r w:rsidR="003C3384" w:rsidRPr="00244D65">
        <w:rPr>
          <w:noProof/>
        </w:rPr>
        <w:t>it improves</w:t>
      </w:r>
      <w:r w:rsidRPr="00244D65">
        <w:rPr>
          <w:noProof/>
        </w:rPr>
        <w:t xml:space="preserve"> the business case for CCU products. </w:t>
      </w:r>
      <w:r w:rsidR="003C3384" w:rsidRPr="00244D65">
        <w:rPr>
          <w:noProof/>
        </w:rPr>
        <w:t>The</w:t>
      </w:r>
      <w:r w:rsidRPr="00244D65">
        <w:rPr>
          <w:noProof/>
        </w:rPr>
        <w:t xml:space="preserve"> midstream accounting encompassed in measure CCU3 also best addresses the specificities of e-fuels, </w:t>
      </w:r>
      <w:r w:rsidR="00133FE5" w:rsidRPr="00244D65">
        <w:rPr>
          <w:noProof/>
        </w:rPr>
        <w:t xml:space="preserve">for which there is a </w:t>
      </w:r>
      <w:r w:rsidR="00F112C4" w:rsidRPr="00244D65">
        <w:rPr>
          <w:noProof/>
        </w:rPr>
        <w:t>well-developed</w:t>
      </w:r>
      <w:r w:rsidRPr="00244D65">
        <w:rPr>
          <w:noProof/>
        </w:rPr>
        <w:t xml:space="preserve"> regulatory framework </w:t>
      </w:r>
      <w:r w:rsidR="00133FE5" w:rsidRPr="00244D65">
        <w:rPr>
          <w:noProof/>
        </w:rPr>
        <w:t xml:space="preserve">is </w:t>
      </w:r>
      <w:r w:rsidRPr="00244D65">
        <w:rPr>
          <w:noProof/>
        </w:rPr>
        <w:t xml:space="preserve">already in place. </w:t>
      </w:r>
    </w:p>
    <w:p w14:paraId="023D5D1C" w14:textId="488363E8" w:rsidR="002429FF" w:rsidRPr="00244D65" w:rsidRDefault="002429FF" w:rsidP="0085595C">
      <w:pPr>
        <w:rPr>
          <w:noProof/>
        </w:rPr>
      </w:pPr>
      <w:r w:rsidRPr="00244D65">
        <w:rPr>
          <w:noProof/>
        </w:rPr>
        <w:t xml:space="preserve">The hybrid accounting </w:t>
      </w:r>
      <w:r w:rsidR="009B1C3C" w:rsidRPr="00244D65">
        <w:rPr>
          <w:noProof/>
        </w:rPr>
        <w:t xml:space="preserve">under PO2 and PO3 </w:t>
      </w:r>
      <w:r w:rsidRPr="00244D65">
        <w:rPr>
          <w:noProof/>
        </w:rPr>
        <w:t>would incentivise the capture of CO</w:t>
      </w:r>
      <w:r w:rsidRPr="00244D65">
        <w:rPr>
          <w:noProof/>
          <w:vertAlign w:val="subscript"/>
        </w:rPr>
        <w:t>2</w:t>
      </w:r>
      <w:r w:rsidRPr="00244D65">
        <w:rPr>
          <w:noProof/>
        </w:rPr>
        <w:t xml:space="preserve"> and provide flexibility for operators to decide whether the CO</w:t>
      </w:r>
      <w:r w:rsidRPr="00244D65">
        <w:rPr>
          <w:noProof/>
          <w:vertAlign w:val="subscript"/>
        </w:rPr>
        <w:t>2</w:t>
      </w:r>
      <w:r w:rsidRPr="00244D65">
        <w:rPr>
          <w:noProof/>
        </w:rPr>
        <w:t xml:space="preserve"> should be stored or utilised in different types of products or applications depending on their particular circumstances (location, access to CO</w:t>
      </w:r>
      <w:r w:rsidRPr="00244D65">
        <w:rPr>
          <w:noProof/>
          <w:vertAlign w:val="subscript"/>
        </w:rPr>
        <w:t xml:space="preserve">2 </w:t>
      </w:r>
      <w:r w:rsidRPr="00244D65">
        <w:rPr>
          <w:noProof/>
        </w:rPr>
        <w:t>infrastructure and storage, access to green H</w:t>
      </w:r>
      <w:r w:rsidRPr="00244D65">
        <w:rPr>
          <w:noProof/>
          <w:vertAlign w:val="subscript"/>
        </w:rPr>
        <w:t xml:space="preserve">2, </w:t>
      </w:r>
      <w:r w:rsidRPr="00244D65">
        <w:rPr>
          <w:noProof/>
        </w:rPr>
        <w:t xml:space="preserve">etc.) and the comparative costs and benefits between storing emissions, or producing different synthetic chemicals, plastics or e-fuels. </w:t>
      </w:r>
      <w:r w:rsidR="009B1C3C" w:rsidRPr="00244D65">
        <w:rPr>
          <w:noProof/>
        </w:rPr>
        <w:t>However, it would also incre</w:t>
      </w:r>
      <w:r w:rsidR="004939D1" w:rsidRPr="00244D65">
        <w:rPr>
          <w:noProof/>
        </w:rPr>
        <w:t>a</w:t>
      </w:r>
      <w:r w:rsidR="009B1C3C" w:rsidRPr="00244D65">
        <w:rPr>
          <w:noProof/>
        </w:rPr>
        <w:t xml:space="preserve">se </w:t>
      </w:r>
      <w:r w:rsidR="00456766" w:rsidRPr="00244D65">
        <w:rPr>
          <w:noProof/>
        </w:rPr>
        <w:t>ETS</w:t>
      </w:r>
      <w:r w:rsidR="009B1C3C" w:rsidRPr="00244D65">
        <w:rPr>
          <w:noProof/>
        </w:rPr>
        <w:t xml:space="preserve"> compliance costs for e-fuel</w:t>
      </w:r>
      <w:r w:rsidR="00456766" w:rsidRPr="00244D65">
        <w:rPr>
          <w:noProof/>
        </w:rPr>
        <w:t xml:space="preserve"> for e-fuel </w:t>
      </w:r>
      <w:r w:rsidR="00C30FF9" w:rsidRPr="00244D65">
        <w:rPr>
          <w:noProof/>
        </w:rPr>
        <w:t>producers or distributors, responsible for surrendering ETS allowances for the fossil CO</w:t>
      </w:r>
      <w:r w:rsidR="00C30FF9" w:rsidRPr="00244D65">
        <w:rPr>
          <w:noProof/>
          <w:vertAlign w:val="subscript"/>
        </w:rPr>
        <w:t xml:space="preserve">2 </w:t>
      </w:r>
      <w:r w:rsidR="00C30FF9" w:rsidRPr="00244D65">
        <w:rPr>
          <w:noProof/>
        </w:rPr>
        <w:t>used in e-fuels.</w:t>
      </w:r>
      <w:r w:rsidR="000C653C" w:rsidRPr="00244D65">
        <w:rPr>
          <w:noProof/>
        </w:rPr>
        <w:t xml:space="preserve"> </w:t>
      </w:r>
    </w:p>
    <w:p w14:paraId="7A6249C6" w14:textId="77777777" w:rsidR="006022D9" w:rsidRPr="00244D65" w:rsidRDefault="002009C1" w:rsidP="0085595C">
      <w:pPr>
        <w:pStyle w:val="Heading3"/>
        <w:rPr>
          <w:noProof/>
        </w:rPr>
      </w:pPr>
      <w:bookmarkStart w:id="201" w:name="_Toc234949748"/>
      <w:bookmarkStart w:id="202" w:name="_Toc232752504"/>
      <w:r w:rsidRPr="00244D65">
        <w:rPr>
          <w:noProof/>
        </w:rPr>
        <w:t xml:space="preserve">Administrative </w:t>
      </w:r>
      <w:r w:rsidR="007C6B71" w:rsidRPr="00244D65">
        <w:rPr>
          <w:noProof/>
        </w:rPr>
        <w:t>effort</w:t>
      </w:r>
      <w:r w:rsidR="00AA1E53" w:rsidRPr="00244D65">
        <w:rPr>
          <w:noProof/>
        </w:rPr>
        <w:t xml:space="preserve"> for the private sector</w:t>
      </w:r>
      <w:bookmarkEnd w:id="201"/>
      <w:bookmarkEnd w:id="202"/>
    </w:p>
    <w:p w14:paraId="63A6BA79" w14:textId="2D9F2953" w:rsidR="002009C1" w:rsidRPr="00244D65" w:rsidRDefault="006022D9" w:rsidP="0085595C">
      <w:pPr>
        <w:rPr>
          <w:noProof/>
        </w:rPr>
      </w:pPr>
      <w:r w:rsidRPr="00244D65">
        <w:rPr>
          <w:noProof/>
          <w:lang w:eastAsia="en-GB"/>
        </w:rPr>
        <w:t>The</w:t>
      </w:r>
      <w:r w:rsidR="000C653C" w:rsidRPr="00244D65">
        <w:rPr>
          <w:i/>
          <w:noProof/>
        </w:rPr>
        <w:t xml:space="preserve"> </w:t>
      </w:r>
      <w:r w:rsidR="00FC1BA3" w:rsidRPr="00244D65">
        <w:rPr>
          <w:noProof/>
        </w:rPr>
        <w:t xml:space="preserve">ETS Evaluation Report (see Annex 15, in particular </w:t>
      </w:r>
      <w:r w:rsidR="00C65A21" w:rsidRPr="00244D65">
        <w:rPr>
          <w:noProof/>
        </w:rPr>
        <w:t>S</w:t>
      </w:r>
      <w:r w:rsidR="00FC1BA3" w:rsidRPr="00244D65">
        <w:rPr>
          <w:noProof/>
        </w:rPr>
        <w:t xml:space="preserve">ection </w:t>
      </w:r>
      <w:r w:rsidR="00B747EF" w:rsidRPr="00244D65">
        <w:rPr>
          <w:noProof/>
        </w:rPr>
        <w:t>10</w:t>
      </w:r>
      <w:r w:rsidR="00FC1BA3" w:rsidRPr="00244D65">
        <w:rPr>
          <w:noProof/>
        </w:rPr>
        <w:t>.4.</w:t>
      </w:r>
      <w:r w:rsidR="009A3A41" w:rsidRPr="00244D65">
        <w:rPr>
          <w:noProof/>
        </w:rPr>
        <w:t>4.2</w:t>
      </w:r>
      <w:r w:rsidR="00FC1BA3" w:rsidRPr="00244D65">
        <w:rPr>
          <w:noProof/>
        </w:rPr>
        <w:t>)</w:t>
      </w:r>
      <w:r w:rsidR="00AB6878" w:rsidRPr="00244D65">
        <w:rPr>
          <w:noProof/>
        </w:rPr>
        <w:t>, based on a survey of ETS installations and the feedback from a reality check workshop,</w:t>
      </w:r>
      <w:r w:rsidR="00FC1BA3" w:rsidRPr="00244D65">
        <w:rPr>
          <w:noProof/>
        </w:rPr>
        <w:t xml:space="preserve"> id</w:t>
      </w:r>
      <w:r w:rsidR="0081170C" w:rsidRPr="00244D65">
        <w:rPr>
          <w:noProof/>
        </w:rPr>
        <w:t xml:space="preserve">entifies a number of simplification options for the </w:t>
      </w:r>
      <w:r w:rsidR="00391411" w:rsidRPr="00244D65">
        <w:rPr>
          <w:rStyle w:val="normaltextrun"/>
          <w:noProof/>
        </w:rPr>
        <w:t>Monitoring, Reporting, Verification and Accreditation (MRVA) system</w:t>
      </w:r>
      <w:r w:rsidR="009A3A41" w:rsidRPr="00244D65">
        <w:rPr>
          <w:rStyle w:val="normaltextrun"/>
          <w:noProof/>
        </w:rPr>
        <w:t>. This includes</w:t>
      </w:r>
      <w:r w:rsidR="000A6F07" w:rsidRPr="00244D65">
        <w:rPr>
          <w:rStyle w:val="normaltextrun"/>
          <w:noProof/>
        </w:rPr>
        <w:t xml:space="preserve"> for </w:t>
      </w:r>
      <w:r w:rsidR="000C653C" w:rsidRPr="00244D65">
        <w:rPr>
          <w:rStyle w:val="normaltextrun"/>
          <w:noProof/>
        </w:rPr>
        <w:t>example</w:t>
      </w:r>
      <w:r w:rsidR="00E85D13" w:rsidRPr="00244D65">
        <w:rPr>
          <w:rStyle w:val="normaltextrun"/>
          <w:noProof/>
        </w:rPr>
        <w:t xml:space="preserve"> increase</w:t>
      </w:r>
      <w:r w:rsidR="008F37C0" w:rsidRPr="00244D65">
        <w:rPr>
          <w:rStyle w:val="normaltextrun"/>
          <w:noProof/>
        </w:rPr>
        <w:t>d</w:t>
      </w:r>
      <w:r w:rsidR="00E85D13" w:rsidRPr="00244D65">
        <w:rPr>
          <w:rStyle w:val="normaltextrun"/>
          <w:noProof/>
        </w:rPr>
        <w:t xml:space="preserve"> use of </w:t>
      </w:r>
      <w:r w:rsidR="000A6F07" w:rsidRPr="00244D65">
        <w:rPr>
          <w:rStyle w:val="normaltextrun"/>
          <w:noProof/>
        </w:rPr>
        <w:t xml:space="preserve">existing </w:t>
      </w:r>
      <w:r w:rsidR="00E85D13" w:rsidRPr="00244D65">
        <w:rPr>
          <w:rStyle w:val="normaltextrun"/>
          <w:noProof/>
        </w:rPr>
        <w:t>common reporting tool, increase</w:t>
      </w:r>
      <w:r w:rsidR="008F37C0" w:rsidRPr="00244D65">
        <w:rPr>
          <w:rStyle w:val="normaltextrun"/>
          <w:noProof/>
        </w:rPr>
        <w:t>d</w:t>
      </w:r>
      <w:r w:rsidR="00E85D13" w:rsidRPr="00244D65">
        <w:rPr>
          <w:rStyle w:val="normaltextrun"/>
          <w:noProof/>
        </w:rPr>
        <w:t xml:space="preserve"> use of </w:t>
      </w:r>
      <w:r w:rsidR="007D691E" w:rsidRPr="00244D65">
        <w:rPr>
          <w:rStyle w:val="normaltextrun"/>
          <w:noProof/>
        </w:rPr>
        <w:t xml:space="preserve">default values, </w:t>
      </w:r>
      <w:r w:rsidR="00695793" w:rsidRPr="00244D65">
        <w:rPr>
          <w:rStyle w:val="normaltextrun"/>
          <w:noProof/>
        </w:rPr>
        <w:t xml:space="preserve">and </w:t>
      </w:r>
      <w:r w:rsidR="007D691E" w:rsidRPr="00244D65">
        <w:rPr>
          <w:rStyle w:val="normaltextrun"/>
          <w:noProof/>
        </w:rPr>
        <w:t xml:space="preserve">streamlining and harmonising of </w:t>
      </w:r>
      <w:r w:rsidR="006E0D63" w:rsidRPr="00244D65">
        <w:rPr>
          <w:rStyle w:val="normaltextrun"/>
          <w:noProof/>
        </w:rPr>
        <w:t>procedure for competent authorities</w:t>
      </w:r>
      <w:r w:rsidR="009A3A41" w:rsidRPr="00244D65">
        <w:rPr>
          <w:rStyle w:val="normaltextrun"/>
          <w:noProof/>
        </w:rPr>
        <w:t xml:space="preserve">, which will benefit all ETS </w:t>
      </w:r>
      <w:r w:rsidR="00A20D62" w:rsidRPr="00244D65">
        <w:rPr>
          <w:rStyle w:val="normaltextrun"/>
          <w:noProof/>
        </w:rPr>
        <w:t xml:space="preserve">compliance entities. </w:t>
      </w:r>
    </w:p>
    <w:p w14:paraId="639BE6FD" w14:textId="0932EE05" w:rsidR="00F77B0A" w:rsidRPr="00244D65" w:rsidRDefault="5634D595" w:rsidP="0085595C">
      <w:pPr>
        <w:pStyle w:val="Heading4"/>
        <w:rPr>
          <w:noProof/>
        </w:rPr>
      </w:pPr>
      <w:r w:rsidRPr="00244D65">
        <w:rPr>
          <w:noProof/>
        </w:rPr>
        <w:t xml:space="preserve"> </w:t>
      </w:r>
      <w:r w:rsidR="00DF18A0" w:rsidRPr="00244D65">
        <w:rPr>
          <w:noProof/>
        </w:rPr>
        <w:t>Carbon r</w:t>
      </w:r>
      <w:r w:rsidR="00F77B0A" w:rsidRPr="00244D65">
        <w:rPr>
          <w:noProof/>
        </w:rPr>
        <w:t>emovals</w:t>
      </w:r>
    </w:p>
    <w:p w14:paraId="533DEA95" w14:textId="4F30E66D" w:rsidR="00D77463" w:rsidRPr="00244D65" w:rsidRDefault="00D77463" w:rsidP="0085595C">
      <w:pPr>
        <w:rPr>
          <w:noProof/>
          <w:lang w:eastAsia="en-GB"/>
        </w:rPr>
      </w:pPr>
      <w:r w:rsidRPr="00244D65">
        <w:rPr>
          <w:noProof/>
          <w:lang w:eastAsia="en-GB"/>
        </w:rPr>
        <w:t>The administrative cost associated with integration of removals is expected to be influenced by the channel through which operators procure compliance units, contract standardisation and market infrastructure, and risk management needs.</w:t>
      </w:r>
    </w:p>
    <w:p w14:paraId="453606DC" w14:textId="4A52A730" w:rsidR="00095CC9" w:rsidRPr="00244D65" w:rsidRDefault="00D77463" w:rsidP="0085595C">
      <w:pPr>
        <w:rPr>
          <w:noProof/>
          <w:lang w:eastAsia="en-GB"/>
        </w:rPr>
      </w:pPr>
      <w:r w:rsidRPr="00244D65">
        <w:rPr>
          <w:noProof/>
          <w:lang w:eastAsia="en-GB"/>
        </w:rPr>
        <w:t xml:space="preserve">Under PO1, a net cap with integration or removals through a public authority, the transaction costs related to CDR purchases for operators under this measure would be lower than under measures </w:t>
      </w:r>
      <w:r w:rsidR="00341586" w:rsidRPr="00244D65">
        <w:rPr>
          <w:noProof/>
          <w:lang w:eastAsia="en-GB"/>
        </w:rPr>
        <w:t>where</w:t>
      </w:r>
      <w:r w:rsidRPr="00244D65">
        <w:rPr>
          <w:noProof/>
          <w:lang w:eastAsia="en-GB"/>
        </w:rPr>
        <w:t xml:space="preserve"> operators would acquire all allowances (including removal-backed ones) through regular ETS auctions or the secondary market. There would be no need to engage in separate procurement of CDR units</w:t>
      </w:r>
      <w:r w:rsidR="00B849A6" w:rsidRPr="00244D65">
        <w:rPr>
          <w:noProof/>
          <w:lang w:eastAsia="en-GB"/>
        </w:rPr>
        <w:t xml:space="preserve"> – from this perspective, the</w:t>
      </w:r>
      <w:r w:rsidR="00095CC9" w:rsidRPr="00244D65">
        <w:rPr>
          <w:noProof/>
          <w:lang w:eastAsia="en-GB"/>
        </w:rPr>
        <w:t xml:space="preserve"> option </w:t>
      </w:r>
      <w:r w:rsidR="00B849A6" w:rsidRPr="00244D65">
        <w:rPr>
          <w:noProof/>
          <w:lang w:eastAsia="en-GB"/>
        </w:rPr>
        <w:t>is the same as</w:t>
      </w:r>
      <w:r w:rsidR="00095CC9" w:rsidRPr="00244D65">
        <w:rPr>
          <w:noProof/>
          <w:lang w:eastAsia="en-GB"/>
        </w:rPr>
        <w:t xml:space="preserve"> the baseline. </w:t>
      </w:r>
    </w:p>
    <w:p w14:paraId="5A7B66EF" w14:textId="4BD6BFD9" w:rsidR="00D77463" w:rsidRPr="00244D65" w:rsidRDefault="00095CC9" w:rsidP="0085595C">
      <w:pPr>
        <w:rPr>
          <w:noProof/>
          <w:lang w:eastAsia="en-GB"/>
        </w:rPr>
      </w:pPr>
      <w:r w:rsidRPr="00244D65">
        <w:rPr>
          <w:noProof/>
          <w:lang w:eastAsia="en-GB"/>
        </w:rPr>
        <w:t>Meanwhile, PO2</w:t>
      </w:r>
      <w:r w:rsidR="00D77463" w:rsidRPr="00244D65">
        <w:rPr>
          <w:noProof/>
          <w:lang w:eastAsia="en-GB"/>
        </w:rPr>
        <w:t xml:space="preserve">, a net cap with direct integration of removals and a limit, </w:t>
      </w:r>
      <w:r w:rsidR="00A255BE" w:rsidRPr="00244D65">
        <w:rPr>
          <w:noProof/>
          <w:lang w:eastAsia="en-GB"/>
        </w:rPr>
        <w:t xml:space="preserve">the </w:t>
      </w:r>
      <w:r w:rsidR="00D77463" w:rsidRPr="00244D65">
        <w:rPr>
          <w:noProof/>
          <w:lang w:eastAsia="en-GB"/>
        </w:rPr>
        <w:t xml:space="preserve">inclusion of another compliance unit would mean that operators could face higher portfolio management complexity </w:t>
      </w:r>
      <w:r w:rsidR="008278DA" w:rsidRPr="00244D65">
        <w:rPr>
          <w:noProof/>
          <w:lang w:eastAsia="en-GB"/>
        </w:rPr>
        <w:t>–</w:t>
      </w:r>
      <w:r w:rsidR="00674DCF" w:rsidRPr="00244D65">
        <w:rPr>
          <w:noProof/>
          <w:lang w:eastAsia="en-GB"/>
        </w:rPr>
        <w:t xml:space="preserve"> </w:t>
      </w:r>
      <w:r w:rsidR="00D77463" w:rsidRPr="00244D65">
        <w:rPr>
          <w:noProof/>
          <w:lang w:eastAsia="en-GB"/>
        </w:rPr>
        <w:t>optimising between allowances, CDR types, and timing, including risk management costs.</w:t>
      </w:r>
      <w:r w:rsidR="00A255BE" w:rsidRPr="00244D65">
        <w:rPr>
          <w:noProof/>
          <w:lang w:eastAsia="en-GB"/>
        </w:rPr>
        <w:t xml:space="preserve"> Nevertheless, for PO2 direct market access through e.g. standardised contracts could minimise intermediary fees. </w:t>
      </w:r>
    </w:p>
    <w:p w14:paraId="727D25AA" w14:textId="6FDF979F" w:rsidR="006C44C5" w:rsidRPr="00244D65" w:rsidRDefault="00D77463" w:rsidP="0085595C">
      <w:pPr>
        <w:rPr>
          <w:noProof/>
          <w:lang w:eastAsia="en-GB"/>
        </w:rPr>
      </w:pPr>
      <w:r w:rsidRPr="00244D65">
        <w:rPr>
          <w:noProof/>
          <w:lang w:eastAsia="en-GB"/>
        </w:rPr>
        <w:t>Under PO3, a gross cap with direct integration of removals, the administrative cost would be similar to PO1 but with additional cost for operators to understand how best to respond to the extra operational complexity from tracking the one‑in‑one‑out mechanics.</w:t>
      </w:r>
    </w:p>
    <w:p w14:paraId="1AAB24E2" w14:textId="3607E065" w:rsidR="00820CC3" w:rsidRPr="00244D65" w:rsidRDefault="31D97E96" w:rsidP="0085595C">
      <w:pPr>
        <w:pStyle w:val="Heading4"/>
        <w:rPr>
          <w:noProof/>
        </w:rPr>
      </w:pPr>
      <w:r w:rsidRPr="00244D65">
        <w:rPr>
          <w:noProof/>
        </w:rPr>
        <w:t xml:space="preserve"> </w:t>
      </w:r>
      <w:r w:rsidR="5A521A37" w:rsidRPr="00244D65">
        <w:rPr>
          <w:noProof/>
        </w:rPr>
        <w:t>Instruments to support investment</w:t>
      </w:r>
      <w:r w:rsidR="00F77B0A" w:rsidRPr="00244D65">
        <w:rPr>
          <w:noProof/>
        </w:rPr>
        <w:t>s</w:t>
      </w:r>
    </w:p>
    <w:p w14:paraId="0A3E3E9E" w14:textId="0E9A222B" w:rsidR="00E94C5E" w:rsidRPr="00244D65" w:rsidRDefault="00CC097E" w:rsidP="0085595C">
      <w:pPr>
        <w:rPr>
          <w:noProof/>
          <w:sz w:val="36"/>
          <w:szCs w:val="36"/>
          <w:lang w:eastAsia="en-GB"/>
        </w:rPr>
      </w:pPr>
      <w:r w:rsidRPr="00244D65">
        <w:rPr>
          <w:noProof/>
          <w:lang w:eastAsia="en-GB"/>
        </w:rPr>
        <w:t xml:space="preserve">For </w:t>
      </w:r>
      <w:r w:rsidR="00F62073" w:rsidRPr="00244D65">
        <w:rPr>
          <w:noProof/>
          <w:lang w:eastAsia="en-GB"/>
        </w:rPr>
        <w:t xml:space="preserve">the </w:t>
      </w:r>
      <w:r w:rsidRPr="00244D65">
        <w:rPr>
          <w:noProof/>
          <w:lang w:eastAsia="en-GB"/>
        </w:rPr>
        <w:t xml:space="preserve">IDB, </w:t>
      </w:r>
      <w:r w:rsidR="3D86A609" w:rsidRPr="00244D65">
        <w:rPr>
          <w:noProof/>
          <w:lang w:eastAsia="en-GB"/>
        </w:rPr>
        <w:t xml:space="preserve">the </w:t>
      </w:r>
      <w:r w:rsidR="08975FD0" w:rsidRPr="00244D65">
        <w:rPr>
          <w:noProof/>
          <w:lang w:eastAsia="en-GB"/>
        </w:rPr>
        <w:t>measures</w:t>
      </w:r>
      <w:r w:rsidR="490DCD12" w:rsidRPr="00244D65">
        <w:rPr>
          <w:noProof/>
          <w:lang w:eastAsia="en-GB"/>
        </w:rPr>
        <w:t xml:space="preserve"> </w:t>
      </w:r>
      <w:r w:rsidR="5822CF41" w:rsidRPr="00244D65">
        <w:rPr>
          <w:noProof/>
          <w:lang w:eastAsia="en-GB"/>
        </w:rPr>
        <w:t xml:space="preserve">assessed </w:t>
      </w:r>
      <w:r w:rsidR="3D86A609" w:rsidRPr="00244D65">
        <w:rPr>
          <w:noProof/>
          <w:lang w:eastAsia="en-GB"/>
        </w:rPr>
        <w:t xml:space="preserve">have </w:t>
      </w:r>
      <w:r w:rsidR="02F31FF4" w:rsidRPr="00244D65">
        <w:rPr>
          <w:noProof/>
          <w:lang w:eastAsia="en-GB"/>
        </w:rPr>
        <w:t xml:space="preserve">different </w:t>
      </w:r>
      <w:r w:rsidR="32F90844" w:rsidRPr="00244D65">
        <w:rPr>
          <w:noProof/>
          <w:lang w:eastAsia="en-GB"/>
        </w:rPr>
        <w:t>levels of complexity.</w:t>
      </w:r>
      <w:r w:rsidR="3D86A609" w:rsidRPr="00244D65">
        <w:rPr>
          <w:noProof/>
          <w:lang w:eastAsia="en-GB"/>
        </w:rPr>
        <w:t xml:space="preserve"> </w:t>
      </w:r>
      <w:r w:rsidR="35D97DE9" w:rsidRPr="00244D65">
        <w:rPr>
          <w:noProof/>
          <w:lang w:eastAsia="en-GB"/>
        </w:rPr>
        <w:t>In terms of</w:t>
      </w:r>
      <w:r w:rsidR="3D86A609" w:rsidRPr="00244D65">
        <w:rPr>
          <w:noProof/>
          <w:lang w:eastAsia="en-GB"/>
        </w:rPr>
        <w:t xml:space="preserve"> </w:t>
      </w:r>
      <w:r w:rsidR="35D97DE9" w:rsidRPr="00244D65">
        <w:rPr>
          <w:noProof/>
          <w:lang w:eastAsia="en-GB"/>
        </w:rPr>
        <w:t>allocation mechani</w:t>
      </w:r>
      <w:r w:rsidR="283E3595" w:rsidRPr="00244D65">
        <w:rPr>
          <w:noProof/>
          <w:lang w:eastAsia="en-GB"/>
        </w:rPr>
        <w:t>sm</w:t>
      </w:r>
      <w:r w:rsidR="35D97DE9" w:rsidRPr="00244D65">
        <w:rPr>
          <w:noProof/>
          <w:lang w:eastAsia="en-GB"/>
        </w:rPr>
        <w:t>, t</w:t>
      </w:r>
      <w:r w:rsidR="07E62D45" w:rsidRPr="00244D65">
        <w:rPr>
          <w:noProof/>
          <w:lang w:eastAsia="en-GB"/>
        </w:rPr>
        <w:t>he</w:t>
      </w:r>
      <w:r w:rsidR="475EDB9E" w:rsidRPr="00244D65">
        <w:rPr>
          <w:noProof/>
          <w:lang w:eastAsia="en-GB"/>
        </w:rPr>
        <w:t xml:space="preserve"> </w:t>
      </w:r>
      <w:r w:rsidR="004071D1" w:rsidRPr="00244D65">
        <w:rPr>
          <w:noProof/>
          <w:lang w:eastAsia="en-GB"/>
        </w:rPr>
        <w:t xml:space="preserve">‘regular’ </w:t>
      </w:r>
      <w:r w:rsidRPr="00244D65">
        <w:rPr>
          <w:noProof/>
          <w:lang w:eastAsia="en-GB"/>
        </w:rPr>
        <w:t>m</w:t>
      </w:r>
      <w:r w:rsidR="69B36E68" w:rsidRPr="00244D65">
        <w:rPr>
          <w:noProof/>
          <w:lang w:eastAsia="en-GB"/>
        </w:rPr>
        <w:t xml:space="preserve">ulticriteria calls </w:t>
      </w:r>
      <w:r w:rsidR="004071D1" w:rsidRPr="00244D65">
        <w:rPr>
          <w:noProof/>
          <w:lang w:eastAsia="en-GB"/>
        </w:rPr>
        <w:t>for proposals</w:t>
      </w:r>
      <w:r w:rsidR="000C653C" w:rsidRPr="00244D65">
        <w:rPr>
          <w:noProof/>
          <w:lang w:eastAsia="en-GB"/>
        </w:rPr>
        <w:t xml:space="preserve"> </w:t>
      </w:r>
      <w:r w:rsidR="00DE3923" w:rsidRPr="00244D65">
        <w:rPr>
          <w:noProof/>
          <w:lang w:eastAsia="en-GB"/>
        </w:rPr>
        <w:t>as well as</w:t>
      </w:r>
      <w:r w:rsidR="1F9CB7A6" w:rsidRPr="00244D65">
        <w:rPr>
          <w:noProof/>
          <w:lang w:eastAsia="en-GB"/>
        </w:rPr>
        <w:t xml:space="preserve"> the types of support employing </w:t>
      </w:r>
      <w:r w:rsidR="004071D1" w:rsidRPr="00244D65">
        <w:rPr>
          <w:noProof/>
          <w:lang w:eastAsia="en-GB"/>
        </w:rPr>
        <w:t xml:space="preserve">‘regular’ grants </w:t>
      </w:r>
      <w:r w:rsidR="3D73870A" w:rsidRPr="00244D65">
        <w:rPr>
          <w:noProof/>
          <w:lang w:eastAsia="en-GB"/>
        </w:rPr>
        <w:t>and</w:t>
      </w:r>
      <w:r w:rsidR="69B36E68" w:rsidRPr="00244D65">
        <w:rPr>
          <w:noProof/>
          <w:lang w:eastAsia="en-GB"/>
        </w:rPr>
        <w:t xml:space="preserve"> CCfDs</w:t>
      </w:r>
      <w:r w:rsidR="4C0DD04B" w:rsidRPr="00244D65">
        <w:rPr>
          <w:noProof/>
          <w:lang w:eastAsia="en-GB"/>
        </w:rPr>
        <w:t xml:space="preserve">, particularly when </w:t>
      </w:r>
      <w:r w:rsidR="7563338A" w:rsidRPr="00244D65">
        <w:rPr>
          <w:noProof/>
          <w:lang w:eastAsia="en-GB"/>
        </w:rPr>
        <w:t xml:space="preserve">aligned with </w:t>
      </w:r>
      <w:r w:rsidR="00DD31A9" w:rsidRPr="00244D65">
        <w:rPr>
          <w:noProof/>
          <w:lang w:eastAsia="en-GB"/>
        </w:rPr>
        <w:t>dynami</w:t>
      </w:r>
      <w:r w:rsidR="24B2F2E7" w:rsidRPr="00244D65">
        <w:rPr>
          <w:noProof/>
          <w:lang w:eastAsia="en-GB"/>
        </w:rPr>
        <w:t>c</w:t>
      </w:r>
      <w:r w:rsidR="005A754B" w:rsidRPr="00244D65">
        <w:rPr>
          <w:noProof/>
          <w:lang w:eastAsia="en-GB"/>
        </w:rPr>
        <w:t xml:space="preserve"> energy vectors prices)</w:t>
      </w:r>
      <w:r w:rsidR="000C653C" w:rsidRPr="00244D65">
        <w:rPr>
          <w:noProof/>
          <w:lang w:eastAsia="en-GB"/>
        </w:rPr>
        <w:t xml:space="preserve"> </w:t>
      </w:r>
      <w:r w:rsidR="69B36E68" w:rsidRPr="00244D65">
        <w:rPr>
          <w:noProof/>
          <w:lang w:eastAsia="en-GB"/>
        </w:rPr>
        <w:t xml:space="preserve">require </w:t>
      </w:r>
      <w:r w:rsidR="4B9D5E88" w:rsidRPr="00244D65">
        <w:rPr>
          <w:noProof/>
          <w:lang w:eastAsia="en-GB"/>
        </w:rPr>
        <w:t xml:space="preserve">more </w:t>
      </w:r>
      <w:r w:rsidR="69B36E68" w:rsidRPr="00244D65">
        <w:rPr>
          <w:noProof/>
          <w:lang w:eastAsia="en-GB"/>
        </w:rPr>
        <w:t>complex multi-stage evaluations</w:t>
      </w:r>
      <w:r w:rsidR="7A259C40" w:rsidRPr="00244D65">
        <w:rPr>
          <w:noProof/>
          <w:lang w:eastAsia="en-GB"/>
        </w:rPr>
        <w:t>. These processes involve</w:t>
      </w:r>
      <w:r w:rsidR="69B36E68" w:rsidRPr="00244D65">
        <w:rPr>
          <w:noProof/>
          <w:lang w:eastAsia="en-GB"/>
        </w:rPr>
        <w:t>, sophisticated financial modelling, extensive documentation, regular calibration of parameters</w:t>
      </w:r>
      <w:r w:rsidR="707DF946" w:rsidRPr="00244D65">
        <w:rPr>
          <w:noProof/>
          <w:lang w:eastAsia="en-GB"/>
        </w:rPr>
        <w:t xml:space="preserve"> such as</w:t>
      </w:r>
      <w:r w:rsidR="69B36E68" w:rsidRPr="00244D65">
        <w:rPr>
          <w:noProof/>
          <w:lang w:eastAsia="en-GB"/>
        </w:rPr>
        <w:t xml:space="preserve"> energy price indices, due diligence, grant negotiations and </w:t>
      </w:r>
      <w:r w:rsidR="00DD34A9" w:rsidRPr="00244D65">
        <w:rPr>
          <w:noProof/>
          <w:lang w:eastAsia="en-GB"/>
        </w:rPr>
        <w:t xml:space="preserve">thorough </w:t>
      </w:r>
      <w:r w:rsidR="00355715" w:rsidRPr="00244D65">
        <w:rPr>
          <w:noProof/>
          <w:lang w:eastAsia="en-GB"/>
        </w:rPr>
        <w:t>monitoring of</w:t>
      </w:r>
      <w:r w:rsidR="000C653C" w:rsidRPr="00244D65">
        <w:rPr>
          <w:noProof/>
          <w:lang w:eastAsia="en-GB"/>
        </w:rPr>
        <w:t xml:space="preserve"> </w:t>
      </w:r>
      <w:r w:rsidR="69B36E68" w:rsidRPr="00244D65">
        <w:rPr>
          <w:noProof/>
          <w:lang w:eastAsia="en-GB"/>
        </w:rPr>
        <w:t>emissions reductions and performance milestones</w:t>
      </w:r>
      <w:r w:rsidR="7703E2B6" w:rsidRPr="00244D65">
        <w:rPr>
          <w:noProof/>
          <w:lang w:eastAsia="en-GB"/>
        </w:rPr>
        <w:t xml:space="preserve">. </w:t>
      </w:r>
      <w:r w:rsidR="0784B51F" w:rsidRPr="00244D65">
        <w:rPr>
          <w:noProof/>
          <w:lang w:eastAsia="en-GB"/>
        </w:rPr>
        <w:t xml:space="preserve">Therefore, these approaches result in </w:t>
      </w:r>
      <w:r w:rsidR="69B36E68" w:rsidRPr="00244D65">
        <w:rPr>
          <w:noProof/>
          <w:lang w:eastAsia="en-GB"/>
        </w:rPr>
        <w:t>high</w:t>
      </w:r>
      <w:r w:rsidR="032EBE1C" w:rsidRPr="00244D65">
        <w:rPr>
          <w:noProof/>
          <w:lang w:eastAsia="en-GB"/>
        </w:rPr>
        <w:t>er</w:t>
      </w:r>
      <w:r w:rsidR="69B36E68" w:rsidRPr="00244D65">
        <w:rPr>
          <w:noProof/>
          <w:lang w:eastAsia="en-GB"/>
        </w:rPr>
        <w:t xml:space="preserve"> </w:t>
      </w:r>
      <w:r w:rsidR="714FC2F3" w:rsidRPr="00244D65">
        <w:rPr>
          <w:noProof/>
          <w:lang w:eastAsia="en-GB"/>
        </w:rPr>
        <w:t xml:space="preserve">administrative </w:t>
      </w:r>
      <w:r w:rsidR="69B36E68" w:rsidRPr="00244D65">
        <w:rPr>
          <w:noProof/>
          <w:lang w:eastAsia="en-GB"/>
        </w:rPr>
        <w:t>costs for</w:t>
      </w:r>
      <w:r w:rsidR="00A1098D" w:rsidRPr="00244D65">
        <w:rPr>
          <w:noProof/>
          <w:lang w:eastAsia="en-GB"/>
        </w:rPr>
        <w:t xml:space="preserve"> </w:t>
      </w:r>
      <w:r w:rsidR="0BBF825A" w:rsidRPr="00244D65">
        <w:rPr>
          <w:noProof/>
          <w:lang w:eastAsia="en-GB"/>
        </w:rPr>
        <w:t xml:space="preserve">both the programme </w:t>
      </w:r>
      <w:r w:rsidR="003F4E40" w:rsidRPr="00244D65">
        <w:rPr>
          <w:noProof/>
          <w:lang w:eastAsia="en-GB"/>
        </w:rPr>
        <w:t>and</w:t>
      </w:r>
      <w:r w:rsidR="69B36E68" w:rsidRPr="00244D65">
        <w:rPr>
          <w:noProof/>
          <w:lang w:eastAsia="en-GB"/>
        </w:rPr>
        <w:t xml:space="preserve"> applicants</w:t>
      </w:r>
      <w:r w:rsidR="58BBBB05" w:rsidRPr="00244D65">
        <w:rPr>
          <w:noProof/>
          <w:lang w:eastAsia="en-GB"/>
        </w:rPr>
        <w:t>,</w:t>
      </w:r>
      <w:r w:rsidR="69B36E68" w:rsidRPr="00244D65">
        <w:rPr>
          <w:noProof/>
          <w:lang w:eastAsia="en-GB"/>
        </w:rPr>
        <w:t xml:space="preserve"> particularly </w:t>
      </w:r>
      <w:r w:rsidR="08F7E11B" w:rsidRPr="00244D65">
        <w:rPr>
          <w:noProof/>
          <w:lang w:eastAsia="en-GB"/>
        </w:rPr>
        <w:t xml:space="preserve">impacting small and medium sized enterprises that </w:t>
      </w:r>
      <w:r w:rsidR="5A339D12" w:rsidRPr="00244D65">
        <w:rPr>
          <w:noProof/>
          <w:lang w:eastAsia="en-GB"/>
        </w:rPr>
        <w:t xml:space="preserve">may </w:t>
      </w:r>
      <w:r w:rsidR="69B36E68" w:rsidRPr="00244D65">
        <w:rPr>
          <w:noProof/>
          <w:lang w:eastAsia="en-GB"/>
        </w:rPr>
        <w:t>lack</w:t>
      </w:r>
      <w:r w:rsidR="54A4343B" w:rsidRPr="00244D65">
        <w:rPr>
          <w:noProof/>
          <w:lang w:eastAsia="en-GB"/>
        </w:rPr>
        <w:t xml:space="preserve"> the </w:t>
      </w:r>
      <w:r w:rsidR="731BD0BD" w:rsidRPr="00244D65">
        <w:rPr>
          <w:noProof/>
          <w:lang w:eastAsia="en-GB"/>
        </w:rPr>
        <w:t xml:space="preserve">necessary </w:t>
      </w:r>
      <w:r w:rsidR="54A4343B" w:rsidRPr="00244D65">
        <w:rPr>
          <w:noProof/>
          <w:lang w:eastAsia="en-GB"/>
        </w:rPr>
        <w:t>resou</w:t>
      </w:r>
      <w:r w:rsidR="3CFC7054" w:rsidRPr="00244D65">
        <w:rPr>
          <w:noProof/>
          <w:lang w:eastAsia="en-GB"/>
        </w:rPr>
        <w:t>r</w:t>
      </w:r>
      <w:r w:rsidR="54A4343B" w:rsidRPr="00244D65">
        <w:rPr>
          <w:noProof/>
          <w:lang w:eastAsia="en-GB"/>
        </w:rPr>
        <w:t>ces</w:t>
      </w:r>
      <w:r w:rsidR="69B36E68" w:rsidRPr="00244D65">
        <w:rPr>
          <w:noProof/>
          <w:lang w:eastAsia="en-GB"/>
        </w:rPr>
        <w:t>.</w:t>
      </w:r>
      <w:r w:rsidR="00E94C5E" w:rsidRPr="00244D65">
        <w:rPr>
          <w:noProof/>
          <w:lang w:eastAsia="en-GB"/>
        </w:rPr>
        <w:t xml:space="preserve"> </w:t>
      </w:r>
      <w:r w:rsidR="00AB57C7" w:rsidRPr="00244D65">
        <w:rPr>
          <w:noProof/>
          <w:lang w:eastAsia="en-GB"/>
        </w:rPr>
        <w:t xml:space="preserve">In addition, </w:t>
      </w:r>
      <w:r w:rsidR="00E94C5E" w:rsidRPr="00244D65">
        <w:rPr>
          <w:noProof/>
          <w:lang w:eastAsia="en-GB"/>
        </w:rPr>
        <w:t>Member State</w:t>
      </w:r>
      <w:r w:rsidR="00AB57C7" w:rsidRPr="00244D65">
        <w:rPr>
          <w:noProof/>
          <w:lang w:eastAsia="en-GB"/>
        </w:rPr>
        <w:t>-</w:t>
      </w:r>
      <w:r w:rsidR="00E94C5E" w:rsidRPr="00244D65">
        <w:rPr>
          <w:noProof/>
          <w:lang w:eastAsia="en-GB"/>
        </w:rPr>
        <w:t>driven process</w:t>
      </w:r>
      <w:r w:rsidR="00BC2A73" w:rsidRPr="00244D65">
        <w:rPr>
          <w:noProof/>
          <w:lang w:eastAsia="en-GB"/>
        </w:rPr>
        <w:t xml:space="preserve">es can lead to </w:t>
      </w:r>
      <w:r w:rsidR="003054BD" w:rsidRPr="00244D65">
        <w:rPr>
          <w:noProof/>
          <w:lang w:eastAsia="en-GB"/>
        </w:rPr>
        <w:t>additional administrative burden</w:t>
      </w:r>
      <w:r w:rsidR="00E94C5E" w:rsidRPr="00244D65">
        <w:rPr>
          <w:noProof/>
          <w:lang w:eastAsia="en-GB"/>
        </w:rPr>
        <w:t xml:space="preserve"> </w:t>
      </w:r>
      <w:r w:rsidR="501F91D8" w:rsidRPr="00244D65">
        <w:rPr>
          <w:noProof/>
          <w:lang w:eastAsia="en-GB"/>
        </w:rPr>
        <w:t>due to divergences in</w:t>
      </w:r>
      <w:r w:rsidR="000C653C" w:rsidRPr="00244D65">
        <w:rPr>
          <w:noProof/>
          <w:lang w:eastAsia="en-GB"/>
        </w:rPr>
        <w:t xml:space="preserve"> </w:t>
      </w:r>
      <w:r w:rsidR="00E94C5E" w:rsidRPr="00244D65">
        <w:rPr>
          <w:noProof/>
          <w:lang w:eastAsia="en-GB"/>
        </w:rPr>
        <w:t>priorities</w:t>
      </w:r>
      <w:r w:rsidR="7F592B4B" w:rsidRPr="00244D65">
        <w:rPr>
          <w:noProof/>
          <w:lang w:eastAsia="en-GB"/>
        </w:rPr>
        <w:t>, sequential</w:t>
      </w:r>
      <w:r w:rsidR="000C653C" w:rsidRPr="00244D65">
        <w:rPr>
          <w:noProof/>
          <w:lang w:eastAsia="en-GB"/>
        </w:rPr>
        <w:t xml:space="preserve"> </w:t>
      </w:r>
      <w:r w:rsidR="00376BE6" w:rsidRPr="00244D65">
        <w:rPr>
          <w:noProof/>
          <w:lang w:eastAsia="en-GB"/>
        </w:rPr>
        <w:t>consecutive stages of</w:t>
      </w:r>
      <w:r w:rsidR="00E94C5E" w:rsidRPr="00244D65">
        <w:rPr>
          <w:noProof/>
          <w:lang w:eastAsia="en-GB"/>
        </w:rPr>
        <w:t xml:space="preserve"> project selection, </w:t>
      </w:r>
      <w:r w:rsidR="00AB57C7" w:rsidRPr="00244D65">
        <w:rPr>
          <w:noProof/>
          <w:lang w:eastAsia="en-GB"/>
        </w:rPr>
        <w:t>S</w:t>
      </w:r>
      <w:r w:rsidR="00E94C5E" w:rsidRPr="00244D65">
        <w:rPr>
          <w:noProof/>
          <w:lang w:eastAsia="en-GB"/>
        </w:rPr>
        <w:t xml:space="preserve">tate aid compliance </w:t>
      </w:r>
      <w:r w:rsidR="10B1F793" w:rsidRPr="00244D65">
        <w:rPr>
          <w:noProof/>
          <w:lang w:eastAsia="en-GB"/>
        </w:rPr>
        <w:t>issues,</w:t>
      </w:r>
      <w:r w:rsidR="00E94C5E" w:rsidRPr="00244D65">
        <w:rPr>
          <w:noProof/>
          <w:lang w:eastAsia="en-GB"/>
        </w:rPr>
        <w:t xml:space="preserve"> and fragmented </w:t>
      </w:r>
      <w:r w:rsidR="00376BE6" w:rsidRPr="00244D65">
        <w:rPr>
          <w:noProof/>
          <w:lang w:eastAsia="en-GB"/>
        </w:rPr>
        <w:t>project</w:t>
      </w:r>
      <w:r w:rsidR="00E94C5E" w:rsidRPr="00244D65">
        <w:rPr>
          <w:noProof/>
          <w:lang w:eastAsia="en-GB"/>
        </w:rPr>
        <w:t xml:space="preserve"> pipeline.</w:t>
      </w:r>
    </w:p>
    <w:p w14:paraId="39DA7946" w14:textId="21E067BF" w:rsidR="69B36E68" w:rsidRPr="00244D65" w:rsidRDefault="005127D3" w:rsidP="0085595C">
      <w:pPr>
        <w:rPr>
          <w:noProof/>
        </w:rPr>
      </w:pPr>
      <w:r w:rsidRPr="00244D65">
        <w:rPr>
          <w:noProof/>
          <w:lang w:eastAsia="en-GB"/>
        </w:rPr>
        <w:t>On the other hand, a</w:t>
      </w:r>
      <w:r w:rsidR="69B36E68" w:rsidRPr="00244D65">
        <w:rPr>
          <w:noProof/>
          <w:lang w:eastAsia="en-GB"/>
        </w:rPr>
        <w:t>uctions</w:t>
      </w:r>
      <w:r w:rsidR="003953A5" w:rsidRPr="00244D65">
        <w:rPr>
          <w:noProof/>
          <w:lang w:eastAsia="en-GB"/>
        </w:rPr>
        <w:t xml:space="preserve"> and administrative schemes</w:t>
      </w:r>
      <w:r w:rsidR="00F55ABF" w:rsidRPr="00244D65">
        <w:rPr>
          <w:noProof/>
          <w:lang w:eastAsia="en-GB"/>
        </w:rPr>
        <w:t xml:space="preserve"> as allocation mechanisms</w:t>
      </w:r>
      <w:r w:rsidR="69B36E68" w:rsidRPr="00244D65">
        <w:rPr>
          <w:noProof/>
          <w:lang w:eastAsia="en-GB"/>
        </w:rPr>
        <w:t xml:space="preserve"> and fixed premium grants offer lower transaction costs through standardised terms, price/output-based </w:t>
      </w:r>
      <w:r w:rsidR="45273BD2" w:rsidRPr="00244D65">
        <w:rPr>
          <w:noProof/>
          <w:lang w:eastAsia="en-GB"/>
        </w:rPr>
        <w:t>selection,</w:t>
      </w:r>
      <w:r w:rsidR="69B36E68" w:rsidRPr="00244D65">
        <w:rPr>
          <w:noProof/>
          <w:lang w:eastAsia="en-GB"/>
        </w:rPr>
        <w:t xml:space="preserve"> and simpler compliance (though </w:t>
      </w:r>
      <w:r w:rsidR="00355715" w:rsidRPr="00244D65">
        <w:rPr>
          <w:noProof/>
          <w:lang w:eastAsia="en-GB"/>
        </w:rPr>
        <w:t xml:space="preserve">monitoring </w:t>
      </w:r>
      <w:r w:rsidR="69B36E68" w:rsidRPr="00244D65">
        <w:rPr>
          <w:noProof/>
          <w:lang w:eastAsia="en-GB"/>
        </w:rPr>
        <w:t xml:space="preserve">remains necessary), </w:t>
      </w:r>
    </w:p>
    <w:p w14:paraId="1E84848C" w14:textId="4A1D9593" w:rsidR="76094089" w:rsidRPr="00244D65" w:rsidRDefault="006C676F" w:rsidP="0085595C">
      <w:pPr>
        <w:rPr>
          <w:noProof/>
        </w:rPr>
      </w:pPr>
      <w:r w:rsidRPr="00244D65">
        <w:rPr>
          <w:noProof/>
          <w:lang w:eastAsia="en-GB"/>
        </w:rPr>
        <w:t>Such s</w:t>
      </w:r>
      <w:r w:rsidR="0010325F" w:rsidRPr="00244D65">
        <w:rPr>
          <w:noProof/>
          <w:lang w:eastAsia="en-GB"/>
        </w:rPr>
        <w:t xml:space="preserve">implified </w:t>
      </w:r>
      <w:r w:rsidR="69B36E68" w:rsidRPr="00244D65">
        <w:rPr>
          <w:noProof/>
          <w:lang w:eastAsia="en-GB"/>
        </w:rPr>
        <w:t>mechanisms with performance requirements</w:t>
      </w:r>
      <w:r w:rsidR="0010325F" w:rsidRPr="00244D65">
        <w:rPr>
          <w:noProof/>
          <w:lang w:eastAsia="en-GB"/>
        </w:rPr>
        <w:t xml:space="preserve"> distilled to key aspects (</w:t>
      </w:r>
      <w:r w:rsidRPr="00244D65">
        <w:rPr>
          <w:noProof/>
          <w:lang w:eastAsia="en-GB"/>
        </w:rPr>
        <w:t>i.e. GHG abatement)</w:t>
      </w:r>
      <w:r w:rsidR="69B36E68" w:rsidRPr="00244D65">
        <w:rPr>
          <w:noProof/>
          <w:lang w:eastAsia="en-GB"/>
        </w:rPr>
        <w:t xml:space="preserve"> ensure </w:t>
      </w:r>
      <w:r w:rsidR="009F5A7E" w:rsidRPr="00244D65">
        <w:rPr>
          <w:noProof/>
          <w:lang w:eastAsia="en-GB"/>
        </w:rPr>
        <w:t xml:space="preserve">good </w:t>
      </w:r>
      <w:r w:rsidR="69B36E68" w:rsidRPr="00244D65">
        <w:rPr>
          <w:noProof/>
          <w:lang w:eastAsia="en-GB"/>
        </w:rPr>
        <w:t xml:space="preserve">coverage of all </w:t>
      </w:r>
      <w:r w:rsidRPr="00244D65">
        <w:rPr>
          <w:noProof/>
          <w:lang w:eastAsia="en-GB"/>
        </w:rPr>
        <w:t xml:space="preserve">industrial </w:t>
      </w:r>
      <w:r w:rsidR="69B36E68" w:rsidRPr="00244D65">
        <w:rPr>
          <w:noProof/>
          <w:lang w:eastAsia="en-GB"/>
        </w:rPr>
        <w:t>sectors and countries while containing administrative costs across the support lifecycle.</w:t>
      </w:r>
    </w:p>
    <w:p w14:paraId="3D319407" w14:textId="50E73E13" w:rsidR="00F77B0A" w:rsidRPr="00244D65" w:rsidRDefault="00944E0E" w:rsidP="0085595C">
      <w:pPr>
        <w:pStyle w:val="Heading4"/>
        <w:rPr>
          <w:noProof/>
        </w:rPr>
      </w:pPr>
      <w:r w:rsidRPr="00244D65">
        <w:rPr>
          <w:noProof/>
        </w:rPr>
        <w:t xml:space="preserve"> </w:t>
      </w:r>
      <w:bookmarkStart w:id="203" w:name="_Ref214955294"/>
      <w:r w:rsidR="00F77B0A" w:rsidRPr="00244D65">
        <w:rPr>
          <w:noProof/>
        </w:rPr>
        <w:t>Aviation</w:t>
      </w:r>
      <w:bookmarkEnd w:id="203"/>
    </w:p>
    <w:p w14:paraId="5693F118" w14:textId="1EBC74B7" w:rsidR="006B29E2" w:rsidRPr="00244D65" w:rsidRDefault="65387501" w:rsidP="0085595C">
      <w:pPr>
        <w:rPr>
          <w:noProof/>
        </w:rPr>
      </w:pPr>
      <w:r w:rsidRPr="00244D65">
        <w:rPr>
          <w:b/>
          <w:bCs/>
          <w:noProof/>
        </w:rPr>
        <w:t>Administrative effort</w:t>
      </w:r>
      <w:r w:rsidRPr="00244D65">
        <w:rPr>
          <w:noProof/>
        </w:rPr>
        <w:t xml:space="preserve"> relating to the EU ETS and CORSIA is shared between the aircraft operators, national competent </w:t>
      </w:r>
      <w:r w:rsidR="75F3863E" w:rsidRPr="00244D65">
        <w:rPr>
          <w:noProof/>
        </w:rPr>
        <w:t>authorities,</w:t>
      </w:r>
      <w:r w:rsidRPr="00244D65">
        <w:rPr>
          <w:noProof/>
        </w:rPr>
        <w:t xml:space="preserve"> and the European Commission</w:t>
      </w:r>
      <w:r w:rsidR="006B29E2" w:rsidRPr="00244D65">
        <w:rPr>
          <w:rStyle w:val="FootnoteReference"/>
          <w:noProof/>
        </w:rPr>
        <w:footnoteReference w:id="66"/>
      </w:r>
      <w:r w:rsidRPr="00244D65">
        <w:rPr>
          <w:noProof/>
        </w:rPr>
        <w:t>. Aviation has been included in the EU ETS since 2012</w:t>
      </w:r>
      <w:r w:rsidR="29B8D133" w:rsidRPr="00244D65">
        <w:rPr>
          <w:noProof/>
        </w:rPr>
        <w:t>,</w:t>
      </w:r>
      <w:r w:rsidRPr="00244D65">
        <w:rPr>
          <w:noProof/>
        </w:rPr>
        <w:t xml:space="preserve"> and aircraft operators have established processes to comply. Therefore, compared to the baseline, none of the policy options increase the administrative effort: the amount of </w:t>
      </w:r>
      <w:r w:rsidR="00AF2CD9" w:rsidRPr="00244D65">
        <w:rPr>
          <w:noProof/>
        </w:rPr>
        <w:t xml:space="preserve">climate </w:t>
      </w:r>
      <w:r w:rsidRPr="00244D65">
        <w:rPr>
          <w:noProof/>
        </w:rPr>
        <w:t>action varies, but the tools remain unchanged.</w:t>
      </w:r>
      <w:r w:rsidRPr="00244D65">
        <w:rPr>
          <w:rFonts w:eastAsia="Times New Roman"/>
          <w:noProof/>
        </w:rPr>
        <w:t xml:space="preserve"> I</w:t>
      </w:r>
      <w:r w:rsidRPr="00244D65">
        <w:rPr>
          <w:noProof/>
        </w:rPr>
        <w:t xml:space="preserve">n principle the same pool of aircraft operators must comply with </w:t>
      </w:r>
      <w:r w:rsidR="00EE3D22" w:rsidRPr="00244D65">
        <w:rPr>
          <w:noProof/>
        </w:rPr>
        <w:t xml:space="preserve">the </w:t>
      </w:r>
      <w:r w:rsidRPr="00244D65">
        <w:rPr>
          <w:noProof/>
        </w:rPr>
        <w:t xml:space="preserve">EU ETS and CORSIA as the threshold for inclusion in </w:t>
      </w:r>
      <w:r w:rsidR="00222D7E" w:rsidRPr="00244D65">
        <w:rPr>
          <w:noProof/>
        </w:rPr>
        <w:t xml:space="preserve">the </w:t>
      </w:r>
      <w:r w:rsidRPr="00244D65">
        <w:rPr>
          <w:noProof/>
        </w:rPr>
        <w:t xml:space="preserve">EU ETS is always based on the geographic scope of the baseline. Moreover, individual flights are reported either under </w:t>
      </w:r>
      <w:r w:rsidR="00222D7E" w:rsidRPr="00244D65">
        <w:rPr>
          <w:noProof/>
        </w:rPr>
        <w:t xml:space="preserve">the </w:t>
      </w:r>
      <w:r w:rsidRPr="00244D65">
        <w:rPr>
          <w:noProof/>
        </w:rPr>
        <w:t xml:space="preserve">EU ETS or CORSIA in any case, resulting in no to very low differences in administrative effort required. </w:t>
      </w:r>
      <w:r w:rsidR="00427A49" w:rsidRPr="00244D65">
        <w:rPr>
          <w:rFonts w:eastAsia="Times New Roman"/>
          <w:noProof/>
        </w:rPr>
        <w:t>For the</w:t>
      </w:r>
      <w:r w:rsidR="00865E32" w:rsidRPr="00244D65">
        <w:rPr>
          <w:rFonts w:eastAsia="Times New Roman"/>
          <w:noProof/>
        </w:rPr>
        <w:t xml:space="preserve"> inclu</w:t>
      </w:r>
      <w:r w:rsidR="00427A49" w:rsidRPr="00244D65">
        <w:rPr>
          <w:rFonts w:eastAsia="Times New Roman"/>
          <w:noProof/>
        </w:rPr>
        <w:t>sion of</w:t>
      </w:r>
      <w:r w:rsidR="00865E32" w:rsidRPr="00244D65">
        <w:rPr>
          <w:rFonts w:eastAsia="Times New Roman"/>
          <w:noProof/>
        </w:rPr>
        <w:t xml:space="preserve"> </w:t>
      </w:r>
      <w:r w:rsidRPr="00244D65">
        <w:rPr>
          <w:rFonts w:eastAsia="Times New Roman"/>
          <w:noProof/>
        </w:rPr>
        <w:t xml:space="preserve">private and business jets in the EU ETS, the Commission proposes considerable administrative simplification for any newly covered aircraft operators as well as further simplification for low activity operators already covered. This includes simplified monitoring and reporting, a waiver of verification as well as exclusion for aircraft operators with </w:t>
      </w:r>
      <w:bookmarkStart w:id="204" w:name="_Int_pEXryIhS"/>
      <w:r w:rsidRPr="00244D65">
        <w:rPr>
          <w:rFonts w:eastAsia="Times New Roman"/>
          <w:noProof/>
        </w:rPr>
        <w:t>very low</w:t>
      </w:r>
      <w:bookmarkEnd w:id="204"/>
      <w:r w:rsidRPr="00244D65">
        <w:rPr>
          <w:rFonts w:eastAsia="Times New Roman"/>
          <w:noProof/>
        </w:rPr>
        <w:t xml:space="preserve"> EU ETS surrender obligation</w:t>
      </w:r>
      <w:r w:rsidR="00AE3465" w:rsidRPr="00244D65">
        <w:rPr>
          <w:rFonts w:eastAsia="Times New Roman"/>
          <w:noProof/>
        </w:rPr>
        <w:t xml:space="preserve"> (</w:t>
      </w:r>
      <w:r w:rsidR="000C653C" w:rsidRPr="00244D65">
        <w:rPr>
          <w:rFonts w:eastAsia="Times New Roman"/>
          <w:noProof/>
        </w:rPr>
        <w:t>see Annex</w:t>
      </w:r>
      <w:r w:rsidR="00360690" w:rsidRPr="00244D65">
        <w:rPr>
          <w:rFonts w:eastAsia="Times New Roman"/>
          <w:noProof/>
        </w:rPr>
        <w:t xml:space="preserve"> 10</w:t>
      </w:r>
      <w:r w:rsidR="0081045F" w:rsidRPr="00244D65">
        <w:rPr>
          <w:rFonts w:eastAsia="Times New Roman"/>
          <w:noProof/>
        </w:rPr>
        <w:t xml:space="preserve">, </w:t>
      </w:r>
      <w:r w:rsidR="00B747EF" w:rsidRPr="00244D65">
        <w:rPr>
          <w:rFonts w:eastAsia="Times New Roman"/>
          <w:noProof/>
        </w:rPr>
        <w:t>S</w:t>
      </w:r>
      <w:r w:rsidR="0081045F" w:rsidRPr="00244D65">
        <w:rPr>
          <w:rFonts w:eastAsia="Times New Roman"/>
          <w:noProof/>
        </w:rPr>
        <w:t>ection 7</w:t>
      </w:r>
      <w:r w:rsidR="00AE3465" w:rsidRPr="00244D65">
        <w:rPr>
          <w:rFonts w:eastAsia="Times New Roman"/>
          <w:noProof/>
        </w:rPr>
        <w:t>)</w:t>
      </w:r>
      <w:r w:rsidRPr="00244D65">
        <w:rPr>
          <w:rFonts w:eastAsia="Times New Roman"/>
          <w:noProof/>
        </w:rPr>
        <w:t xml:space="preserve">. </w:t>
      </w:r>
      <w:r w:rsidRPr="00244D65">
        <w:rPr>
          <w:noProof/>
        </w:rPr>
        <w:t xml:space="preserve">This assessment applies equally to all policy options. </w:t>
      </w:r>
    </w:p>
    <w:p w14:paraId="5638D189" w14:textId="41083754" w:rsidR="00944E0E" w:rsidRPr="00244D65" w:rsidRDefault="00A5502B" w:rsidP="0085595C">
      <w:pPr>
        <w:rPr>
          <w:noProof/>
          <w:lang w:eastAsia="en-GB"/>
        </w:rPr>
      </w:pPr>
      <w:r w:rsidRPr="00244D65">
        <w:rPr>
          <w:noProof/>
          <w:lang w:eastAsia="en-GB"/>
        </w:rPr>
        <w:t xml:space="preserve">Administrative efforts for the deduction of CORSIA costs do not apply </w:t>
      </w:r>
      <w:r w:rsidR="00FB42B7" w:rsidRPr="00244D65">
        <w:rPr>
          <w:noProof/>
          <w:lang w:eastAsia="en-GB"/>
        </w:rPr>
        <w:t xml:space="preserve">in </w:t>
      </w:r>
      <w:r w:rsidRPr="00244D65">
        <w:rPr>
          <w:noProof/>
          <w:lang w:eastAsia="en-GB"/>
        </w:rPr>
        <w:t>the baseline</w:t>
      </w:r>
      <w:r w:rsidR="00FC59E2" w:rsidRPr="00244D65">
        <w:rPr>
          <w:noProof/>
          <w:lang w:eastAsia="en-GB"/>
        </w:rPr>
        <w:t xml:space="preserve"> or in PO1</w:t>
      </w:r>
      <w:r w:rsidR="00B510A0" w:rsidRPr="00244D65">
        <w:rPr>
          <w:noProof/>
          <w:lang w:eastAsia="en-GB"/>
        </w:rPr>
        <w:t xml:space="preserve">. Some administrative costs </w:t>
      </w:r>
      <w:r w:rsidR="00826D70" w:rsidRPr="00244D65">
        <w:rPr>
          <w:noProof/>
          <w:lang w:eastAsia="en-GB"/>
        </w:rPr>
        <w:t xml:space="preserve">apply in </w:t>
      </w:r>
      <w:r w:rsidRPr="00244D65">
        <w:rPr>
          <w:noProof/>
          <w:lang w:eastAsia="en-GB"/>
        </w:rPr>
        <w:t>PO2</w:t>
      </w:r>
      <w:r w:rsidR="00826D70" w:rsidRPr="00244D65">
        <w:rPr>
          <w:noProof/>
          <w:lang w:eastAsia="en-GB"/>
        </w:rPr>
        <w:t xml:space="preserve"> and PO3</w:t>
      </w:r>
      <w:r w:rsidRPr="00244D65">
        <w:rPr>
          <w:noProof/>
          <w:lang w:eastAsia="en-GB"/>
        </w:rPr>
        <w:t xml:space="preserve">: Operators are already required to report </w:t>
      </w:r>
      <w:r w:rsidR="004F1218" w:rsidRPr="00244D65">
        <w:rPr>
          <w:noProof/>
          <w:lang w:eastAsia="en-GB"/>
        </w:rPr>
        <w:t xml:space="preserve">the </w:t>
      </w:r>
      <w:r w:rsidRPr="00244D65">
        <w:rPr>
          <w:noProof/>
          <w:lang w:eastAsia="en-GB"/>
        </w:rPr>
        <w:t xml:space="preserve">most </w:t>
      </w:r>
      <w:bookmarkStart w:id="205" w:name="_Int_4c41Ba5v"/>
      <w:r w:rsidRPr="00244D65">
        <w:rPr>
          <w:noProof/>
          <w:lang w:eastAsia="en-GB"/>
        </w:rPr>
        <w:t>important information</w:t>
      </w:r>
      <w:bookmarkEnd w:id="205"/>
      <w:r w:rsidRPr="00244D65">
        <w:rPr>
          <w:noProof/>
          <w:lang w:eastAsia="en-GB"/>
        </w:rPr>
        <w:t>. National competent authorities handle this information already, whereas the additional effort would concern the deduction of costs and relate to aircraft operators, national competent authorities and the Commission. This would apply until 2035, when CORSIA is set to end</w:t>
      </w:r>
      <w:r w:rsidR="00BF0EBF" w:rsidRPr="00244D65">
        <w:rPr>
          <w:noProof/>
          <w:lang w:eastAsia="en-GB"/>
        </w:rPr>
        <w:t xml:space="preserve"> (unless a decision is taken to prolong it)</w:t>
      </w:r>
      <w:r w:rsidRPr="00244D65">
        <w:rPr>
          <w:noProof/>
          <w:lang w:eastAsia="en-GB"/>
        </w:rPr>
        <w:t>.</w:t>
      </w:r>
    </w:p>
    <w:p w14:paraId="3B05A8F6" w14:textId="4A772B1A" w:rsidR="00772A64" w:rsidRPr="00244D65" w:rsidRDefault="00772A64" w:rsidP="0085595C">
      <w:pPr>
        <w:rPr>
          <w:noProof/>
          <w:lang w:eastAsia="en-GB"/>
        </w:rPr>
      </w:pPr>
      <w:r w:rsidRPr="00244D65">
        <w:rPr>
          <w:noProof/>
          <w:lang w:eastAsia="en-GB"/>
        </w:rPr>
        <w:t>ETS-financed</w:t>
      </w:r>
      <w:r w:rsidR="00D255B0" w:rsidRPr="00244D65">
        <w:rPr>
          <w:noProof/>
          <w:lang w:eastAsia="en-GB"/>
        </w:rPr>
        <w:t xml:space="preserve"> SAF support </w:t>
      </w:r>
      <w:r w:rsidR="00B07CC2" w:rsidRPr="00244D65">
        <w:rPr>
          <w:noProof/>
          <w:lang w:eastAsia="en-GB"/>
        </w:rPr>
        <w:t>is prolonged under PO2 and PO3</w:t>
      </w:r>
      <w:r w:rsidR="00634C88" w:rsidRPr="00244D65">
        <w:rPr>
          <w:noProof/>
          <w:lang w:eastAsia="en-GB"/>
        </w:rPr>
        <w:t xml:space="preserve">, with conditionalities to </w:t>
      </w:r>
      <w:r w:rsidR="004B21CA" w:rsidRPr="00244D65">
        <w:rPr>
          <w:noProof/>
          <w:lang w:eastAsia="en-GB"/>
        </w:rPr>
        <w:t>further support decarbonisation</w:t>
      </w:r>
      <w:r w:rsidR="00A10E4D" w:rsidRPr="00244D65">
        <w:rPr>
          <w:noProof/>
          <w:lang w:eastAsia="en-GB"/>
        </w:rPr>
        <w:t xml:space="preserve">. </w:t>
      </w:r>
      <w:r w:rsidR="00856424" w:rsidRPr="00244D65">
        <w:rPr>
          <w:noProof/>
          <w:lang w:eastAsia="en-GB"/>
        </w:rPr>
        <w:t>All key</w:t>
      </w:r>
      <w:r w:rsidR="00947D9A" w:rsidRPr="00244D65">
        <w:rPr>
          <w:noProof/>
          <w:lang w:eastAsia="en-GB"/>
        </w:rPr>
        <w:t xml:space="preserve"> characteristics of the existing support would be maintained, meaning it would continue to work with minimal </w:t>
      </w:r>
      <w:r w:rsidR="00502486" w:rsidRPr="00244D65">
        <w:rPr>
          <w:noProof/>
          <w:lang w:eastAsia="en-GB"/>
        </w:rPr>
        <w:t>administrative effort</w:t>
      </w:r>
      <w:r w:rsidR="001F7FBC" w:rsidRPr="00244D65">
        <w:rPr>
          <w:noProof/>
          <w:lang w:eastAsia="en-GB"/>
        </w:rPr>
        <w:t xml:space="preserve">. This was </w:t>
      </w:r>
      <w:r w:rsidR="000E6E72" w:rsidRPr="00244D65">
        <w:rPr>
          <w:noProof/>
          <w:lang w:eastAsia="en-GB"/>
        </w:rPr>
        <w:t xml:space="preserve">welcomed by </w:t>
      </w:r>
      <w:r w:rsidR="00B137F3" w:rsidRPr="00244D65">
        <w:rPr>
          <w:noProof/>
          <w:lang w:eastAsia="en-GB"/>
        </w:rPr>
        <w:t>stakeholders</w:t>
      </w:r>
      <w:r w:rsidR="002D1C39" w:rsidRPr="00244D65">
        <w:rPr>
          <w:noProof/>
          <w:lang w:eastAsia="en-GB"/>
        </w:rPr>
        <w:t xml:space="preserve"> in the open public consultation. </w:t>
      </w:r>
      <w:r w:rsidR="00B82A3A" w:rsidRPr="00244D65">
        <w:rPr>
          <w:noProof/>
          <w:lang w:eastAsia="en-GB"/>
        </w:rPr>
        <w:t xml:space="preserve">Additional conditionalities </w:t>
      </w:r>
      <w:r w:rsidR="00AA48E6" w:rsidRPr="00244D65">
        <w:rPr>
          <w:noProof/>
          <w:lang w:eastAsia="en-GB"/>
        </w:rPr>
        <w:t xml:space="preserve">are examined </w:t>
      </w:r>
      <w:r w:rsidR="0099263A" w:rsidRPr="00244D65">
        <w:rPr>
          <w:noProof/>
          <w:lang w:eastAsia="en-GB"/>
        </w:rPr>
        <w:t xml:space="preserve">in </w:t>
      </w:r>
      <w:r w:rsidR="00352660" w:rsidRPr="00244D65">
        <w:rPr>
          <w:noProof/>
          <w:lang w:eastAsia="en-GB"/>
        </w:rPr>
        <w:t xml:space="preserve">the context of </w:t>
      </w:r>
      <w:r w:rsidR="0050663D" w:rsidRPr="00244D65">
        <w:rPr>
          <w:noProof/>
          <w:lang w:eastAsia="en-GB"/>
        </w:rPr>
        <w:t>incentivising decarbonisation and limiting administrative effort (see Annex 10</w:t>
      </w:r>
      <w:r w:rsidR="0081045F" w:rsidRPr="00244D65">
        <w:rPr>
          <w:noProof/>
          <w:lang w:eastAsia="en-GB"/>
        </w:rPr>
        <w:t xml:space="preserve">, </w:t>
      </w:r>
      <w:r w:rsidR="00A55AEB" w:rsidRPr="00244D65">
        <w:rPr>
          <w:noProof/>
          <w:lang w:eastAsia="en-GB"/>
        </w:rPr>
        <w:t>S</w:t>
      </w:r>
      <w:r w:rsidR="0081045F" w:rsidRPr="00244D65">
        <w:rPr>
          <w:noProof/>
          <w:lang w:eastAsia="en-GB"/>
        </w:rPr>
        <w:t>ection 8</w:t>
      </w:r>
      <w:r w:rsidR="0050663D" w:rsidRPr="00244D65">
        <w:rPr>
          <w:noProof/>
          <w:lang w:eastAsia="en-GB"/>
        </w:rPr>
        <w:t>).</w:t>
      </w:r>
    </w:p>
    <w:p w14:paraId="3208A464" w14:textId="019F5714" w:rsidR="00FD0B59" w:rsidRPr="00244D65" w:rsidRDefault="7ABC795A" w:rsidP="0085595C">
      <w:pPr>
        <w:pStyle w:val="Heading4"/>
        <w:rPr>
          <w:noProof/>
        </w:rPr>
      </w:pPr>
      <w:r w:rsidRPr="00244D65">
        <w:rPr>
          <w:noProof/>
        </w:rPr>
        <w:t xml:space="preserve"> </w:t>
      </w:r>
      <w:r w:rsidR="00FD0B59" w:rsidRPr="00244D65">
        <w:rPr>
          <w:noProof/>
        </w:rPr>
        <w:t>Maritime</w:t>
      </w:r>
    </w:p>
    <w:p w14:paraId="2C820D63" w14:textId="3035B982" w:rsidR="001674BA" w:rsidRPr="00244D65" w:rsidRDefault="001674BA" w:rsidP="0085595C">
      <w:pPr>
        <w:rPr>
          <w:rStyle w:val="normaltextrun"/>
          <w:noProof/>
        </w:rPr>
      </w:pPr>
      <w:r w:rsidRPr="00244D65">
        <w:rPr>
          <w:rStyle w:val="normaltextrun"/>
          <w:noProof/>
        </w:rPr>
        <w:t xml:space="preserve">The </w:t>
      </w:r>
      <w:r w:rsidRPr="00244D65">
        <w:rPr>
          <w:rStyle w:val="normaltextrun"/>
          <w:b/>
          <w:bCs/>
          <w:noProof/>
        </w:rPr>
        <w:t>simplification measures</w:t>
      </w:r>
      <w:r w:rsidRPr="00244D65">
        <w:rPr>
          <w:rStyle w:val="normaltextrun"/>
          <w:noProof/>
        </w:rPr>
        <w:t xml:space="preserve"> </w:t>
      </w:r>
      <w:r w:rsidR="00403E43" w:rsidRPr="00244D65">
        <w:rPr>
          <w:rStyle w:val="normaltextrun"/>
          <w:noProof/>
        </w:rPr>
        <w:t xml:space="preserve">in </w:t>
      </w:r>
      <w:r w:rsidR="00403E43" w:rsidRPr="00244D65">
        <w:rPr>
          <w:rStyle w:val="normaltextrun"/>
          <w:b/>
          <w:bCs/>
          <w:noProof/>
        </w:rPr>
        <w:t>PO1, PO2 and PO3</w:t>
      </w:r>
      <w:r w:rsidRPr="00244D65">
        <w:rPr>
          <w:rStyle w:val="normaltextrun"/>
          <w:noProof/>
        </w:rPr>
        <w:t xml:space="preserve"> aimed at aligning requirements across different regulatory frameworks</w:t>
      </w:r>
      <w:r w:rsidR="00E5579F" w:rsidRPr="00244D65">
        <w:rPr>
          <w:rStyle w:val="normaltextrun"/>
          <w:noProof/>
        </w:rPr>
        <w:t>. They</w:t>
      </w:r>
      <w:r w:rsidRPr="00244D65">
        <w:rPr>
          <w:rStyle w:val="normaltextrun"/>
          <w:noProof/>
        </w:rPr>
        <w:t xml:space="preserve"> would </w:t>
      </w:r>
      <w:r w:rsidR="00E5579F" w:rsidRPr="00244D65">
        <w:rPr>
          <w:rStyle w:val="normaltextrun"/>
          <w:noProof/>
        </w:rPr>
        <w:t xml:space="preserve">directly </w:t>
      </w:r>
      <w:r w:rsidRPr="00244D65">
        <w:rPr>
          <w:rStyle w:val="normaltextrun"/>
          <w:noProof/>
        </w:rPr>
        <w:t>benefit shipping companies and translate, according to conservative estimates, into potential annual savings between 10% and 20% of current annual MRV compliance costs, i.e. up to EUR 9.4 million per year for the entire MRV fleet. These savings would originate from streamlined compliance processes and reduction of existing duplications reduc</w:t>
      </w:r>
      <w:r w:rsidR="00904E87" w:rsidRPr="00244D65">
        <w:rPr>
          <w:rStyle w:val="normaltextrun"/>
          <w:noProof/>
        </w:rPr>
        <w:t>ing</w:t>
      </w:r>
      <w:r w:rsidRPr="00244D65">
        <w:rPr>
          <w:rStyle w:val="normaltextrun"/>
          <w:noProof/>
        </w:rPr>
        <w:t xml:space="preserve"> </w:t>
      </w:r>
      <w:bookmarkStart w:id="206" w:name="_Int_0av5DZO5"/>
      <w:r w:rsidRPr="00244D65">
        <w:rPr>
          <w:rStyle w:val="normaltextrun"/>
          <w:noProof/>
        </w:rPr>
        <w:t>man-hours</w:t>
      </w:r>
      <w:bookmarkEnd w:id="206"/>
      <w:r w:rsidRPr="00244D65">
        <w:rPr>
          <w:rStyle w:val="normaltextrun"/>
          <w:noProof/>
        </w:rPr>
        <w:t xml:space="preserve"> and staff costs for companies through the different steps of the compliance process.</w:t>
      </w:r>
    </w:p>
    <w:p w14:paraId="26A7C38E" w14:textId="5BFF24F1" w:rsidR="00167117" w:rsidRPr="00244D65" w:rsidRDefault="00847B0C" w:rsidP="0085595C">
      <w:pPr>
        <w:rPr>
          <w:rStyle w:val="normaltextrun"/>
          <w:noProof/>
        </w:rPr>
      </w:pPr>
      <w:r w:rsidRPr="00244D65">
        <w:rPr>
          <w:rStyle w:val="normaltextrun"/>
          <w:noProof/>
        </w:rPr>
        <w:t xml:space="preserve">The </w:t>
      </w:r>
      <w:r w:rsidRPr="00244D65">
        <w:rPr>
          <w:rStyle w:val="normaltextrun"/>
          <w:b/>
          <w:noProof/>
        </w:rPr>
        <w:t>administrative costs</w:t>
      </w:r>
      <w:r w:rsidRPr="00244D65">
        <w:rPr>
          <w:rStyle w:val="normaltextrun"/>
          <w:noProof/>
        </w:rPr>
        <w:t xml:space="preserve"> for </w:t>
      </w:r>
      <w:r w:rsidR="0068154D" w:rsidRPr="00244D65">
        <w:rPr>
          <w:rStyle w:val="normaltextrun"/>
          <w:noProof/>
        </w:rPr>
        <w:t>smaller ships</w:t>
      </w:r>
      <w:r w:rsidR="0068154D" w:rsidRPr="00244D65">
        <w:rPr>
          <w:rStyle w:val="normaltextrun"/>
          <w:b/>
          <w:bCs/>
          <w:noProof/>
        </w:rPr>
        <w:t xml:space="preserve"> </w:t>
      </w:r>
      <w:r w:rsidRPr="00244D65">
        <w:rPr>
          <w:rStyle w:val="normaltextrun"/>
          <w:noProof/>
        </w:rPr>
        <w:t xml:space="preserve">will increase in </w:t>
      </w:r>
      <w:r w:rsidR="0068154D" w:rsidRPr="00244D65">
        <w:rPr>
          <w:rStyle w:val="normaltextrun"/>
          <w:b/>
          <w:noProof/>
        </w:rPr>
        <w:t>PO2</w:t>
      </w:r>
      <w:r w:rsidR="0068154D" w:rsidRPr="00244D65">
        <w:rPr>
          <w:rStyle w:val="normaltextrun"/>
          <w:noProof/>
        </w:rPr>
        <w:t xml:space="preserve"> </w:t>
      </w:r>
      <w:r w:rsidRPr="00244D65">
        <w:rPr>
          <w:rStyle w:val="normaltextrun"/>
          <w:noProof/>
        </w:rPr>
        <w:t>due to the</w:t>
      </w:r>
      <w:r w:rsidR="00396E2A" w:rsidRPr="00244D65">
        <w:rPr>
          <w:rStyle w:val="normaltextrun"/>
          <w:noProof/>
        </w:rPr>
        <w:t>ir</w:t>
      </w:r>
      <w:r w:rsidRPr="00244D65">
        <w:rPr>
          <w:rStyle w:val="normaltextrun"/>
          <w:noProof/>
        </w:rPr>
        <w:t xml:space="preserve"> partial inclusion in the EU ETS and MRV scope.</w:t>
      </w:r>
      <w:r w:rsidRPr="00244D65">
        <w:rPr>
          <w:rStyle w:val="normaltextrun"/>
          <w:b/>
          <w:bCs/>
          <w:noProof/>
        </w:rPr>
        <w:t xml:space="preserve"> </w:t>
      </w:r>
      <w:r w:rsidR="00A4614C" w:rsidRPr="00244D65">
        <w:rPr>
          <w:rStyle w:val="normaltextrun"/>
          <w:noProof/>
        </w:rPr>
        <w:t xml:space="preserve">However, the </w:t>
      </w:r>
      <w:r w:rsidR="005B04EB" w:rsidRPr="00244D65">
        <w:rPr>
          <w:rStyle w:val="normaltextrun"/>
          <w:noProof/>
        </w:rPr>
        <w:t>annual</w:t>
      </w:r>
      <w:r w:rsidR="00A4614C" w:rsidRPr="00244D65">
        <w:rPr>
          <w:rStyle w:val="normaltextrun"/>
          <w:noProof/>
        </w:rPr>
        <w:t xml:space="preserve"> additional administrative costs </w:t>
      </w:r>
      <w:r w:rsidR="00E81E72" w:rsidRPr="00244D65">
        <w:rPr>
          <w:rStyle w:val="normaltextrun"/>
          <w:noProof/>
        </w:rPr>
        <w:t>need</w:t>
      </w:r>
      <w:r w:rsidR="00A4614C" w:rsidRPr="00244D65">
        <w:rPr>
          <w:rStyle w:val="normaltextrun"/>
          <w:noProof/>
        </w:rPr>
        <w:t xml:space="preserve"> to be compared to the </w:t>
      </w:r>
      <w:r w:rsidR="001452C0" w:rsidRPr="00244D65">
        <w:rPr>
          <w:rStyle w:val="normaltextrun"/>
          <w:noProof/>
        </w:rPr>
        <w:t>revenues that ships would be eligible to receive</w:t>
      </w:r>
      <w:r w:rsidR="00A4614C" w:rsidRPr="00244D65">
        <w:rPr>
          <w:rStyle w:val="normaltextrun"/>
          <w:noProof/>
        </w:rPr>
        <w:t xml:space="preserve"> </w:t>
      </w:r>
      <w:r w:rsidR="003B0B39" w:rsidRPr="00244D65">
        <w:rPr>
          <w:rStyle w:val="normaltextrun"/>
          <w:noProof/>
        </w:rPr>
        <w:t>from the support to decarbonise shipping (see</w:t>
      </w:r>
      <w:r w:rsidR="00A4614C" w:rsidRPr="00244D65">
        <w:rPr>
          <w:rStyle w:val="normaltextrun"/>
          <w:noProof/>
        </w:rPr>
        <w:t xml:space="preserve"> </w:t>
      </w:r>
      <w:r w:rsidR="005B04EB" w:rsidRPr="00244D65">
        <w:rPr>
          <w:rStyle w:val="normaltextrun"/>
          <w:noProof/>
        </w:rPr>
        <w:t>economic impacts).</w:t>
      </w:r>
      <w:r w:rsidR="000C653C" w:rsidRPr="00244D65">
        <w:rPr>
          <w:rStyle w:val="normaltextrun"/>
          <w:noProof/>
        </w:rPr>
        <w:t xml:space="preserve"> </w:t>
      </w:r>
      <w:r w:rsidRPr="00244D65">
        <w:rPr>
          <w:rStyle w:val="normaltextrun"/>
          <w:noProof/>
        </w:rPr>
        <w:t xml:space="preserve">Recurrent MRV compliance costs for smaller vessels are estimated </w:t>
      </w:r>
      <w:r w:rsidR="00806E5D" w:rsidRPr="00244D65">
        <w:rPr>
          <w:rStyle w:val="normaltextrun"/>
          <w:noProof/>
        </w:rPr>
        <w:t xml:space="preserve">on average </w:t>
      </w:r>
      <w:r w:rsidRPr="00244D65">
        <w:rPr>
          <w:rStyle w:val="normaltextrun"/>
          <w:noProof/>
        </w:rPr>
        <w:t>at EUR 3 690 per year and per vessel</w:t>
      </w:r>
      <w:r w:rsidR="00A353D6" w:rsidRPr="00244D65">
        <w:rPr>
          <w:rStyle w:val="normaltextrun"/>
          <w:noProof/>
        </w:rPr>
        <w:t xml:space="preserve"> (plus one-off costs</w:t>
      </w:r>
      <w:r w:rsidR="000C653C" w:rsidRPr="00244D65">
        <w:rPr>
          <w:rStyle w:val="normaltextrun"/>
          <w:noProof/>
        </w:rPr>
        <w:t xml:space="preserve"> </w:t>
      </w:r>
      <w:r w:rsidR="00A353D6" w:rsidRPr="00244D65">
        <w:rPr>
          <w:rStyle w:val="normaltextrun"/>
          <w:noProof/>
        </w:rPr>
        <w:t>estimated at EUR 3 193 per vessel</w:t>
      </w:r>
      <w:r w:rsidR="000C653C" w:rsidRPr="00244D65">
        <w:rPr>
          <w:rStyle w:val="normaltextrun"/>
          <w:noProof/>
        </w:rPr>
        <w:t>). Staff</w:t>
      </w:r>
      <w:r w:rsidRPr="00244D65">
        <w:rPr>
          <w:rStyle w:val="normaltextrun"/>
          <w:noProof/>
        </w:rPr>
        <w:t xml:space="preserve"> limitations and increased frequency of voyages of smaller vessels have been quoted by some shipping companies as the main reasons for slightly higher monitoring costs</w:t>
      </w:r>
      <w:r w:rsidR="00367949" w:rsidRPr="00244D65">
        <w:rPr>
          <w:rStyle w:val="normaltextrun"/>
          <w:noProof/>
        </w:rPr>
        <w:t xml:space="preserve"> in comparison </w:t>
      </w:r>
      <w:r w:rsidR="009F65E5" w:rsidRPr="00244D65">
        <w:rPr>
          <w:rStyle w:val="normaltextrun"/>
          <w:noProof/>
        </w:rPr>
        <w:t xml:space="preserve">to </w:t>
      </w:r>
      <w:r w:rsidR="006A2BA9" w:rsidRPr="00244D65">
        <w:rPr>
          <w:rStyle w:val="normaltextrun"/>
          <w:noProof/>
        </w:rPr>
        <w:t>similar</w:t>
      </w:r>
      <w:r w:rsidR="009F65E5" w:rsidRPr="00244D65">
        <w:rPr>
          <w:rStyle w:val="normaltextrun"/>
          <w:noProof/>
        </w:rPr>
        <w:t xml:space="preserve"> costs for larger vessels</w:t>
      </w:r>
      <w:r w:rsidRPr="00244D65">
        <w:rPr>
          <w:rStyle w:val="normaltextrun"/>
          <w:noProof/>
        </w:rPr>
        <w:t xml:space="preserve">. In addition, </w:t>
      </w:r>
      <w:r w:rsidR="00364F6B" w:rsidRPr="00244D65">
        <w:rPr>
          <w:rStyle w:val="normaltextrun"/>
          <w:noProof/>
        </w:rPr>
        <w:t xml:space="preserve">those </w:t>
      </w:r>
      <w:r w:rsidRPr="00244D65">
        <w:rPr>
          <w:rStyle w:val="normaltextrun"/>
          <w:noProof/>
        </w:rPr>
        <w:t xml:space="preserve">shipping companies </w:t>
      </w:r>
      <w:r w:rsidR="00364F6B" w:rsidRPr="00244D65">
        <w:rPr>
          <w:rStyle w:val="normaltextrun"/>
          <w:noProof/>
        </w:rPr>
        <w:t>not previously active under ETS scope,</w:t>
      </w:r>
      <w:r w:rsidRPr="00244D65">
        <w:rPr>
          <w:rStyle w:val="normaltextrun"/>
          <w:noProof/>
        </w:rPr>
        <w:t xml:space="preserve"> would incur additional administrative costs to familiarise themselves with the ETS rules</w:t>
      </w:r>
      <w:r w:rsidR="00C51017" w:rsidRPr="00244D65">
        <w:rPr>
          <w:rStyle w:val="normaltextrun"/>
          <w:noProof/>
        </w:rPr>
        <w:t xml:space="preserve"> and</w:t>
      </w:r>
      <w:r w:rsidRPr="00244D65">
        <w:rPr>
          <w:rStyle w:val="normaltextrun"/>
          <w:noProof/>
        </w:rPr>
        <w:t xml:space="preserve"> set up and manage their Union Registry account. When consider</w:t>
      </w:r>
      <w:r w:rsidR="00364F6B" w:rsidRPr="00244D65">
        <w:rPr>
          <w:rStyle w:val="normaltextrun"/>
          <w:noProof/>
        </w:rPr>
        <w:t>ing</w:t>
      </w:r>
      <w:r w:rsidRPr="00244D65">
        <w:rPr>
          <w:rStyle w:val="normaltextrun"/>
          <w:noProof/>
        </w:rPr>
        <w:t xml:space="preserve"> together the MRV and ETS </w:t>
      </w:r>
      <w:r w:rsidR="00196DFD" w:rsidRPr="00244D65">
        <w:rPr>
          <w:rStyle w:val="normaltextrun"/>
          <w:noProof/>
        </w:rPr>
        <w:t>total</w:t>
      </w:r>
      <w:r w:rsidRPr="00244D65">
        <w:rPr>
          <w:rStyle w:val="normaltextrun"/>
          <w:noProof/>
        </w:rPr>
        <w:t xml:space="preserve"> administrative costs, PO2 would result in additional </w:t>
      </w:r>
      <w:r w:rsidR="00C65CD2" w:rsidRPr="00244D65">
        <w:rPr>
          <w:rStyle w:val="normaltextrun"/>
          <w:noProof/>
        </w:rPr>
        <w:t xml:space="preserve">recurrent </w:t>
      </w:r>
      <w:r w:rsidRPr="00244D65">
        <w:rPr>
          <w:rStyle w:val="normaltextrun"/>
          <w:noProof/>
        </w:rPr>
        <w:t xml:space="preserve">administrative costs </w:t>
      </w:r>
      <w:r w:rsidR="001B011D" w:rsidRPr="00244D65">
        <w:rPr>
          <w:rStyle w:val="normaltextrun"/>
          <w:noProof/>
        </w:rPr>
        <w:t xml:space="preserve">for </w:t>
      </w:r>
      <w:r w:rsidR="008634CE" w:rsidRPr="00244D65">
        <w:rPr>
          <w:rStyle w:val="normaltextrun"/>
          <w:noProof/>
        </w:rPr>
        <w:t>smaller</w:t>
      </w:r>
      <w:r w:rsidR="00196DFD" w:rsidRPr="00244D65">
        <w:rPr>
          <w:rStyle w:val="normaltextrun"/>
          <w:noProof/>
        </w:rPr>
        <w:t xml:space="preserve"> ships </w:t>
      </w:r>
      <w:r w:rsidRPr="00244D65">
        <w:rPr>
          <w:rStyle w:val="normaltextrun"/>
          <w:noProof/>
        </w:rPr>
        <w:t xml:space="preserve">estimated at </w:t>
      </w:r>
      <w:r w:rsidR="00F66136" w:rsidRPr="00244D65">
        <w:rPr>
          <w:rStyle w:val="normaltextrun"/>
          <w:noProof/>
        </w:rPr>
        <w:t xml:space="preserve">EUR </w:t>
      </w:r>
      <w:r w:rsidRPr="00244D65">
        <w:rPr>
          <w:rStyle w:val="normaltextrun"/>
          <w:noProof/>
        </w:rPr>
        <w:t xml:space="preserve">15 </w:t>
      </w:r>
      <w:r w:rsidR="00F66136" w:rsidRPr="00244D65">
        <w:rPr>
          <w:rStyle w:val="normaltextrun"/>
          <w:noProof/>
        </w:rPr>
        <w:t xml:space="preserve">million </w:t>
      </w:r>
      <w:r w:rsidRPr="00244D65">
        <w:rPr>
          <w:rStyle w:val="normaltextrun"/>
          <w:noProof/>
        </w:rPr>
        <w:t>EUR per year</w:t>
      </w:r>
      <w:r w:rsidR="0021088B" w:rsidRPr="00244D65">
        <w:rPr>
          <w:rStyle w:val="normaltextrun"/>
          <w:noProof/>
        </w:rPr>
        <w:t xml:space="preserve">. </w:t>
      </w:r>
      <w:r w:rsidR="00462049" w:rsidRPr="00244D65">
        <w:rPr>
          <w:rStyle w:val="normaltextrun"/>
          <w:noProof/>
        </w:rPr>
        <w:t xml:space="preserve">For </w:t>
      </w:r>
      <w:r w:rsidR="00462049" w:rsidRPr="00244D65">
        <w:rPr>
          <w:rStyle w:val="normaltextrun"/>
          <w:b/>
          <w:noProof/>
        </w:rPr>
        <w:t>PO3</w:t>
      </w:r>
      <w:r w:rsidR="00462049" w:rsidRPr="00244D65">
        <w:rPr>
          <w:rStyle w:val="normaltextrun"/>
          <w:noProof/>
        </w:rPr>
        <w:t>,</w:t>
      </w:r>
      <w:r w:rsidR="000362DB" w:rsidRPr="00244D65">
        <w:rPr>
          <w:rStyle w:val="normaltextrun"/>
          <w:noProof/>
        </w:rPr>
        <w:t xml:space="preserve"> which covers more</w:t>
      </w:r>
      <w:r w:rsidR="00284915" w:rsidRPr="00244D65">
        <w:rPr>
          <w:rStyle w:val="normaltextrun"/>
          <w:noProof/>
        </w:rPr>
        <w:t xml:space="preserve"> smaller vessels,</w:t>
      </w:r>
      <w:r w:rsidR="00462049" w:rsidRPr="00244D65">
        <w:rPr>
          <w:rStyle w:val="normaltextrun"/>
          <w:noProof/>
        </w:rPr>
        <w:t xml:space="preserve"> the</w:t>
      </w:r>
      <w:r w:rsidR="0021088B" w:rsidRPr="00244D65">
        <w:rPr>
          <w:rStyle w:val="normaltextrun"/>
          <w:noProof/>
        </w:rPr>
        <w:t xml:space="preserve"> total</w:t>
      </w:r>
      <w:r w:rsidR="006D64A5" w:rsidRPr="00244D65">
        <w:rPr>
          <w:rStyle w:val="normaltextrun"/>
          <w:noProof/>
        </w:rPr>
        <w:t xml:space="preserve"> additional administrative costs w</w:t>
      </w:r>
      <w:r w:rsidR="000362DB" w:rsidRPr="00244D65">
        <w:rPr>
          <w:rStyle w:val="normaltextrun"/>
          <w:noProof/>
        </w:rPr>
        <w:t>ould</w:t>
      </w:r>
      <w:r w:rsidR="006D64A5" w:rsidRPr="00244D65">
        <w:rPr>
          <w:rStyle w:val="normaltextrun"/>
          <w:noProof/>
        </w:rPr>
        <w:t xml:space="preserve"> amount to </w:t>
      </w:r>
      <w:r w:rsidR="0021088B" w:rsidRPr="00244D65">
        <w:rPr>
          <w:rStyle w:val="normaltextrun"/>
          <w:noProof/>
        </w:rPr>
        <w:t xml:space="preserve">EUR </w:t>
      </w:r>
      <w:r w:rsidR="00C36EAC" w:rsidRPr="00244D65">
        <w:rPr>
          <w:rStyle w:val="normaltextrun"/>
          <w:noProof/>
        </w:rPr>
        <w:t>30 million EUR</w:t>
      </w:r>
      <w:r w:rsidR="00A14055" w:rsidRPr="00244D65">
        <w:rPr>
          <w:rStyle w:val="normaltextrun"/>
          <w:noProof/>
        </w:rPr>
        <w:t xml:space="preserve"> per year.</w:t>
      </w:r>
    </w:p>
    <w:p w14:paraId="10974D9F" w14:textId="500A2389" w:rsidR="00F77B0A" w:rsidRPr="00244D65" w:rsidRDefault="00E07F17" w:rsidP="0085595C">
      <w:pPr>
        <w:pStyle w:val="Heading4"/>
        <w:rPr>
          <w:noProof/>
        </w:rPr>
      </w:pPr>
      <w:r w:rsidRPr="00244D65">
        <w:rPr>
          <w:noProof/>
        </w:rPr>
        <w:t xml:space="preserve"> </w:t>
      </w:r>
      <w:r w:rsidR="00162D2C" w:rsidRPr="00244D65">
        <w:rPr>
          <w:noProof/>
        </w:rPr>
        <w:t>Carbon leakage prevention</w:t>
      </w:r>
    </w:p>
    <w:p w14:paraId="1E185930" w14:textId="3733F170" w:rsidR="0082600E" w:rsidRPr="00244D65" w:rsidRDefault="0082600E" w:rsidP="0085595C">
      <w:pPr>
        <w:rPr>
          <w:noProof/>
        </w:rPr>
      </w:pPr>
      <w:r w:rsidRPr="00244D65">
        <w:rPr>
          <w:noProof/>
        </w:rPr>
        <w:t xml:space="preserve">All the </w:t>
      </w:r>
      <w:r w:rsidR="0000014B" w:rsidRPr="00244D65">
        <w:rPr>
          <w:noProof/>
        </w:rPr>
        <w:t xml:space="preserve">carbon leakage prevention measures </w:t>
      </w:r>
      <w:r w:rsidRPr="00244D65">
        <w:rPr>
          <w:noProof/>
        </w:rPr>
        <w:t xml:space="preserve">include design </w:t>
      </w:r>
      <w:r w:rsidR="0000014B" w:rsidRPr="00244D65">
        <w:rPr>
          <w:noProof/>
        </w:rPr>
        <w:t xml:space="preserve">options that </w:t>
      </w:r>
      <w:r w:rsidR="00B343E8" w:rsidRPr="00244D65">
        <w:rPr>
          <w:noProof/>
        </w:rPr>
        <w:t xml:space="preserve">will reduce administrative burden. </w:t>
      </w:r>
      <w:r w:rsidR="003E3A2D" w:rsidRPr="00244D65">
        <w:rPr>
          <w:noProof/>
        </w:rPr>
        <w:t>The main simplification measure</w:t>
      </w:r>
      <w:r w:rsidR="003747EA" w:rsidRPr="00244D65">
        <w:rPr>
          <w:noProof/>
        </w:rPr>
        <w:t>s</w:t>
      </w:r>
      <w:r w:rsidR="003E3A2D" w:rsidRPr="00244D65">
        <w:rPr>
          <w:noProof/>
        </w:rPr>
        <w:t xml:space="preserve"> introduced in </w:t>
      </w:r>
      <w:r w:rsidR="00F5001B" w:rsidRPr="00244D65">
        <w:rPr>
          <w:noProof/>
        </w:rPr>
        <w:t xml:space="preserve">PO1 </w:t>
      </w:r>
      <w:r w:rsidR="0037258E" w:rsidRPr="00244D65">
        <w:rPr>
          <w:noProof/>
        </w:rPr>
        <w:t xml:space="preserve">and </w:t>
      </w:r>
      <w:r w:rsidR="00BA1B48" w:rsidRPr="00244D65">
        <w:rPr>
          <w:noProof/>
        </w:rPr>
        <w:t>PO2</w:t>
      </w:r>
      <w:r w:rsidR="0037258E" w:rsidRPr="00244D65">
        <w:rPr>
          <w:noProof/>
        </w:rPr>
        <w:t xml:space="preserve"> </w:t>
      </w:r>
      <w:r w:rsidR="003747EA" w:rsidRPr="00244D65">
        <w:rPr>
          <w:noProof/>
        </w:rPr>
        <w:t xml:space="preserve">are linked to </w:t>
      </w:r>
      <w:r w:rsidR="00500F13" w:rsidRPr="00244D65">
        <w:rPr>
          <w:noProof/>
        </w:rPr>
        <w:t>simplifying or eliminating the need to update the carbon leakage and streamlining the process for applying for free allocation</w:t>
      </w:r>
      <w:r w:rsidRPr="00244D65">
        <w:rPr>
          <w:noProof/>
        </w:rPr>
        <w:t xml:space="preserve">. This simplification will eliminate administrative obligations for </w:t>
      </w:r>
      <w:r w:rsidR="00F909E3" w:rsidRPr="00244D65">
        <w:rPr>
          <w:noProof/>
        </w:rPr>
        <w:t>EU ETS</w:t>
      </w:r>
      <w:r w:rsidRPr="00244D65">
        <w:rPr>
          <w:noProof/>
        </w:rPr>
        <w:t xml:space="preserve"> operators in </w:t>
      </w:r>
      <w:r w:rsidR="57E3FD6B" w:rsidRPr="00244D65">
        <w:rPr>
          <w:noProof/>
        </w:rPr>
        <w:t>all</w:t>
      </w:r>
      <w:r w:rsidRPr="00244D65">
        <w:rPr>
          <w:noProof/>
        </w:rPr>
        <w:t xml:space="preserve"> the policy measures, with considerable time spent on administration expected to be saved</w:t>
      </w:r>
      <w:r w:rsidR="00980AA3" w:rsidRPr="00244D65">
        <w:rPr>
          <w:noProof/>
        </w:rPr>
        <w:t>.</w:t>
      </w:r>
      <w:r w:rsidRPr="00244D65">
        <w:rPr>
          <w:noProof/>
        </w:rPr>
        <w:t xml:space="preserve"> </w:t>
      </w:r>
    </w:p>
    <w:p w14:paraId="07C86E89" w14:textId="6E6020CF" w:rsidR="0082600E" w:rsidRPr="00244D65" w:rsidRDefault="00B70BD0" w:rsidP="0085595C">
      <w:pPr>
        <w:rPr>
          <w:noProof/>
        </w:rPr>
      </w:pPr>
      <w:r w:rsidRPr="00244D65">
        <w:rPr>
          <w:noProof/>
        </w:rPr>
        <w:t xml:space="preserve">However, the extension of conditionalities </w:t>
      </w:r>
      <w:r w:rsidR="00182593" w:rsidRPr="00244D65">
        <w:rPr>
          <w:noProof/>
        </w:rPr>
        <w:t xml:space="preserve">for free allocation under PO2 would introduce new administrative </w:t>
      </w:r>
      <w:r w:rsidR="5B54F2BE" w:rsidRPr="00244D65">
        <w:rPr>
          <w:noProof/>
        </w:rPr>
        <w:t>requirements</w:t>
      </w:r>
      <w:r w:rsidR="00182593" w:rsidRPr="00244D65">
        <w:rPr>
          <w:noProof/>
        </w:rPr>
        <w:t>.</w:t>
      </w:r>
      <w:r w:rsidR="0082600E" w:rsidRPr="00244D65">
        <w:rPr>
          <w:noProof/>
        </w:rPr>
        <w:t xml:space="preserve"> The additional administrative cost </w:t>
      </w:r>
      <w:r w:rsidR="007A035D" w:rsidRPr="00244D65">
        <w:rPr>
          <w:noProof/>
        </w:rPr>
        <w:t xml:space="preserve">has been estimated </w:t>
      </w:r>
      <w:r w:rsidR="007C63C8" w:rsidRPr="00244D65">
        <w:rPr>
          <w:noProof/>
        </w:rPr>
        <w:t>based on</w:t>
      </w:r>
      <w:r w:rsidR="007A035D" w:rsidRPr="00244D65">
        <w:rPr>
          <w:noProof/>
        </w:rPr>
        <w:t xml:space="preserve"> the information</w:t>
      </w:r>
      <w:r w:rsidR="006B7903" w:rsidRPr="00244D65">
        <w:rPr>
          <w:noProof/>
        </w:rPr>
        <w:t xml:space="preserve"> provided by </w:t>
      </w:r>
      <w:r w:rsidR="0082600E" w:rsidRPr="00244D65">
        <w:rPr>
          <w:noProof/>
        </w:rPr>
        <w:t>industrial stakeholders on the person</w:t>
      </w:r>
      <w:r w:rsidR="006B7903" w:rsidRPr="00244D65">
        <w:rPr>
          <w:noProof/>
        </w:rPr>
        <w:t xml:space="preserve">/time spent for different </w:t>
      </w:r>
      <w:r w:rsidR="0070076B" w:rsidRPr="00244D65">
        <w:rPr>
          <w:noProof/>
        </w:rPr>
        <w:t>administrative tasks</w:t>
      </w:r>
      <w:r w:rsidR="00A95391" w:rsidRPr="00244D65">
        <w:rPr>
          <w:noProof/>
        </w:rPr>
        <w:t xml:space="preserve"> and estimated as one-off administrative tasks</w:t>
      </w:r>
      <w:r w:rsidR="00984802" w:rsidRPr="00244D65">
        <w:rPr>
          <w:noProof/>
        </w:rPr>
        <w:t xml:space="preserve"> for complying with the conditionalities</w:t>
      </w:r>
      <w:r w:rsidR="00DE72F2" w:rsidRPr="00244D65">
        <w:rPr>
          <w:noProof/>
        </w:rPr>
        <w:t>.</w:t>
      </w:r>
      <w:r w:rsidR="000C653C" w:rsidRPr="00244D65">
        <w:rPr>
          <w:noProof/>
        </w:rPr>
        <w:t xml:space="preserve"> </w:t>
      </w:r>
      <w:r w:rsidR="0082600E" w:rsidRPr="00244D65">
        <w:rPr>
          <w:noProof/>
        </w:rPr>
        <w:t xml:space="preserve">Considering an average cost of labour across Member States of EUR 40, the average administrative cost </w:t>
      </w:r>
      <w:r w:rsidR="005B2A57" w:rsidRPr="00244D65">
        <w:rPr>
          <w:noProof/>
        </w:rPr>
        <w:t xml:space="preserve">for free allocation related tasks amounts to </w:t>
      </w:r>
      <w:r w:rsidR="0082600E" w:rsidRPr="00244D65">
        <w:rPr>
          <w:noProof/>
        </w:rPr>
        <w:t>EUR 0.02</w:t>
      </w:r>
      <w:r w:rsidR="005B2A57" w:rsidRPr="00244D65">
        <w:rPr>
          <w:noProof/>
        </w:rPr>
        <w:t xml:space="preserve"> per tonne of CO</w:t>
      </w:r>
      <w:r w:rsidR="005B2A57" w:rsidRPr="00244D65">
        <w:rPr>
          <w:noProof/>
          <w:vertAlign w:val="subscript"/>
        </w:rPr>
        <w:t>2</w:t>
      </w:r>
      <w:r w:rsidR="005B2A57" w:rsidRPr="00244D65">
        <w:rPr>
          <w:noProof/>
        </w:rPr>
        <w:t>. This represents</w:t>
      </w:r>
      <w:r w:rsidR="0082600E" w:rsidRPr="00244D65">
        <w:rPr>
          <w:noProof/>
        </w:rPr>
        <w:t xml:space="preserve"> </w:t>
      </w:r>
      <w:bookmarkStart w:id="207" w:name="_Int_H7qO6DdK"/>
      <w:r w:rsidR="0082600E" w:rsidRPr="00244D65">
        <w:rPr>
          <w:noProof/>
        </w:rPr>
        <w:t>a very small</w:t>
      </w:r>
      <w:bookmarkEnd w:id="207"/>
      <w:r w:rsidR="0082600E" w:rsidRPr="00244D65">
        <w:rPr>
          <w:noProof/>
        </w:rPr>
        <w:t xml:space="preserve"> share (approximately 0.026%) of the carbon price (assumed to be EUR 64.74, which was the average price of a EUA in 2024)</w:t>
      </w:r>
      <w:r w:rsidR="005B2A57" w:rsidRPr="00244D65">
        <w:rPr>
          <w:noProof/>
        </w:rPr>
        <w:t xml:space="preserve"> and it is </w:t>
      </w:r>
      <w:r w:rsidR="00D36A78" w:rsidRPr="00244D65">
        <w:rPr>
          <w:noProof/>
        </w:rPr>
        <w:t>insignificant</w:t>
      </w:r>
      <w:r w:rsidR="005B2A57" w:rsidRPr="00244D65">
        <w:rPr>
          <w:noProof/>
        </w:rPr>
        <w:t xml:space="preserve"> in relation to the estimated value of free allocation</w:t>
      </w:r>
      <w:r w:rsidR="00854681" w:rsidRPr="00244D65">
        <w:rPr>
          <w:noProof/>
        </w:rPr>
        <w:t>.</w:t>
      </w:r>
      <w:r w:rsidR="004366D7" w:rsidRPr="00244D65">
        <w:rPr>
          <w:noProof/>
        </w:rPr>
        <w:t xml:space="preserve"> Nevertheless, to avoid </w:t>
      </w:r>
      <w:r w:rsidR="009370F9" w:rsidRPr="00244D65">
        <w:rPr>
          <w:noProof/>
        </w:rPr>
        <w:t>a disp</w:t>
      </w:r>
      <w:r w:rsidR="00592F91" w:rsidRPr="00244D65">
        <w:rPr>
          <w:noProof/>
        </w:rPr>
        <w:t>r</w:t>
      </w:r>
      <w:r w:rsidR="009370F9" w:rsidRPr="00244D65">
        <w:rPr>
          <w:noProof/>
        </w:rPr>
        <w:t>opo</w:t>
      </w:r>
      <w:r w:rsidR="005D6153" w:rsidRPr="00244D65">
        <w:rPr>
          <w:noProof/>
        </w:rPr>
        <w:t>r</w:t>
      </w:r>
      <w:r w:rsidR="009370F9" w:rsidRPr="00244D65">
        <w:rPr>
          <w:noProof/>
        </w:rPr>
        <w:t xml:space="preserve">tionate burden on </w:t>
      </w:r>
      <w:r w:rsidR="00695DB0" w:rsidRPr="00244D65">
        <w:rPr>
          <w:noProof/>
        </w:rPr>
        <w:t>small installations</w:t>
      </w:r>
      <w:r w:rsidR="009370F9" w:rsidRPr="00244D65">
        <w:rPr>
          <w:noProof/>
        </w:rPr>
        <w:t xml:space="preserve"> of the new mea</w:t>
      </w:r>
      <w:r w:rsidR="00695DB0" w:rsidRPr="00244D65">
        <w:rPr>
          <w:noProof/>
        </w:rPr>
        <w:t xml:space="preserve">sures, </w:t>
      </w:r>
      <w:r w:rsidR="00061916" w:rsidRPr="00244D65">
        <w:rPr>
          <w:noProof/>
        </w:rPr>
        <w:t xml:space="preserve">simplified requirements </w:t>
      </w:r>
      <w:r w:rsidR="00645294" w:rsidRPr="00244D65">
        <w:rPr>
          <w:noProof/>
        </w:rPr>
        <w:t xml:space="preserve">or even exclusion of small installations </w:t>
      </w:r>
      <w:r w:rsidR="00EE08EA" w:rsidRPr="00244D65">
        <w:rPr>
          <w:noProof/>
        </w:rPr>
        <w:t>can be applied.</w:t>
      </w:r>
    </w:p>
    <w:p w14:paraId="4AD891B3" w14:textId="00C0F3E3" w:rsidR="00747B32" w:rsidRPr="00244D65" w:rsidRDefault="75334118" w:rsidP="0085595C">
      <w:pPr>
        <w:rPr>
          <w:noProof/>
        </w:rPr>
      </w:pPr>
      <w:r w:rsidRPr="00244D65">
        <w:rPr>
          <w:noProof/>
        </w:rPr>
        <w:t>The stakeholder consultation involved a series of interviews with industrial associations</w:t>
      </w:r>
      <w:r w:rsidR="0082600E" w:rsidRPr="00244D65">
        <w:rPr>
          <w:noProof/>
          <w:vertAlign w:val="superscript"/>
        </w:rPr>
        <w:footnoteReference w:id="67"/>
      </w:r>
      <w:r w:rsidRPr="00244D65">
        <w:rPr>
          <w:noProof/>
          <w:vertAlign w:val="superscript"/>
        </w:rPr>
        <w:t xml:space="preserve"> </w:t>
      </w:r>
      <w:r w:rsidRPr="00244D65">
        <w:rPr>
          <w:noProof/>
        </w:rPr>
        <w:t>and strong views were expressed opposing the expansion of conditionality requirements for free allocation</w:t>
      </w:r>
      <w:r w:rsidR="3A66D4FF" w:rsidRPr="00244D65">
        <w:rPr>
          <w:noProof/>
        </w:rPr>
        <w:t xml:space="preserve"> and</w:t>
      </w:r>
      <w:r w:rsidRPr="00244D65">
        <w:rPr>
          <w:noProof/>
        </w:rPr>
        <w:t xml:space="preserve"> that any expansion of conditionality would add significant administrative burdens to </w:t>
      </w:r>
      <w:r w:rsidR="00F909E3" w:rsidRPr="00244D65">
        <w:rPr>
          <w:noProof/>
        </w:rPr>
        <w:t>EU ETS</w:t>
      </w:r>
      <w:r w:rsidRPr="00244D65">
        <w:rPr>
          <w:noProof/>
        </w:rPr>
        <w:t xml:space="preserve"> operators. </w:t>
      </w:r>
      <w:r w:rsidR="004804DE" w:rsidRPr="00244D65">
        <w:rPr>
          <w:noProof/>
        </w:rPr>
        <w:t xml:space="preserve">However, results from the OPC also showed support for conditionality, </w:t>
      </w:r>
      <w:bookmarkStart w:id="208" w:name="_Int_19vr9M4V"/>
      <w:r w:rsidR="004804DE" w:rsidRPr="00244D65">
        <w:rPr>
          <w:noProof/>
        </w:rPr>
        <w:t>mainly among</w:t>
      </w:r>
      <w:bookmarkEnd w:id="208"/>
      <w:r w:rsidR="004804DE" w:rsidRPr="00244D65">
        <w:rPr>
          <w:noProof/>
        </w:rPr>
        <w:t xml:space="preserve"> companies and business associations from the energy sector and NGOs. </w:t>
      </w:r>
    </w:p>
    <w:p w14:paraId="5312CF6C" w14:textId="733F5EFD" w:rsidR="0082600E" w:rsidRPr="00244D65" w:rsidRDefault="00137D56" w:rsidP="0085595C">
      <w:pPr>
        <w:rPr>
          <w:noProof/>
        </w:rPr>
      </w:pPr>
      <w:r w:rsidRPr="00244D65">
        <w:rPr>
          <w:noProof/>
        </w:rPr>
        <w:t>PO3</w:t>
      </w:r>
      <w:r w:rsidR="00747B32" w:rsidRPr="00244D65">
        <w:rPr>
          <w:noProof/>
        </w:rPr>
        <w:t xml:space="preserve"> </w:t>
      </w:r>
      <w:r w:rsidR="00B04220" w:rsidRPr="00244D65">
        <w:rPr>
          <w:noProof/>
        </w:rPr>
        <w:t xml:space="preserve">will result in the most </w:t>
      </w:r>
      <w:r w:rsidR="00D36A78" w:rsidRPr="00244D65">
        <w:rPr>
          <w:noProof/>
        </w:rPr>
        <w:t>significant</w:t>
      </w:r>
      <w:r w:rsidR="00B04220" w:rsidRPr="00244D65">
        <w:rPr>
          <w:noProof/>
        </w:rPr>
        <w:t xml:space="preserve"> reduction of administrative burden, g</w:t>
      </w:r>
      <w:r w:rsidR="0082600E" w:rsidRPr="00244D65">
        <w:rPr>
          <w:noProof/>
        </w:rPr>
        <w:t xml:space="preserve">iven that free allocation </w:t>
      </w:r>
      <w:r w:rsidR="00B04220" w:rsidRPr="00244D65">
        <w:rPr>
          <w:noProof/>
        </w:rPr>
        <w:t xml:space="preserve">would be </w:t>
      </w:r>
      <w:r w:rsidR="00D36A78" w:rsidRPr="00244D65">
        <w:rPr>
          <w:noProof/>
        </w:rPr>
        <w:t>replaced</w:t>
      </w:r>
      <w:r w:rsidR="00B04220" w:rsidRPr="00244D65">
        <w:rPr>
          <w:noProof/>
        </w:rPr>
        <w:t xml:space="preserve"> by a partial surrender obligation. Therefore, there would be no administrative costs associated with the application of free allocation</w:t>
      </w:r>
      <w:r w:rsidR="007F1CD8" w:rsidRPr="00244D65">
        <w:rPr>
          <w:noProof/>
        </w:rPr>
        <w:t xml:space="preserve"> </w:t>
      </w:r>
      <w:r w:rsidR="0082600E" w:rsidRPr="00244D65">
        <w:rPr>
          <w:noProof/>
        </w:rPr>
        <w:t xml:space="preserve">(i.e. provision of a baseline data report, monitoring methodology </w:t>
      </w:r>
      <w:bookmarkStart w:id="209" w:name="_Int_Pn2vDFBt"/>
      <w:r w:rsidR="0082600E" w:rsidRPr="00244D65">
        <w:rPr>
          <w:noProof/>
        </w:rPr>
        <w:t>plan</w:t>
      </w:r>
      <w:bookmarkEnd w:id="209"/>
      <w:r w:rsidR="0082600E" w:rsidRPr="00244D65">
        <w:rPr>
          <w:noProof/>
        </w:rPr>
        <w:t xml:space="preserve"> and verification plan</w:t>
      </w:r>
      <w:r w:rsidR="007E5C30" w:rsidRPr="00244D65">
        <w:rPr>
          <w:noProof/>
        </w:rPr>
        <w:t>, etc.</w:t>
      </w:r>
      <w:r w:rsidR="0082600E" w:rsidRPr="00244D65">
        <w:rPr>
          <w:noProof/>
        </w:rPr>
        <w:t xml:space="preserve">). It is important to </w:t>
      </w:r>
      <w:r w:rsidR="007E5C30" w:rsidRPr="00244D65">
        <w:rPr>
          <w:noProof/>
        </w:rPr>
        <w:t>note</w:t>
      </w:r>
      <w:r w:rsidR="0082600E" w:rsidRPr="00244D65">
        <w:rPr>
          <w:noProof/>
        </w:rPr>
        <w:t xml:space="preserve"> that whilst indeed the administrative costs would be lower if PO3 was adopted, this would lead to higher </w:t>
      </w:r>
      <w:r w:rsidR="000C653C" w:rsidRPr="00244D65">
        <w:rPr>
          <w:noProof/>
        </w:rPr>
        <w:t>compliance</w:t>
      </w:r>
      <w:r w:rsidR="6168FD47" w:rsidRPr="00244D65">
        <w:rPr>
          <w:noProof/>
        </w:rPr>
        <w:t xml:space="preserve"> costs</w:t>
      </w:r>
      <w:r w:rsidR="000C653C" w:rsidRPr="00244D65">
        <w:rPr>
          <w:noProof/>
        </w:rPr>
        <w:t xml:space="preserve">. </w:t>
      </w:r>
    </w:p>
    <w:p w14:paraId="4EA6328E" w14:textId="73752C96" w:rsidR="005936E7" w:rsidRPr="00244D65" w:rsidRDefault="007E5C30" w:rsidP="0085595C">
      <w:pPr>
        <w:rPr>
          <w:noProof/>
        </w:rPr>
      </w:pPr>
      <w:r w:rsidRPr="00244D65">
        <w:rPr>
          <w:noProof/>
        </w:rPr>
        <w:t xml:space="preserve">For additional details on the impact on administrative costs of the carbon leakage protection, see </w:t>
      </w:r>
      <w:r w:rsidR="00A55AEB" w:rsidRPr="00244D65">
        <w:rPr>
          <w:noProof/>
        </w:rPr>
        <w:t>S</w:t>
      </w:r>
      <w:r w:rsidRPr="00244D65">
        <w:rPr>
          <w:noProof/>
        </w:rPr>
        <w:t>ection 1.4.2</w:t>
      </w:r>
      <w:r w:rsidR="00C20485" w:rsidRPr="00244D65">
        <w:rPr>
          <w:noProof/>
        </w:rPr>
        <w:t>.2</w:t>
      </w:r>
      <w:r w:rsidRPr="00244D65">
        <w:rPr>
          <w:noProof/>
        </w:rPr>
        <w:t xml:space="preserve"> of Annex 12. </w:t>
      </w:r>
    </w:p>
    <w:p w14:paraId="17899692" w14:textId="07EB2699" w:rsidR="00F77B0A" w:rsidRPr="00244D65" w:rsidRDefault="00F77B0A" w:rsidP="0085595C">
      <w:pPr>
        <w:pStyle w:val="Heading4"/>
        <w:rPr>
          <w:noProof/>
        </w:rPr>
      </w:pPr>
      <w:r w:rsidRPr="00244D65">
        <w:rPr>
          <w:noProof/>
        </w:rPr>
        <w:t>Waste</w:t>
      </w:r>
    </w:p>
    <w:p w14:paraId="7F226FC3" w14:textId="612C0911" w:rsidR="00263815" w:rsidRPr="00244D65" w:rsidRDefault="00263815" w:rsidP="0085595C">
      <w:pPr>
        <w:rPr>
          <w:noProof/>
          <w:lang w:eastAsia="en-GB"/>
        </w:rPr>
      </w:pPr>
      <w:r w:rsidRPr="00244D65">
        <w:rPr>
          <w:noProof/>
          <w:lang w:eastAsia="en-GB"/>
        </w:rPr>
        <w:t xml:space="preserve">Extending </w:t>
      </w:r>
      <w:r w:rsidR="00DA3BB0" w:rsidRPr="00244D65">
        <w:rPr>
          <w:noProof/>
          <w:lang w:eastAsia="en-GB"/>
        </w:rPr>
        <w:t>the scope of the EU ETS</w:t>
      </w:r>
      <w:r w:rsidRPr="00244D65">
        <w:rPr>
          <w:noProof/>
          <w:lang w:eastAsia="en-GB"/>
        </w:rPr>
        <w:t xml:space="preserve"> to the waste </w:t>
      </w:r>
      <w:r w:rsidR="00391C76" w:rsidRPr="00244D65">
        <w:rPr>
          <w:noProof/>
          <w:lang w:eastAsia="en-GB"/>
        </w:rPr>
        <w:t xml:space="preserve">disposal </w:t>
      </w:r>
      <w:r w:rsidRPr="00244D65">
        <w:rPr>
          <w:noProof/>
          <w:lang w:eastAsia="en-GB"/>
        </w:rPr>
        <w:t xml:space="preserve">sector under PO2 and PO3 </w:t>
      </w:r>
      <w:r w:rsidR="008811C2" w:rsidRPr="00244D65">
        <w:rPr>
          <w:noProof/>
          <w:lang w:eastAsia="en-GB"/>
        </w:rPr>
        <w:t>overall</w:t>
      </w:r>
      <w:r w:rsidR="00D64D70" w:rsidRPr="00244D65">
        <w:rPr>
          <w:noProof/>
          <w:lang w:eastAsia="en-GB"/>
        </w:rPr>
        <w:t xml:space="preserve"> </w:t>
      </w:r>
      <w:r w:rsidRPr="00244D65">
        <w:rPr>
          <w:noProof/>
          <w:lang w:eastAsia="en-GB"/>
        </w:rPr>
        <w:t xml:space="preserve">relies on the existing system under the </w:t>
      </w:r>
      <w:r w:rsidR="00F909E3" w:rsidRPr="00244D65">
        <w:rPr>
          <w:noProof/>
          <w:lang w:eastAsia="en-GB"/>
        </w:rPr>
        <w:t>EU ETS</w:t>
      </w:r>
      <w:r w:rsidRPr="00244D65">
        <w:rPr>
          <w:noProof/>
          <w:lang w:eastAsia="en-GB"/>
        </w:rPr>
        <w:t xml:space="preserve">. For both options PO2 and PO3, one-time administrative costs, regularly occurring administrative costs and costs for disclosure and sanctioning can be identified for competent authorities and for the operators. </w:t>
      </w:r>
      <w:r w:rsidR="00334131" w:rsidRPr="00244D65">
        <w:rPr>
          <w:noProof/>
          <w:lang w:eastAsia="en-GB"/>
        </w:rPr>
        <w:t>For PO2</w:t>
      </w:r>
      <w:r w:rsidRPr="00244D65">
        <w:rPr>
          <w:noProof/>
          <w:lang w:eastAsia="en-GB"/>
        </w:rPr>
        <w:t>, the existing system, processes and infrastructure (such as the Registry) can be used, limiting costs.</w:t>
      </w:r>
      <w:r w:rsidR="00F5025B" w:rsidRPr="00244D65">
        <w:rPr>
          <w:noProof/>
          <w:lang w:eastAsia="en-GB"/>
        </w:rPr>
        <w:t xml:space="preserve"> </w:t>
      </w:r>
      <w:r w:rsidR="00334131" w:rsidRPr="00244D65">
        <w:rPr>
          <w:noProof/>
          <w:lang w:eastAsia="en-GB"/>
        </w:rPr>
        <w:t xml:space="preserve">For PO3, the existing system and processes </w:t>
      </w:r>
      <w:r w:rsidR="00D3024A" w:rsidRPr="00244D65">
        <w:rPr>
          <w:noProof/>
          <w:lang w:eastAsia="en-GB"/>
        </w:rPr>
        <w:t xml:space="preserve">need to be modulated </w:t>
      </w:r>
      <w:r w:rsidR="00AA62D3" w:rsidRPr="00244D65">
        <w:rPr>
          <w:noProof/>
          <w:lang w:eastAsia="en-GB"/>
        </w:rPr>
        <w:t xml:space="preserve">to </w:t>
      </w:r>
      <w:r w:rsidR="006933DA" w:rsidRPr="00244D65">
        <w:rPr>
          <w:noProof/>
          <w:lang w:eastAsia="en-GB"/>
        </w:rPr>
        <w:t>a new sector and GHG emissions (diffuse methane emissions from a large number of landfill</w:t>
      </w:r>
      <w:r w:rsidR="00D96253" w:rsidRPr="00244D65">
        <w:rPr>
          <w:noProof/>
          <w:lang w:eastAsia="en-GB"/>
        </w:rPr>
        <w:t xml:space="preserve"> sites</w:t>
      </w:r>
      <w:r w:rsidR="006933DA" w:rsidRPr="00244D65">
        <w:rPr>
          <w:noProof/>
          <w:lang w:eastAsia="en-GB"/>
        </w:rPr>
        <w:t>) different to the current</w:t>
      </w:r>
      <w:r w:rsidR="00AA62D3" w:rsidRPr="00244D65">
        <w:rPr>
          <w:noProof/>
          <w:lang w:eastAsia="en-GB"/>
        </w:rPr>
        <w:t xml:space="preserve"> </w:t>
      </w:r>
      <w:r w:rsidR="00D96253" w:rsidRPr="00244D65">
        <w:rPr>
          <w:noProof/>
          <w:lang w:eastAsia="en-GB"/>
        </w:rPr>
        <w:t>system.</w:t>
      </w:r>
    </w:p>
    <w:p w14:paraId="5CB79578" w14:textId="35917435" w:rsidR="008B39C4" w:rsidRPr="00244D65" w:rsidRDefault="00D95B63" w:rsidP="0085595C">
      <w:pPr>
        <w:rPr>
          <w:noProof/>
          <w:lang w:eastAsia="en-GB"/>
        </w:rPr>
      </w:pPr>
      <w:r w:rsidRPr="00244D65">
        <w:rPr>
          <w:noProof/>
          <w:lang w:eastAsia="en-GB"/>
        </w:rPr>
        <w:t xml:space="preserve">PO2 builds on the already implemented MRV requirements for MWI, including the developed monitoring plans, data collection and reporting </w:t>
      </w:r>
      <w:r w:rsidR="00C6478A" w:rsidRPr="00244D65">
        <w:rPr>
          <w:noProof/>
          <w:lang w:eastAsia="en-GB"/>
        </w:rPr>
        <w:t xml:space="preserve">and verification </w:t>
      </w:r>
      <w:r w:rsidRPr="00244D65">
        <w:rPr>
          <w:noProof/>
          <w:lang w:eastAsia="en-GB"/>
        </w:rPr>
        <w:t xml:space="preserve">infrastructure. Additional monitoring and reporting costs under PO2 may result from </w:t>
      </w:r>
      <w:r w:rsidR="00C6478A" w:rsidRPr="00244D65">
        <w:rPr>
          <w:noProof/>
          <w:lang w:eastAsia="en-GB"/>
        </w:rPr>
        <w:t xml:space="preserve">changes </w:t>
      </w:r>
      <w:r w:rsidR="0014056E" w:rsidRPr="00244D65">
        <w:rPr>
          <w:noProof/>
          <w:lang w:eastAsia="en-GB"/>
        </w:rPr>
        <w:t>when further detailing</w:t>
      </w:r>
      <w:r w:rsidRPr="00244D65">
        <w:rPr>
          <w:noProof/>
          <w:lang w:eastAsia="en-GB"/>
        </w:rPr>
        <w:t xml:space="preserve"> </w:t>
      </w:r>
      <w:r w:rsidR="003012BF" w:rsidRPr="00244D65">
        <w:rPr>
          <w:noProof/>
          <w:lang w:eastAsia="en-GB"/>
        </w:rPr>
        <w:t xml:space="preserve">tailored </w:t>
      </w:r>
      <w:r w:rsidRPr="00244D65">
        <w:rPr>
          <w:noProof/>
          <w:lang w:eastAsia="en-GB"/>
        </w:rPr>
        <w:t xml:space="preserve">harmonised monitoring and reporting standards and protocols for the sector. </w:t>
      </w:r>
      <w:r w:rsidR="008B39C4" w:rsidRPr="00244D65">
        <w:rPr>
          <w:noProof/>
          <w:lang w:eastAsia="en-GB"/>
        </w:rPr>
        <w:t>The administrative burden for a specific operator will vary according to plant size, complexity and the MRV methodology adopted.</w:t>
      </w:r>
      <w:r w:rsidR="000C653C" w:rsidRPr="00244D65">
        <w:rPr>
          <w:noProof/>
          <w:lang w:eastAsia="en-GB"/>
        </w:rPr>
        <w:t xml:space="preserve"> </w:t>
      </w:r>
      <w:r w:rsidR="008B39C4" w:rsidRPr="00244D65">
        <w:rPr>
          <w:noProof/>
          <w:lang w:eastAsia="en-GB"/>
        </w:rPr>
        <w:t xml:space="preserve">There are a range of methods available for monitoring emissions from waste incinerators, which have different associated costs. The </w:t>
      </w:r>
      <w:r w:rsidR="00D5412D" w:rsidRPr="00244D65">
        <w:rPr>
          <w:noProof/>
          <w:lang w:eastAsia="en-GB"/>
        </w:rPr>
        <w:t>sector-wide</w:t>
      </w:r>
      <w:r w:rsidR="003E4F6C" w:rsidRPr="00244D65">
        <w:rPr>
          <w:noProof/>
          <w:lang w:eastAsia="en-GB"/>
        </w:rPr>
        <w:t xml:space="preserve"> annual</w:t>
      </w:r>
      <w:r w:rsidR="008B39C4" w:rsidRPr="00244D65">
        <w:rPr>
          <w:noProof/>
          <w:lang w:eastAsia="en-GB"/>
        </w:rPr>
        <w:t xml:space="preserve"> </w:t>
      </w:r>
      <w:r w:rsidR="00B80893" w:rsidRPr="00244D65">
        <w:rPr>
          <w:noProof/>
          <w:lang w:eastAsia="en-GB"/>
        </w:rPr>
        <w:t xml:space="preserve">MRV </w:t>
      </w:r>
      <w:r w:rsidR="008B39C4" w:rsidRPr="00244D65">
        <w:rPr>
          <w:noProof/>
          <w:lang w:eastAsia="en-GB"/>
        </w:rPr>
        <w:t xml:space="preserve">costs </w:t>
      </w:r>
      <w:r w:rsidR="00B80893" w:rsidRPr="00244D65">
        <w:rPr>
          <w:noProof/>
          <w:lang w:eastAsia="en-GB"/>
        </w:rPr>
        <w:t xml:space="preserve">(assuming </w:t>
      </w:r>
      <w:r w:rsidR="00FC1D74" w:rsidRPr="00244D65">
        <w:rPr>
          <w:noProof/>
          <w:lang w:eastAsia="en-GB"/>
        </w:rPr>
        <w:t xml:space="preserve">395 </w:t>
      </w:r>
      <w:r w:rsidR="00B80893" w:rsidRPr="00244D65">
        <w:rPr>
          <w:noProof/>
          <w:lang w:eastAsia="en-GB"/>
        </w:rPr>
        <w:t>installations</w:t>
      </w:r>
      <w:r w:rsidR="0024042F" w:rsidRPr="00244D65">
        <w:rPr>
          <w:noProof/>
          <w:lang w:eastAsia="en-GB"/>
        </w:rPr>
        <w:t xml:space="preserve"> as reported under the 2024 MRV data</w:t>
      </w:r>
      <w:r w:rsidR="00B80893" w:rsidRPr="00244D65">
        <w:rPr>
          <w:noProof/>
          <w:lang w:eastAsia="en-GB"/>
        </w:rPr>
        <w:t>)</w:t>
      </w:r>
      <w:r w:rsidR="008B39C4" w:rsidRPr="00244D65">
        <w:rPr>
          <w:noProof/>
          <w:lang w:eastAsia="en-GB"/>
        </w:rPr>
        <w:t xml:space="preserve"> </w:t>
      </w:r>
      <w:r w:rsidR="0024042F" w:rsidRPr="00244D65">
        <w:rPr>
          <w:noProof/>
          <w:lang w:eastAsia="en-GB"/>
        </w:rPr>
        <w:t xml:space="preserve">has </w:t>
      </w:r>
      <w:r w:rsidR="008B39C4" w:rsidRPr="00244D65">
        <w:rPr>
          <w:noProof/>
          <w:lang w:eastAsia="en-GB"/>
        </w:rPr>
        <w:t xml:space="preserve">been </w:t>
      </w:r>
      <w:r w:rsidR="00373D77" w:rsidRPr="00244D65">
        <w:rPr>
          <w:noProof/>
          <w:lang w:eastAsia="en-GB"/>
        </w:rPr>
        <w:t xml:space="preserve">estimated </w:t>
      </w:r>
      <w:r w:rsidR="008B39C4" w:rsidRPr="00244D65">
        <w:rPr>
          <w:noProof/>
          <w:lang w:eastAsia="en-GB"/>
        </w:rPr>
        <w:t xml:space="preserve">in </w:t>
      </w:r>
      <w:r w:rsidR="00311294" w:rsidRPr="00244D65">
        <w:rPr>
          <w:noProof/>
          <w:lang w:eastAsia="en-GB"/>
        </w:rPr>
        <w:t>Annex 13</w:t>
      </w:r>
      <w:r w:rsidR="00026437" w:rsidRPr="00244D65">
        <w:rPr>
          <w:noProof/>
          <w:lang w:eastAsia="en-GB"/>
        </w:rPr>
        <w:t xml:space="preserve">, </w:t>
      </w:r>
      <w:r w:rsidR="00A55AEB" w:rsidRPr="00244D65">
        <w:rPr>
          <w:noProof/>
          <w:lang w:eastAsia="en-GB"/>
        </w:rPr>
        <w:t>S</w:t>
      </w:r>
      <w:r w:rsidR="00026437" w:rsidRPr="00244D65">
        <w:rPr>
          <w:noProof/>
          <w:lang w:eastAsia="en-GB"/>
        </w:rPr>
        <w:t>ection 1.4.</w:t>
      </w:r>
      <w:r w:rsidR="003E4F6C" w:rsidRPr="00244D65">
        <w:rPr>
          <w:noProof/>
          <w:lang w:eastAsia="en-GB"/>
        </w:rPr>
        <w:t xml:space="preserve"> to range from EUR 7.8 million to EUR 78 million</w:t>
      </w:r>
      <w:r w:rsidR="00F03573" w:rsidRPr="00244D65">
        <w:rPr>
          <w:noProof/>
          <w:lang w:eastAsia="en-GB"/>
        </w:rPr>
        <w:t xml:space="preserve"> per year</w:t>
      </w:r>
      <w:r w:rsidR="003E4F6C" w:rsidRPr="00244D65">
        <w:rPr>
          <w:noProof/>
          <w:lang w:eastAsia="en-GB"/>
        </w:rPr>
        <w:t>,</w:t>
      </w:r>
      <w:r w:rsidR="00926124" w:rsidRPr="00244D65">
        <w:rPr>
          <w:noProof/>
          <w:lang w:eastAsia="en-GB"/>
        </w:rPr>
        <w:t xml:space="preserve"> depending on plant size</w:t>
      </w:r>
      <w:r w:rsidR="00F03573" w:rsidRPr="00244D65">
        <w:rPr>
          <w:noProof/>
          <w:lang w:eastAsia="en-GB"/>
        </w:rPr>
        <w:t>, methodology</w:t>
      </w:r>
      <w:r w:rsidR="00926124" w:rsidRPr="00244D65">
        <w:rPr>
          <w:noProof/>
          <w:lang w:eastAsia="en-GB"/>
        </w:rPr>
        <w:t xml:space="preserve"> and </w:t>
      </w:r>
      <w:r w:rsidR="00F03573" w:rsidRPr="00244D65">
        <w:rPr>
          <w:noProof/>
          <w:lang w:eastAsia="en-GB"/>
        </w:rPr>
        <w:t xml:space="preserve">specific </w:t>
      </w:r>
      <w:r w:rsidR="00926124" w:rsidRPr="00244D65">
        <w:rPr>
          <w:noProof/>
          <w:lang w:eastAsia="en-GB"/>
        </w:rPr>
        <w:t>monitoring requirements</w:t>
      </w:r>
      <w:r w:rsidR="00F03573" w:rsidRPr="00244D65">
        <w:rPr>
          <w:noProof/>
          <w:lang w:eastAsia="en-GB"/>
        </w:rPr>
        <w:t xml:space="preserve"> (e.g. frequency)</w:t>
      </w:r>
      <w:r w:rsidR="00926124" w:rsidRPr="00244D65">
        <w:rPr>
          <w:noProof/>
          <w:lang w:eastAsia="en-GB"/>
        </w:rPr>
        <w:t>.</w:t>
      </w:r>
      <w:r w:rsidR="008B39C4" w:rsidRPr="00244D65">
        <w:rPr>
          <w:noProof/>
          <w:lang w:eastAsia="en-GB"/>
        </w:rPr>
        <w:t xml:space="preserve"> Overall, the technical implementation and cost related to MRV</w:t>
      </w:r>
      <w:r w:rsidR="00691EE7" w:rsidRPr="00244D65">
        <w:rPr>
          <w:noProof/>
          <w:lang w:eastAsia="en-GB"/>
        </w:rPr>
        <w:t xml:space="preserve"> </w:t>
      </w:r>
      <w:r w:rsidR="00001118" w:rsidRPr="00244D65">
        <w:rPr>
          <w:noProof/>
          <w:lang w:eastAsia="en-GB"/>
        </w:rPr>
        <w:t xml:space="preserve">have been </w:t>
      </w:r>
      <w:r w:rsidR="008B39C4" w:rsidRPr="00244D65">
        <w:rPr>
          <w:noProof/>
          <w:lang w:eastAsia="en-GB"/>
        </w:rPr>
        <w:t xml:space="preserve">manageable in light of other reporting obligations and experience already in place, for example under the Industrial Emissions Directive (IED), and the tiered system that incorporates both measurement-based and calculation-based methodologies, along with simplified provisions for smaller emitters, to provide a scalable and proportionate MRV system minimising administrative costs. </w:t>
      </w:r>
    </w:p>
    <w:p w14:paraId="0682FE26" w14:textId="60CBFD5C" w:rsidR="0046106E" w:rsidRPr="00244D65" w:rsidRDefault="00674EA9" w:rsidP="0085595C">
      <w:pPr>
        <w:rPr>
          <w:noProof/>
          <w:lang w:eastAsia="en-GB"/>
        </w:rPr>
      </w:pPr>
      <w:r w:rsidRPr="00244D65">
        <w:rPr>
          <w:noProof/>
          <w:lang w:eastAsia="en-GB"/>
        </w:rPr>
        <w:t>Under PO3,</w:t>
      </w:r>
      <w:r w:rsidR="00836E39" w:rsidRPr="00244D65">
        <w:rPr>
          <w:noProof/>
          <w:lang w:eastAsia="en-GB"/>
        </w:rPr>
        <w:t xml:space="preserve"> the monitoring and reporting framework </w:t>
      </w:r>
      <w:r w:rsidR="00960C22" w:rsidRPr="00244D65">
        <w:rPr>
          <w:noProof/>
          <w:lang w:eastAsia="en-GB"/>
        </w:rPr>
        <w:t xml:space="preserve">for hazardous waste incineration </w:t>
      </w:r>
      <w:r w:rsidR="00AC1640" w:rsidRPr="00244D65">
        <w:rPr>
          <w:noProof/>
          <w:lang w:eastAsia="en-GB"/>
        </w:rPr>
        <w:t xml:space="preserve">would </w:t>
      </w:r>
      <w:bookmarkStart w:id="210" w:name="_Int_mwEOxFOr"/>
      <w:r w:rsidR="00AC1640" w:rsidRPr="00244D65">
        <w:rPr>
          <w:noProof/>
          <w:lang w:eastAsia="en-GB"/>
        </w:rPr>
        <w:t>largely build</w:t>
      </w:r>
      <w:bookmarkEnd w:id="210"/>
      <w:r w:rsidR="00AC1640" w:rsidRPr="00244D65">
        <w:rPr>
          <w:noProof/>
          <w:lang w:eastAsia="en-GB"/>
        </w:rPr>
        <w:t xml:space="preserve"> on the framework under PO2</w:t>
      </w:r>
      <w:r w:rsidR="00960C22" w:rsidRPr="00244D65">
        <w:rPr>
          <w:noProof/>
          <w:lang w:eastAsia="en-GB"/>
        </w:rPr>
        <w:t>,</w:t>
      </w:r>
      <w:r w:rsidR="006E31B8" w:rsidRPr="00244D65">
        <w:rPr>
          <w:noProof/>
          <w:lang w:eastAsia="en-GB"/>
        </w:rPr>
        <w:t xml:space="preserve"> </w:t>
      </w:r>
      <w:r w:rsidR="00724F9D" w:rsidRPr="00244D65">
        <w:rPr>
          <w:noProof/>
          <w:lang w:eastAsia="en-GB"/>
        </w:rPr>
        <w:t>while</w:t>
      </w:r>
      <w:r w:rsidR="006E31B8" w:rsidRPr="00244D65">
        <w:rPr>
          <w:noProof/>
          <w:lang w:eastAsia="en-GB"/>
        </w:rPr>
        <w:t xml:space="preserve"> additional costs </w:t>
      </w:r>
      <w:r w:rsidR="00724F9D" w:rsidRPr="00244D65">
        <w:rPr>
          <w:noProof/>
          <w:lang w:eastAsia="en-GB"/>
        </w:rPr>
        <w:t>may be associated to the development and implementation of</w:t>
      </w:r>
      <w:r w:rsidR="00DA4115" w:rsidRPr="00244D65">
        <w:rPr>
          <w:noProof/>
          <w:lang w:eastAsia="en-GB"/>
        </w:rPr>
        <w:t xml:space="preserve"> </w:t>
      </w:r>
      <w:r w:rsidR="00177C71" w:rsidRPr="00244D65">
        <w:rPr>
          <w:noProof/>
          <w:lang w:eastAsia="en-GB"/>
        </w:rPr>
        <w:t xml:space="preserve">tailored approaches </w:t>
      </w:r>
      <w:r w:rsidR="0036545C" w:rsidRPr="00244D65">
        <w:rPr>
          <w:noProof/>
          <w:lang w:eastAsia="en-GB"/>
        </w:rPr>
        <w:t xml:space="preserve">due to </w:t>
      </w:r>
      <w:r w:rsidR="00DA4115" w:rsidRPr="00244D65">
        <w:rPr>
          <w:noProof/>
          <w:lang w:eastAsia="en-GB"/>
        </w:rPr>
        <w:t xml:space="preserve">regulatory and </w:t>
      </w:r>
      <w:r w:rsidR="001A257D" w:rsidRPr="00244D65">
        <w:rPr>
          <w:noProof/>
          <w:lang w:eastAsia="en-GB"/>
        </w:rPr>
        <w:t xml:space="preserve">operational </w:t>
      </w:r>
      <w:r w:rsidR="00DA4115" w:rsidRPr="00244D65">
        <w:rPr>
          <w:noProof/>
          <w:lang w:eastAsia="en-GB"/>
        </w:rPr>
        <w:t>restrictions</w:t>
      </w:r>
      <w:r w:rsidR="0036545C" w:rsidRPr="00244D65">
        <w:rPr>
          <w:noProof/>
          <w:lang w:eastAsia="en-GB"/>
        </w:rPr>
        <w:t>. For lan</w:t>
      </w:r>
      <w:r w:rsidR="00724F9D" w:rsidRPr="00244D65">
        <w:rPr>
          <w:noProof/>
          <w:lang w:eastAsia="en-GB"/>
        </w:rPr>
        <w:t xml:space="preserve">dfilling, </w:t>
      </w:r>
      <w:r w:rsidR="00D64D70" w:rsidRPr="00244D65">
        <w:rPr>
          <w:noProof/>
          <w:lang w:eastAsia="en-GB"/>
        </w:rPr>
        <w:t xml:space="preserve">additional administrative costs </w:t>
      </w:r>
      <w:r w:rsidR="00AA15CE" w:rsidRPr="00244D65">
        <w:rPr>
          <w:noProof/>
          <w:lang w:eastAsia="en-GB"/>
        </w:rPr>
        <w:t xml:space="preserve">for competent authorities and </w:t>
      </w:r>
      <w:r w:rsidR="1256961C" w:rsidRPr="00244D65">
        <w:rPr>
          <w:noProof/>
          <w:lang w:eastAsia="en-GB"/>
        </w:rPr>
        <w:t>operators are</w:t>
      </w:r>
      <w:r w:rsidR="00AA15CE" w:rsidRPr="00244D65">
        <w:rPr>
          <w:noProof/>
          <w:lang w:eastAsia="en-GB"/>
        </w:rPr>
        <w:t xml:space="preserve"> expected to be associated to </w:t>
      </w:r>
      <w:r w:rsidR="00C04C49" w:rsidRPr="00244D65">
        <w:rPr>
          <w:noProof/>
          <w:lang w:eastAsia="en-GB"/>
        </w:rPr>
        <w:t xml:space="preserve">the development and implementation of </w:t>
      </w:r>
      <w:r w:rsidR="0046106E" w:rsidRPr="00244D65">
        <w:rPr>
          <w:noProof/>
          <w:lang w:eastAsia="en-GB"/>
        </w:rPr>
        <w:t xml:space="preserve">dedicated </w:t>
      </w:r>
      <w:r w:rsidR="00AA15CE" w:rsidRPr="00244D65">
        <w:rPr>
          <w:noProof/>
          <w:lang w:eastAsia="en-GB"/>
        </w:rPr>
        <w:t xml:space="preserve">monitoring, reporting and verification </w:t>
      </w:r>
      <w:r w:rsidR="0046106E" w:rsidRPr="00244D65">
        <w:rPr>
          <w:noProof/>
          <w:lang w:eastAsia="en-GB"/>
        </w:rPr>
        <w:t xml:space="preserve">rules, standards and protocols under the ETS framework </w:t>
      </w:r>
      <w:r w:rsidR="00E36F34" w:rsidRPr="00244D65">
        <w:rPr>
          <w:noProof/>
          <w:lang w:eastAsia="en-GB"/>
        </w:rPr>
        <w:t xml:space="preserve">in view of </w:t>
      </w:r>
      <w:r w:rsidR="00C04C49" w:rsidRPr="00244D65">
        <w:rPr>
          <w:noProof/>
          <w:lang w:eastAsia="en-GB"/>
        </w:rPr>
        <w:t xml:space="preserve">the </w:t>
      </w:r>
      <w:r w:rsidR="00880813" w:rsidRPr="00244D65">
        <w:rPr>
          <w:noProof/>
          <w:lang w:eastAsia="en-GB"/>
        </w:rPr>
        <w:t>current lack</w:t>
      </w:r>
      <w:r w:rsidR="00C04C49" w:rsidRPr="00244D65">
        <w:rPr>
          <w:noProof/>
          <w:lang w:eastAsia="en-GB"/>
        </w:rPr>
        <w:t xml:space="preserve"> of established</w:t>
      </w:r>
      <w:r w:rsidR="00880813" w:rsidRPr="00244D65">
        <w:rPr>
          <w:noProof/>
          <w:lang w:eastAsia="en-GB"/>
        </w:rPr>
        <w:t xml:space="preserve">, harmonised </w:t>
      </w:r>
      <w:r w:rsidR="00C04C49" w:rsidRPr="00244D65">
        <w:rPr>
          <w:noProof/>
          <w:lang w:eastAsia="en-GB"/>
        </w:rPr>
        <w:t xml:space="preserve">MRV </w:t>
      </w:r>
      <w:r w:rsidR="00880813" w:rsidRPr="00244D65">
        <w:rPr>
          <w:noProof/>
          <w:lang w:eastAsia="en-GB"/>
        </w:rPr>
        <w:t>approaches</w:t>
      </w:r>
      <w:r w:rsidR="00C04C49" w:rsidRPr="00244D65">
        <w:rPr>
          <w:noProof/>
          <w:lang w:eastAsia="en-GB"/>
        </w:rPr>
        <w:t xml:space="preserve"> to monitor and report methane emissions from landfills</w:t>
      </w:r>
      <w:r w:rsidR="0046106E" w:rsidRPr="00244D65">
        <w:rPr>
          <w:noProof/>
          <w:lang w:eastAsia="en-GB"/>
        </w:rPr>
        <w:t>. The administrative and operational cost of MRV would be dependent on the methodological approach followed</w:t>
      </w:r>
      <w:r w:rsidR="0094109E" w:rsidRPr="00244D65">
        <w:rPr>
          <w:noProof/>
          <w:lang w:eastAsia="en-GB"/>
        </w:rPr>
        <w:t xml:space="preserve"> (calculation- vs measurement-based)</w:t>
      </w:r>
      <w:r w:rsidR="0046106E" w:rsidRPr="00244D65">
        <w:rPr>
          <w:noProof/>
          <w:lang w:eastAsia="en-GB"/>
        </w:rPr>
        <w:t>, as well as on the choice of the scope of emissions covered (</w:t>
      </w:r>
      <w:r w:rsidR="00C80E0F" w:rsidRPr="00244D65">
        <w:rPr>
          <w:noProof/>
          <w:lang w:eastAsia="en-GB"/>
        </w:rPr>
        <w:t xml:space="preserve">emissions from </w:t>
      </w:r>
      <w:r w:rsidR="0046106E" w:rsidRPr="00244D65">
        <w:rPr>
          <w:noProof/>
          <w:lang w:eastAsia="en-GB"/>
        </w:rPr>
        <w:t xml:space="preserve">future </w:t>
      </w:r>
      <w:r w:rsidR="00C80E0F" w:rsidRPr="00244D65">
        <w:rPr>
          <w:noProof/>
          <w:lang w:eastAsia="en-GB"/>
        </w:rPr>
        <w:t xml:space="preserve">disposal </w:t>
      </w:r>
      <w:r w:rsidR="0046106E" w:rsidRPr="00244D65">
        <w:rPr>
          <w:noProof/>
          <w:lang w:eastAsia="en-GB"/>
        </w:rPr>
        <w:t>only or also emissions</w:t>
      </w:r>
      <w:r w:rsidR="00C80E0F" w:rsidRPr="00244D65">
        <w:rPr>
          <w:noProof/>
          <w:lang w:eastAsia="en-GB"/>
        </w:rPr>
        <w:t xml:space="preserve"> from historical disposal</w:t>
      </w:r>
      <w:r w:rsidR="0046106E" w:rsidRPr="00244D65">
        <w:rPr>
          <w:noProof/>
          <w:lang w:eastAsia="en-GB"/>
        </w:rPr>
        <w:t xml:space="preserve">) (see </w:t>
      </w:r>
      <w:r w:rsidR="00A55AEB" w:rsidRPr="00244D65">
        <w:rPr>
          <w:noProof/>
          <w:lang w:eastAsia="en-GB"/>
        </w:rPr>
        <w:t>S</w:t>
      </w:r>
      <w:r w:rsidR="0046106E" w:rsidRPr="00244D65">
        <w:rPr>
          <w:noProof/>
          <w:lang w:eastAsia="en-GB"/>
        </w:rPr>
        <w:t>ections 1.4.3. and 1.5.1.2.3. of Annex 13 for a detailed analysis).</w:t>
      </w:r>
    </w:p>
    <w:p w14:paraId="14620F4C" w14:textId="26F9BBD0" w:rsidR="00F77B0A" w:rsidRPr="00244D65" w:rsidRDefault="5386183D" w:rsidP="0085595C">
      <w:pPr>
        <w:pStyle w:val="Heading4"/>
        <w:rPr>
          <w:noProof/>
        </w:rPr>
      </w:pPr>
      <w:r w:rsidRPr="00244D65">
        <w:rPr>
          <w:noProof/>
        </w:rPr>
        <w:t xml:space="preserve"> </w:t>
      </w:r>
      <w:r w:rsidR="00F77B0A" w:rsidRPr="00244D65">
        <w:rPr>
          <w:noProof/>
        </w:rPr>
        <w:t>CCU</w:t>
      </w:r>
    </w:p>
    <w:p w14:paraId="100FF307" w14:textId="03DEF453" w:rsidR="00503659" w:rsidRPr="00244D65" w:rsidRDefault="00503659" w:rsidP="0085595C">
      <w:pPr>
        <w:rPr>
          <w:noProof/>
        </w:rPr>
      </w:pPr>
      <w:r w:rsidRPr="00244D65">
        <w:rPr>
          <w:noProof/>
        </w:rPr>
        <w:t xml:space="preserve">In terms of administrative costs, the </w:t>
      </w:r>
      <w:r w:rsidR="00E07A67" w:rsidRPr="00244D65">
        <w:rPr>
          <w:noProof/>
        </w:rPr>
        <w:t>hybrid</w:t>
      </w:r>
      <w:r w:rsidRPr="00244D65">
        <w:rPr>
          <w:noProof/>
        </w:rPr>
        <w:t xml:space="preserve"> downstream </w:t>
      </w:r>
      <w:r w:rsidR="00DB4A4C" w:rsidRPr="00244D65">
        <w:rPr>
          <w:noProof/>
        </w:rPr>
        <w:t>and midstream</w:t>
      </w:r>
      <w:r w:rsidRPr="00244D65">
        <w:rPr>
          <w:noProof/>
        </w:rPr>
        <w:t xml:space="preserve"> accounting </w:t>
      </w:r>
      <w:r w:rsidR="00DB4A4C" w:rsidRPr="00244D65">
        <w:rPr>
          <w:noProof/>
        </w:rPr>
        <w:t>(PO2 and PO3)</w:t>
      </w:r>
      <w:r w:rsidRPr="00244D65">
        <w:rPr>
          <w:noProof/>
        </w:rPr>
        <w:t xml:space="preserve"> will result in a simplification in the rules applicable for the reporting of emissions in case of the capture of CO</w:t>
      </w:r>
      <w:r w:rsidRPr="00244D65">
        <w:rPr>
          <w:noProof/>
          <w:vertAlign w:val="subscript"/>
        </w:rPr>
        <w:t>2</w:t>
      </w:r>
      <w:r w:rsidR="00DB4A4C" w:rsidRPr="00244D65">
        <w:rPr>
          <w:noProof/>
        </w:rPr>
        <w:t xml:space="preserve">, compared to the upstream accounting (baseline and </w:t>
      </w:r>
      <w:r w:rsidR="002104FA" w:rsidRPr="00244D65">
        <w:rPr>
          <w:noProof/>
        </w:rPr>
        <w:t>CCU0/</w:t>
      </w:r>
      <w:r w:rsidR="00DB4A4C" w:rsidRPr="00244D65">
        <w:rPr>
          <w:noProof/>
        </w:rPr>
        <w:t>PO1).</w:t>
      </w:r>
      <w:r w:rsidRPr="00244D65">
        <w:rPr>
          <w:noProof/>
        </w:rPr>
        <w:t xml:space="preserve"> Emitters that capture CO</w:t>
      </w:r>
      <w:r w:rsidRPr="00244D65">
        <w:rPr>
          <w:noProof/>
          <w:vertAlign w:val="subscript"/>
        </w:rPr>
        <w:t xml:space="preserve">2 </w:t>
      </w:r>
      <w:r w:rsidRPr="00244D65">
        <w:rPr>
          <w:noProof/>
        </w:rPr>
        <w:t>will be able to report it as captured (and deduct it from their overall emissions) the amount of CO</w:t>
      </w:r>
      <w:r w:rsidRPr="00244D65">
        <w:rPr>
          <w:noProof/>
          <w:vertAlign w:val="subscript"/>
        </w:rPr>
        <w:t xml:space="preserve">2 </w:t>
      </w:r>
      <w:r w:rsidRPr="00244D65">
        <w:rPr>
          <w:noProof/>
        </w:rPr>
        <w:t>that has been captured and transferred to another ETS installation, regardless of the purpose, be it for CCS, permanent CCU or non-permanent CCU. This contrasts with the current situation where CO</w:t>
      </w:r>
      <w:r w:rsidRPr="00244D65">
        <w:rPr>
          <w:noProof/>
          <w:vertAlign w:val="subscript"/>
        </w:rPr>
        <w:t xml:space="preserve">2 </w:t>
      </w:r>
      <w:r w:rsidRPr="00244D65">
        <w:rPr>
          <w:noProof/>
        </w:rPr>
        <w:t>captured for different purposes has different regulatory treatments.</w:t>
      </w:r>
    </w:p>
    <w:p w14:paraId="66A59269" w14:textId="01C6AC1E" w:rsidR="000F306A" w:rsidRPr="00244D65" w:rsidRDefault="0056304F" w:rsidP="0085595C">
      <w:pPr>
        <w:rPr>
          <w:noProof/>
        </w:rPr>
      </w:pPr>
      <w:r w:rsidRPr="00244D65">
        <w:rPr>
          <w:noProof/>
        </w:rPr>
        <w:t>The</w:t>
      </w:r>
      <w:r w:rsidR="00503659" w:rsidRPr="00244D65">
        <w:rPr>
          <w:noProof/>
        </w:rPr>
        <w:t xml:space="preserve"> downstream accounting </w:t>
      </w:r>
      <w:r w:rsidR="00B15992" w:rsidRPr="00244D65">
        <w:rPr>
          <w:noProof/>
        </w:rPr>
        <w:t xml:space="preserve">for </w:t>
      </w:r>
      <w:r w:rsidR="009F3684" w:rsidRPr="00244D65">
        <w:rPr>
          <w:noProof/>
        </w:rPr>
        <w:t>non-permanent CCU products other than e-fuels</w:t>
      </w:r>
      <w:r w:rsidR="00503659" w:rsidRPr="00244D65">
        <w:rPr>
          <w:noProof/>
        </w:rPr>
        <w:t xml:space="preserve"> relies on the integration of waste incineration in the EU ETS. However, once included in the EU ETS, there is no difference between the administrative costs for waste incinerators in the upstream accounting (CCU1) or </w:t>
      </w:r>
      <w:r w:rsidR="00B15992" w:rsidRPr="00244D65">
        <w:rPr>
          <w:noProof/>
        </w:rPr>
        <w:t xml:space="preserve">the </w:t>
      </w:r>
      <w:r w:rsidR="2032A948" w:rsidRPr="00244D65">
        <w:rPr>
          <w:noProof/>
        </w:rPr>
        <w:t>hybrid</w:t>
      </w:r>
      <w:r w:rsidR="00B15992" w:rsidRPr="00244D65">
        <w:rPr>
          <w:noProof/>
        </w:rPr>
        <w:t xml:space="preserve"> </w:t>
      </w:r>
      <w:r w:rsidR="00503659" w:rsidRPr="00244D65">
        <w:rPr>
          <w:noProof/>
        </w:rPr>
        <w:t xml:space="preserve">downstream </w:t>
      </w:r>
      <w:r w:rsidR="009F3684" w:rsidRPr="00244D65">
        <w:rPr>
          <w:noProof/>
        </w:rPr>
        <w:t>and midstream</w:t>
      </w:r>
      <w:r w:rsidR="00503659" w:rsidRPr="00244D65">
        <w:rPr>
          <w:noProof/>
        </w:rPr>
        <w:t xml:space="preserve"> accounting scenario</w:t>
      </w:r>
      <w:r w:rsidR="00B15992" w:rsidRPr="00244D65">
        <w:rPr>
          <w:noProof/>
        </w:rPr>
        <w:t xml:space="preserve"> </w:t>
      </w:r>
      <w:r w:rsidR="009F3684" w:rsidRPr="00244D65">
        <w:rPr>
          <w:noProof/>
        </w:rPr>
        <w:t>(</w:t>
      </w:r>
      <w:r w:rsidR="0058500D" w:rsidRPr="00244D65">
        <w:rPr>
          <w:noProof/>
        </w:rPr>
        <w:t>CCU3/</w:t>
      </w:r>
      <w:r w:rsidR="009F3684" w:rsidRPr="00244D65">
        <w:rPr>
          <w:noProof/>
        </w:rPr>
        <w:t>PO2 and PO3)</w:t>
      </w:r>
      <w:r w:rsidR="00503659" w:rsidRPr="00244D65">
        <w:rPr>
          <w:noProof/>
        </w:rPr>
        <w:t>. Waste incinerators would continue to monitor and report emissions in the same manner</w:t>
      </w:r>
      <w:r w:rsidR="0058500D" w:rsidRPr="00244D65">
        <w:rPr>
          <w:noProof/>
        </w:rPr>
        <w:t xml:space="preserve"> in both accounting approaches. </w:t>
      </w:r>
    </w:p>
    <w:p w14:paraId="6D366B35" w14:textId="09DC100C" w:rsidR="002009C1" w:rsidRPr="00244D65" w:rsidRDefault="002009C1" w:rsidP="0085595C">
      <w:pPr>
        <w:pStyle w:val="Heading3"/>
        <w:rPr>
          <w:noProof/>
        </w:rPr>
      </w:pPr>
      <w:bookmarkStart w:id="211" w:name="_Ref212582279"/>
      <w:bookmarkStart w:id="212" w:name="_Toc212594971"/>
      <w:bookmarkStart w:id="213" w:name="_Toc234949749"/>
      <w:bookmarkStart w:id="214" w:name="_Toc232752505"/>
      <w:r w:rsidRPr="00244D65">
        <w:rPr>
          <w:noProof/>
        </w:rPr>
        <w:t xml:space="preserve">Sectoral competitiveness, </w:t>
      </w:r>
      <w:bookmarkStart w:id="215" w:name="_Int_Sd1VdK8Q"/>
      <w:r w:rsidRPr="00244D65">
        <w:rPr>
          <w:noProof/>
        </w:rPr>
        <w:t>trade</w:t>
      </w:r>
      <w:bookmarkEnd w:id="215"/>
      <w:r w:rsidRPr="00244D65">
        <w:rPr>
          <w:noProof/>
        </w:rPr>
        <w:t xml:space="preserve"> and investment flows</w:t>
      </w:r>
      <w:bookmarkEnd w:id="211"/>
      <w:bookmarkEnd w:id="212"/>
      <w:bookmarkEnd w:id="213"/>
      <w:bookmarkEnd w:id="214"/>
    </w:p>
    <w:p w14:paraId="0B27CCB2" w14:textId="2D52B7C0" w:rsidR="00F77B0A" w:rsidRPr="00244D65" w:rsidRDefault="08CBCD88" w:rsidP="0085595C">
      <w:pPr>
        <w:pStyle w:val="Heading4"/>
        <w:rPr>
          <w:noProof/>
        </w:rPr>
      </w:pPr>
      <w:r w:rsidRPr="00244D65">
        <w:rPr>
          <w:noProof/>
        </w:rPr>
        <w:t xml:space="preserve"> </w:t>
      </w:r>
      <w:r w:rsidR="00F77B0A" w:rsidRPr="00244D65">
        <w:rPr>
          <w:noProof/>
        </w:rPr>
        <w:t xml:space="preserve">Cap </w:t>
      </w:r>
    </w:p>
    <w:p w14:paraId="64D0714A" w14:textId="05590709" w:rsidR="00D9656A" w:rsidRPr="00244D65" w:rsidRDefault="00D9656A" w:rsidP="0085595C">
      <w:pPr>
        <w:rPr>
          <w:noProof/>
          <w:lang w:eastAsia="en-GB"/>
        </w:rPr>
      </w:pPr>
      <w:r w:rsidRPr="00244D65">
        <w:rPr>
          <w:noProof/>
          <w:lang w:eastAsia="en-GB"/>
        </w:rPr>
        <w:t xml:space="preserve">The different </w:t>
      </w:r>
      <w:r w:rsidR="00403B18" w:rsidRPr="00244D65">
        <w:rPr>
          <w:noProof/>
          <w:lang w:eastAsia="en-GB"/>
        </w:rPr>
        <w:t>POs</w:t>
      </w:r>
      <w:r w:rsidRPr="00244D65">
        <w:rPr>
          <w:noProof/>
          <w:lang w:eastAsia="en-GB"/>
        </w:rPr>
        <w:t xml:space="preserve"> examined in the impact assessment regarding the cap do not change in substantial terms the efforts required by the regulated sectors to decarbonise, and with it their competitiveness, as they </w:t>
      </w:r>
      <w:r w:rsidR="00836A9E" w:rsidRPr="00244D65">
        <w:rPr>
          <w:noProof/>
          <w:lang w:eastAsia="en-GB"/>
        </w:rPr>
        <w:t xml:space="preserve">have </w:t>
      </w:r>
      <w:r w:rsidRPr="00244D65">
        <w:rPr>
          <w:noProof/>
          <w:lang w:eastAsia="en-GB"/>
        </w:rPr>
        <w:t>all</w:t>
      </w:r>
      <w:r w:rsidR="00836A9E" w:rsidRPr="00244D65">
        <w:rPr>
          <w:noProof/>
          <w:lang w:eastAsia="en-GB"/>
        </w:rPr>
        <w:t xml:space="preserve"> been chosen to</w:t>
      </w:r>
      <w:r w:rsidRPr="00244D65">
        <w:rPr>
          <w:noProof/>
          <w:lang w:eastAsia="en-GB"/>
        </w:rPr>
        <w:t xml:space="preserve"> lead to the same emissions reduction objective </w:t>
      </w:r>
      <w:r w:rsidR="006C4056" w:rsidRPr="00244D65">
        <w:rPr>
          <w:noProof/>
          <w:lang w:eastAsia="en-GB"/>
        </w:rPr>
        <w:t>compatible with</w:t>
      </w:r>
      <w:r w:rsidRPr="00244D65">
        <w:rPr>
          <w:noProof/>
          <w:lang w:eastAsia="en-GB"/>
        </w:rPr>
        <w:t xml:space="preserve"> the European Climate Law and follow the same cost-efficient </w:t>
      </w:r>
      <w:r>
        <w:rPr>
          <w:noProof/>
          <w:lang w:eastAsia="en-GB"/>
        </w:rPr>
        <w:t>85%</w:t>
      </w:r>
      <w:r w:rsidRPr="00244D65">
        <w:rPr>
          <w:noProof/>
          <w:lang w:eastAsia="en-GB"/>
        </w:rPr>
        <w:t xml:space="preserve"> trajectory (all POs include measure ‘CAP2’). An analysis of the impact of the ambition level itself was carried out in the 2040 Climate Target Impact Assessment</w:t>
      </w:r>
      <w:r w:rsidRPr="00244D65">
        <w:rPr>
          <w:rStyle w:val="FootnoteReference"/>
          <w:noProof/>
          <w:lang w:eastAsia="en-GB"/>
        </w:rPr>
        <w:footnoteReference w:id="68"/>
      </w:r>
      <w:r w:rsidRPr="00244D65">
        <w:rPr>
          <w:noProof/>
          <w:lang w:eastAsia="en-GB"/>
        </w:rPr>
        <w:t>. Of the scenarios assessed at the time, scenario S2 resulted in a -88% net reduction of domestic economy-wide greenhouse gas emissions by 2040 compared to 1990, i.e. equivalent to a use of 2% international credits compared to a 90% target.</w:t>
      </w:r>
    </w:p>
    <w:p w14:paraId="2B9711CE" w14:textId="2D705CC9" w:rsidR="00D9656A" w:rsidRPr="00244D65" w:rsidRDefault="00D9656A" w:rsidP="0085595C">
      <w:pPr>
        <w:rPr>
          <w:noProof/>
          <w:lang w:eastAsia="en-GB"/>
        </w:rPr>
      </w:pPr>
      <w:r w:rsidRPr="00244D65">
        <w:rPr>
          <w:noProof/>
          <w:lang w:eastAsia="en-GB"/>
        </w:rPr>
        <w:t xml:space="preserve">In particular, </w:t>
      </w:r>
      <w:r w:rsidR="005B7492" w:rsidRPr="00244D65">
        <w:rPr>
          <w:noProof/>
          <w:lang w:eastAsia="en-GB"/>
        </w:rPr>
        <w:t xml:space="preserve">in the 2040 Climate Target Impact Assessment, </w:t>
      </w:r>
      <w:r w:rsidRPr="00244D65">
        <w:rPr>
          <w:noProof/>
          <w:lang w:eastAsia="en-GB"/>
        </w:rPr>
        <w:t xml:space="preserve">Tables 17 in </w:t>
      </w:r>
      <w:r w:rsidR="004632D6" w:rsidRPr="00244D65">
        <w:rPr>
          <w:noProof/>
          <w:lang w:eastAsia="en-GB"/>
        </w:rPr>
        <w:t>S</w:t>
      </w:r>
      <w:r w:rsidRPr="00244D65">
        <w:rPr>
          <w:noProof/>
          <w:lang w:eastAsia="en-GB"/>
        </w:rPr>
        <w:t xml:space="preserve">ection 6.4.2 of Part 1 and 18 in 6.4.3. show the increase in investment needs in the decade 2031-2040 compared to the previous decade 2011-2020, per major sector of the economy. </w:t>
      </w:r>
      <w:r w:rsidR="005B7492" w:rsidRPr="00244D65">
        <w:rPr>
          <w:noProof/>
          <w:lang w:eastAsia="en-GB"/>
        </w:rPr>
        <w:t xml:space="preserve">In the same Impact Assessment, </w:t>
      </w:r>
      <w:r>
        <w:rPr>
          <w:noProof/>
          <w:lang w:eastAsia="en-GB"/>
        </w:rPr>
        <w:t>Tables</w:t>
      </w:r>
      <w:r w:rsidRPr="00244D65">
        <w:rPr>
          <w:noProof/>
          <w:lang w:eastAsia="en-GB"/>
        </w:rPr>
        <w:t xml:space="preserve"> 14 and 15 in </w:t>
      </w:r>
      <w:r w:rsidR="005B7492" w:rsidRPr="00244D65">
        <w:rPr>
          <w:noProof/>
          <w:lang w:eastAsia="en-GB"/>
        </w:rPr>
        <w:t>s</w:t>
      </w:r>
      <w:r w:rsidRPr="00244D65">
        <w:rPr>
          <w:noProof/>
          <w:lang w:eastAsia="en-GB"/>
        </w:rPr>
        <w:t xml:space="preserve">ection 6.4.1. show the macro-economic impacts on sectoral output and the EU share in global exports respectively, with </w:t>
      </w:r>
      <w:r>
        <w:rPr>
          <w:noProof/>
          <w:lang w:eastAsia="en-GB"/>
        </w:rPr>
        <w:t>Table</w:t>
      </w:r>
      <w:r w:rsidRPr="00244D65">
        <w:rPr>
          <w:noProof/>
          <w:lang w:eastAsia="en-GB"/>
        </w:rPr>
        <w:t xml:space="preserve"> 15 illustrating the difference between a world with globally coordinated climate action and more fragmented action. More details are provided in Part 3 of the 2040 Climate Target Impact Assessment, in particular in </w:t>
      </w:r>
      <w:r w:rsidR="004632D6" w:rsidRPr="00244D65">
        <w:rPr>
          <w:noProof/>
          <w:lang w:eastAsia="en-GB"/>
        </w:rPr>
        <w:t>S</w:t>
      </w:r>
      <w:r w:rsidRPr="00244D65">
        <w:rPr>
          <w:noProof/>
          <w:lang w:eastAsia="en-GB"/>
        </w:rPr>
        <w:t xml:space="preserve">ection 2.3.2. on energy system costs and prices for industry, as well as 2.3.6 on sectoral output and international trade. In terms of the measures taken, </w:t>
      </w:r>
      <w:r w:rsidR="004632D6" w:rsidRPr="00244D65">
        <w:rPr>
          <w:noProof/>
          <w:lang w:eastAsia="en-GB"/>
        </w:rPr>
        <w:t>S</w:t>
      </w:r>
      <w:r w:rsidRPr="00244D65">
        <w:rPr>
          <w:noProof/>
          <w:lang w:eastAsia="en-GB"/>
        </w:rPr>
        <w:t xml:space="preserve">ection 1.4 of Part 3 shows energy efficiency, fuel switches and carbon capture as applied across different industrial sectors. </w:t>
      </w:r>
      <w:r w:rsidR="00426F1E" w:rsidRPr="00244D65">
        <w:rPr>
          <w:noProof/>
          <w:lang w:eastAsia="en-GB"/>
        </w:rPr>
        <w:t>Below some</w:t>
      </w:r>
      <w:r w:rsidRPr="00244D65">
        <w:rPr>
          <w:noProof/>
          <w:lang w:eastAsia="en-GB"/>
        </w:rPr>
        <w:t xml:space="preserve"> examples of the modelling of technological change in different industrial sectors towards the 2040 target. For </w:t>
      </w:r>
      <w:r w:rsidRPr="00244D65">
        <w:rPr>
          <w:i/>
          <w:noProof/>
          <w:lang w:eastAsia="en-GB"/>
        </w:rPr>
        <w:t>steel</w:t>
      </w:r>
      <w:r w:rsidRPr="00244D65">
        <w:rPr>
          <w:noProof/>
          <w:lang w:eastAsia="en-GB"/>
        </w:rPr>
        <w:t xml:space="preserve"> modelling shows a large reduction in pre-capture emissions by more than half due to a strong decrease in blast furnace use, substituted by hydrogen direct reduction technologies. Between 20-40% of the remaining emissions would be covered by carbon capture; residual emissions would be around 35 Mt.</w:t>
      </w:r>
    </w:p>
    <w:p w14:paraId="5D92D138" w14:textId="77777777" w:rsidR="00D9656A" w:rsidRPr="00244D65" w:rsidRDefault="00D9656A" w:rsidP="0085595C">
      <w:pPr>
        <w:rPr>
          <w:noProof/>
          <w:lang w:eastAsia="en-GB"/>
        </w:rPr>
      </w:pPr>
      <w:r w:rsidRPr="00244D65">
        <w:rPr>
          <w:noProof/>
          <w:lang w:eastAsia="en-GB"/>
        </w:rPr>
        <w:t xml:space="preserve">For </w:t>
      </w:r>
      <w:r w:rsidRPr="00244D65">
        <w:rPr>
          <w:i/>
          <w:noProof/>
          <w:lang w:eastAsia="en-GB"/>
        </w:rPr>
        <w:t>non-metallic minerals</w:t>
      </w:r>
      <w:r w:rsidRPr="00244D65">
        <w:rPr>
          <w:noProof/>
          <w:lang w:eastAsia="en-GB"/>
        </w:rPr>
        <w:t xml:space="preserve"> cement is the most important source of emissions. Here there is a strong need for carbon capture (70-100 Mt) with residual emissions of around 35-40 Mt. The modelling shows some deployment of low-carbon cement, where limestone is substituted by other, less emitting minerals.</w:t>
      </w:r>
    </w:p>
    <w:p w14:paraId="647132D3" w14:textId="77777777" w:rsidR="00D9656A" w:rsidRPr="00244D65" w:rsidRDefault="00D9656A" w:rsidP="0085595C">
      <w:pPr>
        <w:rPr>
          <w:noProof/>
          <w:lang w:eastAsia="en-GB"/>
        </w:rPr>
      </w:pPr>
      <w:r w:rsidRPr="00244D65">
        <w:rPr>
          <w:noProof/>
          <w:lang w:eastAsia="en-GB"/>
        </w:rPr>
        <w:t xml:space="preserve">The </w:t>
      </w:r>
      <w:r w:rsidRPr="00244D65">
        <w:rPr>
          <w:i/>
          <w:noProof/>
          <w:lang w:eastAsia="en-GB"/>
        </w:rPr>
        <w:t xml:space="preserve">chemicals </w:t>
      </w:r>
      <w:r w:rsidRPr="00244D65">
        <w:rPr>
          <w:noProof/>
          <w:lang w:eastAsia="en-GB"/>
        </w:rPr>
        <w:t>sector is highly complex, and a combination of electrification, biomass and hydrogen shows around 50% reduction of pre-capture emissions. Around a third of remaining emissions would be captured.</w:t>
      </w:r>
    </w:p>
    <w:p w14:paraId="65B7AE8E" w14:textId="77777777" w:rsidR="00D9656A" w:rsidRPr="00244D65" w:rsidRDefault="00D9656A" w:rsidP="0085595C">
      <w:pPr>
        <w:rPr>
          <w:noProof/>
          <w:lang w:eastAsia="en-GB"/>
        </w:rPr>
      </w:pPr>
      <w:r w:rsidRPr="00244D65">
        <w:rPr>
          <w:noProof/>
          <w:lang w:eastAsia="en-GB"/>
        </w:rPr>
        <w:t xml:space="preserve">In </w:t>
      </w:r>
      <w:r w:rsidRPr="00244D65">
        <w:rPr>
          <w:i/>
          <w:noProof/>
          <w:lang w:eastAsia="en-GB"/>
        </w:rPr>
        <w:t>other industry sectors</w:t>
      </w:r>
      <w:r w:rsidRPr="00244D65">
        <w:rPr>
          <w:noProof/>
          <w:lang w:eastAsia="en-GB"/>
        </w:rPr>
        <w:t xml:space="preserve"> modelling shows large emissions reduction (60-70%), mostly through electrification; there is some limited ability to also apply CCUS. </w:t>
      </w:r>
    </w:p>
    <w:p w14:paraId="7C215966" w14:textId="71F9327F" w:rsidR="008B1F95" w:rsidRPr="00244D65" w:rsidRDefault="00862F5B" w:rsidP="00AB29D8">
      <w:pPr>
        <w:rPr>
          <w:noProof/>
        </w:rPr>
      </w:pPr>
      <w:r w:rsidRPr="00244D65">
        <w:rPr>
          <w:noProof/>
          <w:lang w:eastAsia="en-GB"/>
        </w:rPr>
        <w:t xml:space="preserve">All policy options support the demand for permanent removals, although at different scales. Those measures that support removals in a more guaranteed manner (PO1) will support the competitiveness of EU both in carbon removals and broadly industrial competitiveness by allowing more space for emissions in the EU. The ultimate impact on the removals industry, however, will depend on support measures that may complement each policy option. E.g. PO2 with carbon contracts for difference (CCfDs) can have a greater incentivisation of carbon removals as it leads to an initial scarcity and higher ETS price. PO3 complemented with CCfD at the level required to incentivise the same level of removals as included by the public authority in PO1, could lead to similar results. Conversely, the options with highest guaranteed of removals can also lead to most abatement deterrence, having a detrimental effect on the competitiveness of decarbonised technologies in the EU ETS sectors (see </w:t>
      </w:r>
      <w:r w:rsidR="004632D6" w:rsidRPr="00244D65">
        <w:rPr>
          <w:noProof/>
          <w:lang w:eastAsia="en-GB"/>
        </w:rPr>
        <w:t>S</w:t>
      </w:r>
      <w:r w:rsidRPr="00244D65">
        <w:rPr>
          <w:noProof/>
          <w:lang w:eastAsia="en-GB"/>
        </w:rPr>
        <w:t xml:space="preserve">ection 6.1.1.2 on abatement deterrence and CDR support). </w:t>
      </w:r>
    </w:p>
    <w:p w14:paraId="4AA46263" w14:textId="77777777" w:rsidR="00BA4E81" w:rsidRDefault="007C1CBB" w:rsidP="0085595C">
      <w:pPr>
        <w:pStyle w:val="BodyText"/>
        <w:spacing w:line="240" w:lineRule="auto"/>
        <w:rPr>
          <w:rFonts w:ascii="Times New Roman" w:hAnsi="Times New Roman" w:cs="Times New Roman"/>
          <w:noProof/>
          <w:sz w:val="28"/>
          <w:szCs w:val="28"/>
        </w:rPr>
      </w:pPr>
      <w:r>
        <w:rPr>
          <w:rFonts w:ascii="Times New Roman" w:hAnsi="Times New Roman" w:cs="Times New Roman"/>
          <w:noProof/>
          <w:sz w:val="24"/>
          <w:szCs w:val="24"/>
        </w:rPr>
        <w:t>The following table gives an illustration of investment needs and energy system costs in CAP 3 “9085” scenario. The numbers shown are a range of results from PRIMES and POTEnCIA models, illustrating the intrinsic uncertainties involved.</w:t>
      </w:r>
    </w:p>
    <w:p w14:paraId="1DD1F2AE" w14:textId="77777777" w:rsidR="008B1F95" w:rsidRPr="00244D65" w:rsidRDefault="008B1F95" w:rsidP="00244D65">
      <w:pPr>
        <w:pStyle w:val="Tabletitle"/>
        <w:rPr>
          <w:noProof/>
        </w:rPr>
      </w:pPr>
      <w:r>
        <w:rPr>
          <w:noProof/>
        </w:rPr>
        <w:t xml:space="preserve">Annual investment expenditure, energy related excluding transport in </w:t>
      </w:r>
      <w:r>
        <w:rPr>
          <w:noProof/>
          <w:sz w:val="24"/>
          <w:szCs w:val="20"/>
          <w:lang w:eastAsia="en-GB"/>
        </w:rPr>
        <w:t xml:space="preserve">CAP 3 “9085” scenario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8"/>
        <w:gridCol w:w="1170"/>
        <w:gridCol w:w="1170"/>
        <w:gridCol w:w="1194"/>
        <w:gridCol w:w="1194"/>
      </w:tblGrid>
      <w:tr w:rsidR="008B1F95" w:rsidRPr="00244D65" w14:paraId="545D270A" w14:textId="77777777">
        <w:trPr>
          <w:trHeight w:val="310"/>
          <w:jc w:val="center"/>
        </w:trPr>
        <w:tc>
          <w:tcPr>
            <w:tcW w:w="0" w:type="auto"/>
            <w:vMerge w:val="restart"/>
            <w:shd w:val="clear" w:color="auto" w:fill="FFFFFF" w:themeFill="background1"/>
            <w:vAlign w:val="center"/>
            <w:hideMark/>
          </w:tcPr>
          <w:p w14:paraId="1A57D135" w14:textId="77777777" w:rsidR="008B1F95" w:rsidRPr="00244D65" w:rsidRDefault="008B1F95" w:rsidP="0085595C">
            <w:pPr>
              <w:jc w:val="left"/>
              <w:rPr>
                <w:b/>
                <w:noProof/>
                <w:sz w:val="22"/>
                <w:szCs w:val="22"/>
                <w:lang w:val="en-IE" w:eastAsia="en-IE"/>
              </w:rPr>
            </w:pPr>
            <w:r>
              <w:rPr>
                <w:b/>
                <w:noProof/>
                <w:sz w:val="22"/>
                <w:szCs w:val="22"/>
                <w:lang w:val="en-IE" w:eastAsia="en-IE"/>
              </w:rPr>
              <w:t>Annual Investment expenditure (energy related excl. transport)</w:t>
            </w:r>
          </w:p>
        </w:tc>
        <w:tc>
          <w:tcPr>
            <w:tcW w:w="0" w:type="auto"/>
            <w:gridSpan w:val="2"/>
            <w:shd w:val="clear" w:color="auto" w:fill="FFFFFF" w:themeFill="background1"/>
            <w:vAlign w:val="center"/>
            <w:hideMark/>
          </w:tcPr>
          <w:p w14:paraId="3601A97C" w14:textId="7DEFF53D" w:rsidR="008B1F95" w:rsidRPr="00244D65" w:rsidRDefault="00E043B0" w:rsidP="0085595C">
            <w:pPr>
              <w:jc w:val="left"/>
              <w:rPr>
                <w:b/>
                <w:bCs/>
                <w:noProof/>
                <w:sz w:val="22"/>
                <w:szCs w:val="22"/>
                <w:lang w:val="en-IE" w:eastAsia="en-IE"/>
              </w:rPr>
            </w:pPr>
            <w:r>
              <w:rPr>
                <w:b/>
                <w:bCs/>
                <w:noProof/>
                <w:sz w:val="22"/>
                <w:szCs w:val="22"/>
                <w:lang w:val="en-IE" w:eastAsia="en-IE"/>
              </w:rPr>
              <w:t>EUR bn'25</w:t>
            </w:r>
          </w:p>
        </w:tc>
        <w:tc>
          <w:tcPr>
            <w:tcW w:w="0" w:type="auto"/>
            <w:gridSpan w:val="2"/>
            <w:shd w:val="clear" w:color="auto" w:fill="FFFFFF" w:themeFill="background1"/>
            <w:vAlign w:val="center"/>
            <w:hideMark/>
          </w:tcPr>
          <w:p w14:paraId="78CFBB9B" w14:textId="77777777" w:rsidR="008B1F95" w:rsidRPr="00244D65" w:rsidRDefault="008B1F95" w:rsidP="0085595C">
            <w:pPr>
              <w:jc w:val="left"/>
              <w:rPr>
                <w:b/>
                <w:noProof/>
                <w:sz w:val="22"/>
                <w:szCs w:val="22"/>
                <w:lang w:val="en-IE" w:eastAsia="en-IE"/>
              </w:rPr>
            </w:pPr>
            <w:r>
              <w:rPr>
                <w:b/>
                <w:noProof/>
                <w:sz w:val="22"/>
                <w:szCs w:val="22"/>
                <w:lang w:val="en-IE" w:eastAsia="en-IE"/>
              </w:rPr>
              <w:t>%GDP</w:t>
            </w:r>
          </w:p>
        </w:tc>
      </w:tr>
      <w:tr w:rsidR="008B1F95" w:rsidRPr="00244D65" w14:paraId="42D546C1" w14:textId="77777777">
        <w:trPr>
          <w:trHeight w:val="620"/>
          <w:jc w:val="center"/>
        </w:trPr>
        <w:tc>
          <w:tcPr>
            <w:tcW w:w="0" w:type="auto"/>
            <w:vMerge/>
            <w:vAlign w:val="center"/>
            <w:hideMark/>
          </w:tcPr>
          <w:p w14:paraId="14AF7CAF" w14:textId="77777777" w:rsidR="008B1F95" w:rsidRPr="00244D65" w:rsidRDefault="008B1F95" w:rsidP="0085595C">
            <w:pPr>
              <w:jc w:val="left"/>
              <w:rPr>
                <w:b/>
                <w:noProof/>
                <w:sz w:val="22"/>
                <w:szCs w:val="22"/>
                <w:lang w:val="en-IE" w:eastAsia="en-IE"/>
              </w:rPr>
            </w:pPr>
          </w:p>
        </w:tc>
        <w:tc>
          <w:tcPr>
            <w:tcW w:w="0" w:type="auto"/>
            <w:shd w:val="clear" w:color="auto" w:fill="FFFFFF" w:themeFill="background1"/>
            <w:noWrap/>
            <w:vAlign w:val="center"/>
            <w:hideMark/>
          </w:tcPr>
          <w:p w14:paraId="2B4EF515" w14:textId="77777777" w:rsidR="008B1F95" w:rsidRPr="00244D65" w:rsidRDefault="008B1F95" w:rsidP="00545B9E">
            <w:pPr>
              <w:jc w:val="center"/>
              <w:rPr>
                <w:b/>
                <w:noProof/>
                <w:sz w:val="22"/>
                <w:szCs w:val="22"/>
                <w:lang w:val="en-IE" w:eastAsia="en-IE"/>
              </w:rPr>
            </w:pPr>
            <w:r>
              <w:rPr>
                <w:b/>
                <w:noProof/>
                <w:sz w:val="22"/>
                <w:szCs w:val="22"/>
                <w:lang w:val="en-IE" w:eastAsia="en-IE"/>
              </w:rPr>
              <w:t>2021-2030</w:t>
            </w:r>
          </w:p>
        </w:tc>
        <w:tc>
          <w:tcPr>
            <w:tcW w:w="0" w:type="auto"/>
            <w:shd w:val="clear" w:color="auto" w:fill="FFFFFF" w:themeFill="background1"/>
            <w:noWrap/>
            <w:vAlign w:val="center"/>
            <w:hideMark/>
          </w:tcPr>
          <w:p w14:paraId="0F1CE041" w14:textId="77777777" w:rsidR="008B1F95" w:rsidRPr="00244D65" w:rsidRDefault="008B1F95" w:rsidP="00545B9E">
            <w:pPr>
              <w:jc w:val="center"/>
              <w:rPr>
                <w:b/>
                <w:noProof/>
                <w:sz w:val="22"/>
                <w:szCs w:val="22"/>
                <w:lang w:val="en-IE" w:eastAsia="en-IE"/>
              </w:rPr>
            </w:pPr>
            <w:r>
              <w:rPr>
                <w:b/>
                <w:noProof/>
                <w:sz w:val="22"/>
                <w:szCs w:val="22"/>
                <w:lang w:val="en-IE" w:eastAsia="en-IE"/>
              </w:rPr>
              <w:t>2031-2040</w:t>
            </w:r>
          </w:p>
        </w:tc>
        <w:tc>
          <w:tcPr>
            <w:tcW w:w="0" w:type="auto"/>
            <w:shd w:val="clear" w:color="auto" w:fill="FFFFFF" w:themeFill="background1"/>
            <w:noWrap/>
            <w:vAlign w:val="center"/>
            <w:hideMark/>
          </w:tcPr>
          <w:p w14:paraId="61D3C4E0" w14:textId="77777777" w:rsidR="008B1F95" w:rsidRPr="00244D65" w:rsidRDefault="008B1F95" w:rsidP="00545B9E">
            <w:pPr>
              <w:jc w:val="center"/>
              <w:rPr>
                <w:b/>
                <w:noProof/>
                <w:sz w:val="22"/>
                <w:szCs w:val="22"/>
                <w:lang w:val="en-IE" w:eastAsia="en-IE"/>
              </w:rPr>
            </w:pPr>
            <w:r>
              <w:rPr>
                <w:b/>
                <w:noProof/>
                <w:sz w:val="22"/>
                <w:szCs w:val="22"/>
                <w:lang w:val="en-IE" w:eastAsia="en-IE"/>
              </w:rPr>
              <w:t>2021-2030</w:t>
            </w:r>
          </w:p>
        </w:tc>
        <w:tc>
          <w:tcPr>
            <w:tcW w:w="0" w:type="auto"/>
            <w:shd w:val="clear" w:color="auto" w:fill="FFFFFF" w:themeFill="background1"/>
            <w:noWrap/>
            <w:vAlign w:val="center"/>
            <w:hideMark/>
          </w:tcPr>
          <w:p w14:paraId="1434A61C" w14:textId="77777777" w:rsidR="008B1F95" w:rsidRPr="00244D65" w:rsidRDefault="008B1F95" w:rsidP="00545B9E">
            <w:pPr>
              <w:jc w:val="center"/>
              <w:rPr>
                <w:b/>
                <w:noProof/>
                <w:sz w:val="22"/>
                <w:szCs w:val="22"/>
                <w:lang w:val="en-IE" w:eastAsia="en-IE"/>
              </w:rPr>
            </w:pPr>
            <w:r>
              <w:rPr>
                <w:b/>
                <w:noProof/>
                <w:sz w:val="22"/>
                <w:szCs w:val="22"/>
                <w:lang w:val="en-IE" w:eastAsia="en-IE"/>
              </w:rPr>
              <w:t>2031-2040</w:t>
            </w:r>
          </w:p>
        </w:tc>
      </w:tr>
      <w:tr w:rsidR="008B1F95" w:rsidRPr="00244D65" w14:paraId="23855AD8" w14:textId="77777777">
        <w:trPr>
          <w:trHeight w:val="310"/>
          <w:jc w:val="center"/>
        </w:trPr>
        <w:tc>
          <w:tcPr>
            <w:tcW w:w="1578" w:type="dxa"/>
            <w:shd w:val="clear" w:color="auto" w:fill="FFFFFF" w:themeFill="background1"/>
            <w:noWrap/>
            <w:vAlign w:val="center"/>
            <w:hideMark/>
          </w:tcPr>
          <w:p w14:paraId="0B083801" w14:textId="77777777" w:rsidR="008B1F95" w:rsidRPr="00244D65" w:rsidRDefault="008B1F95" w:rsidP="0085595C">
            <w:pPr>
              <w:jc w:val="left"/>
              <w:rPr>
                <w:b/>
                <w:noProof/>
                <w:sz w:val="22"/>
                <w:szCs w:val="22"/>
                <w:lang w:val="en-IE" w:eastAsia="en-IE"/>
              </w:rPr>
            </w:pPr>
            <w:r>
              <w:rPr>
                <w:b/>
                <w:noProof/>
                <w:sz w:val="22"/>
                <w:szCs w:val="22"/>
                <w:lang w:val="en-IE" w:eastAsia="en-IE"/>
              </w:rPr>
              <w:t>Industry</w:t>
            </w:r>
          </w:p>
        </w:tc>
        <w:tc>
          <w:tcPr>
            <w:tcW w:w="0" w:type="auto"/>
            <w:shd w:val="clear" w:color="auto" w:fill="FFFFFF" w:themeFill="background1"/>
            <w:noWrap/>
            <w:vAlign w:val="center"/>
            <w:hideMark/>
          </w:tcPr>
          <w:p w14:paraId="55592254" w14:textId="48FFAE76" w:rsidR="008B1F95" w:rsidRPr="00244D65" w:rsidRDefault="008B1F95" w:rsidP="00545B9E">
            <w:pPr>
              <w:jc w:val="center"/>
              <w:rPr>
                <w:noProof/>
                <w:sz w:val="22"/>
                <w:szCs w:val="22"/>
                <w:lang w:val="en-IE" w:eastAsia="en-IE"/>
              </w:rPr>
            </w:pPr>
            <w:r>
              <w:rPr>
                <w:noProof/>
                <w:sz w:val="22"/>
                <w:szCs w:val="22"/>
              </w:rPr>
              <w:t>40;45</w:t>
            </w:r>
          </w:p>
        </w:tc>
        <w:tc>
          <w:tcPr>
            <w:tcW w:w="0" w:type="auto"/>
            <w:shd w:val="clear" w:color="auto" w:fill="FFFFFF" w:themeFill="background1"/>
            <w:noWrap/>
            <w:vAlign w:val="center"/>
            <w:hideMark/>
          </w:tcPr>
          <w:p w14:paraId="5786D18C" w14:textId="13D4B378" w:rsidR="008B1F95" w:rsidRPr="00244D65" w:rsidRDefault="008B1F95" w:rsidP="00545B9E">
            <w:pPr>
              <w:jc w:val="center"/>
              <w:rPr>
                <w:noProof/>
                <w:sz w:val="22"/>
                <w:szCs w:val="22"/>
                <w:lang w:val="en-IE" w:eastAsia="en-IE"/>
              </w:rPr>
            </w:pPr>
            <w:r>
              <w:rPr>
                <w:noProof/>
                <w:sz w:val="22"/>
                <w:szCs w:val="22"/>
              </w:rPr>
              <w:t>30;40</w:t>
            </w:r>
          </w:p>
        </w:tc>
        <w:tc>
          <w:tcPr>
            <w:tcW w:w="0" w:type="auto"/>
            <w:shd w:val="clear" w:color="auto" w:fill="FFFFFF" w:themeFill="background1"/>
            <w:noWrap/>
            <w:vAlign w:val="center"/>
            <w:hideMark/>
          </w:tcPr>
          <w:p w14:paraId="6A21CA50" w14:textId="61F5CAD3" w:rsidR="008B1F95" w:rsidRPr="00244D65" w:rsidRDefault="008B1F95" w:rsidP="00545B9E">
            <w:pPr>
              <w:jc w:val="center"/>
              <w:rPr>
                <w:noProof/>
                <w:sz w:val="22"/>
                <w:szCs w:val="22"/>
                <w:lang w:val="en-IE" w:eastAsia="en-IE"/>
              </w:rPr>
            </w:pPr>
            <w:r>
              <w:rPr>
                <w:noProof/>
                <w:sz w:val="22"/>
                <w:szCs w:val="22"/>
              </w:rPr>
              <w:t>0.2%</w:t>
            </w:r>
          </w:p>
        </w:tc>
        <w:tc>
          <w:tcPr>
            <w:tcW w:w="0" w:type="auto"/>
            <w:shd w:val="clear" w:color="auto" w:fill="FFFFFF" w:themeFill="background1"/>
            <w:noWrap/>
            <w:vAlign w:val="center"/>
            <w:hideMark/>
          </w:tcPr>
          <w:p w14:paraId="2D5B52D4" w14:textId="2D72DE64" w:rsidR="008B1F95" w:rsidRPr="00244D65" w:rsidRDefault="008B1F95" w:rsidP="00545B9E">
            <w:pPr>
              <w:jc w:val="center"/>
              <w:rPr>
                <w:noProof/>
                <w:sz w:val="22"/>
                <w:szCs w:val="22"/>
                <w:lang w:val="en-IE" w:eastAsia="en-IE"/>
              </w:rPr>
            </w:pPr>
            <w:r>
              <w:rPr>
                <w:noProof/>
                <w:sz w:val="22"/>
                <w:szCs w:val="22"/>
              </w:rPr>
              <w:t>0.2%</w:t>
            </w:r>
          </w:p>
        </w:tc>
      </w:tr>
      <w:tr w:rsidR="008B1F95" w:rsidRPr="00244D65" w14:paraId="1EAAD8C0" w14:textId="77777777">
        <w:trPr>
          <w:trHeight w:val="310"/>
          <w:jc w:val="center"/>
        </w:trPr>
        <w:tc>
          <w:tcPr>
            <w:tcW w:w="1578" w:type="dxa"/>
            <w:shd w:val="clear" w:color="auto" w:fill="FFFFFF" w:themeFill="background1"/>
            <w:noWrap/>
            <w:vAlign w:val="center"/>
            <w:hideMark/>
          </w:tcPr>
          <w:p w14:paraId="4DFAE36A" w14:textId="77777777" w:rsidR="008B1F95" w:rsidRPr="00244D65" w:rsidRDefault="008B1F95" w:rsidP="0085595C">
            <w:pPr>
              <w:jc w:val="left"/>
              <w:rPr>
                <w:b/>
                <w:noProof/>
                <w:sz w:val="22"/>
                <w:szCs w:val="22"/>
                <w:lang w:val="en-IE" w:eastAsia="en-IE"/>
              </w:rPr>
            </w:pPr>
            <w:r>
              <w:rPr>
                <w:b/>
                <w:noProof/>
                <w:sz w:val="22"/>
                <w:szCs w:val="22"/>
                <w:lang w:val="en-IE" w:eastAsia="en-IE"/>
              </w:rPr>
              <w:t>Supply side*</w:t>
            </w:r>
          </w:p>
        </w:tc>
        <w:tc>
          <w:tcPr>
            <w:tcW w:w="0" w:type="auto"/>
            <w:shd w:val="clear" w:color="auto" w:fill="FFFFFF" w:themeFill="background1"/>
            <w:noWrap/>
            <w:vAlign w:val="center"/>
          </w:tcPr>
          <w:p w14:paraId="2CF33645" w14:textId="2ACA5EB9" w:rsidR="008B1F95" w:rsidRPr="00244D65" w:rsidRDefault="008B1F95" w:rsidP="00545B9E">
            <w:pPr>
              <w:jc w:val="center"/>
              <w:rPr>
                <w:noProof/>
                <w:sz w:val="22"/>
                <w:szCs w:val="22"/>
                <w:lang w:val="en-IE" w:eastAsia="en-IE"/>
              </w:rPr>
            </w:pPr>
            <w:r>
              <w:rPr>
                <w:noProof/>
                <w:sz w:val="22"/>
                <w:szCs w:val="22"/>
                <w:lang w:val="en-IE" w:eastAsia="en-IE"/>
              </w:rPr>
              <w:t>110;120</w:t>
            </w:r>
          </w:p>
        </w:tc>
        <w:tc>
          <w:tcPr>
            <w:tcW w:w="0" w:type="auto"/>
            <w:shd w:val="clear" w:color="auto" w:fill="FFFFFF" w:themeFill="background1"/>
            <w:noWrap/>
            <w:vAlign w:val="center"/>
          </w:tcPr>
          <w:p w14:paraId="0975C9F7" w14:textId="30A0A21F" w:rsidR="008B1F95" w:rsidRPr="00244D65" w:rsidRDefault="008B1F95" w:rsidP="00545B9E">
            <w:pPr>
              <w:jc w:val="center"/>
              <w:rPr>
                <w:noProof/>
                <w:sz w:val="22"/>
                <w:szCs w:val="22"/>
                <w:lang w:val="en-IE" w:eastAsia="en-IE"/>
              </w:rPr>
            </w:pPr>
            <w:r>
              <w:rPr>
                <w:noProof/>
                <w:sz w:val="22"/>
                <w:szCs w:val="22"/>
                <w:lang w:val="en-IE" w:eastAsia="en-IE"/>
              </w:rPr>
              <w:t>140;175</w:t>
            </w:r>
          </w:p>
        </w:tc>
        <w:tc>
          <w:tcPr>
            <w:tcW w:w="0" w:type="auto"/>
            <w:shd w:val="clear" w:color="auto" w:fill="FFFFFF" w:themeFill="background1"/>
            <w:noWrap/>
            <w:vAlign w:val="center"/>
          </w:tcPr>
          <w:p w14:paraId="06D1B47E" w14:textId="1D783A9B" w:rsidR="008B1F95" w:rsidRPr="00244D65" w:rsidRDefault="008B1F95" w:rsidP="00545B9E">
            <w:pPr>
              <w:jc w:val="center"/>
              <w:rPr>
                <w:noProof/>
                <w:sz w:val="22"/>
                <w:szCs w:val="22"/>
                <w:lang w:val="en-IE" w:eastAsia="en-IE"/>
              </w:rPr>
            </w:pPr>
            <w:r>
              <w:rPr>
                <w:noProof/>
                <w:sz w:val="22"/>
                <w:szCs w:val="22"/>
                <w:lang w:val="en-IE" w:eastAsia="en-IE"/>
              </w:rPr>
              <w:t>0.6%;0.7%</w:t>
            </w:r>
          </w:p>
        </w:tc>
        <w:tc>
          <w:tcPr>
            <w:tcW w:w="0" w:type="auto"/>
            <w:shd w:val="clear" w:color="auto" w:fill="FFFFFF" w:themeFill="background1"/>
            <w:noWrap/>
            <w:vAlign w:val="center"/>
          </w:tcPr>
          <w:p w14:paraId="3605FC3F" w14:textId="286D20C1" w:rsidR="008B1F95" w:rsidRPr="00244D65" w:rsidRDefault="008B1F95" w:rsidP="00545B9E">
            <w:pPr>
              <w:jc w:val="center"/>
              <w:rPr>
                <w:noProof/>
                <w:sz w:val="22"/>
                <w:szCs w:val="22"/>
                <w:lang w:val="en-IE" w:eastAsia="en-IE"/>
              </w:rPr>
            </w:pPr>
            <w:r>
              <w:rPr>
                <w:noProof/>
                <w:sz w:val="22"/>
                <w:szCs w:val="22"/>
                <w:lang w:val="en-IE" w:eastAsia="en-IE"/>
              </w:rPr>
              <w:t>0.7%;0.8%</w:t>
            </w:r>
          </w:p>
        </w:tc>
      </w:tr>
    </w:tbl>
    <w:p w14:paraId="1B4A0BC1" w14:textId="77777777" w:rsidR="008B1F95" w:rsidRPr="00244D65" w:rsidRDefault="008B1F95" w:rsidP="0085595C">
      <w:pPr>
        <w:rPr>
          <w:i/>
          <w:noProof/>
          <w:sz w:val="20"/>
          <w:lang w:val="en-IE" w:eastAsia="en-GB"/>
        </w:rPr>
      </w:pPr>
      <w:r>
        <w:rPr>
          <w:i/>
          <w:noProof/>
          <w:sz w:val="20"/>
          <w:lang w:val="en-IE" w:eastAsia="en-GB"/>
        </w:rPr>
        <w:t>*includes power generation and production of new fuels.</w:t>
      </w:r>
    </w:p>
    <w:p w14:paraId="02B1A1F7" w14:textId="77777777" w:rsidR="008B1F95" w:rsidRPr="00244D65" w:rsidRDefault="008B1F95" w:rsidP="0085595C">
      <w:pPr>
        <w:rPr>
          <w:noProof/>
          <w:sz w:val="22"/>
          <w:szCs w:val="18"/>
          <w:lang w:eastAsia="en-GB"/>
        </w:rPr>
      </w:pPr>
      <w:r>
        <w:rPr>
          <w:i/>
          <w:iCs/>
          <w:noProof/>
          <w:sz w:val="22"/>
          <w:szCs w:val="18"/>
          <w:lang w:eastAsia="en-GB"/>
        </w:rPr>
        <w:t>Note: rounded to closest 5. Source: range over PRIMES and POTEnCIA models.</w:t>
      </w:r>
      <w:r>
        <w:rPr>
          <w:noProof/>
          <w:sz w:val="22"/>
          <w:szCs w:val="18"/>
          <w:lang w:eastAsia="en-GB"/>
        </w:rPr>
        <w:t> </w:t>
      </w:r>
    </w:p>
    <w:p w14:paraId="2AEF7C58" w14:textId="16500B07" w:rsidR="00657920" w:rsidRPr="00244D65" w:rsidRDefault="00470619" w:rsidP="0085595C">
      <w:pPr>
        <w:rPr>
          <w:noProof/>
          <w:lang w:eastAsia="en-IE"/>
        </w:rPr>
      </w:pPr>
      <w:r>
        <w:rPr>
          <w:noProof/>
          <w:lang w:eastAsia="en-GB"/>
        </w:rPr>
        <w:t>While the 2040 Climate Target Impact Assessment is the primary source for the impacts of the overarching ambition level,</w:t>
      </w:r>
      <w:r>
        <w:rPr>
          <w:noProof/>
          <w:lang w:eastAsia="en-IE"/>
        </w:rPr>
        <w:t xml:space="preserve"> the impacts of CAP2 “85” </w:t>
      </w:r>
      <w:r>
        <w:rPr>
          <w:noProof/>
          <w:lang w:eastAsia="en-GB"/>
        </w:rPr>
        <w:t>cap</w:t>
      </w:r>
      <w:r>
        <w:rPr>
          <w:noProof/>
          <w:lang w:eastAsia="en-IE"/>
        </w:rPr>
        <w:t xml:space="preserve"> trajectory are shown below relative to the CAP3 “9085%” cap trajectory. As shown in 6.1.1.1, there is more decarbonisation by 2035 and over the decade 2031-2040 in CAP3 compared to CAP2. </w:t>
      </w:r>
    </w:p>
    <w:p w14:paraId="1C47B960" w14:textId="4CAEE70A" w:rsidR="002C1684" w:rsidRPr="00244D65" w:rsidRDefault="002C1684" w:rsidP="0085595C">
      <w:pPr>
        <w:rPr>
          <w:noProof/>
          <w:lang w:eastAsia="en-IE"/>
        </w:rPr>
      </w:pPr>
      <w:r>
        <w:rPr>
          <w:noProof/>
          <w:lang w:eastAsia="en-IE"/>
        </w:rPr>
        <w:t>The steeper cap reduction under CAP3 up to 2035 incentivises a higher level of investment in decarbonisation technologies in the first half of the decade (2031-2035) than under CAP2 (see table 8). This is the case on the supply side (power generation and new fuels) as well as for industrial sectors on the demand side: the modelling analysis projects the anticipation of investment plans, with somewhat different degrees depending on the model, particularly on the supply side. Within industry, the anticipation of decarbonisation investment is stronger for energy-intensive industries than for non-energy intensive industries.</w:t>
      </w:r>
    </w:p>
    <w:p w14:paraId="4B823F81" w14:textId="5575C328" w:rsidR="000E5678" w:rsidRPr="00244D65" w:rsidRDefault="005E39D1" w:rsidP="0085595C">
      <w:pPr>
        <w:rPr>
          <w:noProof/>
          <w:lang w:eastAsia="en-IE"/>
        </w:rPr>
      </w:pPr>
      <w:r>
        <w:rPr>
          <w:noProof/>
          <w:lang w:eastAsia="en-IE"/>
        </w:rPr>
        <w:t xml:space="preserve">Given that both cap trajectories converge by 2040, the anticipation of investment needs under CAP3 translates into a flipside effect in the second part of the decade (2036-2040), where investment needs in the energy system are generally higher under the CAP2 than under CAP3, both on the supply side and for industry. </w:t>
      </w:r>
    </w:p>
    <w:p w14:paraId="620332D5" w14:textId="23B31F67" w:rsidR="00AE07BD" w:rsidRPr="00244D65" w:rsidRDefault="002038CE" w:rsidP="0085595C">
      <w:pPr>
        <w:rPr>
          <w:noProof/>
          <w:lang w:eastAsia="en-GB"/>
        </w:rPr>
      </w:pPr>
      <w:r>
        <w:rPr>
          <w:noProof/>
          <w:lang w:eastAsia="en-IE"/>
        </w:rPr>
        <w:t xml:space="preserve">On average over the whole decade, both models find </w:t>
      </w:r>
      <w:r>
        <w:rPr>
          <w:noProof/>
          <w:lang w:eastAsia="en-GB"/>
        </w:rPr>
        <w:t>that</w:t>
      </w:r>
      <w:r>
        <w:rPr>
          <w:noProof/>
          <w:lang w:eastAsia="en-IE"/>
        </w:rPr>
        <w:t xml:space="preserve"> average annual investment needs in ETS1 sectors are not significantly affected by the cap trajectory, with relative changes within a narrow </w:t>
      </w:r>
      <w:r>
        <w:rPr>
          <w:noProof/>
          <w:lang w:eastAsia="en-IE"/>
        </w:rPr>
        <w:noBreakHyphen/>
        <w:t>2%/+2% range for supply side and very small for investment in industry.</w:t>
      </w:r>
    </w:p>
    <w:p w14:paraId="67D03943" w14:textId="77777777" w:rsidR="005D7ADB" w:rsidRPr="00244D65" w:rsidRDefault="005D7ADB" w:rsidP="0085595C">
      <w:pPr>
        <w:rPr>
          <w:i/>
          <w:noProof/>
        </w:rPr>
      </w:pPr>
      <w:r>
        <w:rPr>
          <w:noProof/>
          <w:lang w:eastAsia="en-GB"/>
        </w:rPr>
        <w:t xml:space="preserve">For </w:t>
      </w:r>
      <w:r>
        <w:rPr>
          <w:noProof/>
        </w:rPr>
        <w:t>the CAP4 “accelerated 9085” scenario</w:t>
      </w:r>
      <w:r>
        <w:rPr>
          <w:noProof/>
          <w:lang w:eastAsia="en-GB"/>
        </w:rPr>
        <w:t xml:space="preserve">, investments are estimated to be significantly higher in the first half of the decade than under the CAP 3 “9085” scenario, but lower in the second half of the decade. Over the whole decade (2031-2040), average annual investment needs on the supply side and in industry are slightly higher in the </w:t>
      </w:r>
      <w:r>
        <w:rPr>
          <w:noProof/>
        </w:rPr>
        <w:t>CAP4 “accelerated 9085” scenario</w:t>
      </w:r>
      <w:r>
        <w:rPr>
          <w:noProof/>
          <w:lang w:eastAsia="en-GB"/>
        </w:rPr>
        <w:t>.</w:t>
      </w:r>
    </w:p>
    <w:p w14:paraId="3A31ADB6" w14:textId="77777777" w:rsidR="005D7ADB" w:rsidRPr="00244D65" w:rsidRDefault="005D7ADB" w:rsidP="00244D65">
      <w:pPr>
        <w:pStyle w:val="Tabletitle"/>
        <w:rPr>
          <w:noProof/>
        </w:rPr>
      </w:pPr>
      <w:r>
        <w:rPr>
          <w:noProof/>
        </w:rPr>
        <w:t xml:space="preserve">Investment needs in ETS sectors, deviation of the CAP4 “accelerated 9085” scenario and CAP2 “85%” scenario relative to CAP 3 “9085” scenario </w:t>
      </w:r>
    </w:p>
    <w:tbl>
      <w:tblPr>
        <w:tblStyle w:val="TableGrid"/>
        <w:tblW w:w="5000" w:type="pct"/>
        <w:jc w:val="center"/>
        <w:tblLook w:val="04A0" w:firstRow="1" w:lastRow="0" w:firstColumn="1" w:lastColumn="0" w:noHBand="0" w:noVBand="1"/>
      </w:tblPr>
      <w:tblGrid>
        <w:gridCol w:w="2498"/>
        <w:gridCol w:w="2497"/>
        <w:gridCol w:w="1457"/>
        <w:gridCol w:w="1282"/>
        <w:gridCol w:w="1282"/>
      </w:tblGrid>
      <w:tr w:rsidR="005D7ADB" w:rsidRPr="00244D65" w14:paraId="203C0810" w14:textId="77777777">
        <w:trPr>
          <w:jc w:val="center"/>
        </w:trPr>
        <w:tc>
          <w:tcPr>
            <w:tcW w:w="1385" w:type="pct"/>
            <w:tcBorders>
              <w:top w:val="single" w:sz="4" w:space="0" w:color="auto"/>
              <w:left w:val="single" w:sz="4" w:space="0" w:color="auto"/>
              <w:bottom w:val="single" w:sz="4" w:space="0" w:color="auto"/>
              <w:right w:val="single" w:sz="4" w:space="0" w:color="auto"/>
            </w:tcBorders>
          </w:tcPr>
          <w:p w14:paraId="1EE1E7F3" w14:textId="77777777" w:rsidR="005D7ADB" w:rsidRPr="00244D65" w:rsidRDefault="005D7ADB" w:rsidP="0085595C">
            <w:pPr>
              <w:rPr>
                <w:noProof/>
              </w:rPr>
            </w:pPr>
          </w:p>
        </w:tc>
        <w:tc>
          <w:tcPr>
            <w:tcW w:w="1385" w:type="pct"/>
            <w:tcBorders>
              <w:top w:val="single" w:sz="4" w:space="0" w:color="auto"/>
              <w:left w:val="single" w:sz="4" w:space="0" w:color="auto"/>
              <w:bottom w:val="single" w:sz="4" w:space="0" w:color="auto"/>
              <w:right w:val="single" w:sz="4" w:space="0" w:color="auto"/>
            </w:tcBorders>
          </w:tcPr>
          <w:p w14:paraId="5B8C1E08" w14:textId="77777777" w:rsidR="005D7ADB" w:rsidRPr="00244D65" w:rsidRDefault="005D7ADB" w:rsidP="0085595C">
            <w:pPr>
              <w:rPr>
                <w:noProof/>
              </w:rPr>
            </w:pPr>
          </w:p>
        </w:tc>
        <w:tc>
          <w:tcPr>
            <w:tcW w:w="808" w:type="pct"/>
            <w:tcBorders>
              <w:top w:val="single" w:sz="4" w:space="0" w:color="auto"/>
              <w:left w:val="single" w:sz="4" w:space="0" w:color="auto"/>
              <w:bottom w:val="single" w:sz="4" w:space="0" w:color="auto"/>
              <w:right w:val="single" w:sz="4" w:space="0" w:color="auto"/>
            </w:tcBorders>
          </w:tcPr>
          <w:p w14:paraId="2969010F" w14:textId="77777777" w:rsidR="005D7ADB" w:rsidRPr="00244D65" w:rsidRDefault="005D7ADB" w:rsidP="0085595C">
            <w:pPr>
              <w:jc w:val="center"/>
              <w:rPr>
                <w:noProof/>
                <w:sz w:val="22"/>
                <w:szCs w:val="22"/>
              </w:rPr>
            </w:pPr>
            <w:r>
              <w:rPr>
                <w:b/>
                <w:noProof/>
                <w:sz w:val="22"/>
                <w:szCs w:val="22"/>
                <w:lang w:eastAsia="en-GB"/>
              </w:rPr>
              <w:t>2031-2035</w:t>
            </w:r>
          </w:p>
        </w:tc>
        <w:tc>
          <w:tcPr>
            <w:tcW w:w="711" w:type="pct"/>
            <w:tcBorders>
              <w:top w:val="single" w:sz="4" w:space="0" w:color="auto"/>
              <w:left w:val="single" w:sz="4" w:space="0" w:color="auto"/>
              <w:bottom w:val="single" w:sz="4" w:space="0" w:color="auto"/>
              <w:right w:val="single" w:sz="4" w:space="0" w:color="auto"/>
            </w:tcBorders>
          </w:tcPr>
          <w:p w14:paraId="3C5A625C" w14:textId="77777777" w:rsidR="005D7ADB" w:rsidRPr="00244D65" w:rsidRDefault="005D7ADB" w:rsidP="0085595C">
            <w:pPr>
              <w:jc w:val="center"/>
              <w:rPr>
                <w:noProof/>
                <w:sz w:val="22"/>
                <w:szCs w:val="22"/>
              </w:rPr>
            </w:pPr>
            <w:r>
              <w:rPr>
                <w:b/>
                <w:noProof/>
                <w:sz w:val="22"/>
                <w:szCs w:val="22"/>
                <w:lang w:eastAsia="en-GB"/>
              </w:rPr>
              <w:t>2036-2040</w:t>
            </w:r>
          </w:p>
        </w:tc>
        <w:tc>
          <w:tcPr>
            <w:tcW w:w="711" w:type="pct"/>
            <w:tcBorders>
              <w:top w:val="single" w:sz="4" w:space="0" w:color="auto"/>
              <w:left w:val="single" w:sz="4" w:space="0" w:color="auto"/>
              <w:bottom w:val="single" w:sz="4" w:space="0" w:color="auto"/>
              <w:right w:val="single" w:sz="4" w:space="0" w:color="auto"/>
            </w:tcBorders>
          </w:tcPr>
          <w:p w14:paraId="727C28F4" w14:textId="77777777" w:rsidR="005D7ADB" w:rsidRPr="00244D65" w:rsidRDefault="005D7ADB" w:rsidP="0085595C">
            <w:pPr>
              <w:jc w:val="center"/>
              <w:rPr>
                <w:noProof/>
                <w:sz w:val="22"/>
                <w:szCs w:val="22"/>
              </w:rPr>
            </w:pPr>
            <w:r>
              <w:rPr>
                <w:b/>
                <w:noProof/>
                <w:sz w:val="22"/>
                <w:szCs w:val="22"/>
                <w:lang w:eastAsia="en-GB"/>
              </w:rPr>
              <w:t>2031-2040</w:t>
            </w:r>
          </w:p>
        </w:tc>
      </w:tr>
      <w:tr w:rsidR="005D7ADB" w:rsidRPr="00244D65" w14:paraId="445715A6" w14:textId="77777777">
        <w:trPr>
          <w:jc w:val="center"/>
        </w:trPr>
        <w:tc>
          <w:tcPr>
            <w:tcW w:w="1385" w:type="pct"/>
            <w:vMerge w:val="restart"/>
            <w:tcBorders>
              <w:top w:val="single" w:sz="4" w:space="0" w:color="auto"/>
              <w:left w:val="single" w:sz="4" w:space="0" w:color="auto"/>
              <w:right w:val="single" w:sz="4" w:space="0" w:color="auto"/>
            </w:tcBorders>
          </w:tcPr>
          <w:p w14:paraId="3A0E052F" w14:textId="77777777" w:rsidR="005D7ADB" w:rsidRPr="00244D65" w:rsidRDefault="005D7ADB" w:rsidP="0085595C">
            <w:pPr>
              <w:rPr>
                <w:noProof/>
              </w:rPr>
            </w:pPr>
            <w:r>
              <w:rPr>
                <w:noProof/>
              </w:rPr>
              <w:t>CAP4 “accelerated 9085” scenario relative to CAP 3 “9085” scenario</w:t>
            </w:r>
          </w:p>
        </w:tc>
        <w:tc>
          <w:tcPr>
            <w:tcW w:w="1385" w:type="pct"/>
            <w:tcBorders>
              <w:top w:val="single" w:sz="4" w:space="0" w:color="auto"/>
              <w:left w:val="single" w:sz="4" w:space="0" w:color="auto"/>
              <w:bottom w:val="single" w:sz="4" w:space="0" w:color="auto"/>
              <w:right w:val="single" w:sz="4" w:space="0" w:color="auto"/>
            </w:tcBorders>
          </w:tcPr>
          <w:p w14:paraId="46E9BED4" w14:textId="77777777" w:rsidR="005D7ADB" w:rsidRPr="00244D65" w:rsidRDefault="005D7ADB" w:rsidP="0085595C">
            <w:pPr>
              <w:rPr>
                <w:b/>
                <w:noProof/>
                <w:sz w:val="22"/>
                <w:szCs w:val="22"/>
                <w:lang w:eastAsia="en-GB"/>
              </w:rPr>
            </w:pPr>
            <w:r>
              <w:rPr>
                <w:b/>
                <w:noProof/>
                <w:sz w:val="22"/>
                <w:szCs w:val="22"/>
                <w:lang w:eastAsia="en-GB"/>
              </w:rPr>
              <w:t>Supply</w:t>
            </w:r>
            <w:r>
              <w:rPr>
                <w:b/>
                <w:bCs/>
                <w:noProof/>
                <w:sz w:val="22"/>
                <w:szCs w:val="22"/>
                <w:lang w:eastAsia="en-GB"/>
              </w:rPr>
              <w:t>*</w:t>
            </w:r>
          </w:p>
        </w:tc>
        <w:tc>
          <w:tcPr>
            <w:tcW w:w="808" w:type="pct"/>
            <w:tcBorders>
              <w:top w:val="single" w:sz="4" w:space="0" w:color="auto"/>
              <w:left w:val="single" w:sz="4" w:space="0" w:color="auto"/>
              <w:bottom w:val="single" w:sz="4" w:space="0" w:color="auto"/>
              <w:right w:val="single" w:sz="4" w:space="0" w:color="auto"/>
            </w:tcBorders>
          </w:tcPr>
          <w:p w14:paraId="104AB44B" w14:textId="77777777" w:rsidR="005D7ADB" w:rsidRPr="00244D65" w:rsidRDefault="005D7ADB" w:rsidP="0085595C">
            <w:pPr>
              <w:jc w:val="center"/>
              <w:rPr>
                <w:noProof/>
                <w:sz w:val="22"/>
                <w:szCs w:val="22"/>
                <w:lang w:eastAsia="en-GB"/>
              </w:rPr>
            </w:pPr>
            <w:r>
              <w:rPr>
                <w:noProof/>
                <w:sz w:val="22"/>
                <w:szCs w:val="22"/>
              </w:rPr>
              <w:t>+17%</w:t>
            </w:r>
          </w:p>
        </w:tc>
        <w:tc>
          <w:tcPr>
            <w:tcW w:w="711" w:type="pct"/>
            <w:tcBorders>
              <w:top w:val="single" w:sz="4" w:space="0" w:color="auto"/>
              <w:left w:val="single" w:sz="4" w:space="0" w:color="auto"/>
              <w:bottom w:val="single" w:sz="4" w:space="0" w:color="auto"/>
              <w:right w:val="single" w:sz="4" w:space="0" w:color="auto"/>
            </w:tcBorders>
          </w:tcPr>
          <w:p w14:paraId="1CF35C97" w14:textId="77777777" w:rsidR="005D7ADB" w:rsidRPr="00244D65" w:rsidRDefault="005D7ADB" w:rsidP="0085595C">
            <w:pPr>
              <w:jc w:val="center"/>
              <w:rPr>
                <w:noProof/>
                <w:sz w:val="22"/>
                <w:szCs w:val="22"/>
                <w:lang w:eastAsia="en-GB"/>
              </w:rPr>
            </w:pPr>
            <w:r>
              <w:rPr>
                <w:noProof/>
                <w:sz w:val="22"/>
                <w:szCs w:val="22"/>
              </w:rPr>
              <w:t>-8%</w:t>
            </w:r>
          </w:p>
        </w:tc>
        <w:tc>
          <w:tcPr>
            <w:tcW w:w="711" w:type="pct"/>
            <w:tcBorders>
              <w:top w:val="single" w:sz="4" w:space="0" w:color="auto"/>
              <w:left w:val="single" w:sz="4" w:space="0" w:color="auto"/>
              <w:bottom w:val="single" w:sz="4" w:space="0" w:color="auto"/>
              <w:right w:val="single" w:sz="4" w:space="0" w:color="auto"/>
            </w:tcBorders>
          </w:tcPr>
          <w:p w14:paraId="3F33E14D" w14:textId="77777777" w:rsidR="005D7ADB" w:rsidRPr="00244D65" w:rsidRDefault="005D7ADB" w:rsidP="0085595C">
            <w:pPr>
              <w:jc w:val="center"/>
              <w:rPr>
                <w:noProof/>
                <w:sz w:val="22"/>
                <w:szCs w:val="22"/>
                <w:lang w:eastAsia="en-GB"/>
              </w:rPr>
            </w:pPr>
            <w:r>
              <w:rPr>
                <w:noProof/>
                <w:sz w:val="22"/>
                <w:szCs w:val="22"/>
              </w:rPr>
              <w:t>+4%</w:t>
            </w:r>
          </w:p>
        </w:tc>
      </w:tr>
      <w:tr w:rsidR="005D7ADB" w:rsidRPr="00244D65" w14:paraId="4BFA658B" w14:textId="77777777">
        <w:trPr>
          <w:jc w:val="center"/>
        </w:trPr>
        <w:tc>
          <w:tcPr>
            <w:tcW w:w="1385" w:type="pct"/>
            <w:vMerge/>
            <w:tcBorders>
              <w:left w:val="single" w:sz="4" w:space="0" w:color="auto"/>
              <w:right w:val="single" w:sz="4" w:space="0" w:color="auto"/>
            </w:tcBorders>
          </w:tcPr>
          <w:p w14:paraId="5BE65081" w14:textId="77777777" w:rsidR="005D7ADB" w:rsidRPr="00244D65" w:rsidRDefault="005D7ADB" w:rsidP="0085595C">
            <w:pPr>
              <w:rPr>
                <w:b/>
                <w:noProof/>
                <w:sz w:val="22"/>
                <w:szCs w:val="22"/>
                <w:lang w:eastAsia="en-GB"/>
              </w:rPr>
            </w:pPr>
          </w:p>
        </w:tc>
        <w:tc>
          <w:tcPr>
            <w:tcW w:w="1385" w:type="pct"/>
            <w:tcBorders>
              <w:top w:val="single" w:sz="4" w:space="0" w:color="auto"/>
              <w:left w:val="single" w:sz="4" w:space="0" w:color="auto"/>
              <w:bottom w:val="single" w:sz="4" w:space="0" w:color="auto"/>
              <w:right w:val="single" w:sz="4" w:space="0" w:color="auto"/>
            </w:tcBorders>
          </w:tcPr>
          <w:p w14:paraId="2DAB3E7B" w14:textId="77777777" w:rsidR="005D7ADB" w:rsidRPr="00244D65" w:rsidRDefault="005D7ADB" w:rsidP="0085595C">
            <w:pPr>
              <w:rPr>
                <w:b/>
                <w:noProof/>
                <w:sz w:val="22"/>
                <w:szCs w:val="22"/>
                <w:lang w:eastAsia="en-GB"/>
              </w:rPr>
            </w:pPr>
            <w:r>
              <w:rPr>
                <w:b/>
                <w:noProof/>
                <w:sz w:val="22"/>
                <w:szCs w:val="22"/>
                <w:lang w:eastAsia="en-GB"/>
              </w:rPr>
              <w:t>Industry</w:t>
            </w:r>
          </w:p>
        </w:tc>
        <w:tc>
          <w:tcPr>
            <w:tcW w:w="808" w:type="pct"/>
            <w:tcBorders>
              <w:top w:val="single" w:sz="4" w:space="0" w:color="auto"/>
              <w:left w:val="single" w:sz="4" w:space="0" w:color="auto"/>
              <w:bottom w:val="single" w:sz="4" w:space="0" w:color="auto"/>
              <w:right w:val="single" w:sz="4" w:space="0" w:color="auto"/>
            </w:tcBorders>
          </w:tcPr>
          <w:p w14:paraId="1D88B174" w14:textId="77777777" w:rsidR="005D7ADB" w:rsidRPr="00244D65" w:rsidRDefault="005D7ADB" w:rsidP="0085595C">
            <w:pPr>
              <w:jc w:val="center"/>
              <w:rPr>
                <w:noProof/>
                <w:sz w:val="22"/>
                <w:szCs w:val="22"/>
                <w:lang w:eastAsia="en-GB"/>
              </w:rPr>
            </w:pPr>
            <w:r>
              <w:rPr>
                <w:noProof/>
                <w:sz w:val="22"/>
                <w:szCs w:val="22"/>
              </w:rPr>
              <w:t xml:space="preserve"> +12%</w:t>
            </w:r>
          </w:p>
        </w:tc>
        <w:tc>
          <w:tcPr>
            <w:tcW w:w="711" w:type="pct"/>
            <w:tcBorders>
              <w:top w:val="single" w:sz="4" w:space="0" w:color="auto"/>
              <w:left w:val="single" w:sz="4" w:space="0" w:color="auto"/>
              <w:bottom w:val="single" w:sz="4" w:space="0" w:color="auto"/>
              <w:right w:val="single" w:sz="4" w:space="0" w:color="auto"/>
            </w:tcBorders>
          </w:tcPr>
          <w:p w14:paraId="200C6E88" w14:textId="77777777" w:rsidR="005D7ADB" w:rsidRPr="00244D65" w:rsidRDefault="005D7ADB" w:rsidP="0085595C">
            <w:pPr>
              <w:jc w:val="center"/>
              <w:rPr>
                <w:noProof/>
                <w:sz w:val="22"/>
                <w:szCs w:val="22"/>
                <w:lang w:eastAsia="en-GB"/>
              </w:rPr>
            </w:pPr>
            <w:r>
              <w:rPr>
                <w:noProof/>
                <w:sz w:val="22"/>
                <w:szCs w:val="22"/>
              </w:rPr>
              <w:t>-7%</w:t>
            </w:r>
          </w:p>
        </w:tc>
        <w:tc>
          <w:tcPr>
            <w:tcW w:w="711" w:type="pct"/>
            <w:tcBorders>
              <w:top w:val="single" w:sz="4" w:space="0" w:color="auto"/>
              <w:left w:val="single" w:sz="4" w:space="0" w:color="auto"/>
              <w:bottom w:val="single" w:sz="4" w:space="0" w:color="auto"/>
              <w:right w:val="single" w:sz="4" w:space="0" w:color="auto"/>
            </w:tcBorders>
          </w:tcPr>
          <w:p w14:paraId="17F92483" w14:textId="77777777" w:rsidR="005D7ADB" w:rsidRPr="00244D65" w:rsidRDefault="005D7ADB" w:rsidP="0085595C">
            <w:pPr>
              <w:jc w:val="center"/>
              <w:rPr>
                <w:noProof/>
                <w:sz w:val="22"/>
                <w:szCs w:val="22"/>
                <w:lang w:eastAsia="en-GB"/>
              </w:rPr>
            </w:pPr>
            <w:r>
              <w:rPr>
                <w:noProof/>
                <w:sz w:val="22"/>
                <w:szCs w:val="22"/>
              </w:rPr>
              <w:t>+2%</w:t>
            </w:r>
          </w:p>
        </w:tc>
      </w:tr>
      <w:tr w:rsidR="005D7ADB" w:rsidRPr="00244D65" w14:paraId="15AAD3B9" w14:textId="77777777">
        <w:trPr>
          <w:jc w:val="center"/>
        </w:trPr>
        <w:tc>
          <w:tcPr>
            <w:tcW w:w="1385" w:type="pct"/>
            <w:vMerge/>
            <w:tcBorders>
              <w:left w:val="single" w:sz="4" w:space="0" w:color="auto"/>
              <w:right w:val="single" w:sz="4" w:space="0" w:color="auto"/>
            </w:tcBorders>
          </w:tcPr>
          <w:p w14:paraId="601668ED" w14:textId="77777777" w:rsidR="005D7ADB" w:rsidRPr="00244D65" w:rsidRDefault="005D7ADB" w:rsidP="0085595C">
            <w:pPr>
              <w:rPr>
                <w:noProof/>
                <w:sz w:val="22"/>
                <w:szCs w:val="22"/>
                <w:lang w:eastAsia="en-GB"/>
              </w:rPr>
            </w:pPr>
          </w:p>
        </w:tc>
        <w:tc>
          <w:tcPr>
            <w:tcW w:w="1385" w:type="pct"/>
            <w:tcBorders>
              <w:top w:val="single" w:sz="4" w:space="0" w:color="auto"/>
              <w:left w:val="single" w:sz="4" w:space="0" w:color="auto"/>
              <w:bottom w:val="single" w:sz="4" w:space="0" w:color="auto"/>
              <w:right w:val="single" w:sz="4" w:space="0" w:color="auto"/>
            </w:tcBorders>
          </w:tcPr>
          <w:p w14:paraId="56C4275C" w14:textId="77777777" w:rsidR="005D7ADB" w:rsidRPr="00244D65" w:rsidRDefault="005D7ADB" w:rsidP="0085595C">
            <w:pPr>
              <w:rPr>
                <w:noProof/>
                <w:sz w:val="22"/>
                <w:szCs w:val="22"/>
                <w:lang w:eastAsia="en-GB"/>
              </w:rPr>
            </w:pPr>
            <w:r>
              <w:rPr>
                <w:noProof/>
                <w:sz w:val="22"/>
                <w:szCs w:val="22"/>
                <w:lang w:eastAsia="en-GB"/>
              </w:rPr>
              <w:t xml:space="preserve">   Energy-intensive</w:t>
            </w:r>
          </w:p>
        </w:tc>
        <w:tc>
          <w:tcPr>
            <w:tcW w:w="808" w:type="pct"/>
            <w:tcBorders>
              <w:top w:val="single" w:sz="4" w:space="0" w:color="auto"/>
              <w:left w:val="single" w:sz="4" w:space="0" w:color="auto"/>
              <w:bottom w:val="single" w:sz="4" w:space="0" w:color="auto"/>
              <w:right w:val="single" w:sz="4" w:space="0" w:color="auto"/>
            </w:tcBorders>
          </w:tcPr>
          <w:p w14:paraId="3E26D767" w14:textId="77777777" w:rsidR="005D7ADB" w:rsidRPr="00244D65" w:rsidRDefault="005D7ADB" w:rsidP="0085595C">
            <w:pPr>
              <w:jc w:val="center"/>
              <w:rPr>
                <w:noProof/>
                <w:sz w:val="22"/>
                <w:szCs w:val="22"/>
                <w:lang w:eastAsia="en-GB"/>
              </w:rPr>
            </w:pPr>
            <w:r>
              <w:rPr>
                <w:noProof/>
                <w:sz w:val="22"/>
                <w:szCs w:val="22"/>
              </w:rPr>
              <w:t>+16%</w:t>
            </w:r>
          </w:p>
        </w:tc>
        <w:tc>
          <w:tcPr>
            <w:tcW w:w="711" w:type="pct"/>
            <w:tcBorders>
              <w:top w:val="single" w:sz="4" w:space="0" w:color="auto"/>
              <w:left w:val="single" w:sz="4" w:space="0" w:color="auto"/>
              <w:bottom w:val="single" w:sz="4" w:space="0" w:color="auto"/>
              <w:right w:val="single" w:sz="4" w:space="0" w:color="auto"/>
            </w:tcBorders>
          </w:tcPr>
          <w:p w14:paraId="7322623B" w14:textId="77777777" w:rsidR="005D7ADB" w:rsidRPr="00244D65" w:rsidRDefault="005D7ADB" w:rsidP="0085595C">
            <w:pPr>
              <w:jc w:val="center"/>
              <w:rPr>
                <w:noProof/>
                <w:sz w:val="22"/>
                <w:szCs w:val="22"/>
                <w:lang w:eastAsia="en-GB"/>
              </w:rPr>
            </w:pPr>
            <w:r>
              <w:rPr>
                <w:noProof/>
                <w:sz w:val="22"/>
                <w:szCs w:val="22"/>
              </w:rPr>
              <w:t>-10%</w:t>
            </w:r>
          </w:p>
        </w:tc>
        <w:tc>
          <w:tcPr>
            <w:tcW w:w="711" w:type="pct"/>
            <w:tcBorders>
              <w:top w:val="single" w:sz="4" w:space="0" w:color="auto"/>
              <w:left w:val="single" w:sz="4" w:space="0" w:color="auto"/>
              <w:bottom w:val="single" w:sz="4" w:space="0" w:color="auto"/>
              <w:right w:val="single" w:sz="4" w:space="0" w:color="auto"/>
            </w:tcBorders>
          </w:tcPr>
          <w:p w14:paraId="091F6D25" w14:textId="77777777" w:rsidR="005D7ADB" w:rsidRPr="00244D65" w:rsidRDefault="005D7ADB" w:rsidP="0085595C">
            <w:pPr>
              <w:jc w:val="center"/>
              <w:rPr>
                <w:noProof/>
                <w:sz w:val="22"/>
                <w:szCs w:val="22"/>
                <w:lang w:eastAsia="en-GB"/>
              </w:rPr>
            </w:pPr>
            <w:r>
              <w:rPr>
                <w:noProof/>
                <w:sz w:val="22"/>
                <w:szCs w:val="22"/>
              </w:rPr>
              <w:t>+2%</w:t>
            </w:r>
          </w:p>
        </w:tc>
      </w:tr>
      <w:tr w:rsidR="005D7ADB" w:rsidRPr="00244D65" w14:paraId="1D80E56B" w14:textId="77777777">
        <w:trPr>
          <w:jc w:val="center"/>
        </w:trPr>
        <w:tc>
          <w:tcPr>
            <w:tcW w:w="1385" w:type="pct"/>
            <w:vMerge/>
            <w:tcBorders>
              <w:left w:val="single" w:sz="4" w:space="0" w:color="auto"/>
              <w:bottom w:val="single" w:sz="4" w:space="0" w:color="auto"/>
              <w:right w:val="single" w:sz="4" w:space="0" w:color="auto"/>
            </w:tcBorders>
          </w:tcPr>
          <w:p w14:paraId="55892B49" w14:textId="77777777" w:rsidR="005D7ADB" w:rsidRPr="00244D65" w:rsidRDefault="005D7ADB" w:rsidP="0085595C">
            <w:pPr>
              <w:rPr>
                <w:noProof/>
                <w:sz w:val="22"/>
                <w:szCs w:val="22"/>
                <w:lang w:eastAsia="en-GB"/>
              </w:rPr>
            </w:pPr>
          </w:p>
        </w:tc>
        <w:tc>
          <w:tcPr>
            <w:tcW w:w="1385" w:type="pct"/>
            <w:tcBorders>
              <w:top w:val="single" w:sz="4" w:space="0" w:color="auto"/>
              <w:left w:val="single" w:sz="4" w:space="0" w:color="auto"/>
              <w:bottom w:val="single" w:sz="4" w:space="0" w:color="auto"/>
              <w:right w:val="single" w:sz="4" w:space="0" w:color="auto"/>
            </w:tcBorders>
          </w:tcPr>
          <w:p w14:paraId="0A4E6983" w14:textId="77777777" w:rsidR="005D7ADB" w:rsidRPr="00244D65" w:rsidRDefault="005D7ADB" w:rsidP="0085595C">
            <w:pPr>
              <w:rPr>
                <w:noProof/>
                <w:sz w:val="22"/>
                <w:szCs w:val="22"/>
                <w:lang w:eastAsia="en-GB"/>
              </w:rPr>
            </w:pPr>
            <w:r>
              <w:rPr>
                <w:noProof/>
                <w:sz w:val="22"/>
                <w:szCs w:val="22"/>
                <w:lang w:eastAsia="en-GB"/>
              </w:rPr>
              <w:t xml:space="preserve">   Non energy-intensive</w:t>
            </w:r>
          </w:p>
        </w:tc>
        <w:tc>
          <w:tcPr>
            <w:tcW w:w="808" w:type="pct"/>
            <w:tcBorders>
              <w:top w:val="single" w:sz="4" w:space="0" w:color="auto"/>
              <w:left w:val="single" w:sz="4" w:space="0" w:color="auto"/>
              <w:bottom w:val="single" w:sz="4" w:space="0" w:color="auto"/>
              <w:right w:val="single" w:sz="4" w:space="0" w:color="auto"/>
            </w:tcBorders>
          </w:tcPr>
          <w:p w14:paraId="7D327FD5" w14:textId="77777777" w:rsidR="005D7ADB" w:rsidRPr="00244D65" w:rsidRDefault="005D7ADB" w:rsidP="0085595C">
            <w:pPr>
              <w:jc w:val="center"/>
              <w:rPr>
                <w:noProof/>
                <w:sz w:val="22"/>
                <w:szCs w:val="22"/>
                <w:lang w:eastAsia="en-GB"/>
              </w:rPr>
            </w:pPr>
            <w:r>
              <w:rPr>
                <w:noProof/>
                <w:sz w:val="22"/>
                <w:szCs w:val="22"/>
              </w:rPr>
              <w:t>+4%</w:t>
            </w:r>
          </w:p>
        </w:tc>
        <w:tc>
          <w:tcPr>
            <w:tcW w:w="711" w:type="pct"/>
            <w:tcBorders>
              <w:top w:val="single" w:sz="4" w:space="0" w:color="auto"/>
              <w:left w:val="single" w:sz="4" w:space="0" w:color="auto"/>
              <w:bottom w:val="single" w:sz="4" w:space="0" w:color="auto"/>
              <w:right w:val="single" w:sz="4" w:space="0" w:color="auto"/>
            </w:tcBorders>
          </w:tcPr>
          <w:p w14:paraId="155F05E4" w14:textId="77777777" w:rsidR="005D7ADB" w:rsidRPr="00244D65" w:rsidRDefault="005D7ADB" w:rsidP="0085595C">
            <w:pPr>
              <w:jc w:val="center"/>
              <w:rPr>
                <w:noProof/>
                <w:sz w:val="22"/>
                <w:szCs w:val="22"/>
                <w:lang w:eastAsia="en-GB"/>
              </w:rPr>
            </w:pPr>
            <w:r>
              <w:rPr>
                <w:noProof/>
                <w:sz w:val="22"/>
                <w:szCs w:val="22"/>
              </w:rPr>
              <w:t>-1%</w:t>
            </w:r>
          </w:p>
        </w:tc>
        <w:tc>
          <w:tcPr>
            <w:tcW w:w="711" w:type="pct"/>
            <w:tcBorders>
              <w:top w:val="single" w:sz="4" w:space="0" w:color="auto"/>
              <w:left w:val="single" w:sz="4" w:space="0" w:color="auto"/>
              <w:bottom w:val="single" w:sz="4" w:space="0" w:color="auto"/>
              <w:right w:val="single" w:sz="4" w:space="0" w:color="auto"/>
            </w:tcBorders>
          </w:tcPr>
          <w:p w14:paraId="7971CAE0" w14:textId="77777777" w:rsidR="005D7ADB" w:rsidRPr="00244D65" w:rsidRDefault="005D7ADB" w:rsidP="0085595C">
            <w:pPr>
              <w:jc w:val="center"/>
              <w:rPr>
                <w:noProof/>
                <w:sz w:val="22"/>
                <w:szCs w:val="22"/>
                <w:lang w:eastAsia="en-GB"/>
              </w:rPr>
            </w:pPr>
            <w:r>
              <w:rPr>
                <w:noProof/>
                <w:sz w:val="22"/>
                <w:szCs w:val="22"/>
              </w:rPr>
              <w:t>+2%</w:t>
            </w:r>
          </w:p>
        </w:tc>
      </w:tr>
      <w:tr w:rsidR="005D7ADB" w:rsidRPr="00244D65" w14:paraId="084A5ABA" w14:textId="77777777">
        <w:trPr>
          <w:jc w:val="center"/>
        </w:trPr>
        <w:tc>
          <w:tcPr>
            <w:tcW w:w="1385" w:type="pct"/>
            <w:vMerge w:val="restart"/>
            <w:tcBorders>
              <w:top w:val="single" w:sz="4" w:space="0" w:color="auto"/>
              <w:left w:val="single" w:sz="4" w:space="0" w:color="auto"/>
              <w:right w:val="single" w:sz="4" w:space="0" w:color="auto"/>
            </w:tcBorders>
          </w:tcPr>
          <w:p w14:paraId="74EDFF07" w14:textId="77777777" w:rsidR="005D7ADB" w:rsidRPr="00244D65" w:rsidRDefault="005D7ADB" w:rsidP="0085595C">
            <w:pPr>
              <w:rPr>
                <w:noProof/>
              </w:rPr>
            </w:pPr>
            <w:r>
              <w:rPr>
                <w:noProof/>
              </w:rPr>
              <w:t xml:space="preserve">CAP 2 “85%” scenario relative to CAP3 “9085” scenario </w:t>
            </w:r>
          </w:p>
        </w:tc>
        <w:tc>
          <w:tcPr>
            <w:tcW w:w="1385" w:type="pct"/>
            <w:tcBorders>
              <w:top w:val="single" w:sz="4" w:space="0" w:color="auto"/>
              <w:left w:val="single" w:sz="4" w:space="0" w:color="auto"/>
              <w:bottom w:val="single" w:sz="4" w:space="0" w:color="auto"/>
              <w:right w:val="single" w:sz="4" w:space="0" w:color="auto"/>
            </w:tcBorders>
          </w:tcPr>
          <w:p w14:paraId="695DA27B" w14:textId="77777777" w:rsidR="005D7ADB" w:rsidRPr="00244D65" w:rsidRDefault="005D7ADB" w:rsidP="0085595C">
            <w:pPr>
              <w:rPr>
                <w:noProof/>
                <w:sz w:val="22"/>
                <w:szCs w:val="22"/>
                <w:lang w:eastAsia="en-GB"/>
              </w:rPr>
            </w:pPr>
            <w:r>
              <w:rPr>
                <w:b/>
                <w:noProof/>
                <w:sz w:val="22"/>
                <w:szCs w:val="22"/>
                <w:lang w:eastAsia="en-GB"/>
              </w:rPr>
              <w:t>Supply</w:t>
            </w:r>
            <w:r>
              <w:rPr>
                <w:b/>
                <w:bCs/>
                <w:noProof/>
                <w:sz w:val="22"/>
                <w:szCs w:val="22"/>
                <w:lang w:eastAsia="en-GB"/>
              </w:rPr>
              <w:t>*</w:t>
            </w:r>
          </w:p>
        </w:tc>
        <w:tc>
          <w:tcPr>
            <w:tcW w:w="808" w:type="pct"/>
            <w:tcBorders>
              <w:top w:val="single" w:sz="4" w:space="0" w:color="auto"/>
              <w:left w:val="single" w:sz="4" w:space="0" w:color="auto"/>
              <w:bottom w:val="single" w:sz="4" w:space="0" w:color="auto"/>
              <w:right w:val="single" w:sz="4" w:space="0" w:color="auto"/>
            </w:tcBorders>
          </w:tcPr>
          <w:p w14:paraId="482F3B19" w14:textId="77777777" w:rsidR="005D7ADB" w:rsidRPr="00244D65" w:rsidRDefault="005D7ADB" w:rsidP="0085595C">
            <w:pPr>
              <w:jc w:val="center"/>
              <w:rPr>
                <w:noProof/>
                <w:sz w:val="22"/>
                <w:szCs w:val="22"/>
              </w:rPr>
            </w:pPr>
            <w:r>
              <w:rPr>
                <w:noProof/>
                <w:sz w:val="22"/>
                <w:szCs w:val="22"/>
              </w:rPr>
              <w:t>-9%</w:t>
            </w:r>
          </w:p>
        </w:tc>
        <w:tc>
          <w:tcPr>
            <w:tcW w:w="711" w:type="pct"/>
            <w:tcBorders>
              <w:top w:val="single" w:sz="4" w:space="0" w:color="auto"/>
              <w:left w:val="single" w:sz="4" w:space="0" w:color="auto"/>
              <w:bottom w:val="single" w:sz="4" w:space="0" w:color="auto"/>
              <w:right w:val="single" w:sz="4" w:space="0" w:color="auto"/>
            </w:tcBorders>
          </w:tcPr>
          <w:p w14:paraId="56FB15EE" w14:textId="77777777" w:rsidR="005D7ADB" w:rsidRPr="00244D65" w:rsidRDefault="005D7ADB" w:rsidP="0085595C">
            <w:pPr>
              <w:jc w:val="center"/>
              <w:rPr>
                <w:noProof/>
                <w:sz w:val="22"/>
                <w:szCs w:val="22"/>
              </w:rPr>
            </w:pPr>
            <w:r>
              <w:rPr>
                <w:noProof/>
                <w:sz w:val="22"/>
                <w:szCs w:val="22"/>
              </w:rPr>
              <w:t>+5%</w:t>
            </w:r>
          </w:p>
        </w:tc>
        <w:tc>
          <w:tcPr>
            <w:tcW w:w="711" w:type="pct"/>
            <w:tcBorders>
              <w:top w:val="single" w:sz="4" w:space="0" w:color="auto"/>
              <w:left w:val="single" w:sz="4" w:space="0" w:color="auto"/>
              <w:bottom w:val="single" w:sz="4" w:space="0" w:color="auto"/>
              <w:right w:val="single" w:sz="4" w:space="0" w:color="auto"/>
            </w:tcBorders>
          </w:tcPr>
          <w:p w14:paraId="79854238" w14:textId="77777777" w:rsidR="005D7ADB" w:rsidRPr="00244D65" w:rsidRDefault="005D7ADB" w:rsidP="0085595C">
            <w:pPr>
              <w:jc w:val="center"/>
              <w:rPr>
                <w:noProof/>
                <w:sz w:val="22"/>
                <w:szCs w:val="22"/>
              </w:rPr>
            </w:pPr>
            <w:r>
              <w:rPr>
                <w:noProof/>
                <w:sz w:val="22"/>
                <w:szCs w:val="22"/>
              </w:rPr>
              <w:t>-2%</w:t>
            </w:r>
          </w:p>
        </w:tc>
      </w:tr>
      <w:tr w:rsidR="005D7ADB" w:rsidRPr="00244D65" w14:paraId="1181BC0B" w14:textId="77777777">
        <w:trPr>
          <w:jc w:val="center"/>
        </w:trPr>
        <w:tc>
          <w:tcPr>
            <w:tcW w:w="1385" w:type="pct"/>
            <w:vMerge/>
            <w:tcBorders>
              <w:left w:val="single" w:sz="4" w:space="0" w:color="auto"/>
              <w:right w:val="single" w:sz="4" w:space="0" w:color="auto"/>
            </w:tcBorders>
          </w:tcPr>
          <w:p w14:paraId="27875921" w14:textId="77777777" w:rsidR="005D7ADB" w:rsidRPr="00244D65" w:rsidRDefault="005D7ADB" w:rsidP="0085595C">
            <w:pPr>
              <w:rPr>
                <w:b/>
                <w:noProof/>
                <w:sz w:val="22"/>
                <w:szCs w:val="22"/>
                <w:lang w:eastAsia="en-GB"/>
              </w:rPr>
            </w:pPr>
          </w:p>
        </w:tc>
        <w:tc>
          <w:tcPr>
            <w:tcW w:w="1385" w:type="pct"/>
            <w:tcBorders>
              <w:top w:val="single" w:sz="4" w:space="0" w:color="auto"/>
              <w:left w:val="single" w:sz="4" w:space="0" w:color="auto"/>
              <w:bottom w:val="single" w:sz="4" w:space="0" w:color="auto"/>
              <w:right w:val="single" w:sz="4" w:space="0" w:color="auto"/>
            </w:tcBorders>
          </w:tcPr>
          <w:p w14:paraId="0E730C60" w14:textId="77777777" w:rsidR="005D7ADB" w:rsidRPr="00244D65" w:rsidRDefault="005D7ADB" w:rsidP="0085595C">
            <w:pPr>
              <w:rPr>
                <w:noProof/>
                <w:sz w:val="22"/>
                <w:szCs w:val="22"/>
                <w:lang w:eastAsia="en-GB"/>
              </w:rPr>
            </w:pPr>
            <w:r>
              <w:rPr>
                <w:b/>
                <w:noProof/>
                <w:sz w:val="22"/>
                <w:szCs w:val="22"/>
                <w:lang w:eastAsia="en-GB"/>
              </w:rPr>
              <w:t>Industry</w:t>
            </w:r>
          </w:p>
        </w:tc>
        <w:tc>
          <w:tcPr>
            <w:tcW w:w="808" w:type="pct"/>
            <w:tcBorders>
              <w:top w:val="single" w:sz="4" w:space="0" w:color="auto"/>
              <w:left w:val="single" w:sz="4" w:space="0" w:color="auto"/>
              <w:bottom w:val="single" w:sz="4" w:space="0" w:color="auto"/>
              <w:right w:val="single" w:sz="4" w:space="0" w:color="auto"/>
            </w:tcBorders>
          </w:tcPr>
          <w:p w14:paraId="6EAE79FE" w14:textId="77777777" w:rsidR="005D7ADB" w:rsidRPr="00244D65" w:rsidRDefault="005D7ADB" w:rsidP="0085595C">
            <w:pPr>
              <w:jc w:val="center"/>
              <w:rPr>
                <w:noProof/>
                <w:sz w:val="22"/>
                <w:szCs w:val="22"/>
              </w:rPr>
            </w:pPr>
            <w:r>
              <w:rPr>
                <w:noProof/>
                <w:sz w:val="22"/>
                <w:szCs w:val="22"/>
              </w:rPr>
              <w:t xml:space="preserve"> -6%</w:t>
            </w:r>
          </w:p>
        </w:tc>
        <w:tc>
          <w:tcPr>
            <w:tcW w:w="711" w:type="pct"/>
            <w:tcBorders>
              <w:top w:val="single" w:sz="4" w:space="0" w:color="auto"/>
              <w:left w:val="single" w:sz="4" w:space="0" w:color="auto"/>
              <w:bottom w:val="single" w:sz="4" w:space="0" w:color="auto"/>
              <w:right w:val="single" w:sz="4" w:space="0" w:color="auto"/>
            </w:tcBorders>
          </w:tcPr>
          <w:p w14:paraId="368AEB2D" w14:textId="77777777" w:rsidR="005D7ADB" w:rsidRPr="00244D65" w:rsidRDefault="005D7ADB" w:rsidP="0085595C">
            <w:pPr>
              <w:jc w:val="center"/>
              <w:rPr>
                <w:noProof/>
                <w:sz w:val="22"/>
                <w:szCs w:val="22"/>
              </w:rPr>
            </w:pPr>
            <w:r>
              <w:rPr>
                <w:noProof/>
                <w:sz w:val="22"/>
                <w:szCs w:val="22"/>
              </w:rPr>
              <w:t>+5%</w:t>
            </w:r>
          </w:p>
        </w:tc>
        <w:tc>
          <w:tcPr>
            <w:tcW w:w="711" w:type="pct"/>
            <w:tcBorders>
              <w:top w:val="single" w:sz="4" w:space="0" w:color="auto"/>
              <w:left w:val="single" w:sz="4" w:space="0" w:color="auto"/>
              <w:bottom w:val="single" w:sz="4" w:space="0" w:color="auto"/>
              <w:right w:val="single" w:sz="4" w:space="0" w:color="auto"/>
            </w:tcBorders>
          </w:tcPr>
          <w:p w14:paraId="0A6CF864" w14:textId="77777777" w:rsidR="005D7ADB" w:rsidRPr="00244D65" w:rsidRDefault="005D7ADB" w:rsidP="0085595C">
            <w:pPr>
              <w:jc w:val="center"/>
              <w:rPr>
                <w:noProof/>
                <w:sz w:val="22"/>
                <w:szCs w:val="22"/>
              </w:rPr>
            </w:pPr>
            <w:r>
              <w:rPr>
                <w:noProof/>
                <w:sz w:val="22"/>
                <w:szCs w:val="22"/>
              </w:rPr>
              <w:t>-0%</w:t>
            </w:r>
          </w:p>
        </w:tc>
      </w:tr>
      <w:tr w:rsidR="005D7ADB" w:rsidRPr="00244D65" w14:paraId="4E23131D" w14:textId="77777777">
        <w:trPr>
          <w:jc w:val="center"/>
        </w:trPr>
        <w:tc>
          <w:tcPr>
            <w:tcW w:w="1385" w:type="pct"/>
            <w:vMerge/>
            <w:tcBorders>
              <w:left w:val="single" w:sz="4" w:space="0" w:color="auto"/>
              <w:right w:val="single" w:sz="4" w:space="0" w:color="auto"/>
            </w:tcBorders>
          </w:tcPr>
          <w:p w14:paraId="3917AFD0" w14:textId="77777777" w:rsidR="005D7ADB" w:rsidRPr="00244D65" w:rsidRDefault="005D7ADB" w:rsidP="0085595C">
            <w:pPr>
              <w:rPr>
                <w:noProof/>
                <w:sz w:val="22"/>
                <w:szCs w:val="22"/>
                <w:lang w:eastAsia="en-GB"/>
              </w:rPr>
            </w:pPr>
          </w:p>
        </w:tc>
        <w:tc>
          <w:tcPr>
            <w:tcW w:w="1385" w:type="pct"/>
            <w:tcBorders>
              <w:top w:val="single" w:sz="4" w:space="0" w:color="auto"/>
              <w:left w:val="single" w:sz="4" w:space="0" w:color="auto"/>
              <w:bottom w:val="single" w:sz="4" w:space="0" w:color="auto"/>
              <w:right w:val="single" w:sz="4" w:space="0" w:color="auto"/>
            </w:tcBorders>
          </w:tcPr>
          <w:p w14:paraId="5CC092C8" w14:textId="77777777" w:rsidR="005D7ADB" w:rsidRPr="00244D65" w:rsidRDefault="005D7ADB" w:rsidP="0085595C">
            <w:pPr>
              <w:rPr>
                <w:noProof/>
                <w:sz w:val="22"/>
                <w:szCs w:val="22"/>
                <w:lang w:eastAsia="en-GB"/>
              </w:rPr>
            </w:pPr>
            <w:r>
              <w:rPr>
                <w:noProof/>
                <w:sz w:val="22"/>
                <w:szCs w:val="22"/>
                <w:lang w:eastAsia="en-GB"/>
              </w:rPr>
              <w:t xml:space="preserve">   Energy-intensive</w:t>
            </w:r>
          </w:p>
        </w:tc>
        <w:tc>
          <w:tcPr>
            <w:tcW w:w="808" w:type="pct"/>
            <w:tcBorders>
              <w:top w:val="single" w:sz="4" w:space="0" w:color="auto"/>
              <w:left w:val="single" w:sz="4" w:space="0" w:color="auto"/>
              <w:bottom w:val="single" w:sz="4" w:space="0" w:color="auto"/>
              <w:right w:val="single" w:sz="4" w:space="0" w:color="auto"/>
            </w:tcBorders>
          </w:tcPr>
          <w:p w14:paraId="62CBE2CA" w14:textId="77777777" w:rsidR="005D7ADB" w:rsidRPr="00244D65" w:rsidRDefault="005D7ADB" w:rsidP="0085595C">
            <w:pPr>
              <w:jc w:val="center"/>
              <w:rPr>
                <w:noProof/>
                <w:sz w:val="22"/>
                <w:szCs w:val="22"/>
              </w:rPr>
            </w:pPr>
            <w:r>
              <w:rPr>
                <w:noProof/>
                <w:sz w:val="22"/>
                <w:szCs w:val="22"/>
              </w:rPr>
              <w:t>-8%</w:t>
            </w:r>
          </w:p>
        </w:tc>
        <w:tc>
          <w:tcPr>
            <w:tcW w:w="711" w:type="pct"/>
            <w:tcBorders>
              <w:top w:val="single" w:sz="4" w:space="0" w:color="auto"/>
              <w:left w:val="single" w:sz="4" w:space="0" w:color="auto"/>
              <w:bottom w:val="single" w:sz="4" w:space="0" w:color="auto"/>
              <w:right w:val="single" w:sz="4" w:space="0" w:color="auto"/>
            </w:tcBorders>
          </w:tcPr>
          <w:p w14:paraId="42C83AF2" w14:textId="77777777" w:rsidR="005D7ADB" w:rsidRPr="00244D65" w:rsidRDefault="005D7ADB" w:rsidP="0085595C">
            <w:pPr>
              <w:jc w:val="center"/>
              <w:rPr>
                <w:noProof/>
                <w:sz w:val="22"/>
                <w:szCs w:val="22"/>
              </w:rPr>
            </w:pPr>
            <w:r>
              <w:rPr>
                <w:noProof/>
                <w:sz w:val="22"/>
                <w:szCs w:val="22"/>
              </w:rPr>
              <w:t>+8%</w:t>
            </w:r>
          </w:p>
        </w:tc>
        <w:tc>
          <w:tcPr>
            <w:tcW w:w="711" w:type="pct"/>
            <w:tcBorders>
              <w:top w:val="single" w:sz="4" w:space="0" w:color="auto"/>
              <w:left w:val="single" w:sz="4" w:space="0" w:color="auto"/>
              <w:bottom w:val="single" w:sz="4" w:space="0" w:color="auto"/>
              <w:right w:val="single" w:sz="4" w:space="0" w:color="auto"/>
            </w:tcBorders>
          </w:tcPr>
          <w:p w14:paraId="168A2E68" w14:textId="77777777" w:rsidR="005D7ADB" w:rsidRPr="00244D65" w:rsidRDefault="005D7ADB" w:rsidP="0085595C">
            <w:pPr>
              <w:jc w:val="center"/>
              <w:rPr>
                <w:noProof/>
                <w:sz w:val="22"/>
                <w:szCs w:val="22"/>
              </w:rPr>
            </w:pPr>
            <w:r>
              <w:rPr>
                <w:noProof/>
                <w:sz w:val="22"/>
                <w:szCs w:val="22"/>
              </w:rPr>
              <w:t>+1%</w:t>
            </w:r>
          </w:p>
        </w:tc>
      </w:tr>
      <w:tr w:rsidR="005D7ADB" w:rsidRPr="00244D65" w14:paraId="5A687E9F" w14:textId="77777777">
        <w:trPr>
          <w:jc w:val="center"/>
        </w:trPr>
        <w:tc>
          <w:tcPr>
            <w:tcW w:w="1385" w:type="pct"/>
            <w:tcBorders>
              <w:left w:val="single" w:sz="4" w:space="0" w:color="auto"/>
              <w:bottom w:val="single" w:sz="4" w:space="0" w:color="auto"/>
              <w:right w:val="single" w:sz="4" w:space="0" w:color="auto"/>
            </w:tcBorders>
          </w:tcPr>
          <w:p w14:paraId="32A11661" w14:textId="77777777" w:rsidR="005D7ADB" w:rsidRPr="00244D65" w:rsidRDefault="005D7ADB" w:rsidP="0085595C">
            <w:pPr>
              <w:rPr>
                <w:noProof/>
                <w:sz w:val="22"/>
                <w:szCs w:val="22"/>
                <w:lang w:eastAsia="en-GB"/>
              </w:rPr>
            </w:pPr>
          </w:p>
        </w:tc>
        <w:tc>
          <w:tcPr>
            <w:tcW w:w="1385" w:type="pct"/>
            <w:tcBorders>
              <w:top w:val="single" w:sz="4" w:space="0" w:color="auto"/>
              <w:left w:val="single" w:sz="4" w:space="0" w:color="auto"/>
              <w:bottom w:val="single" w:sz="4" w:space="0" w:color="auto"/>
              <w:right w:val="single" w:sz="4" w:space="0" w:color="auto"/>
            </w:tcBorders>
          </w:tcPr>
          <w:p w14:paraId="68E44EB8" w14:textId="77777777" w:rsidR="005D7ADB" w:rsidRPr="00244D65" w:rsidRDefault="005D7ADB" w:rsidP="0085595C">
            <w:pPr>
              <w:rPr>
                <w:noProof/>
                <w:sz w:val="22"/>
                <w:szCs w:val="22"/>
                <w:lang w:eastAsia="en-GB"/>
              </w:rPr>
            </w:pPr>
            <w:r>
              <w:rPr>
                <w:noProof/>
                <w:sz w:val="22"/>
                <w:szCs w:val="22"/>
                <w:lang w:eastAsia="en-GB"/>
              </w:rPr>
              <w:t xml:space="preserve">   Non energy-intensive</w:t>
            </w:r>
          </w:p>
        </w:tc>
        <w:tc>
          <w:tcPr>
            <w:tcW w:w="808" w:type="pct"/>
            <w:tcBorders>
              <w:top w:val="single" w:sz="4" w:space="0" w:color="auto"/>
              <w:left w:val="single" w:sz="4" w:space="0" w:color="auto"/>
              <w:bottom w:val="single" w:sz="4" w:space="0" w:color="auto"/>
              <w:right w:val="single" w:sz="4" w:space="0" w:color="auto"/>
            </w:tcBorders>
          </w:tcPr>
          <w:p w14:paraId="19ACCDA0" w14:textId="77777777" w:rsidR="005D7ADB" w:rsidRPr="00244D65" w:rsidRDefault="005D7ADB" w:rsidP="0085595C">
            <w:pPr>
              <w:jc w:val="center"/>
              <w:rPr>
                <w:noProof/>
                <w:sz w:val="22"/>
                <w:szCs w:val="22"/>
              </w:rPr>
            </w:pPr>
            <w:r>
              <w:rPr>
                <w:noProof/>
                <w:sz w:val="22"/>
                <w:szCs w:val="22"/>
              </w:rPr>
              <w:t>-4%</w:t>
            </w:r>
          </w:p>
        </w:tc>
        <w:tc>
          <w:tcPr>
            <w:tcW w:w="711" w:type="pct"/>
            <w:tcBorders>
              <w:top w:val="single" w:sz="4" w:space="0" w:color="auto"/>
              <w:left w:val="single" w:sz="4" w:space="0" w:color="auto"/>
              <w:bottom w:val="single" w:sz="4" w:space="0" w:color="auto"/>
              <w:right w:val="single" w:sz="4" w:space="0" w:color="auto"/>
            </w:tcBorders>
          </w:tcPr>
          <w:p w14:paraId="1559325E" w14:textId="77777777" w:rsidR="005D7ADB" w:rsidRPr="00244D65" w:rsidRDefault="005D7ADB" w:rsidP="0085595C">
            <w:pPr>
              <w:jc w:val="center"/>
              <w:rPr>
                <w:noProof/>
                <w:sz w:val="22"/>
                <w:szCs w:val="22"/>
              </w:rPr>
            </w:pPr>
            <w:r>
              <w:rPr>
                <w:noProof/>
                <w:sz w:val="22"/>
                <w:szCs w:val="22"/>
              </w:rPr>
              <w:t>+0%</w:t>
            </w:r>
          </w:p>
        </w:tc>
        <w:tc>
          <w:tcPr>
            <w:tcW w:w="711" w:type="pct"/>
            <w:tcBorders>
              <w:top w:val="single" w:sz="4" w:space="0" w:color="auto"/>
              <w:left w:val="single" w:sz="4" w:space="0" w:color="auto"/>
              <w:bottom w:val="single" w:sz="4" w:space="0" w:color="auto"/>
              <w:right w:val="single" w:sz="4" w:space="0" w:color="auto"/>
            </w:tcBorders>
          </w:tcPr>
          <w:p w14:paraId="19EDFF51" w14:textId="77777777" w:rsidR="005D7ADB" w:rsidRPr="00244D65" w:rsidRDefault="005D7ADB" w:rsidP="0085595C">
            <w:pPr>
              <w:jc w:val="center"/>
              <w:rPr>
                <w:noProof/>
                <w:sz w:val="22"/>
                <w:szCs w:val="22"/>
              </w:rPr>
            </w:pPr>
            <w:r>
              <w:rPr>
                <w:noProof/>
                <w:sz w:val="22"/>
                <w:szCs w:val="22"/>
              </w:rPr>
              <w:t>-2%</w:t>
            </w:r>
          </w:p>
        </w:tc>
      </w:tr>
    </w:tbl>
    <w:p w14:paraId="75CE7C70" w14:textId="77777777" w:rsidR="005D7ADB" w:rsidRPr="00244D65" w:rsidRDefault="005D7ADB" w:rsidP="0085595C">
      <w:pPr>
        <w:rPr>
          <w:i/>
          <w:noProof/>
          <w:sz w:val="20"/>
          <w:lang w:val="en-IE" w:eastAsia="en-GB"/>
        </w:rPr>
      </w:pPr>
      <w:r>
        <w:rPr>
          <w:i/>
          <w:iCs/>
          <w:noProof/>
          <w:sz w:val="20"/>
          <w:lang w:val="en-IE" w:eastAsia="en-GB"/>
        </w:rPr>
        <w:t xml:space="preserve">*includes power generation and production of new fuels. </w:t>
      </w:r>
      <w:r>
        <w:rPr>
          <w:i/>
          <w:noProof/>
          <w:sz w:val="20"/>
          <w:lang w:val="en-IE" w:eastAsia="en-GB"/>
        </w:rPr>
        <w:t>Source: POTEnCIA model.</w:t>
      </w:r>
    </w:p>
    <w:p w14:paraId="6B1A79C6" w14:textId="04CB88B0" w:rsidR="00EF4864" w:rsidRPr="00244D65" w:rsidRDefault="006A7FAA" w:rsidP="0085595C">
      <w:pPr>
        <w:rPr>
          <w:noProof/>
          <w:lang w:val="en-IE" w:eastAsia="en-GB"/>
        </w:rPr>
      </w:pPr>
      <w:r>
        <w:rPr>
          <w:noProof/>
          <w:lang w:val="en-IE" w:eastAsia="en-GB"/>
        </w:rPr>
        <w:t>A similar pattern is observed in terms of energy system costs for industry.</w:t>
      </w:r>
    </w:p>
    <w:p w14:paraId="12DB054B" w14:textId="77777777" w:rsidR="001B4245" w:rsidRPr="00244D65" w:rsidRDefault="001B4245" w:rsidP="0085595C">
      <w:pPr>
        <w:pStyle w:val="Caption"/>
        <w:spacing w:before="120"/>
        <w:rPr>
          <w:rFonts w:ascii="Times New Roman" w:hAnsi="Times New Roman" w:cs="Times New Roman"/>
          <w:i/>
          <w:iCs/>
          <w:noProof/>
          <w:color w:val="auto"/>
          <w:sz w:val="24"/>
        </w:rPr>
      </w:pPr>
      <w:r>
        <w:rPr>
          <w:rFonts w:ascii="Times New Roman" w:hAnsi="Times New Roman" w:cs="Times New Roman"/>
          <w:noProof/>
          <w:color w:val="auto"/>
          <w:sz w:val="24"/>
        </w:rPr>
        <w:t>The following table shows energy system costs (system costs are annual costs incurred for energy services of end-users including annualised capital costs, variable costs, and fuel costs) as a percentage of GDP for the CAP 3 “9085” scenario</w:t>
      </w:r>
      <w:r>
        <w:rPr>
          <w:rFonts w:ascii="Times New Roman" w:hAnsi="Times New Roman" w:cs="Times New Roman"/>
          <w:noProof/>
          <w:color w:val="auto"/>
          <w:sz w:val="24"/>
          <w:lang w:val="en-US"/>
        </w:rPr>
        <w:t>. </w:t>
      </w:r>
      <w:r>
        <w:rPr>
          <w:rFonts w:ascii="Times New Roman" w:hAnsi="Times New Roman" w:cs="Times New Roman"/>
          <w:noProof/>
          <w:color w:val="auto"/>
          <w:sz w:val="24"/>
        </w:rPr>
        <w:t>Energy system costs take into account both the capital costs of investments and potential economic savings in (fossil) energy expenditures, as experienced by the economic actors in a given year, over their foresight period.  The numbers shown are a range of results of PRIMES and POTEnCIA models, illustrating the intrinsic uncertainties involved.</w:t>
      </w:r>
    </w:p>
    <w:p w14:paraId="752A4C0D" w14:textId="3D6469C8" w:rsidR="002A2E74" w:rsidRPr="00244D65" w:rsidRDefault="001B4245" w:rsidP="00244D65">
      <w:pPr>
        <w:pStyle w:val="Tabletitle"/>
        <w:rPr>
          <w:noProof/>
        </w:rPr>
      </w:pPr>
      <w:r>
        <w:rPr>
          <w:noProof/>
        </w:rPr>
        <w:t xml:space="preserve">Energy system costs as % of GDP in the </w:t>
      </w:r>
      <w:r>
        <w:rPr>
          <w:iCs/>
          <w:noProof/>
          <w:sz w:val="24"/>
          <w:szCs w:val="20"/>
          <w:lang w:eastAsia="en-GB"/>
        </w:rPr>
        <w:t>CAP 3 “9085” scenario</w:t>
      </w:r>
    </w:p>
    <w:tbl>
      <w:tblPr>
        <w:tblW w:w="5000" w:type="pct"/>
        <w:tblLook w:val="04A0" w:firstRow="1" w:lastRow="0" w:firstColumn="1" w:lastColumn="0" w:noHBand="0" w:noVBand="1"/>
      </w:tblPr>
      <w:tblGrid>
        <w:gridCol w:w="4294"/>
        <w:gridCol w:w="1535"/>
        <w:gridCol w:w="1654"/>
        <w:gridCol w:w="1533"/>
      </w:tblGrid>
      <w:tr w:rsidR="001B4245" w:rsidRPr="00244D65" w14:paraId="6CCBF9DE" w14:textId="77777777">
        <w:trPr>
          <w:trHeight w:val="560"/>
        </w:trPr>
        <w:tc>
          <w:tcPr>
            <w:tcW w:w="2382" w:type="pct"/>
            <w:tcBorders>
              <w:top w:val="single" w:sz="4" w:space="0" w:color="auto"/>
              <w:left w:val="single" w:sz="4" w:space="0" w:color="auto"/>
              <w:bottom w:val="single" w:sz="4" w:space="0" w:color="auto"/>
              <w:right w:val="single" w:sz="4" w:space="0" w:color="auto"/>
            </w:tcBorders>
            <w:vAlign w:val="center"/>
            <w:hideMark/>
          </w:tcPr>
          <w:p w14:paraId="3EAC4AA7" w14:textId="77777777" w:rsidR="001B4245" w:rsidRPr="00244D65" w:rsidRDefault="001B4245" w:rsidP="0085595C">
            <w:pPr>
              <w:jc w:val="left"/>
              <w:rPr>
                <w:noProof/>
                <w:sz w:val="22"/>
                <w:szCs w:val="22"/>
                <w:lang w:val="en-IE" w:eastAsia="en-IE"/>
              </w:rPr>
            </w:pPr>
            <w:r>
              <w:rPr>
                <w:noProof/>
                <w:sz w:val="22"/>
                <w:szCs w:val="22"/>
                <w:lang w:val="en-IE" w:eastAsia="en-IE"/>
              </w:rPr>
              <w:t>Energy system costs as % GDP (including auction payments)</w:t>
            </w:r>
          </w:p>
        </w:tc>
        <w:tc>
          <w:tcPr>
            <w:tcW w:w="851" w:type="pct"/>
            <w:tcBorders>
              <w:top w:val="single" w:sz="4" w:space="0" w:color="auto"/>
              <w:left w:val="nil"/>
              <w:bottom w:val="single" w:sz="4" w:space="0" w:color="auto"/>
              <w:right w:val="single" w:sz="4" w:space="0" w:color="auto"/>
            </w:tcBorders>
            <w:shd w:val="clear" w:color="000000" w:fill="FFFFFF"/>
            <w:noWrap/>
            <w:vAlign w:val="center"/>
            <w:hideMark/>
          </w:tcPr>
          <w:p w14:paraId="72B8B76A" w14:textId="77777777" w:rsidR="001B4245" w:rsidRPr="00244D65" w:rsidRDefault="001B4245" w:rsidP="0085595C">
            <w:pPr>
              <w:jc w:val="center"/>
              <w:rPr>
                <w:noProof/>
                <w:sz w:val="22"/>
                <w:szCs w:val="22"/>
                <w:lang w:val="en-IE" w:eastAsia="en-IE"/>
              </w:rPr>
            </w:pPr>
            <w:r>
              <w:rPr>
                <w:noProof/>
                <w:sz w:val="22"/>
                <w:szCs w:val="22"/>
                <w:lang w:val="en-IE" w:eastAsia="en-IE"/>
              </w:rPr>
              <w:t>2030</w:t>
            </w:r>
          </w:p>
        </w:tc>
        <w:tc>
          <w:tcPr>
            <w:tcW w:w="917" w:type="pct"/>
            <w:tcBorders>
              <w:top w:val="single" w:sz="4" w:space="0" w:color="auto"/>
              <w:left w:val="nil"/>
              <w:bottom w:val="single" w:sz="4" w:space="0" w:color="auto"/>
              <w:right w:val="single" w:sz="4" w:space="0" w:color="auto"/>
            </w:tcBorders>
            <w:shd w:val="clear" w:color="000000" w:fill="FFFFFF"/>
            <w:noWrap/>
            <w:vAlign w:val="center"/>
            <w:hideMark/>
          </w:tcPr>
          <w:p w14:paraId="33615A0A" w14:textId="77777777" w:rsidR="001B4245" w:rsidRPr="00244D65" w:rsidRDefault="001B4245" w:rsidP="0085595C">
            <w:pPr>
              <w:jc w:val="center"/>
              <w:rPr>
                <w:noProof/>
                <w:sz w:val="22"/>
                <w:szCs w:val="22"/>
                <w:lang w:val="en-IE" w:eastAsia="en-IE"/>
              </w:rPr>
            </w:pPr>
            <w:r>
              <w:rPr>
                <w:noProof/>
                <w:sz w:val="22"/>
                <w:szCs w:val="22"/>
                <w:lang w:val="en-IE" w:eastAsia="en-IE"/>
              </w:rPr>
              <w:t>2035</w:t>
            </w:r>
          </w:p>
        </w:tc>
        <w:tc>
          <w:tcPr>
            <w:tcW w:w="851" w:type="pct"/>
            <w:tcBorders>
              <w:top w:val="single" w:sz="4" w:space="0" w:color="auto"/>
              <w:left w:val="nil"/>
              <w:bottom w:val="single" w:sz="4" w:space="0" w:color="auto"/>
              <w:right w:val="single" w:sz="4" w:space="0" w:color="auto"/>
            </w:tcBorders>
            <w:shd w:val="clear" w:color="000000" w:fill="FFFFFF"/>
            <w:noWrap/>
            <w:vAlign w:val="center"/>
            <w:hideMark/>
          </w:tcPr>
          <w:p w14:paraId="38C80747" w14:textId="77777777" w:rsidR="001B4245" w:rsidRPr="00244D65" w:rsidRDefault="001B4245" w:rsidP="0085595C">
            <w:pPr>
              <w:jc w:val="center"/>
              <w:rPr>
                <w:noProof/>
                <w:sz w:val="22"/>
                <w:szCs w:val="22"/>
                <w:lang w:val="en-IE" w:eastAsia="en-IE"/>
              </w:rPr>
            </w:pPr>
            <w:r>
              <w:rPr>
                <w:noProof/>
                <w:sz w:val="22"/>
                <w:szCs w:val="22"/>
                <w:lang w:val="en-IE" w:eastAsia="en-IE"/>
              </w:rPr>
              <w:t>2040</w:t>
            </w:r>
          </w:p>
        </w:tc>
      </w:tr>
      <w:tr w:rsidR="001B4245" w:rsidRPr="00244D65" w14:paraId="394DBE9E" w14:textId="77777777">
        <w:trPr>
          <w:trHeight w:val="290"/>
        </w:trPr>
        <w:tc>
          <w:tcPr>
            <w:tcW w:w="2382" w:type="pct"/>
            <w:tcBorders>
              <w:top w:val="nil"/>
              <w:left w:val="single" w:sz="4" w:space="0" w:color="auto"/>
              <w:bottom w:val="single" w:sz="4" w:space="0" w:color="auto"/>
              <w:right w:val="single" w:sz="4" w:space="0" w:color="auto"/>
            </w:tcBorders>
            <w:noWrap/>
            <w:vAlign w:val="center"/>
            <w:hideMark/>
          </w:tcPr>
          <w:p w14:paraId="683DBA00" w14:textId="77777777" w:rsidR="001B4245" w:rsidRPr="00244D65" w:rsidRDefault="001B4245" w:rsidP="0085595C">
            <w:pPr>
              <w:jc w:val="left"/>
              <w:rPr>
                <w:noProof/>
                <w:sz w:val="22"/>
                <w:szCs w:val="22"/>
                <w:lang w:val="en-IE" w:eastAsia="en-IE"/>
              </w:rPr>
            </w:pPr>
            <w:r>
              <w:rPr>
                <w:noProof/>
                <w:sz w:val="22"/>
                <w:szCs w:val="22"/>
                <w:lang w:val="en-IE" w:eastAsia="en-IE"/>
              </w:rPr>
              <w:t>Industry</w:t>
            </w:r>
          </w:p>
        </w:tc>
        <w:tc>
          <w:tcPr>
            <w:tcW w:w="851" w:type="pct"/>
            <w:tcBorders>
              <w:top w:val="nil"/>
              <w:left w:val="nil"/>
              <w:bottom w:val="single" w:sz="4" w:space="0" w:color="auto"/>
              <w:right w:val="single" w:sz="4" w:space="0" w:color="auto"/>
            </w:tcBorders>
            <w:noWrap/>
            <w:vAlign w:val="center"/>
            <w:hideMark/>
          </w:tcPr>
          <w:p w14:paraId="231571AF" w14:textId="41932DB4" w:rsidR="001B4245" w:rsidRPr="00244D65" w:rsidRDefault="001B4245" w:rsidP="0085595C">
            <w:pPr>
              <w:jc w:val="center"/>
              <w:rPr>
                <w:noProof/>
                <w:sz w:val="22"/>
                <w:szCs w:val="22"/>
                <w:lang w:val="en-IE" w:eastAsia="en-IE"/>
              </w:rPr>
            </w:pPr>
            <w:r>
              <w:rPr>
                <w:noProof/>
                <w:sz w:val="22"/>
                <w:szCs w:val="22"/>
                <w:lang w:val="en-IE" w:eastAsia="en-IE"/>
              </w:rPr>
              <w:t>2.0%; 2.3%</w:t>
            </w:r>
          </w:p>
        </w:tc>
        <w:tc>
          <w:tcPr>
            <w:tcW w:w="917" w:type="pct"/>
            <w:tcBorders>
              <w:top w:val="nil"/>
              <w:left w:val="nil"/>
              <w:bottom w:val="single" w:sz="4" w:space="0" w:color="auto"/>
              <w:right w:val="single" w:sz="4" w:space="0" w:color="auto"/>
            </w:tcBorders>
            <w:noWrap/>
            <w:vAlign w:val="center"/>
            <w:hideMark/>
          </w:tcPr>
          <w:p w14:paraId="08B71EB2" w14:textId="11CF5589" w:rsidR="001B4245" w:rsidRPr="00244D65" w:rsidRDefault="001B4245" w:rsidP="0085595C">
            <w:pPr>
              <w:jc w:val="center"/>
              <w:rPr>
                <w:noProof/>
                <w:sz w:val="22"/>
                <w:szCs w:val="22"/>
                <w:lang w:val="en-IE" w:eastAsia="en-IE"/>
              </w:rPr>
            </w:pPr>
            <w:r>
              <w:rPr>
                <w:noProof/>
                <w:sz w:val="22"/>
                <w:szCs w:val="22"/>
                <w:lang w:val="en-IE" w:eastAsia="en-IE"/>
              </w:rPr>
              <w:t>2.1%; 2.4%</w:t>
            </w:r>
          </w:p>
        </w:tc>
        <w:tc>
          <w:tcPr>
            <w:tcW w:w="851" w:type="pct"/>
            <w:tcBorders>
              <w:top w:val="nil"/>
              <w:left w:val="nil"/>
              <w:bottom w:val="single" w:sz="4" w:space="0" w:color="auto"/>
              <w:right w:val="single" w:sz="4" w:space="0" w:color="auto"/>
            </w:tcBorders>
            <w:noWrap/>
            <w:vAlign w:val="center"/>
            <w:hideMark/>
          </w:tcPr>
          <w:p w14:paraId="74213727" w14:textId="69DFD16D" w:rsidR="001B4245" w:rsidRPr="00244D65" w:rsidRDefault="001B4245" w:rsidP="0085595C">
            <w:pPr>
              <w:jc w:val="center"/>
              <w:rPr>
                <w:noProof/>
                <w:sz w:val="22"/>
                <w:szCs w:val="22"/>
                <w:lang w:val="en-IE" w:eastAsia="en-IE"/>
              </w:rPr>
            </w:pPr>
            <w:r>
              <w:rPr>
                <w:noProof/>
                <w:sz w:val="22"/>
                <w:szCs w:val="22"/>
                <w:lang w:val="en-IE" w:eastAsia="en-IE"/>
              </w:rPr>
              <w:t>2.2%; 2.3%</w:t>
            </w:r>
          </w:p>
        </w:tc>
      </w:tr>
    </w:tbl>
    <w:p w14:paraId="76967927" w14:textId="77777777" w:rsidR="001B4245" w:rsidRPr="00244D65" w:rsidRDefault="001B4245" w:rsidP="0085595C">
      <w:pPr>
        <w:rPr>
          <w:rFonts w:eastAsiaTheme="minorHAnsi"/>
          <w:noProof/>
          <w:sz w:val="22"/>
          <w:szCs w:val="22"/>
        </w:rPr>
      </w:pPr>
      <w:r>
        <w:rPr>
          <w:rFonts w:eastAsiaTheme="minorHAnsi"/>
          <w:i/>
          <w:iCs/>
          <w:noProof/>
          <w:sz w:val="20"/>
          <w:szCs w:val="16"/>
        </w:rPr>
        <w:t>Source: PRIMES and POTEnCIA models. </w:t>
      </w:r>
    </w:p>
    <w:p w14:paraId="05B2D17F" w14:textId="77777777" w:rsidR="001B4245" w:rsidRPr="00244D65" w:rsidRDefault="001B4245" w:rsidP="0085595C">
      <w:pPr>
        <w:rPr>
          <w:noProof/>
          <w:lang w:val="en-IE" w:eastAsia="en-GB"/>
        </w:rPr>
      </w:pPr>
      <w:r>
        <w:rPr>
          <w:noProof/>
          <w:lang w:val="en-IE" w:eastAsia="en-GB"/>
        </w:rPr>
        <w:t xml:space="preserve">The overall energy-related costs in the first half of the decade in the </w:t>
      </w:r>
      <w:r>
        <w:rPr>
          <w:noProof/>
        </w:rPr>
        <w:t xml:space="preserve">CAP4 “accelerated 9085” scenario </w:t>
      </w:r>
      <w:r>
        <w:rPr>
          <w:noProof/>
          <w:lang w:val="en-IE" w:eastAsia="en-GB"/>
        </w:rPr>
        <w:t xml:space="preserve">are around 5.7% higher than under the </w:t>
      </w:r>
      <w:r>
        <w:rPr>
          <w:noProof/>
        </w:rPr>
        <w:t xml:space="preserve">CAP 3 “9085” scenario </w:t>
      </w:r>
      <w:r>
        <w:rPr>
          <w:noProof/>
          <w:lang w:val="en-IE" w:eastAsia="en-GB"/>
        </w:rPr>
        <w:t xml:space="preserve">for energy intensive industries and 2.6% higher for non-energy intensive industries. This is driven essentially by fuel costs, but also capital costs to some extent, due to the anticipation of some level of investment in the first half of the decade. Fuel costs over that period are higher in the </w:t>
      </w:r>
      <w:r>
        <w:rPr>
          <w:noProof/>
        </w:rPr>
        <w:t>CAP4 “accelerated 9085” scenario</w:t>
      </w:r>
      <w:r>
        <w:rPr>
          <w:noProof/>
          <w:lang w:val="en-IE" w:eastAsia="en-GB"/>
        </w:rPr>
        <w:t xml:space="preserve"> than in the </w:t>
      </w:r>
      <w:r>
        <w:rPr>
          <w:noProof/>
        </w:rPr>
        <w:t xml:space="preserve">CAP 3 “9085” scenario </w:t>
      </w:r>
      <w:r>
        <w:rPr>
          <w:noProof/>
          <w:lang w:val="en-IE" w:eastAsia="en-GB"/>
        </w:rPr>
        <w:t xml:space="preserve">due to a more rapid uptake of new fuels and to higher ETS carbon values. However, the redistribution of ETS revenues to decarbonisation of the sector could be used to mitigate this effect (ETS allowances purchasing represents around 60% of the total increase in fuel costs between scenarios over 2031-2035 and around 25% over the entire decade). </w:t>
      </w:r>
    </w:p>
    <w:p w14:paraId="16DE6F32" w14:textId="751533C3" w:rsidR="001B4245" w:rsidRPr="00244D65" w:rsidRDefault="001B4245" w:rsidP="0085595C">
      <w:pPr>
        <w:rPr>
          <w:noProof/>
          <w:lang w:val="en-IE" w:eastAsia="en-GB"/>
        </w:rPr>
      </w:pPr>
      <w:r>
        <w:rPr>
          <w:noProof/>
          <w:lang w:val="en-IE" w:eastAsia="en-GB"/>
        </w:rPr>
        <w:t xml:space="preserve">The relative difference in energy system costs in the period 2036-2040 between both scenarios is limited to less than 2% for industry as a whole. This translates into an energy-related cost for the sector over the entire decade (2031-2040) being 3.4% higher in the </w:t>
      </w:r>
      <w:r>
        <w:rPr>
          <w:noProof/>
        </w:rPr>
        <w:t xml:space="preserve">CAP4 “accelerated 9085” scenario </w:t>
      </w:r>
      <w:r>
        <w:rPr>
          <w:noProof/>
          <w:lang w:val="en-IE" w:eastAsia="en-GB"/>
        </w:rPr>
        <w:t xml:space="preserve">compared to the </w:t>
      </w:r>
      <w:r>
        <w:rPr>
          <w:noProof/>
        </w:rPr>
        <w:t>CAP 3 “9085” scenario</w:t>
      </w:r>
      <w:r>
        <w:rPr>
          <w:noProof/>
          <w:lang w:val="en-IE" w:eastAsia="en-GB"/>
        </w:rPr>
        <w:t>. This includes about 0.8 pp related to ETS allowance expenditure by the sector itself, which could be recycled, as could, potentially, other ETS revenues.</w:t>
      </w:r>
    </w:p>
    <w:p w14:paraId="6E5C8563" w14:textId="77777777" w:rsidR="001B4245" w:rsidRPr="00244D65" w:rsidRDefault="001B4245" w:rsidP="00244D65">
      <w:pPr>
        <w:pStyle w:val="Tabletitle"/>
        <w:rPr>
          <w:noProof/>
        </w:rPr>
      </w:pPr>
      <w:r>
        <w:rPr>
          <w:noProof/>
        </w:rPr>
        <w:t>Energy system costs in ETS sectors, deviation of the CAP2 ‘85’ and CAP4 “accelerated 9085” scenario relative to CAP 3 “9085” scenario</w:t>
      </w:r>
    </w:p>
    <w:p w14:paraId="483380F7" w14:textId="68A31048" w:rsidR="00D85616" w:rsidRPr="00244D65" w:rsidRDefault="00D85616" w:rsidP="00244D65">
      <w:pPr>
        <w:pStyle w:val="Tabletitle"/>
        <w:numPr>
          <w:ilvl w:val="0"/>
          <w:numId w:val="0"/>
        </w:numPr>
        <w:ind w:left="720"/>
        <w:rPr>
          <w:noProof/>
        </w:rPr>
      </w:pPr>
    </w:p>
    <w:tbl>
      <w:tblPr>
        <w:tblStyle w:val="TableGrid"/>
        <w:tblW w:w="5000" w:type="pct"/>
        <w:tblLook w:val="04A0" w:firstRow="1" w:lastRow="0" w:firstColumn="1" w:lastColumn="0" w:noHBand="0" w:noVBand="1"/>
      </w:tblPr>
      <w:tblGrid>
        <w:gridCol w:w="2037"/>
        <w:gridCol w:w="2035"/>
        <w:gridCol w:w="1651"/>
        <w:gridCol w:w="1651"/>
        <w:gridCol w:w="1647"/>
      </w:tblGrid>
      <w:tr w:rsidR="00304E17" w:rsidRPr="00244D65" w14:paraId="09F10E16" w14:textId="77777777">
        <w:tc>
          <w:tcPr>
            <w:tcW w:w="1129" w:type="pct"/>
            <w:tcBorders>
              <w:bottom w:val="single" w:sz="4" w:space="0" w:color="auto"/>
              <w:right w:val="single" w:sz="4" w:space="0" w:color="auto"/>
            </w:tcBorders>
          </w:tcPr>
          <w:p w14:paraId="6E7617F4" w14:textId="77777777" w:rsidR="001B4245" w:rsidRPr="00244D65" w:rsidRDefault="001B4245" w:rsidP="0085595C">
            <w:pPr>
              <w:rPr>
                <w:noProof/>
                <w:sz w:val="22"/>
                <w:szCs w:val="22"/>
                <w:lang w:eastAsia="en-GB"/>
              </w:rPr>
            </w:pPr>
          </w:p>
        </w:tc>
        <w:tc>
          <w:tcPr>
            <w:tcW w:w="1128" w:type="pct"/>
            <w:tcBorders>
              <w:bottom w:val="single" w:sz="4" w:space="0" w:color="auto"/>
              <w:right w:val="single" w:sz="4" w:space="0" w:color="auto"/>
            </w:tcBorders>
          </w:tcPr>
          <w:p w14:paraId="4381E88C" w14:textId="77777777" w:rsidR="001B4245" w:rsidRPr="00244D65" w:rsidRDefault="001B4245" w:rsidP="0085595C">
            <w:pPr>
              <w:rPr>
                <w:noProof/>
                <w:sz w:val="22"/>
                <w:szCs w:val="22"/>
                <w:lang w:eastAsia="en-GB"/>
              </w:rPr>
            </w:pPr>
          </w:p>
        </w:tc>
        <w:tc>
          <w:tcPr>
            <w:tcW w:w="915" w:type="pct"/>
            <w:tcBorders>
              <w:top w:val="single" w:sz="4" w:space="0" w:color="auto"/>
              <w:left w:val="single" w:sz="4" w:space="0" w:color="auto"/>
              <w:bottom w:val="single" w:sz="4" w:space="0" w:color="auto"/>
              <w:right w:val="single" w:sz="4" w:space="0" w:color="auto"/>
            </w:tcBorders>
          </w:tcPr>
          <w:p w14:paraId="69C314E7" w14:textId="77777777" w:rsidR="001B4245" w:rsidRPr="00244D65" w:rsidRDefault="001B4245" w:rsidP="0085595C">
            <w:pPr>
              <w:jc w:val="center"/>
              <w:rPr>
                <w:b/>
                <w:bCs/>
                <w:noProof/>
                <w:sz w:val="22"/>
                <w:szCs w:val="22"/>
                <w:lang w:eastAsia="en-GB"/>
              </w:rPr>
            </w:pPr>
            <w:r>
              <w:rPr>
                <w:b/>
                <w:bCs/>
                <w:noProof/>
                <w:sz w:val="22"/>
                <w:szCs w:val="22"/>
                <w:lang w:eastAsia="en-GB"/>
              </w:rPr>
              <w:t>2031-2035</w:t>
            </w:r>
          </w:p>
        </w:tc>
        <w:tc>
          <w:tcPr>
            <w:tcW w:w="915" w:type="pct"/>
            <w:tcBorders>
              <w:top w:val="single" w:sz="4" w:space="0" w:color="auto"/>
              <w:left w:val="single" w:sz="4" w:space="0" w:color="auto"/>
              <w:bottom w:val="single" w:sz="4" w:space="0" w:color="auto"/>
              <w:right w:val="single" w:sz="4" w:space="0" w:color="auto"/>
            </w:tcBorders>
          </w:tcPr>
          <w:p w14:paraId="7C05DE25" w14:textId="77777777" w:rsidR="001B4245" w:rsidRPr="00244D65" w:rsidRDefault="001B4245" w:rsidP="0085595C">
            <w:pPr>
              <w:jc w:val="center"/>
              <w:rPr>
                <w:b/>
                <w:bCs/>
                <w:noProof/>
                <w:sz w:val="22"/>
                <w:szCs w:val="22"/>
                <w:lang w:eastAsia="en-GB"/>
              </w:rPr>
            </w:pPr>
            <w:r>
              <w:rPr>
                <w:b/>
                <w:bCs/>
                <w:noProof/>
                <w:sz w:val="22"/>
                <w:szCs w:val="22"/>
                <w:lang w:eastAsia="en-GB"/>
              </w:rPr>
              <w:t>2036-2040</w:t>
            </w:r>
          </w:p>
        </w:tc>
        <w:tc>
          <w:tcPr>
            <w:tcW w:w="913" w:type="pct"/>
            <w:tcBorders>
              <w:top w:val="single" w:sz="4" w:space="0" w:color="auto"/>
              <w:left w:val="single" w:sz="4" w:space="0" w:color="auto"/>
              <w:bottom w:val="single" w:sz="4" w:space="0" w:color="auto"/>
              <w:right w:val="single" w:sz="4" w:space="0" w:color="auto"/>
            </w:tcBorders>
          </w:tcPr>
          <w:p w14:paraId="082837CB" w14:textId="77777777" w:rsidR="001B4245" w:rsidRPr="00244D65" w:rsidRDefault="001B4245" w:rsidP="0085595C">
            <w:pPr>
              <w:jc w:val="center"/>
              <w:rPr>
                <w:b/>
                <w:bCs/>
                <w:noProof/>
                <w:sz w:val="22"/>
                <w:szCs w:val="22"/>
                <w:lang w:eastAsia="en-GB"/>
              </w:rPr>
            </w:pPr>
            <w:r>
              <w:rPr>
                <w:b/>
                <w:bCs/>
                <w:noProof/>
                <w:sz w:val="22"/>
                <w:szCs w:val="22"/>
                <w:lang w:eastAsia="en-GB"/>
              </w:rPr>
              <w:t>2031-2040</w:t>
            </w:r>
          </w:p>
        </w:tc>
      </w:tr>
      <w:tr w:rsidR="001B4245" w:rsidRPr="00244D65" w14:paraId="35749EFE" w14:textId="77777777">
        <w:tc>
          <w:tcPr>
            <w:tcW w:w="1129" w:type="pct"/>
            <w:vMerge w:val="restart"/>
            <w:tcBorders>
              <w:top w:val="single" w:sz="4" w:space="0" w:color="auto"/>
              <w:left w:val="single" w:sz="4" w:space="0" w:color="auto"/>
              <w:right w:val="single" w:sz="4" w:space="0" w:color="auto"/>
            </w:tcBorders>
          </w:tcPr>
          <w:p w14:paraId="7FB62353" w14:textId="77777777" w:rsidR="001B4245" w:rsidRPr="00244D65" w:rsidRDefault="001B4245" w:rsidP="0085595C">
            <w:pPr>
              <w:rPr>
                <w:noProof/>
              </w:rPr>
            </w:pPr>
            <w:r>
              <w:rPr>
                <w:noProof/>
              </w:rPr>
              <w:t>CAP4 “accelerated 9085” scenario relative to CAP 3 “9085” scenario</w:t>
            </w:r>
          </w:p>
        </w:tc>
        <w:tc>
          <w:tcPr>
            <w:tcW w:w="1128" w:type="pct"/>
            <w:tcBorders>
              <w:top w:val="single" w:sz="4" w:space="0" w:color="auto"/>
              <w:left w:val="single" w:sz="4" w:space="0" w:color="auto"/>
              <w:bottom w:val="single" w:sz="4" w:space="0" w:color="auto"/>
              <w:right w:val="single" w:sz="4" w:space="0" w:color="auto"/>
            </w:tcBorders>
          </w:tcPr>
          <w:p w14:paraId="09763658" w14:textId="77777777" w:rsidR="001B4245" w:rsidRPr="00244D65" w:rsidRDefault="001B4245" w:rsidP="0085595C">
            <w:pPr>
              <w:rPr>
                <w:b/>
                <w:bCs/>
                <w:noProof/>
                <w:sz w:val="22"/>
                <w:szCs w:val="22"/>
                <w:lang w:eastAsia="en-GB"/>
              </w:rPr>
            </w:pPr>
            <w:r>
              <w:rPr>
                <w:b/>
                <w:bCs/>
                <w:noProof/>
                <w:sz w:val="22"/>
                <w:szCs w:val="22"/>
                <w:lang w:eastAsia="en-GB"/>
              </w:rPr>
              <w:t>Industry</w:t>
            </w:r>
          </w:p>
        </w:tc>
        <w:tc>
          <w:tcPr>
            <w:tcW w:w="915" w:type="pct"/>
            <w:tcBorders>
              <w:top w:val="single" w:sz="4" w:space="0" w:color="auto"/>
              <w:left w:val="single" w:sz="4" w:space="0" w:color="auto"/>
              <w:bottom w:val="single" w:sz="4" w:space="0" w:color="auto"/>
              <w:right w:val="single" w:sz="4" w:space="0" w:color="auto"/>
            </w:tcBorders>
          </w:tcPr>
          <w:p w14:paraId="170F85F1" w14:textId="77777777" w:rsidR="001B4245" w:rsidRPr="00244D65" w:rsidRDefault="001B4245" w:rsidP="0085595C">
            <w:pPr>
              <w:jc w:val="center"/>
              <w:rPr>
                <w:noProof/>
                <w:sz w:val="22"/>
                <w:szCs w:val="22"/>
                <w:lang w:eastAsia="en-GB"/>
              </w:rPr>
            </w:pPr>
            <w:r>
              <w:rPr>
                <w:noProof/>
                <w:sz w:val="22"/>
                <w:szCs w:val="22"/>
              </w:rPr>
              <w:t>+5.1%</w:t>
            </w:r>
          </w:p>
        </w:tc>
        <w:tc>
          <w:tcPr>
            <w:tcW w:w="915" w:type="pct"/>
            <w:tcBorders>
              <w:top w:val="single" w:sz="4" w:space="0" w:color="auto"/>
              <w:left w:val="single" w:sz="4" w:space="0" w:color="auto"/>
              <w:bottom w:val="single" w:sz="4" w:space="0" w:color="auto"/>
              <w:right w:val="single" w:sz="4" w:space="0" w:color="auto"/>
            </w:tcBorders>
          </w:tcPr>
          <w:p w14:paraId="49923C53" w14:textId="77777777" w:rsidR="001B4245" w:rsidRPr="00244D65" w:rsidRDefault="001B4245" w:rsidP="0085595C">
            <w:pPr>
              <w:jc w:val="center"/>
              <w:rPr>
                <w:noProof/>
                <w:sz w:val="22"/>
                <w:szCs w:val="22"/>
                <w:lang w:eastAsia="en-GB"/>
              </w:rPr>
            </w:pPr>
            <w:r>
              <w:rPr>
                <w:noProof/>
                <w:sz w:val="22"/>
                <w:szCs w:val="22"/>
              </w:rPr>
              <w:t>+1.8%</w:t>
            </w:r>
          </w:p>
        </w:tc>
        <w:tc>
          <w:tcPr>
            <w:tcW w:w="913" w:type="pct"/>
            <w:tcBorders>
              <w:top w:val="single" w:sz="4" w:space="0" w:color="auto"/>
              <w:left w:val="single" w:sz="4" w:space="0" w:color="auto"/>
              <w:bottom w:val="single" w:sz="4" w:space="0" w:color="auto"/>
              <w:right w:val="single" w:sz="4" w:space="0" w:color="auto"/>
            </w:tcBorders>
          </w:tcPr>
          <w:p w14:paraId="0A212AD3" w14:textId="77777777" w:rsidR="001B4245" w:rsidRPr="00244D65" w:rsidRDefault="001B4245" w:rsidP="0085595C">
            <w:pPr>
              <w:jc w:val="center"/>
              <w:rPr>
                <w:noProof/>
                <w:sz w:val="22"/>
                <w:szCs w:val="22"/>
                <w:lang w:eastAsia="en-GB"/>
              </w:rPr>
            </w:pPr>
            <w:r>
              <w:rPr>
                <w:noProof/>
                <w:sz w:val="22"/>
                <w:szCs w:val="22"/>
              </w:rPr>
              <w:t>+3.4%</w:t>
            </w:r>
          </w:p>
        </w:tc>
      </w:tr>
      <w:tr w:rsidR="001B4245" w:rsidRPr="00244D65" w14:paraId="02BF6FA1" w14:textId="77777777">
        <w:tc>
          <w:tcPr>
            <w:tcW w:w="1129" w:type="pct"/>
            <w:vMerge/>
            <w:tcBorders>
              <w:left w:val="single" w:sz="4" w:space="0" w:color="auto"/>
              <w:right w:val="single" w:sz="4" w:space="0" w:color="auto"/>
            </w:tcBorders>
          </w:tcPr>
          <w:p w14:paraId="560454E8" w14:textId="77777777" w:rsidR="001B4245" w:rsidRPr="00244D65" w:rsidRDefault="001B4245" w:rsidP="0085595C">
            <w:pPr>
              <w:rPr>
                <w:noProof/>
                <w:sz w:val="22"/>
                <w:szCs w:val="22"/>
                <w:lang w:eastAsia="en-GB"/>
              </w:rPr>
            </w:pPr>
          </w:p>
        </w:tc>
        <w:tc>
          <w:tcPr>
            <w:tcW w:w="1128" w:type="pct"/>
            <w:tcBorders>
              <w:top w:val="single" w:sz="4" w:space="0" w:color="auto"/>
              <w:left w:val="single" w:sz="4" w:space="0" w:color="auto"/>
              <w:bottom w:val="single" w:sz="4" w:space="0" w:color="auto"/>
              <w:right w:val="single" w:sz="4" w:space="0" w:color="auto"/>
            </w:tcBorders>
          </w:tcPr>
          <w:p w14:paraId="7F3A31ED" w14:textId="77777777" w:rsidR="001B4245" w:rsidRPr="00244D65" w:rsidRDefault="001B4245" w:rsidP="0085595C">
            <w:pPr>
              <w:rPr>
                <w:noProof/>
                <w:sz w:val="22"/>
                <w:szCs w:val="22"/>
                <w:lang w:eastAsia="en-GB"/>
              </w:rPr>
            </w:pPr>
            <w:r>
              <w:rPr>
                <w:noProof/>
                <w:sz w:val="22"/>
                <w:szCs w:val="22"/>
                <w:lang w:eastAsia="en-GB"/>
              </w:rPr>
              <w:t xml:space="preserve">   Energy intensive</w:t>
            </w:r>
          </w:p>
        </w:tc>
        <w:tc>
          <w:tcPr>
            <w:tcW w:w="915" w:type="pct"/>
            <w:tcBorders>
              <w:top w:val="single" w:sz="4" w:space="0" w:color="auto"/>
              <w:left w:val="single" w:sz="4" w:space="0" w:color="auto"/>
              <w:bottom w:val="single" w:sz="4" w:space="0" w:color="auto"/>
              <w:right w:val="single" w:sz="4" w:space="0" w:color="auto"/>
            </w:tcBorders>
          </w:tcPr>
          <w:p w14:paraId="769A55A5" w14:textId="77777777" w:rsidR="001B4245" w:rsidRPr="00244D65" w:rsidRDefault="001B4245" w:rsidP="0085595C">
            <w:pPr>
              <w:jc w:val="center"/>
              <w:rPr>
                <w:noProof/>
                <w:sz w:val="22"/>
                <w:szCs w:val="22"/>
                <w:lang w:eastAsia="en-GB"/>
              </w:rPr>
            </w:pPr>
            <w:r>
              <w:rPr>
                <w:noProof/>
                <w:sz w:val="22"/>
                <w:szCs w:val="22"/>
              </w:rPr>
              <w:t>+5.7%</w:t>
            </w:r>
          </w:p>
        </w:tc>
        <w:tc>
          <w:tcPr>
            <w:tcW w:w="915" w:type="pct"/>
            <w:tcBorders>
              <w:top w:val="single" w:sz="4" w:space="0" w:color="auto"/>
              <w:left w:val="single" w:sz="4" w:space="0" w:color="auto"/>
              <w:bottom w:val="single" w:sz="4" w:space="0" w:color="auto"/>
              <w:right w:val="single" w:sz="4" w:space="0" w:color="auto"/>
            </w:tcBorders>
          </w:tcPr>
          <w:p w14:paraId="19D48139" w14:textId="77777777" w:rsidR="001B4245" w:rsidRPr="00244D65" w:rsidRDefault="001B4245" w:rsidP="0085595C">
            <w:pPr>
              <w:jc w:val="center"/>
              <w:rPr>
                <w:noProof/>
                <w:sz w:val="22"/>
                <w:szCs w:val="22"/>
                <w:lang w:eastAsia="en-GB"/>
              </w:rPr>
            </w:pPr>
            <w:r>
              <w:rPr>
                <w:noProof/>
                <w:sz w:val="22"/>
                <w:szCs w:val="22"/>
              </w:rPr>
              <w:t>+2.4%</w:t>
            </w:r>
          </w:p>
        </w:tc>
        <w:tc>
          <w:tcPr>
            <w:tcW w:w="913" w:type="pct"/>
            <w:tcBorders>
              <w:top w:val="single" w:sz="4" w:space="0" w:color="auto"/>
              <w:left w:val="single" w:sz="4" w:space="0" w:color="auto"/>
              <w:bottom w:val="single" w:sz="4" w:space="0" w:color="auto"/>
              <w:right w:val="single" w:sz="4" w:space="0" w:color="auto"/>
            </w:tcBorders>
          </w:tcPr>
          <w:p w14:paraId="086E18F0" w14:textId="77777777" w:rsidR="001B4245" w:rsidRPr="00244D65" w:rsidRDefault="001B4245" w:rsidP="0085595C">
            <w:pPr>
              <w:jc w:val="center"/>
              <w:rPr>
                <w:noProof/>
                <w:sz w:val="22"/>
                <w:szCs w:val="22"/>
                <w:lang w:eastAsia="en-GB"/>
              </w:rPr>
            </w:pPr>
            <w:r>
              <w:rPr>
                <w:noProof/>
                <w:sz w:val="22"/>
                <w:szCs w:val="22"/>
              </w:rPr>
              <w:t>+3.9%</w:t>
            </w:r>
          </w:p>
        </w:tc>
      </w:tr>
      <w:tr w:rsidR="001B4245" w:rsidRPr="00244D65" w14:paraId="52C8C207" w14:textId="77777777">
        <w:tc>
          <w:tcPr>
            <w:tcW w:w="1129" w:type="pct"/>
            <w:vMerge/>
            <w:tcBorders>
              <w:left w:val="single" w:sz="4" w:space="0" w:color="auto"/>
              <w:bottom w:val="single" w:sz="4" w:space="0" w:color="auto"/>
              <w:right w:val="single" w:sz="4" w:space="0" w:color="auto"/>
            </w:tcBorders>
          </w:tcPr>
          <w:p w14:paraId="052A2F0F" w14:textId="77777777" w:rsidR="001B4245" w:rsidRPr="00244D65" w:rsidRDefault="001B4245" w:rsidP="0085595C">
            <w:pPr>
              <w:rPr>
                <w:noProof/>
                <w:sz w:val="22"/>
                <w:szCs w:val="22"/>
                <w:lang w:eastAsia="en-GB"/>
              </w:rPr>
            </w:pPr>
          </w:p>
        </w:tc>
        <w:tc>
          <w:tcPr>
            <w:tcW w:w="1128" w:type="pct"/>
            <w:tcBorders>
              <w:top w:val="single" w:sz="4" w:space="0" w:color="auto"/>
              <w:left w:val="single" w:sz="4" w:space="0" w:color="auto"/>
              <w:bottom w:val="single" w:sz="4" w:space="0" w:color="auto"/>
              <w:right w:val="single" w:sz="4" w:space="0" w:color="auto"/>
            </w:tcBorders>
          </w:tcPr>
          <w:p w14:paraId="3E5C1570" w14:textId="77777777" w:rsidR="001B4245" w:rsidRPr="00244D65" w:rsidRDefault="001B4245" w:rsidP="0085595C">
            <w:pPr>
              <w:rPr>
                <w:noProof/>
                <w:sz w:val="22"/>
                <w:szCs w:val="22"/>
                <w:lang w:eastAsia="en-GB"/>
              </w:rPr>
            </w:pPr>
            <w:r>
              <w:rPr>
                <w:noProof/>
                <w:sz w:val="22"/>
                <w:szCs w:val="22"/>
                <w:lang w:eastAsia="en-GB"/>
              </w:rPr>
              <w:t xml:space="preserve">   Non-energy intensive</w:t>
            </w:r>
          </w:p>
        </w:tc>
        <w:tc>
          <w:tcPr>
            <w:tcW w:w="915" w:type="pct"/>
            <w:tcBorders>
              <w:top w:val="single" w:sz="4" w:space="0" w:color="auto"/>
              <w:left w:val="single" w:sz="4" w:space="0" w:color="auto"/>
              <w:bottom w:val="single" w:sz="4" w:space="0" w:color="auto"/>
              <w:right w:val="single" w:sz="4" w:space="0" w:color="auto"/>
            </w:tcBorders>
          </w:tcPr>
          <w:p w14:paraId="6DAF42FD" w14:textId="77777777" w:rsidR="001B4245" w:rsidRPr="00244D65" w:rsidRDefault="001B4245" w:rsidP="0085595C">
            <w:pPr>
              <w:jc w:val="center"/>
              <w:rPr>
                <w:noProof/>
                <w:sz w:val="22"/>
                <w:szCs w:val="22"/>
                <w:lang w:eastAsia="en-GB"/>
              </w:rPr>
            </w:pPr>
            <w:r>
              <w:rPr>
                <w:noProof/>
                <w:sz w:val="22"/>
                <w:szCs w:val="22"/>
              </w:rPr>
              <w:t>+2.6%</w:t>
            </w:r>
          </w:p>
        </w:tc>
        <w:tc>
          <w:tcPr>
            <w:tcW w:w="915" w:type="pct"/>
            <w:tcBorders>
              <w:top w:val="single" w:sz="4" w:space="0" w:color="auto"/>
              <w:left w:val="single" w:sz="4" w:space="0" w:color="auto"/>
              <w:bottom w:val="single" w:sz="4" w:space="0" w:color="auto"/>
              <w:right w:val="single" w:sz="4" w:space="0" w:color="auto"/>
            </w:tcBorders>
          </w:tcPr>
          <w:p w14:paraId="77A9E89B" w14:textId="77777777" w:rsidR="001B4245" w:rsidRPr="00244D65" w:rsidRDefault="001B4245" w:rsidP="0085595C">
            <w:pPr>
              <w:jc w:val="center"/>
              <w:rPr>
                <w:noProof/>
                <w:sz w:val="22"/>
                <w:szCs w:val="22"/>
                <w:lang w:eastAsia="en-GB"/>
              </w:rPr>
            </w:pPr>
            <w:r>
              <w:rPr>
                <w:noProof/>
                <w:sz w:val="22"/>
                <w:szCs w:val="22"/>
              </w:rPr>
              <w:t>+0.1%</w:t>
            </w:r>
          </w:p>
        </w:tc>
        <w:tc>
          <w:tcPr>
            <w:tcW w:w="913" w:type="pct"/>
            <w:tcBorders>
              <w:top w:val="single" w:sz="4" w:space="0" w:color="auto"/>
              <w:left w:val="single" w:sz="4" w:space="0" w:color="auto"/>
              <w:bottom w:val="single" w:sz="4" w:space="0" w:color="auto"/>
              <w:right w:val="single" w:sz="4" w:space="0" w:color="auto"/>
            </w:tcBorders>
          </w:tcPr>
          <w:p w14:paraId="4C4D7686" w14:textId="77777777" w:rsidR="001B4245" w:rsidRPr="00244D65" w:rsidRDefault="001B4245" w:rsidP="0085595C">
            <w:pPr>
              <w:jc w:val="center"/>
              <w:rPr>
                <w:noProof/>
                <w:sz w:val="22"/>
                <w:szCs w:val="22"/>
                <w:lang w:eastAsia="en-GB"/>
              </w:rPr>
            </w:pPr>
            <w:r>
              <w:rPr>
                <w:noProof/>
                <w:sz w:val="22"/>
                <w:szCs w:val="22"/>
              </w:rPr>
              <w:t>+1.4%</w:t>
            </w:r>
          </w:p>
        </w:tc>
      </w:tr>
      <w:tr w:rsidR="001B4245" w:rsidRPr="00244D65" w14:paraId="46EDB5B4" w14:textId="77777777">
        <w:tc>
          <w:tcPr>
            <w:tcW w:w="1129" w:type="pct"/>
            <w:vMerge w:val="restart"/>
            <w:tcBorders>
              <w:top w:val="single" w:sz="4" w:space="0" w:color="auto"/>
              <w:left w:val="single" w:sz="4" w:space="0" w:color="auto"/>
              <w:right w:val="single" w:sz="4" w:space="0" w:color="auto"/>
            </w:tcBorders>
          </w:tcPr>
          <w:p w14:paraId="7AC86E17" w14:textId="77777777" w:rsidR="001B4245" w:rsidRPr="00244D65" w:rsidRDefault="001B4245" w:rsidP="0085595C">
            <w:pPr>
              <w:rPr>
                <w:noProof/>
                <w:sz w:val="22"/>
                <w:szCs w:val="22"/>
                <w:lang w:eastAsia="en-GB"/>
              </w:rPr>
            </w:pPr>
            <w:r>
              <w:rPr>
                <w:noProof/>
              </w:rPr>
              <w:t>CAP 2 “85% trajectory” scenario relative to CAP3 “9085”</w:t>
            </w:r>
          </w:p>
        </w:tc>
        <w:tc>
          <w:tcPr>
            <w:tcW w:w="1128" w:type="pct"/>
            <w:tcBorders>
              <w:top w:val="single" w:sz="4" w:space="0" w:color="auto"/>
              <w:left w:val="single" w:sz="4" w:space="0" w:color="auto"/>
              <w:bottom w:val="single" w:sz="4" w:space="0" w:color="auto"/>
              <w:right w:val="single" w:sz="4" w:space="0" w:color="auto"/>
            </w:tcBorders>
          </w:tcPr>
          <w:p w14:paraId="7634699B" w14:textId="77777777" w:rsidR="001B4245" w:rsidRPr="00244D65" w:rsidRDefault="001B4245" w:rsidP="0085595C">
            <w:pPr>
              <w:rPr>
                <w:noProof/>
                <w:sz w:val="22"/>
                <w:szCs w:val="22"/>
                <w:lang w:eastAsia="en-GB"/>
              </w:rPr>
            </w:pPr>
            <w:r>
              <w:rPr>
                <w:b/>
                <w:bCs/>
                <w:noProof/>
                <w:sz w:val="22"/>
                <w:szCs w:val="22"/>
                <w:lang w:eastAsia="en-GB"/>
              </w:rPr>
              <w:t>Industry</w:t>
            </w:r>
          </w:p>
        </w:tc>
        <w:tc>
          <w:tcPr>
            <w:tcW w:w="915" w:type="pct"/>
            <w:tcBorders>
              <w:top w:val="single" w:sz="4" w:space="0" w:color="auto"/>
              <w:left w:val="single" w:sz="4" w:space="0" w:color="auto"/>
              <w:bottom w:val="single" w:sz="4" w:space="0" w:color="auto"/>
              <w:right w:val="single" w:sz="4" w:space="0" w:color="auto"/>
            </w:tcBorders>
          </w:tcPr>
          <w:p w14:paraId="53C445E2" w14:textId="77777777" w:rsidR="001B4245" w:rsidRPr="00244D65" w:rsidRDefault="001B4245" w:rsidP="0085595C">
            <w:pPr>
              <w:jc w:val="center"/>
              <w:rPr>
                <w:noProof/>
                <w:sz w:val="22"/>
                <w:szCs w:val="22"/>
              </w:rPr>
            </w:pPr>
            <w:r>
              <w:rPr>
                <w:noProof/>
                <w:sz w:val="22"/>
                <w:szCs w:val="22"/>
              </w:rPr>
              <w:t>-2.6%</w:t>
            </w:r>
          </w:p>
        </w:tc>
        <w:tc>
          <w:tcPr>
            <w:tcW w:w="915" w:type="pct"/>
            <w:tcBorders>
              <w:top w:val="single" w:sz="4" w:space="0" w:color="auto"/>
              <w:left w:val="single" w:sz="4" w:space="0" w:color="auto"/>
              <w:bottom w:val="single" w:sz="4" w:space="0" w:color="auto"/>
              <w:right w:val="single" w:sz="4" w:space="0" w:color="auto"/>
            </w:tcBorders>
          </w:tcPr>
          <w:p w14:paraId="2BB9E291" w14:textId="77777777" w:rsidR="001B4245" w:rsidRPr="00244D65" w:rsidRDefault="001B4245" w:rsidP="0085595C">
            <w:pPr>
              <w:jc w:val="center"/>
              <w:rPr>
                <w:noProof/>
                <w:sz w:val="22"/>
                <w:szCs w:val="22"/>
              </w:rPr>
            </w:pPr>
            <w:r>
              <w:rPr>
                <w:noProof/>
                <w:sz w:val="22"/>
                <w:szCs w:val="22"/>
              </w:rPr>
              <w:t>-0.9%</w:t>
            </w:r>
          </w:p>
        </w:tc>
        <w:tc>
          <w:tcPr>
            <w:tcW w:w="913" w:type="pct"/>
            <w:tcBorders>
              <w:top w:val="single" w:sz="4" w:space="0" w:color="auto"/>
              <w:left w:val="single" w:sz="4" w:space="0" w:color="auto"/>
              <w:bottom w:val="single" w:sz="4" w:space="0" w:color="auto"/>
              <w:right w:val="single" w:sz="4" w:space="0" w:color="auto"/>
            </w:tcBorders>
          </w:tcPr>
          <w:p w14:paraId="1535AAFF" w14:textId="77777777" w:rsidR="001B4245" w:rsidRPr="00244D65" w:rsidRDefault="001B4245" w:rsidP="0085595C">
            <w:pPr>
              <w:jc w:val="center"/>
              <w:rPr>
                <w:noProof/>
                <w:sz w:val="22"/>
                <w:szCs w:val="22"/>
              </w:rPr>
            </w:pPr>
            <w:r>
              <w:rPr>
                <w:noProof/>
                <w:sz w:val="22"/>
                <w:szCs w:val="22"/>
              </w:rPr>
              <w:t>-1.7%</w:t>
            </w:r>
          </w:p>
        </w:tc>
      </w:tr>
      <w:tr w:rsidR="001B4245" w:rsidRPr="00244D65" w14:paraId="46517AD9" w14:textId="77777777">
        <w:tc>
          <w:tcPr>
            <w:tcW w:w="1129" w:type="pct"/>
            <w:vMerge/>
            <w:tcBorders>
              <w:left w:val="single" w:sz="4" w:space="0" w:color="auto"/>
              <w:right w:val="single" w:sz="4" w:space="0" w:color="auto"/>
            </w:tcBorders>
          </w:tcPr>
          <w:p w14:paraId="286095A8" w14:textId="77777777" w:rsidR="001B4245" w:rsidRPr="00244D65" w:rsidRDefault="001B4245" w:rsidP="0085595C">
            <w:pPr>
              <w:rPr>
                <w:noProof/>
                <w:sz w:val="22"/>
                <w:szCs w:val="22"/>
                <w:lang w:eastAsia="en-GB"/>
              </w:rPr>
            </w:pPr>
          </w:p>
        </w:tc>
        <w:tc>
          <w:tcPr>
            <w:tcW w:w="1128" w:type="pct"/>
            <w:tcBorders>
              <w:top w:val="single" w:sz="4" w:space="0" w:color="auto"/>
              <w:left w:val="single" w:sz="4" w:space="0" w:color="auto"/>
              <w:bottom w:val="single" w:sz="4" w:space="0" w:color="auto"/>
              <w:right w:val="single" w:sz="4" w:space="0" w:color="auto"/>
            </w:tcBorders>
          </w:tcPr>
          <w:p w14:paraId="1C5A0AA7" w14:textId="77777777" w:rsidR="001B4245" w:rsidRPr="00244D65" w:rsidRDefault="001B4245" w:rsidP="0085595C">
            <w:pPr>
              <w:rPr>
                <w:noProof/>
                <w:sz w:val="22"/>
                <w:szCs w:val="22"/>
                <w:lang w:eastAsia="en-GB"/>
              </w:rPr>
            </w:pPr>
            <w:r>
              <w:rPr>
                <w:noProof/>
                <w:sz w:val="22"/>
                <w:szCs w:val="22"/>
                <w:lang w:eastAsia="en-GB"/>
              </w:rPr>
              <w:t xml:space="preserve">   Energy intensive</w:t>
            </w:r>
          </w:p>
        </w:tc>
        <w:tc>
          <w:tcPr>
            <w:tcW w:w="915" w:type="pct"/>
            <w:tcBorders>
              <w:top w:val="single" w:sz="4" w:space="0" w:color="auto"/>
              <w:left w:val="single" w:sz="4" w:space="0" w:color="auto"/>
              <w:bottom w:val="single" w:sz="4" w:space="0" w:color="auto"/>
              <w:right w:val="single" w:sz="4" w:space="0" w:color="auto"/>
            </w:tcBorders>
          </w:tcPr>
          <w:p w14:paraId="45575A1F" w14:textId="77777777" w:rsidR="001B4245" w:rsidRPr="00244D65" w:rsidRDefault="001B4245" w:rsidP="0085595C">
            <w:pPr>
              <w:jc w:val="center"/>
              <w:rPr>
                <w:noProof/>
                <w:sz w:val="22"/>
                <w:szCs w:val="22"/>
              </w:rPr>
            </w:pPr>
            <w:r>
              <w:rPr>
                <w:noProof/>
                <w:sz w:val="22"/>
                <w:szCs w:val="22"/>
              </w:rPr>
              <w:t>-3.0%</w:t>
            </w:r>
          </w:p>
        </w:tc>
        <w:tc>
          <w:tcPr>
            <w:tcW w:w="915" w:type="pct"/>
            <w:tcBorders>
              <w:top w:val="single" w:sz="4" w:space="0" w:color="auto"/>
              <w:left w:val="single" w:sz="4" w:space="0" w:color="auto"/>
              <w:bottom w:val="single" w:sz="4" w:space="0" w:color="auto"/>
              <w:right w:val="single" w:sz="4" w:space="0" w:color="auto"/>
            </w:tcBorders>
          </w:tcPr>
          <w:p w14:paraId="43292C9B" w14:textId="77777777" w:rsidR="001B4245" w:rsidRPr="00244D65" w:rsidRDefault="001B4245" w:rsidP="0085595C">
            <w:pPr>
              <w:jc w:val="center"/>
              <w:rPr>
                <w:noProof/>
                <w:sz w:val="22"/>
                <w:szCs w:val="22"/>
              </w:rPr>
            </w:pPr>
            <w:r>
              <w:rPr>
                <w:noProof/>
                <w:sz w:val="22"/>
                <w:szCs w:val="22"/>
              </w:rPr>
              <w:t>-1.2%</w:t>
            </w:r>
          </w:p>
        </w:tc>
        <w:tc>
          <w:tcPr>
            <w:tcW w:w="913" w:type="pct"/>
            <w:tcBorders>
              <w:top w:val="single" w:sz="4" w:space="0" w:color="auto"/>
              <w:left w:val="single" w:sz="4" w:space="0" w:color="auto"/>
              <w:bottom w:val="single" w:sz="4" w:space="0" w:color="auto"/>
              <w:right w:val="single" w:sz="4" w:space="0" w:color="auto"/>
            </w:tcBorders>
          </w:tcPr>
          <w:p w14:paraId="1DA10BE1" w14:textId="77777777" w:rsidR="001B4245" w:rsidRPr="00244D65" w:rsidRDefault="001B4245" w:rsidP="0085595C">
            <w:pPr>
              <w:jc w:val="center"/>
              <w:rPr>
                <w:noProof/>
                <w:sz w:val="22"/>
                <w:szCs w:val="22"/>
              </w:rPr>
            </w:pPr>
            <w:r>
              <w:rPr>
                <w:noProof/>
                <w:sz w:val="22"/>
                <w:szCs w:val="22"/>
              </w:rPr>
              <w:t>-2.0%</w:t>
            </w:r>
          </w:p>
        </w:tc>
      </w:tr>
      <w:tr w:rsidR="001B4245" w:rsidRPr="00244D65" w14:paraId="6EA4B9E7" w14:textId="77777777">
        <w:tc>
          <w:tcPr>
            <w:tcW w:w="1129" w:type="pct"/>
            <w:vMerge/>
            <w:tcBorders>
              <w:left w:val="single" w:sz="4" w:space="0" w:color="auto"/>
              <w:bottom w:val="single" w:sz="4" w:space="0" w:color="auto"/>
              <w:right w:val="single" w:sz="4" w:space="0" w:color="auto"/>
            </w:tcBorders>
          </w:tcPr>
          <w:p w14:paraId="3EE2B4F1" w14:textId="77777777" w:rsidR="001B4245" w:rsidRPr="00244D65" w:rsidRDefault="001B4245" w:rsidP="0085595C">
            <w:pPr>
              <w:rPr>
                <w:noProof/>
                <w:sz w:val="22"/>
                <w:szCs w:val="22"/>
                <w:lang w:eastAsia="en-GB"/>
              </w:rPr>
            </w:pPr>
          </w:p>
        </w:tc>
        <w:tc>
          <w:tcPr>
            <w:tcW w:w="1128" w:type="pct"/>
            <w:tcBorders>
              <w:top w:val="single" w:sz="4" w:space="0" w:color="auto"/>
              <w:left w:val="single" w:sz="4" w:space="0" w:color="auto"/>
              <w:bottom w:val="single" w:sz="4" w:space="0" w:color="auto"/>
              <w:right w:val="single" w:sz="4" w:space="0" w:color="auto"/>
            </w:tcBorders>
          </w:tcPr>
          <w:p w14:paraId="1A4460CA" w14:textId="77777777" w:rsidR="001B4245" w:rsidRPr="00244D65" w:rsidRDefault="001B4245" w:rsidP="0085595C">
            <w:pPr>
              <w:rPr>
                <w:noProof/>
                <w:sz w:val="22"/>
                <w:szCs w:val="22"/>
                <w:lang w:eastAsia="en-GB"/>
              </w:rPr>
            </w:pPr>
            <w:r>
              <w:rPr>
                <w:noProof/>
                <w:sz w:val="22"/>
                <w:szCs w:val="22"/>
                <w:lang w:eastAsia="en-GB"/>
              </w:rPr>
              <w:t xml:space="preserve">   Non-energy intensive</w:t>
            </w:r>
          </w:p>
        </w:tc>
        <w:tc>
          <w:tcPr>
            <w:tcW w:w="915" w:type="pct"/>
            <w:tcBorders>
              <w:top w:val="single" w:sz="4" w:space="0" w:color="auto"/>
              <w:left w:val="single" w:sz="4" w:space="0" w:color="auto"/>
              <w:bottom w:val="single" w:sz="4" w:space="0" w:color="auto"/>
              <w:right w:val="single" w:sz="4" w:space="0" w:color="auto"/>
            </w:tcBorders>
          </w:tcPr>
          <w:p w14:paraId="4C41D3B0" w14:textId="77777777" w:rsidR="001B4245" w:rsidRPr="00244D65" w:rsidRDefault="001B4245" w:rsidP="0085595C">
            <w:pPr>
              <w:jc w:val="center"/>
              <w:rPr>
                <w:noProof/>
                <w:sz w:val="22"/>
                <w:szCs w:val="22"/>
              </w:rPr>
            </w:pPr>
            <w:r>
              <w:rPr>
                <w:noProof/>
                <w:sz w:val="22"/>
                <w:szCs w:val="22"/>
              </w:rPr>
              <w:t>-1.2%</w:t>
            </w:r>
          </w:p>
        </w:tc>
        <w:tc>
          <w:tcPr>
            <w:tcW w:w="915" w:type="pct"/>
            <w:tcBorders>
              <w:top w:val="single" w:sz="4" w:space="0" w:color="auto"/>
              <w:left w:val="single" w:sz="4" w:space="0" w:color="auto"/>
              <w:bottom w:val="single" w:sz="4" w:space="0" w:color="auto"/>
              <w:right w:val="single" w:sz="4" w:space="0" w:color="auto"/>
            </w:tcBorders>
          </w:tcPr>
          <w:p w14:paraId="1462EA85" w14:textId="77777777" w:rsidR="001B4245" w:rsidRPr="00244D65" w:rsidRDefault="001B4245" w:rsidP="0085595C">
            <w:pPr>
              <w:jc w:val="center"/>
              <w:rPr>
                <w:noProof/>
                <w:sz w:val="22"/>
                <w:szCs w:val="22"/>
              </w:rPr>
            </w:pPr>
            <w:r>
              <w:rPr>
                <w:noProof/>
                <w:sz w:val="22"/>
                <w:szCs w:val="22"/>
              </w:rPr>
              <w:t>-0.3%</w:t>
            </w:r>
          </w:p>
        </w:tc>
        <w:tc>
          <w:tcPr>
            <w:tcW w:w="913" w:type="pct"/>
            <w:tcBorders>
              <w:top w:val="single" w:sz="4" w:space="0" w:color="auto"/>
              <w:left w:val="single" w:sz="4" w:space="0" w:color="auto"/>
              <w:bottom w:val="single" w:sz="4" w:space="0" w:color="auto"/>
              <w:right w:val="single" w:sz="4" w:space="0" w:color="auto"/>
            </w:tcBorders>
          </w:tcPr>
          <w:p w14:paraId="31CBB327" w14:textId="77777777" w:rsidR="001B4245" w:rsidRPr="00244D65" w:rsidRDefault="001B4245" w:rsidP="0085595C">
            <w:pPr>
              <w:jc w:val="center"/>
              <w:rPr>
                <w:noProof/>
                <w:sz w:val="22"/>
                <w:szCs w:val="22"/>
              </w:rPr>
            </w:pPr>
            <w:r>
              <w:rPr>
                <w:noProof/>
                <w:sz w:val="22"/>
                <w:szCs w:val="22"/>
              </w:rPr>
              <w:t>-0.8%</w:t>
            </w:r>
          </w:p>
        </w:tc>
      </w:tr>
    </w:tbl>
    <w:p w14:paraId="407CD1D9" w14:textId="77777777" w:rsidR="001B4245" w:rsidRPr="00244D65" w:rsidRDefault="001B4245" w:rsidP="0085595C">
      <w:pPr>
        <w:rPr>
          <w:i/>
          <w:noProof/>
          <w:sz w:val="20"/>
          <w:lang w:val="en-IE" w:eastAsia="en-GB"/>
        </w:rPr>
      </w:pPr>
      <w:r>
        <w:rPr>
          <w:i/>
          <w:noProof/>
          <w:sz w:val="20"/>
          <w:lang w:val="en-IE" w:eastAsia="en-GB"/>
        </w:rPr>
        <w:t>Source: POTEnCIA model.</w:t>
      </w:r>
    </w:p>
    <w:p w14:paraId="70787736" w14:textId="6E75D9F0" w:rsidR="001B4245" w:rsidRPr="00244D65" w:rsidRDefault="001B4245" w:rsidP="0085595C">
      <w:pPr>
        <w:rPr>
          <w:noProof/>
          <w:lang w:val="en-IE" w:eastAsia="en-GB"/>
        </w:rPr>
      </w:pPr>
      <w:r>
        <w:rPr>
          <w:noProof/>
          <w:lang w:val="en-IE" w:eastAsia="en-GB"/>
        </w:rPr>
        <w:t xml:space="preserve">Energy system costs are lower in the CAP2 “85 trajectory” compared to CAP 3 “9085 scenario, -2% for energy-intensive industries and -1.7% for industry as a whole. </w:t>
      </w:r>
    </w:p>
    <w:p w14:paraId="195A035A" w14:textId="77777777" w:rsidR="001B4245" w:rsidRPr="00244D65" w:rsidRDefault="001B4245" w:rsidP="0085595C">
      <w:pPr>
        <w:rPr>
          <w:noProof/>
          <w:lang w:val="en-IE" w:eastAsia="en-GB"/>
        </w:rPr>
      </w:pPr>
      <w:r>
        <w:rPr>
          <w:noProof/>
          <w:lang w:val="en-IE" w:eastAsia="en-GB"/>
        </w:rPr>
        <w:t>However, it should be noted the modelled impacts do not represent all the impacts, nor their potential mitigation through complementary policies.</w:t>
      </w:r>
    </w:p>
    <w:p w14:paraId="2D3F64C5" w14:textId="174A7A9C" w:rsidR="001B4245" w:rsidRPr="00244D65" w:rsidRDefault="001B4245" w:rsidP="0085595C">
      <w:pPr>
        <w:rPr>
          <w:noProof/>
        </w:rPr>
      </w:pPr>
      <w:r>
        <w:rPr>
          <w:noProof/>
        </w:rPr>
        <w:t>System cost impacts could be mitigated through distribution of ETS auctioning revenues and supporting policies. Investments, when frontloaded in the decade, are lower in the last five years. The frontloading of investments would increase the probability of faster technological developments through scaling up and learning by doing. It would allow a fast electrification of the energy system and increase Europe’s energy independence. As pointed out in the 2040 Climate Target IA, this will also depend on Europe’s ability to secure supply chains for new technologies.</w:t>
      </w:r>
    </w:p>
    <w:p w14:paraId="3D871B82" w14:textId="1CB08A49" w:rsidR="00F77B0A" w:rsidRPr="00244D65" w:rsidRDefault="567419E8" w:rsidP="0085595C">
      <w:pPr>
        <w:pStyle w:val="Heading4"/>
        <w:rPr>
          <w:noProof/>
        </w:rPr>
      </w:pPr>
      <w:bookmarkStart w:id="216" w:name="_Toc231400796"/>
      <w:bookmarkStart w:id="217" w:name="_Toc231400797"/>
      <w:bookmarkEnd w:id="216"/>
      <w:bookmarkEnd w:id="217"/>
      <w:r w:rsidRPr="00244D65">
        <w:rPr>
          <w:noProof/>
        </w:rPr>
        <w:t>Instruments to support investment</w:t>
      </w:r>
      <w:r w:rsidR="00F77B0A" w:rsidRPr="00244D65">
        <w:rPr>
          <w:noProof/>
        </w:rPr>
        <w:t>s</w:t>
      </w:r>
    </w:p>
    <w:p w14:paraId="7934D90B" w14:textId="74A8213E" w:rsidR="00173234" w:rsidRPr="00244D65" w:rsidRDefault="00904BCE" w:rsidP="0085595C">
      <w:pPr>
        <w:rPr>
          <w:noProof/>
        </w:rPr>
      </w:pPr>
      <w:r w:rsidRPr="00244D65">
        <w:rPr>
          <w:noProof/>
        </w:rPr>
        <w:t xml:space="preserve">All IDB options effectively create the business case for private investment </w:t>
      </w:r>
      <w:r w:rsidR="00BE020A" w:rsidRPr="00244D65">
        <w:rPr>
          <w:noProof/>
        </w:rPr>
        <w:t xml:space="preserve">in industrial decarbonisation technologies </w:t>
      </w:r>
      <w:r w:rsidRPr="00244D65">
        <w:rPr>
          <w:noProof/>
        </w:rPr>
        <w:t xml:space="preserve">by covering sufficient share of the funding gap, though the outcomes will depend on further, more granular features of </w:t>
      </w:r>
      <w:r w:rsidR="007B695D" w:rsidRPr="00244D65">
        <w:rPr>
          <w:noProof/>
        </w:rPr>
        <w:t xml:space="preserve">funding mechanisms </w:t>
      </w:r>
      <w:r w:rsidRPr="00244D65">
        <w:rPr>
          <w:noProof/>
        </w:rPr>
        <w:t xml:space="preserve">like eligible technologies, eligible project </w:t>
      </w:r>
      <w:bookmarkStart w:id="218" w:name="_Int_3Bc2fZFg"/>
      <w:r w:rsidRPr="00244D65">
        <w:rPr>
          <w:noProof/>
        </w:rPr>
        <w:t>stages</w:t>
      </w:r>
      <w:bookmarkEnd w:id="218"/>
      <w:r w:rsidRPr="00244D65">
        <w:rPr>
          <w:noProof/>
        </w:rPr>
        <w:t xml:space="preserve"> or compensation structures (not analysed in this Impact Assessment). </w:t>
      </w:r>
    </w:p>
    <w:p w14:paraId="091EF433" w14:textId="3CF14B09" w:rsidR="00904BCE" w:rsidRPr="00244D65" w:rsidRDefault="00904BCE" w:rsidP="0085595C">
      <w:pPr>
        <w:rPr>
          <w:noProof/>
        </w:rPr>
      </w:pPr>
      <w:r w:rsidRPr="00244D65">
        <w:rPr>
          <w:noProof/>
        </w:rPr>
        <w:t xml:space="preserve">Administrative schemes and fixed premia offer clear, simple mechanisms that integrate easily into corporate planning, while auctions with variable premia are more cost-efficient driving the </w:t>
      </w:r>
      <w:bookmarkStart w:id="219" w:name="_Int_QTP4f8IY"/>
      <w:r w:rsidRPr="00244D65">
        <w:rPr>
          <w:noProof/>
        </w:rPr>
        <w:t>high level</w:t>
      </w:r>
      <w:bookmarkEnd w:id="219"/>
      <w:r w:rsidRPr="00244D65">
        <w:rPr>
          <w:noProof/>
        </w:rPr>
        <w:t xml:space="preserve"> of competition but eliciting also projects willing to take on more risks. There are risks of non-delivery (i.e. projects not materialising) inherent to all options and they would need to be analysed on more granular level (e.g. setting penalties on non-delivery or overly strict criteria triggering underbidding). Those risks are more prominent in IDB option packages tha</w:t>
      </w:r>
      <w:r w:rsidR="1AB7F941" w:rsidRPr="00244D65">
        <w:rPr>
          <w:noProof/>
        </w:rPr>
        <w:t>t</w:t>
      </w:r>
      <w:r w:rsidRPr="00244D65">
        <w:rPr>
          <w:noProof/>
        </w:rPr>
        <w:t xml:space="preserve"> put projects under </w:t>
      </w:r>
      <w:r w:rsidR="1D808419" w:rsidRPr="00244D65">
        <w:rPr>
          <w:noProof/>
        </w:rPr>
        <w:t xml:space="preserve">higher level of </w:t>
      </w:r>
      <w:r w:rsidRPr="00244D65">
        <w:rPr>
          <w:noProof/>
        </w:rPr>
        <w:t>competiti</w:t>
      </w:r>
      <w:r w:rsidR="754A8C8F" w:rsidRPr="00244D65">
        <w:rPr>
          <w:noProof/>
        </w:rPr>
        <w:t>on</w:t>
      </w:r>
      <w:r w:rsidRPr="00244D65">
        <w:rPr>
          <w:noProof/>
        </w:rPr>
        <w:t xml:space="preserve"> (PO1 and PO3), while on the other hand the approach of administrative schemes</w:t>
      </w:r>
      <w:r w:rsidR="000C653C" w:rsidRPr="00244D65">
        <w:rPr>
          <w:noProof/>
        </w:rPr>
        <w:t xml:space="preserve"> </w:t>
      </w:r>
      <w:r w:rsidRPr="00244D65">
        <w:rPr>
          <w:noProof/>
        </w:rPr>
        <w:t>(in PO2) mitigates those risks</w:t>
      </w:r>
      <w:r w:rsidR="7C009AF2" w:rsidRPr="00244D65">
        <w:rPr>
          <w:noProof/>
        </w:rPr>
        <w:t>,</w:t>
      </w:r>
      <w:r w:rsidR="34FEEA7E" w:rsidRPr="00244D65">
        <w:rPr>
          <w:noProof/>
        </w:rPr>
        <w:t xml:space="preserve"> especially if favouring projects that are first to deliver on the market</w:t>
      </w:r>
      <w:r w:rsidR="125F262E" w:rsidRPr="00244D65">
        <w:rPr>
          <w:noProof/>
        </w:rPr>
        <w:t>.</w:t>
      </w:r>
      <w:r w:rsidR="000C653C" w:rsidRPr="00244D65">
        <w:rPr>
          <w:noProof/>
        </w:rPr>
        <w:t xml:space="preserve"> </w:t>
      </w:r>
    </w:p>
    <w:p w14:paraId="556916EC" w14:textId="60CC181D" w:rsidR="00173234" w:rsidRPr="00244D65" w:rsidRDefault="00173234" w:rsidP="0085595C">
      <w:pPr>
        <w:rPr>
          <w:rFonts w:eastAsia="Times New Roman"/>
          <w:noProof/>
        </w:rPr>
      </w:pPr>
      <w:r w:rsidRPr="00244D65">
        <w:rPr>
          <w:noProof/>
        </w:rPr>
        <w:t xml:space="preserve">In general, the mechanism that bring </w:t>
      </w:r>
      <w:bookmarkStart w:id="220" w:name="_Int_5Dg4sWcw"/>
      <w:r w:rsidRPr="00244D65">
        <w:rPr>
          <w:noProof/>
        </w:rPr>
        <w:t>high level</w:t>
      </w:r>
      <w:bookmarkEnd w:id="220"/>
      <w:r w:rsidRPr="00244D65">
        <w:rPr>
          <w:noProof/>
        </w:rPr>
        <w:t xml:space="preserve"> of competition </w:t>
      </w:r>
      <w:r w:rsidR="5A18E07E" w:rsidRPr="00244D65">
        <w:rPr>
          <w:noProof/>
        </w:rPr>
        <w:t xml:space="preserve">(PO1 and PO3) </w:t>
      </w:r>
      <w:r w:rsidRPr="00244D65">
        <w:rPr>
          <w:noProof/>
        </w:rPr>
        <w:t xml:space="preserve">are better suited to more mature technologies that operate on deep and liquid markets, which should progressively become the case for many decarbonisation technologies. Administrative schemes </w:t>
      </w:r>
      <w:r w:rsidR="4AEF6EFF" w:rsidRPr="00244D65">
        <w:rPr>
          <w:noProof/>
        </w:rPr>
        <w:t>(PO2)</w:t>
      </w:r>
      <w:r w:rsidRPr="00244D65">
        <w:rPr>
          <w:noProof/>
        </w:rPr>
        <w:t xml:space="preserve"> should be needed in the early years of the IDB operation when uncertainties are the highest and the business case the most difficult.</w:t>
      </w:r>
    </w:p>
    <w:p w14:paraId="1874B16E" w14:textId="6420B267" w:rsidR="000923D0" w:rsidRPr="00244D65" w:rsidRDefault="00FB4C4D" w:rsidP="0085595C">
      <w:pPr>
        <w:rPr>
          <w:rFonts w:eastAsia="Times New Roman"/>
          <w:noProof/>
        </w:rPr>
      </w:pPr>
      <w:r w:rsidRPr="00244D65">
        <w:rPr>
          <w:rFonts w:eastAsia="Times New Roman"/>
          <w:noProof/>
        </w:rPr>
        <w:t>Through the</w:t>
      </w:r>
      <w:r w:rsidR="006C676F" w:rsidRPr="00244D65">
        <w:rPr>
          <w:rFonts w:eastAsia="Times New Roman"/>
          <w:noProof/>
        </w:rPr>
        <w:t xml:space="preserve"> IDB, i</w:t>
      </w:r>
      <w:r w:rsidR="087740D5" w:rsidRPr="00244D65">
        <w:rPr>
          <w:rFonts w:eastAsia="Times New Roman"/>
          <w:noProof/>
        </w:rPr>
        <w:t xml:space="preserve">ndustrial sectors in particular stand to benefit from accelerated deployment of decarbonisation solutions, which can mitigate the competitiveness pressures associated with rising carbon prices and reduce </w:t>
      </w:r>
      <w:r w:rsidR="00110DCE" w:rsidRPr="00244D65">
        <w:rPr>
          <w:rFonts w:eastAsia="Times New Roman"/>
          <w:noProof/>
        </w:rPr>
        <w:t xml:space="preserve">the </w:t>
      </w:r>
      <w:r w:rsidR="087740D5" w:rsidRPr="00244D65">
        <w:rPr>
          <w:rFonts w:eastAsia="Times New Roman"/>
          <w:noProof/>
        </w:rPr>
        <w:t>transition risks</w:t>
      </w:r>
      <w:r w:rsidR="00110DCE" w:rsidRPr="00244D65">
        <w:rPr>
          <w:rFonts w:eastAsia="Times New Roman"/>
          <w:noProof/>
        </w:rPr>
        <w:t xml:space="preserve"> (i.e. investments delayed or not materialising)</w:t>
      </w:r>
      <w:r w:rsidR="087740D5" w:rsidRPr="00244D65">
        <w:rPr>
          <w:rFonts w:eastAsia="Times New Roman"/>
          <w:noProof/>
        </w:rPr>
        <w:t xml:space="preserve">. </w:t>
      </w:r>
    </w:p>
    <w:p w14:paraId="545C86E0" w14:textId="25C289E0" w:rsidR="7A6A4105" w:rsidRPr="00244D65" w:rsidRDefault="000923D0" w:rsidP="0085595C">
      <w:pPr>
        <w:rPr>
          <w:noProof/>
        </w:rPr>
      </w:pPr>
      <w:r w:rsidRPr="00244D65">
        <w:rPr>
          <w:rFonts w:eastAsia="Times New Roman"/>
          <w:noProof/>
        </w:rPr>
        <w:t>In addition</w:t>
      </w:r>
      <w:r w:rsidR="00AE4A9F" w:rsidRPr="00244D65">
        <w:rPr>
          <w:rFonts w:eastAsia="Times New Roman"/>
          <w:noProof/>
        </w:rPr>
        <w:t xml:space="preserve"> to </w:t>
      </w:r>
      <w:r w:rsidR="00F15CF0" w:rsidRPr="00244D65">
        <w:rPr>
          <w:rFonts w:eastAsia="Times New Roman"/>
          <w:noProof/>
        </w:rPr>
        <w:t xml:space="preserve">the direct investments </w:t>
      </w:r>
      <w:r w:rsidR="00F45502" w:rsidRPr="00244D65">
        <w:rPr>
          <w:rFonts w:eastAsia="Times New Roman"/>
          <w:noProof/>
        </w:rPr>
        <w:t>provided by the IDB</w:t>
      </w:r>
      <w:r w:rsidR="009C7F58" w:rsidRPr="00244D65">
        <w:rPr>
          <w:rFonts w:eastAsia="Times New Roman"/>
          <w:noProof/>
        </w:rPr>
        <w:t>, the EC analysis</w:t>
      </w:r>
      <w:r w:rsidR="000C653C" w:rsidRPr="00244D65">
        <w:rPr>
          <w:rFonts w:eastAsia="Times New Roman"/>
          <w:noProof/>
        </w:rPr>
        <w:t xml:space="preserve"> </w:t>
      </w:r>
      <w:r w:rsidR="009C7F58" w:rsidRPr="00244D65">
        <w:rPr>
          <w:rFonts w:eastAsia="Times New Roman"/>
          <w:noProof/>
        </w:rPr>
        <w:t xml:space="preserve">indicates that </w:t>
      </w:r>
      <w:r w:rsidR="009C7F58" w:rsidRPr="00244D65">
        <w:rPr>
          <w:noProof/>
        </w:rPr>
        <w:t xml:space="preserve">a </w:t>
      </w:r>
      <w:r w:rsidR="7A6A4105" w:rsidRPr="00244D65">
        <w:rPr>
          <w:noProof/>
        </w:rPr>
        <w:t xml:space="preserve">direct investment leverage effect of IDB support </w:t>
      </w:r>
      <w:r w:rsidR="009C7F58" w:rsidRPr="00244D65">
        <w:rPr>
          <w:noProof/>
        </w:rPr>
        <w:t xml:space="preserve">could be expected </w:t>
      </w:r>
      <w:r w:rsidR="7A6A4105" w:rsidRPr="00244D65">
        <w:rPr>
          <w:noProof/>
        </w:rPr>
        <w:t>between 5% and 75%, depending on the sector and technology, with a weighted average of 45% across all modelled projects.</w:t>
      </w:r>
      <w:r w:rsidR="1AA9495C" w:rsidRPr="00244D65">
        <w:rPr>
          <w:noProof/>
        </w:rPr>
        <w:t xml:space="preserve"> </w:t>
      </w:r>
    </w:p>
    <w:p w14:paraId="4716D40B" w14:textId="505CDCA0" w:rsidR="503257A7" w:rsidRPr="00244D65" w:rsidRDefault="00331045" w:rsidP="0085595C">
      <w:pPr>
        <w:rPr>
          <w:noProof/>
          <w:lang w:eastAsia="en-GB"/>
        </w:rPr>
      </w:pPr>
      <w:r w:rsidRPr="00244D65">
        <w:rPr>
          <w:noProof/>
        </w:rPr>
        <w:t xml:space="preserve">It </w:t>
      </w:r>
      <w:r w:rsidR="001F5833" w:rsidRPr="00244D65">
        <w:rPr>
          <w:noProof/>
        </w:rPr>
        <w:t>must</w:t>
      </w:r>
      <w:r w:rsidRPr="00244D65">
        <w:rPr>
          <w:noProof/>
        </w:rPr>
        <w:t xml:space="preserve"> be emphasised that </w:t>
      </w:r>
      <w:r w:rsidR="003E1A17" w:rsidRPr="00244D65">
        <w:rPr>
          <w:noProof/>
        </w:rPr>
        <w:t xml:space="preserve">the industrial decarbonisation </w:t>
      </w:r>
      <w:r w:rsidR="7A6A4105" w:rsidRPr="00244D65">
        <w:rPr>
          <w:noProof/>
        </w:rPr>
        <w:t>requires substantial upfront capital investments (CAPEX) in plants with long lifetimes (typically 15-25 years</w:t>
      </w:r>
      <w:r w:rsidR="000C653C" w:rsidRPr="00244D65">
        <w:rPr>
          <w:noProof/>
        </w:rPr>
        <w:t>),</w:t>
      </w:r>
      <w:r w:rsidR="00D031E8" w:rsidRPr="00244D65">
        <w:rPr>
          <w:noProof/>
        </w:rPr>
        <w:t xml:space="preserve"> but it is </w:t>
      </w:r>
      <w:r w:rsidR="7A6A4105" w:rsidRPr="00244D65">
        <w:rPr>
          <w:noProof/>
        </w:rPr>
        <w:t>operating costs</w:t>
      </w:r>
      <w:r w:rsidR="3AF7DC5E" w:rsidRPr="00244D65">
        <w:rPr>
          <w:noProof/>
        </w:rPr>
        <w:t>,</w:t>
      </w:r>
      <w:r w:rsidR="7A6A4105" w:rsidRPr="00244D65">
        <w:rPr>
          <w:noProof/>
        </w:rPr>
        <w:t xml:space="preserve"> particularly energy-related </w:t>
      </w:r>
      <w:r w:rsidR="00D031E8" w:rsidRPr="00244D65">
        <w:rPr>
          <w:noProof/>
        </w:rPr>
        <w:t>that</w:t>
      </w:r>
      <w:r w:rsidR="7A6A4105" w:rsidRPr="00244D65">
        <w:rPr>
          <w:noProof/>
        </w:rPr>
        <w:t xml:space="preserve"> dominate total production costs, a trend amplified for low-emission technologies.</w:t>
      </w:r>
      <w:r w:rsidR="2E5573FA" w:rsidRPr="00244D65">
        <w:rPr>
          <w:noProof/>
        </w:rPr>
        <w:t xml:space="preserve"> </w:t>
      </w:r>
      <w:r w:rsidR="00FE3506" w:rsidRPr="00244D65">
        <w:rPr>
          <w:noProof/>
        </w:rPr>
        <w:t xml:space="preserve">The </w:t>
      </w:r>
      <w:r w:rsidR="7A6A4105" w:rsidRPr="00244D65">
        <w:rPr>
          <w:noProof/>
        </w:rPr>
        <w:t xml:space="preserve">energy-related OPEX (notably electricity, hydrogen) </w:t>
      </w:r>
      <w:r w:rsidR="00FE3506" w:rsidRPr="00244D65">
        <w:rPr>
          <w:noProof/>
        </w:rPr>
        <w:t xml:space="preserve">were included in the assessment of the environmental impacts of the IDB but </w:t>
      </w:r>
      <w:r w:rsidR="7A6A4105" w:rsidRPr="00244D65">
        <w:rPr>
          <w:noProof/>
        </w:rPr>
        <w:t>fall outside the direct leverage calculation</w:t>
      </w:r>
      <w:r w:rsidR="00A93CA6" w:rsidRPr="00244D65">
        <w:rPr>
          <w:noProof/>
        </w:rPr>
        <w:t xml:space="preserve"> presented above for simplicity of analysis. It is clear that</w:t>
      </w:r>
      <w:r w:rsidR="7A6A4105" w:rsidRPr="00244D65">
        <w:rPr>
          <w:noProof/>
        </w:rPr>
        <w:t xml:space="preserve"> IDB support </w:t>
      </w:r>
      <w:r w:rsidR="00252783" w:rsidRPr="00244D65">
        <w:rPr>
          <w:noProof/>
        </w:rPr>
        <w:t xml:space="preserve">is bound to </w:t>
      </w:r>
      <w:r w:rsidR="7A6A4105" w:rsidRPr="00244D65">
        <w:rPr>
          <w:noProof/>
        </w:rPr>
        <w:t xml:space="preserve">generate stable demand signals that </w:t>
      </w:r>
      <w:r w:rsidR="00252783" w:rsidRPr="00244D65">
        <w:rPr>
          <w:noProof/>
        </w:rPr>
        <w:t xml:space="preserve">would </w:t>
      </w:r>
      <w:r w:rsidR="7A6A4105" w:rsidRPr="00244D65">
        <w:rPr>
          <w:noProof/>
        </w:rPr>
        <w:t xml:space="preserve">drive additional indirect investment at the </w:t>
      </w:r>
      <w:r w:rsidR="00D133E5" w:rsidRPr="00244D65">
        <w:rPr>
          <w:noProof/>
        </w:rPr>
        <w:t xml:space="preserve">energy </w:t>
      </w:r>
      <w:r w:rsidR="00A93CA6" w:rsidRPr="00244D65">
        <w:rPr>
          <w:noProof/>
        </w:rPr>
        <w:t xml:space="preserve">supply side </w:t>
      </w:r>
      <w:r w:rsidR="7A6A4105" w:rsidRPr="00244D65">
        <w:rPr>
          <w:noProof/>
        </w:rPr>
        <w:t>and macro</w:t>
      </w:r>
      <w:r w:rsidR="00D133E5" w:rsidRPr="00244D65">
        <w:rPr>
          <w:noProof/>
        </w:rPr>
        <w:t>-economic</w:t>
      </w:r>
      <w:r w:rsidR="7A6A4105" w:rsidRPr="00244D65">
        <w:rPr>
          <w:noProof/>
        </w:rPr>
        <w:t xml:space="preserve"> levels </w:t>
      </w:r>
      <w:r w:rsidR="00AA32FB" w:rsidRPr="00244D65">
        <w:rPr>
          <w:noProof/>
        </w:rPr>
        <w:t xml:space="preserve">(quantification of </w:t>
      </w:r>
      <w:r w:rsidR="7A6A4105" w:rsidRPr="00244D65">
        <w:rPr>
          <w:noProof/>
        </w:rPr>
        <w:t>this effect</w:t>
      </w:r>
      <w:r w:rsidR="00AA32FB" w:rsidRPr="00244D65">
        <w:rPr>
          <w:noProof/>
        </w:rPr>
        <w:t xml:space="preserve"> was</w:t>
      </w:r>
      <w:r w:rsidR="00A93CA6" w:rsidRPr="00244D65">
        <w:rPr>
          <w:noProof/>
        </w:rPr>
        <w:t>,</w:t>
      </w:r>
      <w:r w:rsidR="00AA32FB" w:rsidRPr="00244D65">
        <w:rPr>
          <w:noProof/>
        </w:rPr>
        <w:t xml:space="preserve"> however</w:t>
      </w:r>
      <w:r w:rsidR="00A93CA6" w:rsidRPr="00244D65">
        <w:rPr>
          <w:noProof/>
        </w:rPr>
        <w:t>,</w:t>
      </w:r>
      <w:r w:rsidR="00AA32FB" w:rsidRPr="00244D65">
        <w:rPr>
          <w:noProof/>
        </w:rPr>
        <w:t xml:space="preserve"> beyond the scope of the </w:t>
      </w:r>
      <w:r w:rsidR="001962F5" w:rsidRPr="00244D65">
        <w:rPr>
          <w:noProof/>
        </w:rPr>
        <w:t>analysis performed)</w:t>
      </w:r>
      <w:r w:rsidR="7A6A4105" w:rsidRPr="00244D65">
        <w:rPr>
          <w:noProof/>
        </w:rPr>
        <w:t>.</w:t>
      </w:r>
    </w:p>
    <w:p w14:paraId="39633A20" w14:textId="13785DBD" w:rsidR="00931D72" w:rsidRPr="00244D65" w:rsidRDefault="00931D72" w:rsidP="0085595C">
      <w:pPr>
        <w:rPr>
          <w:noProof/>
        </w:rPr>
      </w:pPr>
      <w:r w:rsidRPr="00244D65">
        <w:rPr>
          <w:noProof/>
        </w:rPr>
        <w:t xml:space="preserve">In the </w:t>
      </w:r>
      <w:r w:rsidR="00117378" w:rsidRPr="00244D65">
        <w:rPr>
          <w:noProof/>
        </w:rPr>
        <w:t>b</w:t>
      </w:r>
      <w:r w:rsidRPr="00244D65">
        <w:rPr>
          <w:noProof/>
        </w:rPr>
        <w:t>aseline the ETS revenues are set aside for the IF, which would imply broader eligibility (beyond the EIIs) and focus on innovation with continuation of the allocation mechanism and support formats of the IF. The needs of the decarbonisation technologies roll-out would not be then fulfilled, there could be also a diminishing attractiveness of the IF calls for proposals considering that decarbonisation technologies in their majority would be entering the roll-out phase post-2030.</w:t>
      </w:r>
      <w:r w:rsidR="001C5269" w:rsidRPr="00244D65">
        <w:rPr>
          <w:noProof/>
          <w:lang w:eastAsia="en-GB"/>
        </w:rPr>
        <w:t xml:space="preserve">The </w:t>
      </w:r>
      <w:r w:rsidR="00FD065E" w:rsidRPr="00244D65">
        <w:rPr>
          <w:noProof/>
          <w:lang w:eastAsia="en-GB"/>
        </w:rPr>
        <w:t>Modernisation Fund</w:t>
      </w:r>
      <w:r w:rsidR="00480667" w:rsidRPr="00244D65">
        <w:rPr>
          <w:noProof/>
          <w:lang w:eastAsia="en-GB"/>
        </w:rPr>
        <w:t xml:space="preserve">, </w:t>
      </w:r>
      <w:r w:rsidR="001C5269" w:rsidRPr="00244D65">
        <w:rPr>
          <w:noProof/>
          <w:lang w:eastAsia="en-GB"/>
        </w:rPr>
        <w:t>through</w:t>
      </w:r>
      <w:r w:rsidR="00480667" w:rsidRPr="00244D65">
        <w:rPr>
          <w:noProof/>
          <w:lang w:eastAsia="en-GB"/>
        </w:rPr>
        <w:t xml:space="preserve"> continuing the </w:t>
      </w:r>
      <w:r w:rsidR="001C5269" w:rsidRPr="00244D65">
        <w:rPr>
          <w:noProof/>
          <w:lang w:eastAsia="en-GB"/>
        </w:rPr>
        <w:t>support for</w:t>
      </w:r>
      <w:r w:rsidR="00480667" w:rsidRPr="00244D65">
        <w:rPr>
          <w:noProof/>
          <w:lang w:eastAsia="en-GB"/>
        </w:rPr>
        <w:t xml:space="preserve"> investments in </w:t>
      </w:r>
      <w:r w:rsidR="78E72F04" w:rsidRPr="00244D65">
        <w:rPr>
          <w:noProof/>
          <w:lang w:eastAsia="en-GB"/>
        </w:rPr>
        <w:t xml:space="preserve">modernising </w:t>
      </w:r>
      <w:r w:rsidR="0032686D" w:rsidRPr="00244D65">
        <w:rPr>
          <w:noProof/>
          <w:lang w:eastAsia="en-GB"/>
        </w:rPr>
        <w:t xml:space="preserve">energy systems and </w:t>
      </w:r>
      <w:r w:rsidR="00A07525" w:rsidRPr="00244D65">
        <w:rPr>
          <w:noProof/>
          <w:lang w:eastAsia="en-GB"/>
        </w:rPr>
        <w:t>energy efficiency</w:t>
      </w:r>
      <w:r w:rsidR="001C5269" w:rsidRPr="00244D65">
        <w:rPr>
          <w:noProof/>
          <w:lang w:eastAsia="en-GB"/>
        </w:rPr>
        <w:t xml:space="preserve">, indirectly supports </w:t>
      </w:r>
      <w:r w:rsidR="00B62EF1" w:rsidRPr="00244D65">
        <w:rPr>
          <w:noProof/>
          <w:lang w:eastAsia="en-GB"/>
        </w:rPr>
        <w:t xml:space="preserve">the beneficiary Member States’ competitiveness across </w:t>
      </w:r>
      <w:r w:rsidR="0099218A" w:rsidRPr="00244D65">
        <w:rPr>
          <w:noProof/>
          <w:lang w:eastAsia="en-GB"/>
        </w:rPr>
        <w:t>many industrial</w:t>
      </w:r>
      <w:r w:rsidR="00B62EF1" w:rsidRPr="00244D65">
        <w:rPr>
          <w:noProof/>
          <w:lang w:eastAsia="en-GB"/>
        </w:rPr>
        <w:t xml:space="preserve"> sectors. </w:t>
      </w:r>
      <w:r w:rsidR="008C7CA5" w:rsidRPr="00244D65">
        <w:rPr>
          <w:noProof/>
          <w:lang w:eastAsia="en-GB"/>
        </w:rPr>
        <w:t xml:space="preserve">Against </w:t>
      </w:r>
      <w:r w:rsidR="008C7CA5" w:rsidRPr="00244D65">
        <w:rPr>
          <w:noProof/>
        </w:rPr>
        <w:t xml:space="preserve">the backdrop of high investment needs in lower-income EU Member States to reach the 2030 climate and energy targets </w:t>
      </w:r>
      <w:r w:rsidR="00511EC8" w:rsidRPr="00244D65">
        <w:rPr>
          <w:noProof/>
        </w:rPr>
        <w:t>as well as higher carbon prices</w:t>
      </w:r>
      <w:r w:rsidR="008C7CA5" w:rsidRPr="00244D65">
        <w:rPr>
          <w:noProof/>
        </w:rPr>
        <w:t>, the MF financial support has been essential for these countries to close the investment gap</w:t>
      </w:r>
      <w:r w:rsidR="00511EC8" w:rsidRPr="00244D65">
        <w:rPr>
          <w:noProof/>
        </w:rPr>
        <w:t xml:space="preserve"> for the decarbonisation</w:t>
      </w:r>
      <w:r w:rsidR="008C7CA5" w:rsidRPr="00244D65">
        <w:rPr>
          <w:noProof/>
        </w:rPr>
        <w:t>.</w:t>
      </w:r>
      <w:r w:rsidR="00511EC8" w:rsidRPr="00244D65">
        <w:rPr>
          <w:noProof/>
        </w:rPr>
        <w:t xml:space="preserve"> Furthermore, </w:t>
      </w:r>
      <w:r w:rsidR="009B1F0D" w:rsidRPr="00244D65">
        <w:rPr>
          <w:noProof/>
        </w:rPr>
        <w:t xml:space="preserve">by </w:t>
      </w:r>
      <w:r w:rsidR="00B016E9" w:rsidRPr="00244D65">
        <w:rPr>
          <w:noProof/>
        </w:rPr>
        <w:t xml:space="preserve">expanding the support to CCS and electrification in industry, these economies </w:t>
      </w:r>
      <w:r w:rsidR="00006119" w:rsidRPr="00244D65">
        <w:rPr>
          <w:noProof/>
        </w:rPr>
        <w:t xml:space="preserve">will </w:t>
      </w:r>
      <w:r w:rsidR="00B016E9" w:rsidRPr="00244D65">
        <w:rPr>
          <w:noProof/>
        </w:rPr>
        <w:t>become more competitive</w:t>
      </w:r>
      <w:r w:rsidR="00C57804" w:rsidRPr="00244D65">
        <w:rPr>
          <w:noProof/>
        </w:rPr>
        <w:t xml:space="preserve"> and maintain their industrial base whil</w:t>
      </w:r>
      <w:r w:rsidR="00006119" w:rsidRPr="00244D65">
        <w:rPr>
          <w:noProof/>
        </w:rPr>
        <w:t>e</w:t>
      </w:r>
      <w:r w:rsidR="00C57804" w:rsidRPr="00244D65">
        <w:rPr>
          <w:noProof/>
        </w:rPr>
        <w:t xml:space="preserve"> </w:t>
      </w:r>
      <w:r w:rsidR="00006119" w:rsidRPr="00244D65">
        <w:rPr>
          <w:noProof/>
        </w:rPr>
        <w:t>ensuring alignment with</w:t>
      </w:r>
      <w:r w:rsidR="00C57804" w:rsidRPr="00244D65">
        <w:rPr>
          <w:noProof/>
        </w:rPr>
        <w:t xml:space="preserve"> climate objectives. </w:t>
      </w:r>
    </w:p>
    <w:p w14:paraId="461CF3E3" w14:textId="1DE35C8E" w:rsidR="00F66A2D" w:rsidRPr="00244D65" w:rsidRDefault="00246D7E" w:rsidP="0085595C">
      <w:pPr>
        <w:rPr>
          <w:noProof/>
          <w:lang w:eastAsia="en-GB"/>
        </w:rPr>
      </w:pPr>
      <w:r w:rsidRPr="00244D65">
        <w:rPr>
          <w:noProof/>
        </w:rPr>
        <w:t>In the context of the 2040 climate and energy targets</w:t>
      </w:r>
      <w:r w:rsidR="00F66A2D" w:rsidRPr="00244D65">
        <w:rPr>
          <w:noProof/>
        </w:rPr>
        <w:t xml:space="preserve">, </w:t>
      </w:r>
      <w:r w:rsidR="00750665" w:rsidRPr="00244D65">
        <w:rPr>
          <w:noProof/>
        </w:rPr>
        <w:t xml:space="preserve">the current MF beneficiary Member States </w:t>
      </w:r>
      <w:r w:rsidR="003B0D28" w:rsidRPr="00244D65">
        <w:rPr>
          <w:noProof/>
        </w:rPr>
        <w:t>are estimated to have an annual average investment need of around EUR 90 billion</w:t>
      </w:r>
      <w:r w:rsidR="00254536" w:rsidRPr="00244D65">
        <w:rPr>
          <w:rStyle w:val="FootnoteReference"/>
          <w:noProof/>
        </w:rPr>
        <w:footnoteReference w:id="69"/>
      </w:r>
      <w:r w:rsidR="003B0D28" w:rsidRPr="00244D65">
        <w:rPr>
          <w:noProof/>
        </w:rPr>
        <w:t xml:space="preserve"> in sectors relevant for the Modernisation Fund (</w:t>
      </w:r>
      <w:r w:rsidR="00B5466C" w:rsidRPr="00244D65">
        <w:rPr>
          <w:noProof/>
        </w:rPr>
        <w:t>power generation and distribution, industry, residential etc.)</w:t>
      </w:r>
      <w:r w:rsidR="00254536" w:rsidRPr="00244D65">
        <w:rPr>
          <w:noProof/>
        </w:rPr>
        <w:t xml:space="preserve"> in the 2030-2040 decade</w:t>
      </w:r>
      <w:r w:rsidR="00B5466C" w:rsidRPr="00244D65">
        <w:rPr>
          <w:noProof/>
        </w:rPr>
        <w:t xml:space="preserve">. </w:t>
      </w:r>
    </w:p>
    <w:p w14:paraId="0337263E" w14:textId="6B23DF23" w:rsidR="00F77B0A" w:rsidRPr="00244D65" w:rsidRDefault="77A36805" w:rsidP="0085595C">
      <w:pPr>
        <w:pStyle w:val="Heading4"/>
        <w:rPr>
          <w:noProof/>
        </w:rPr>
      </w:pPr>
      <w:bookmarkStart w:id="221" w:name="_Ref214955552"/>
      <w:r w:rsidRPr="00244D65">
        <w:rPr>
          <w:noProof/>
        </w:rPr>
        <w:t xml:space="preserve"> </w:t>
      </w:r>
      <w:r w:rsidR="00F77B0A" w:rsidRPr="00244D65">
        <w:rPr>
          <w:noProof/>
        </w:rPr>
        <w:t>Aviation</w:t>
      </w:r>
      <w:bookmarkEnd w:id="221"/>
    </w:p>
    <w:p w14:paraId="5903B54C" w14:textId="3D524CA1" w:rsidR="00324959" w:rsidRPr="00244D65" w:rsidRDefault="00324959" w:rsidP="0085595C">
      <w:pPr>
        <w:rPr>
          <w:noProof/>
        </w:rPr>
      </w:pPr>
      <w:r w:rsidRPr="00244D65">
        <w:rPr>
          <w:noProof/>
        </w:rPr>
        <w:t xml:space="preserve">When looking at economic impacts, it is important to assess the policy options' implications on operating costs, ticket </w:t>
      </w:r>
      <w:bookmarkStart w:id="222" w:name="_Int_zbqziZLy"/>
      <w:r w:rsidRPr="00244D65">
        <w:rPr>
          <w:noProof/>
        </w:rPr>
        <w:t>prices</w:t>
      </w:r>
      <w:bookmarkEnd w:id="222"/>
      <w:r w:rsidRPr="00244D65">
        <w:rPr>
          <w:noProof/>
        </w:rPr>
        <w:t xml:space="preserve"> and demand, as well as </w:t>
      </w:r>
      <w:r w:rsidR="00161208" w:rsidRPr="00244D65">
        <w:rPr>
          <w:noProof/>
        </w:rPr>
        <w:t xml:space="preserve">aviation </w:t>
      </w:r>
      <w:r w:rsidRPr="00244D65">
        <w:rPr>
          <w:noProof/>
        </w:rPr>
        <w:t xml:space="preserve">auction revenues. These are then used to assess whether there is potential for options to distort competition, between airlines, </w:t>
      </w:r>
      <w:r w:rsidR="1F07D0D7" w:rsidRPr="00244D65">
        <w:rPr>
          <w:noProof/>
        </w:rPr>
        <w:t>airports,</w:t>
      </w:r>
      <w:r w:rsidRPr="00244D65">
        <w:rPr>
          <w:noProof/>
        </w:rPr>
        <w:t xml:space="preserve"> and tourist destinations. </w:t>
      </w:r>
    </w:p>
    <w:p w14:paraId="36041846" w14:textId="246E8338" w:rsidR="003808CB" w:rsidRPr="00244D65" w:rsidRDefault="56C3FCF2" w:rsidP="0085595C">
      <w:pPr>
        <w:rPr>
          <w:noProof/>
        </w:rPr>
      </w:pPr>
      <w:r w:rsidRPr="00244D65">
        <w:rPr>
          <w:noProof/>
        </w:rPr>
        <w:t>The options vary in their coverage of CO</w:t>
      </w:r>
      <w:r w:rsidRPr="00244D65">
        <w:rPr>
          <w:noProof/>
          <w:vertAlign w:val="subscript"/>
        </w:rPr>
        <w:t>2</w:t>
      </w:r>
      <w:r w:rsidRPr="00244D65">
        <w:rPr>
          <w:noProof/>
        </w:rPr>
        <w:t xml:space="preserve"> emissions from aviation and in the </w:t>
      </w:r>
      <w:bookmarkStart w:id="223" w:name="_Int_mjLIzO9O"/>
      <w:r w:rsidRPr="00244D65">
        <w:rPr>
          <w:noProof/>
        </w:rPr>
        <w:t>policy</w:t>
      </w:r>
      <w:bookmarkEnd w:id="223"/>
      <w:r w:rsidRPr="00244D65">
        <w:rPr>
          <w:noProof/>
        </w:rPr>
        <w:t xml:space="preserve"> tools used to cover different segments of emissions. The two policy tools, </w:t>
      </w:r>
      <w:r w:rsidR="001C5E62" w:rsidRPr="00244D65">
        <w:rPr>
          <w:noProof/>
        </w:rPr>
        <w:t xml:space="preserve">the </w:t>
      </w:r>
      <w:r w:rsidRPr="00244D65">
        <w:rPr>
          <w:noProof/>
        </w:rPr>
        <w:t>EU ETS and CORSIA, lead to different prices for each tonne of CO</w:t>
      </w:r>
      <w:r w:rsidRPr="00244D65">
        <w:rPr>
          <w:noProof/>
          <w:vertAlign w:val="subscript"/>
        </w:rPr>
        <w:t>2</w:t>
      </w:r>
      <w:r w:rsidRPr="00244D65">
        <w:rPr>
          <w:noProof/>
        </w:rPr>
        <w:t xml:space="preserve"> emissions covered. The scale of SAF support influences the effective price airlines pay for SAF which may in turn influence the amount of SAF they use (and therefore CO</w:t>
      </w:r>
      <w:r w:rsidRPr="00244D65">
        <w:rPr>
          <w:noProof/>
          <w:vertAlign w:val="subscript"/>
        </w:rPr>
        <w:t>2</w:t>
      </w:r>
      <w:r w:rsidRPr="00244D65">
        <w:rPr>
          <w:noProof/>
        </w:rPr>
        <w:t xml:space="preserve"> and non-CO</w:t>
      </w:r>
      <w:r w:rsidRPr="00244D65">
        <w:rPr>
          <w:noProof/>
          <w:vertAlign w:val="subscript"/>
        </w:rPr>
        <w:t>2</w:t>
      </w:r>
      <w:r w:rsidRPr="00244D65">
        <w:rPr>
          <w:noProof/>
        </w:rPr>
        <w:t xml:space="preserve"> emissions). As a result, the different measures have different impacts on the </w:t>
      </w:r>
      <w:r w:rsidRPr="00244D65">
        <w:rPr>
          <w:b/>
          <w:bCs/>
          <w:noProof/>
        </w:rPr>
        <w:t>operating costs</w:t>
      </w:r>
      <w:r w:rsidRPr="00244D65">
        <w:rPr>
          <w:noProof/>
        </w:rPr>
        <w:t xml:space="preserve"> of airlines. Fuel costs currently account for about 30% of airlines’ operating costs</w:t>
      </w:r>
      <w:r w:rsidR="00324959" w:rsidRPr="00244D65">
        <w:rPr>
          <w:rStyle w:val="FootnoteReference"/>
          <w:noProof/>
        </w:rPr>
        <w:footnoteReference w:id="70"/>
      </w:r>
      <w:r w:rsidRPr="00244D65">
        <w:rPr>
          <w:noProof/>
        </w:rPr>
        <w:t>, and carbon costs depend on the amount and sustainability of fuel used.</w:t>
      </w:r>
      <w:r w:rsidR="2705E294" w:rsidRPr="00244D65">
        <w:rPr>
          <w:noProof/>
        </w:rPr>
        <w:t xml:space="preserve"> </w:t>
      </w:r>
      <w:r w:rsidR="1CB7E3ED" w:rsidRPr="00244D65">
        <w:rPr>
          <w:noProof/>
        </w:rPr>
        <w:t xml:space="preserve">Regarding economic impacts and passenger demand, it is most interesting to compare over time two market segments: economy class demand and low-cost carrier demand. The most noticeable differences can be found in departing flights, as this is where policy changes on scope would apply, and where most fuel is consumed and therefore also the impact of the SAF support is biggest. </w:t>
      </w:r>
      <w:r w:rsidRPr="00244D65">
        <w:rPr>
          <w:noProof/>
        </w:rPr>
        <w:t xml:space="preserve">Under </w:t>
      </w:r>
      <w:r w:rsidR="6F3E49DE" w:rsidRPr="00244D65">
        <w:rPr>
          <w:noProof/>
        </w:rPr>
        <w:t>all policy options</w:t>
      </w:r>
      <w:r w:rsidRPr="00244D65">
        <w:rPr>
          <w:noProof/>
        </w:rPr>
        <w:t xml:space="preserve">, the </w:t>
      </w:r>
      <w:r w:rsidR="000A0575" w:rsidRPr="00244D65">
        <w:rPr>
          <w:noProof/>
        </w:rPr>
        <w:t>aviation</w:t>
      </w:r>
      <w:r w:rsidRPr="00244D65">
        <w:rPr>
          <w:noProof/>
        </w:rPr>
        <w:t xml:space="preserve"> support study</w:t>
      </w:r>
      <w:r w:rsidR="000A0575" w:rsidRPr="00244D65">
        <w:rPr>
          <w:rStyle w:val="FootnoteReference"/>
          <w:noProof/>
        </w:rPr>
        <w:footnoteReference w:id="71"/>
      </w:r>
      <w:r w:rsidRPr="00244D65">
        <w:rPr>
          <w:noProof/>
        </w:rPr>
        <w:t xml:space="preserve"> finds an increase in demand </w:t>
      </w:r>
      <w:r w:rsidR="6F3E49DE" w:rsidRPr="00244D65">
        <w:rPr>
          <w:noProof/>
        </w:rPr>
        <w:t>and a decrease in prices compared to the baseline</w:t>
      </w:r>
      <w:r w:rsidRPr="00244D65">
        <w:rPr>
          <w:noProof/>
        </w:rPr>
        <w:t xml:space="preserve"> for </w:t>
      </w:r>
      <w:r w:rsidRPr="00244D65">
        <w:rPr>
          <w:b/>
          <w:bCs/>
          <w:noProof/>
        </w:rPr>
        <w:t>extra-EEA departing flights</w:t>
      </w:r>
      <w:r w:rsidR="006D8939" w:rsidRPr="00244D65">
        <w:rPr>
          <w:noProof/>
        </w:rPr>
        <w:t>.</w:t>
      </w:r>
      <w:r w:rsidR="000C653C" w:rsidRPr="00244D65">
        <w:rPr>
          <w:noProof/>
        </w:rPr>
        <w:t xml:space="preserve"> </w:t>
      </w:r>
      <w:r w:rsidR="000A548B" w:rsidRPr="00244D65">
        <w:rPr>
          <w:noProof/>
        </w:rPr>
        <w:t xml:space="preserve">Low-cost demand is modelled to grow less than the other travel classes, whereas first/ business demand is expected to grow most. Passenger demand is relatively price inelastic for first/ business class travel. Ticket prices behave similarly for business and economy, but </w:t>
      </w:r>
      <w:r w:rsidR="00071093" w:rsidRPr="00244D65">
        <w:rPr>
          <w:noProof/>
        </w:rPr>
        <w:t>the latter</w:t>
      </w:r>
      <w:r w:rsidR="000A548B" w:rsidRPr="00244D65">
        <w:rPr>
          <w:noProof/>
        </w:rPr>
        <w:t xml:space="preserve"> is more affected by prices: first/ business </w:t>
      </w:r>
      <w:r w:rsidR="007B0451" w:rsidRPr="00244D65">
        <w:rPr>
          <w:noProof/>
        </w:rPr>
        <w:t xml:space="preserve">demand </w:t>
      </w:r>
      <w:r w:rsidR="000A548B" w:rsidRPr="00244D65">
        <w:rPr>
          <w:noProof/>
        </w:rPr>
        <w:t xml:space="preserve">is </w:t>
      </w:r>
      <w:bookmarkStart w:id="224" w:name="_Int_KRkwQLLI"/>
      <w:r w:rsidR="007B0451" w:rsidRPr="00244D65">
        <w:rPr>
          <w:noProof/>
        </w:rPr>
        <w:t>almost the</w:t>
      </w:r>
      <w:bookmarkEnd w:id="224"/>
      <w:r w:rsidR="007B0451" w:rsidRPr="00244D65">
        <w:rPr>
          <w:noProof/>
        </w:rPr>
        <w:t xml:space="preserve"> same</w:t>
      </w:r>
      <w:r w:rsidR="000A548B" w:rsidRPr="00244D65">
        <w:rPr>
          <w:noProof/>
        </w:rPr>
        <w:t xml:space="preserve">: +1.6pp in PO1 versus the baseline, whereas for economy </w:t>
      </w:r>
      <w:r w:rsidR="007B0451" w:rsidRPr="00244D65">
        <w:rPr>
          <w:noProof/>
        </w:rPr>
        <w:t xml:space="preserve">it is </w:t>
      </w:r>
      <w:r w:rsidR="000A548B" w:rsidRPr="00244D65">
        <w:rPr>
          <w:noProof/>
        </w:rPr>
        <w:t>+5.1pp</w:t>
      </w:r>
      <w:r w:rsidR="007B0451" w:rsidRPr="00244D65">
        <w:rPr>
          <w:noProof/>
        </w:rPr>
        <w:t xml:space="preserve"> higher in PO1 than in the baseline</w:t>
      </w:r>
      <w:r w:rsidR="00215D21" w:rsidRPr="00244D65">
        <w:rPr>
          <w:noProof/>
        </w:rPr>
        <w:t xml:space="preserve"> -</w:t>
      </w:r>
      <w:r w:rsidR="00DF2016" w:rsidRPr="00244D65" w:rsidDel="00DF2016">
        <w:rPr>
          <w:noProof/>
        </w:rPr>
        <w:t xml:space="preserve"> </w:t>
      </w:r>
      <w:r w:rsidR="00215D21" w:rsidRPr="00244D65">
        <w:rPr>
          <w:noProof/>
        </w:rPr>
        <w:t>s</w:t>
      </w:r>
      <w:r w:rsidR="007D7262" w:rsidRPr="00244D65">
        <w:rPr>
          <w:noProof/>
        </w:rPr>
        <w:t xml:space="preserve">ee </w:t>
      </w:r>
      <w:r>
        <w:rPr>
          <w:noProof/>
        </w:rPr>
        <w:t>Table</w:t>
      </w:r>
      <w:r w:rsidR="0090320F" w:rsidRPr="00244D65">
        <w:rPr>
          <w:noProof/>
        </w:rPr>
        <w:t xml:space="preserve"> </w:t>
      </w:r>
      <w:r w:rsidR="00B608DE" w:rsidRPr="00244D65">
        <w:rPr>
          <w:noProof/>
        </w:rPr>
        <w:t>7</w:t>
      </w:r>
      <w:r w:rsidR="0090320F" w:rsidRPr="00244D65">
        <w:rPr>
          <w:noProof/>
        </w:rPr>
        <w:t xml:space="preserve"> </w:t>
      </w:r>
      <w:r w:rsidR="007D7262" w:rsidRPr="00244D65">
        <w:rPr>
          <w:noProof/>
        </w:rPr>
        <w:t>in Annex 10.</w:t>
      </w:r>
    </w:p>
    <w:p w14:paraId="444399E2" w14:textId="3A8D7A03" w:rsidR="00217034" w:rsidRPr="00244D65" w:rsidRDefault="00217034" w:rsidP="0085595C">
      <w:pPr>
        <w:rPr>
          <w:iCs/>
          <w:noProof/>
        </w:rPr>
      </w:pPr>
      <w:r w:rsidRPr="00244D65">
        <w:rPr>
          <w:b/>
          <w:noProof/>
        </w:rPr>
        <w:t>Fuel use</w:t>
      </w:r>
      <w:r w:rsidRPr="00244D65">
        <w:rPr>
          <w:b/>
          <w:bCs/>
          <w:iCs/>
          <w:noProof/>
        </w:rPr>
        <w:t xml:space="preserve"> </w:t>
      </w:r>
      <w:r w:rsidRPr="00244D65">
        <w:rPr>
          <w:iCs/>
          <w:noProof/>
        </w:rPr>
        <w:t>for departing flights increases under the baseline and all policy options: By 2040, fuel use for departing flights increases least under the baseline (11% compared to 2023), and most under PO1 (20% compared to 2023). Fuel use increases by 15% under both PO2/3.</w:t>
      </w:r>
    </w:p>
    <w:p w14:paraId="092B4B02" w14:textId="3EACBD35" w:rsidR="009648BB" w:rsidRPr="00244D65" w:rsidRDefault="00E942A2" w:rsidP="0085595C">
      <w:pPr>
        <w:rPr>
          <w:noProof/>
        </w:rPr>
      </w:pPr>
      <w:r w:rsidRPr="00244D65">
        <w:rPr>
          <w:b/>
          <w:bCs/>
          <w:noProof/>
        </w:rPr>
        <w:t>SAF costs</w:t>
      </w:r>
      <w:r w:rsidR="00077767" w:rsidRPr="00244D65">
        <w:rPr>
          <w:b/>
          <w:bCs/>
          <w:noProof/>
        </w:rPr>
        <w:t xml:space="preserve"> f</w:t>
      </w:r>
      <w:r w:rsidR="009036CF" w:rsidRPr="00244D65">
        <w:rPr>
          <w:b/>
          <w:bCs/>
          <w:noProof/>
        </w:rPr>
        <w:t xml:space="preserve">or </w:t>
      </w:r>
      <w:r w:rsidR="00077767" w:rsidRPr="00244D65">
        <w:rPr>
          <w:b/>
          <w:bCs/>
          <w:noProof/>
        </w:rPr>
        <w:t>airlines</w:t>
      </w:r>
      <w:r w:rsidRPr="00244D65">
        <w:rPr>
          <w:noProof/>
        </w:rPr>
        <w:t xml:space="preserve"> </w:t>
      </w:r>
      <w:bookmarkStart w:id="225" w:name="_Int_0eDzeSQF"/>
      <w:r w:rsidR="00855BD8" w:rsidRPr="00244D65">
        <w:rPr>
          <w:noProof/>
        </w:rPr>
        <w:t>mainly depend</w:t>
      </w:r>
      <w:bookmarkEnd w:id="225"/>
      <w:r w:rsidR="00855BD8" w:rsidRPr="00244D65">
        <w:rPr>
          <w:noProof/>
        </w:rPr>
        <w:t xml:space="preserve"> on </w:t>
      </w:r>
      <w:r w:rsidR="0054208E" w:rsidRPr="00244D65">
        <w:rPr>
          <w:noProof/>
        </w:rPr>
        <w:t>demand</w:t>
      </w:r>
      <w:r w:rsidR="00D4473F" w:rsidRPr="00244D65">
        <w:rPr>
          <w:noProof/>
        </w:rPr>
        <w:t>: higher traffic leads to higher SAF use, in line with ReFuelEU mandates</w:t>
      </w:r>
      <w:r w:rsidR="007E1A9C" w:rsidRPr="00244D65">
        <w:rPr>
          <w:noProof/>
        </w:rPr>
        <w:t>, and results in higher costs</w:t>
      </w:r>
      <w:r w:rsidR="00D4473F" w:rsidRPr="00244D65">
        <w:rPr>
          <w:noProof/>
        </w:rPr>
        <w:t>.</w:t>
      </w:r>
      <w:r w:rsidR="00E60C52" w:rsidRPr="00244D65">
        <w:rPr>
          <w:noProof/>
        </w:rPr>
        <w:t xml:space="preserve"> For departing flights in 2035, SAF cost would be lowest in </w:t>
      </w:r>
      <w:r w:rsidR="00F8557E" w:rsidRPr="00244D65">
        <w:rPr>
          <w:noProof/>
        </w:rPr>
        <w:t xml:space="preserve">the baseline, which has lower traffic than the policy options. </w:t>
      </w:r>
      <w:r w:rsidR="00F263A0" w:rsidRPr="00244D65">
        <w:rPr>
          <w:noProof/>
        </w:rPr>
        <w:t xml:space="preserve">Among the policy options, SAF </w:t>
      </w:r>
      <w:r w:rsidR="00FB6436" w:rsidRPr="00244D65">
        <w:rPr>
          <w:noProof/>
        </w:rPr>
        <w:t>costs would be lowest in PO2</w:t>
      </w:r>
      <w:r w:rsidR="006D240E" w:rsidRPr="00244D65">
        <w:rPr>
          <w:noProof/>
        </w:rPr>
        <w:t xml:space="preserve"> (because traffic </w:t>
      </w:r>
      <w:r w:rsidR="007F4BA7" w:rsidRPr="00244D65">
        <w:rPr>
          <w:noProof/>
        </w:rPr>
        <w:t>in PO2</w:t>
      </w:r>
      <w:r w:rsidR="006D240E" w:rsidRPr="00244D65">
        <w:rPr>
          <w:noProof/>
        </w:rPr>
        <w:t xml:space="preserve"> lower than in PO3)</w:t>
      </w:r>
      <w:r w:rsidR="00FB6436" w:rsidRPr="00244D65">
        <w:rPr>
          <w:noProof/>
        </w:rPr>
        <w:t xml:space="preserve">, </w:t>
      </w:r>
      <w:r w:rsidR="00095648" w:rsidRPr="00244D65">
        <w:rPr>
          <w:noProof/>
        </w:rPr>
        <w:t>and highest in PO1</w:t>
      </w:r>
      <w:r w:rsidR="006064EB" w:rsidRPr="00244D65">
        <w:rPr>
          <w:noProof/>
        </w:rPr>
        <w:t xml:space="preserve"> </w:t>
      </w:r>
      <w:r w:rsidR="007F4BA7" w:rsidRPr="00244D65">
        <w:rPr>
          <w:noProof/>
        </w:rPr>
        <w:t>(because there is no SAF support and traffic is higher than in PO2/3</w:t>
      </w:r>
      <w:r>
        <w:rPr>
          <w:noProof/>
        </w:rPr>
        <w:t>) -ee</w:t>
      </w:r>
      <w:r w:rsidR="001E6413" w:rsidRPr="00244D65">
        <w:rPr>
          <w:noProof/>
        </w:rPr>
        <w:t xml:space="preserve"> </w:t>
      </w:r>
      <w:r w:rsidR="00C60BAB" w:rsidRPr="00244D65">
        <w:rPr>
          <w:noProof/>
        </w:rPr>
        <w:t>T</w:t>
      </w:r>
      <w:r w:rsidR="001E6413" w:rsidRPr="00244D65">
        <w:rPr>
          <w:noProof/>
        </w:rPr>
        <w:t xml:space="preserve">able </w:t>
      </w:r>
      <w:r w:rsidR="000D1E8C" w:rsidRPr="00244D65">
        <w:rPr>
          <w:noProof/>
        </w:rPr>
        <w:t>9</w:t>
      </w:r>
      <w:r w:rsidR="001E6413" w:rsidRPr="00244D65">
        <w:rPr>
          <w:noProof/>
        </w:rPr>
        <w:t xml:space="preserve"> in Annex 10.</w:t>
      </w:r>
    </w:p>
    <w:p w14:paraId="0E1C0014" w14:textId="03E36722" w:rsidR="005911A6" w:rsidRPr="00244D65" w:rsidRDefault="005911A6" w:rsidP="0085595C">
      <w:pPr>
        <w:rPr>
          <w:noProof/>
        </w:rPr>
      </w:pPr>
      <w:r w:rsidRPr="00244D65">
        <w:rPr>
          <w:noProof/>
        </w:rPr>
        <w:t>Table</w:t>
      </w:r>
      <w:r w:rsidR="00B60A76" w:rsidRPr="00244D65">
        <w:rPr>
          <w:noProof/>
        </w:rPr>
        <w:t xml:space="preserve"> </w:t>
      </w:r>
      <w:r>
        <w:rPr>
          <w:noProof/>
        </w:rPr>
        <w:t>12</w:t>
      </w:r>
      <w:r w:rsidR="004102B1" w:rsidRPr="00244D65">
        <w:rPr>
          <w:noProof/>
        </w:rPr>
        <w:t xml:space="preserve"> below</w:t>
      </w:r>
      <w:r w:rsidRPr="00244D65">
        <w:rPr>
          <w:noProof/>
        </w:rPr>
        <w:t xml:space="preserve"> sum</w:t>
      </w:r>
      <w:r w:rsidR="00856244" w:rsidRPr="00244D65">
        <w:rPr>
          <w:noProof/>
        </w:rPr>
        <w:t>marise</w:t>
      </w:r>
      <w:r w:rsidR="00AD0522" w:rsidRPr="00244D65">
        <w:rPr>
          <w:noProof/>
        </w:rPr>
        <w:t>s</w:t>
      </w:r>
      <w:r w:rsidRPr="00244D65">
        <w:rPr>
          <w:noProof/>
        </w:rPr>
        <w:t xml:space="preserve"> </w:t>
      </w:r>
      <w:r w:rsidRPr="00244D65">
        <w:rPr>
          <w:b/>
          <w:bCs/>
          <w:noProof/>
        </w:rPr>
        <w:t>carbon costs as a percentage of total operating costs</w:t>
      </w:r>
      <w:r w:rsidRPr="00244D65">
        <w:rPr>
          <w:noProof/>
        </w:rPr>
        <w:t xml:space="preserve">. </w:t>
      </w:r>
      <w:r w:rsidR="008E7F89" w:rsidRPr="00244D65">
        <w:rPr>
          <w:noProof/>
        </w:rPr>
        <w:t>In PO1, t</w:t>
      </w:r>
      <w:r w:rsidRPr="00244D65">
        <w:rPr>
          <w:noProof/>
        </w:rPr>
        <w:t xml:space="preserve">he share of the carbon costs </w:t>
      </w:r>
      <w:bookmarkStart w:id="226" w:name="_Int_enUBPfKf"/>
      <w:r w:rsidRPr="00244D65">
        <w:rPr>
          <w:noProof/>
        </w:rPr>
        <w:t>generally peaks</w:t>
      </w:r>
      <w:bookmarkEnd w:id="226"/>
      <w:r w:rsidRPr="00244D65">
        <w:rPr>
          <w:noProof/>
        </w:rPr>
        <w:t xml:space="preserve"> in 2035, </w:t>
      </w:r>
      <w:r w:rsidR="00DE5E2D" w:rsidRPr="00244D65">
        <w:rPr>
          <w:noProof/>
        </w:rPr>
        <w:t xml:space="preserve">because </w:t>
      </w:r>
      <w:r w:rsidR="00945F20" w:rsidRPr="00244D65">
        <w:rPr>
          <w:noProof/>
        </w:rPr>
        <w:t>after 2035</w:t>
      </w:r>
      <w:r w:rsidR="00B60A76" w:rsidRPr="00244D65">
        <w:rPr>
          <w:noProof/>
        </w:rPr>
        <w:t xml:space="preserve"> </w:t>
      </w:r>
      <w:r w:rsidRPr="00244D65">
        <w:rPr>
          <w:noProof/>
        </w:rPr>
        <w:t xml:space="preserve">CORSIA would not apply anymore for extra-EEA flights (and </w:t>
      </w:r>
      <w:r w:rsidR="00945F20" w:rsidRPr="00244D65">
        <w:rPr>
          <w:noProof/>
        </w:rPr>
        <w:t xml:space="preserve">in PO1 </w:t>
      </w:r>
      <w:r w:rsidRPr="00244D65">
        <w:rPr>
          <w:noProof/>
        </w:rPr>
        <w:t xml:space="preserve">the EU ETS would not apply either on those flights). </w:t>
      </w:r>
      <w:r w:rsidR="00945F20" w:rsidRPr="00244D65">
        <w:rPr>
          <w:noProof/>
        </w:rPr>
        <w:t xml:space="preserve">In </w:t>
      </w:r>
      <w:r w:rsidRPr="00244D65">
        <w:rPr>
          <w:noProof/>
        </w:rPr>
        <w:t xml:space="preserve">PO2 and PO3, </w:t>
      </w:r>
      <w:r w:rsidR="00BD55D3" w:rsidRPr="00244D65">
        <w:rPr>
          <w:noProof/>
        </w:rPr>
        <w:t>the carbon cost share increases over time</w:t>
      </w:r>
      <w:r w:rsidRPr="00244D65">
        <w:rPr>
          <w:noProof/>
        </w:rPr>
        <w:t xml:space="preserve"> because CORSIA’s application until 2035 is accompanied by the EU ETS scope extension to departing flights (until but also beyond 2035</w:t>
      </w:r>
      <w:r w:rsidR="000C653C" w:rsidRPr="00244D65">
        <w:rPr>
          <w:noProof/>
        </w:rPr>
        <w:t>).</w:t>
      </w:r>
      <w:r w:rsidRPr="00244D65">
        <w:rPr>
          <w:noProof/>
        </w:rPr>
        <w:t xml:space="preserve"> For those options, the SAF support is also reflected in the figures: in 2030 for PO2 as it is modelled to run out</w:t>
      </w:r>
      <w:r w:rsidR="009654B0" w:rsidRPr="00244D65">
        <w:rPr>
          <w:noProof/>
        </w:rPr>
        <w:t xml:space="preserve"> before 2035</w:t>
      </w:r>
      <w:r w:rsidRPr="00244D65">
        <w:rPr>
          <w:noProof/>
        </w:rPr>
        <w:t xml:space="preserve">, and </w:t>
      </w:r>
      <w:r w:rsidR="0062541A" w:rsidRPr="00244D65">
        <w:rPr>
          <w:noProof/>
        </w:rPr>
        <w:t xml:space="preserve">in PO3 </w:t>
      </w:r>
      <w:r w:rsidRPr="00244D65">
        <w:rPr>
          <w:noProof/>
        </w:rPr>
        <w:t xml:space="preserve">in 2030 and 2035. </w:t>
      </w:r>
      <w:r w:rsidRPr="00244D65">
        <w:rPr>
          <w:b/>
          <w:bCs/>
          <w:noProof/>
        </w:rPr>
        <w:t xml:space="preserve">In all cases, carbon cost shares are lower in all policy options than </w:t>
      </w:r>
      <w:r w:rsidR="00CA2F99" w:rsidRPr="00244D65">
        <w:rPr>
          <w:b/>
          <w:bCs/>
          <w:noProof/>
        </w:rPr>
        <w:t xml:space="preserve">in </w:t>
      </w:r>
      <w:r w:rsidRPr="00244D65">
        <w:rPr>
          <w:b/>
          <w:bCs/>
          <w:noProof/>
        </w:rPr>
        <w:t>the baseline</w:t>
      </w:r>
      <w:r w:rsidRPr="00244D65">
        <w:rPr>
          <w:noProof/>
        </w:rPr>
        <w:t>.</w:t>
      </w:r>
      <w:r w:rsidR="00271545" w:rsidRPr="00244D65">
        <w:rPr>
          <w:noProof/>
        </w:rPr>
        <w:t xml:space="preserve"> This is due to </w:t>
      </w:r>
      <w:r w:rsidR="00A24532" w:rsidRPr="00244D65">
        <w:rPr>
          <w:noProof/>
        </w:rPr>
        <w:t xml:space="preserve">lower </w:t>
      </w:r>
      <w:r w:rsidR="00D4287F" w:rsidRPr="00244D65">
        <w:rPr>
          <w:noProof/>
        </w:rPr>
        <w:t>SAF and ETS costs</w:t>
      </w:r>
      <w:r w:rsidR="009C5A95" w:rsidRPr="00244D65">
        <w:rPr>
          <w:noProof/>
        </w:rPr>
        <w:t xml:space="preserve">, </w:t>
      </w:r>
      <w:r w:rsidR="0019412F" w:rsidRPr="00244D65">
        <w:rPr>
          <w:noProof/>
        </w:rPr>
        <w:t>for example</w:t>
      </w:r>
      <w:r w:rsidR="00A8107E" w:rsidRPr="00244D65">
        <w:rPr>
          <w:noProof/>
        </w:rPr>
        <w:t xml:space="preserve"> in 2035 PO3</w:t>
      </w:r>
      <w:r w:rsidR="00764644" w:rsidRPr="00244D65">
        <w:rPr>
          <w:noProof/>
        </w:rPr>
        <w:t xml:space="preserve"> carbon costs as percentage of fuel costs are </w:t>
      </w:r>
      <w:r w:rsidR="003E1772" w:rsidRPr="00244D65">
        <w:rPr>
          <w:noProof/>
        </w:rPr>
        <w:t xml:space="preserve">about half of those </w:t>
      </w:r>
      <w:r w:rsidR="0078649F" w:rsidRPr="00244D65">
        <w:rPr>
          <w:noProof/>
        </w:rPr>
        <w:t>in</w:t>
      </w:r>
      <w:r w:rsidR="003E1772" w:rsidRPr="00244D65">
        <w:rPr>
          <w:noProof/>
        </w:rPr>
        <w:t xml:space="preserve"> PO2</w:t>
      </w:r>
      <w:r w:rsidR="00A778DC" w:rsidRPr="00244D65">
        <w:rPr>
          <w:noProof/>
        </w:rPr>
        <w:t xml:space="preserve">. This is </w:t>
      </w:r>
      <w:r w:rsidR="00B36335" w:rsidRPr="00244D65">
        <w:rPr>
          <w:noProof/>
        </w:rPr>
        <w:t>because S</w:t>
      </w:r>
      <w:r w:rsidR="00FE41A9" w:rsidRPr="00244D65">
        <w:rPr>
          <w:noProof/>
        </w:rPr>
        <w:t>AF</w:t>
      </w:r>
      <w:r w:rsidR="00B36335" w:rsidRPr="00244D65">
        <w:rPr>
          <w:noProof/>
        </w:rPr>
        <w:t xml:space="preserve"> support is still available in PO3 but projected to have </w:t>
      </w:r>
      <w:r w:rsidR="00B64A3A" w:rsidRPr="00244D65">
        <w:rPr>
          <w:noProof/>
        </w:rPr>
        <w:t>been fully used</w:t>
      </w:r>
      <w:r w:rsidR="00B36335" w:rsidRPr="00244D65">
        <w:rPr>
          <w:noProof/>
        </w:rPr>
        <w:t xml:space="preserve"> in PO2</w:t>
      </w:r>
      <w:r w:rsidR="003E1772" w:rsidRPr="00244D65">
        <w:rPr>
          <w:noProof/>
        </w:rPr>
        <w:t>.</w:t>
      </w:r>
      <w:r w:rsidR="00A21075" w:rsidRPr="00244D65">
        <w:rPr>
          <w:noProof/>
        </w:rPr>
        <w:t xml:space="preserve"> See </w:t>
      </w:r>
      <w:r w:rsidR="003C1743" w:rsidRPr="00244D65">
        <w:rPr>
          <w:noProof/>
        </w:rPr>
        <w:t>T</w:t>
      </w:r>
      <w:r w:rsidR="00A21075" w:rsidRPr="00244D65">
        <w:rPr>
          <w:noProof/>
        </w:rPr>
        <w:t xml:space="preserve">able </w:t>
      </w:r>
      <w:r w:rsidR="009E7814" w:rsidRPr="00244D65">
        <w:rPr>
          <w:noProof/>
        </w:rPr>
        <w:t>11</w:t>
      </w:r>
      <w:r w:rsidR="00A21075" w:rsidRPr="00244D65">
        <w:rPr>
          <w:noProof/>
        </w:rPr>
        <w:t xml:space="preserve"> in Annex 10 for further analysis. </w:t>
      </w:r>
    </w:p>
    <w:p w14:paraId="633BB523" w14:textId="639E8957" w:rsidR="005911A6" w:rsidRPr="00244D65" w:rsidRDefault="005911A6" w:rsidP="0085595C">
      <w:pPr>
        <w:rPr>
          <w:noProof/>
        </w:rPr>
      </w:pPr>
      <w:r w:rsidRPr="00244D65">
        <w:rPr>
          <w:noProof/>
        </w:rPr>
        <w:t xml:space="preserve">Extra-EEA flights </w:t>
      </w:r>
      <w:bookmarkStart w:id="227" w:name="_Int_hmqozKrM"/>
      <w:r w:rsidRPr="00244D65">
        <w:rPr>
          <w:noProof/>
        </w:rPr>
        <w:t>generally show</w:t>
      </w:r>
      <w:bookmarkEnd w:id="227"/>
      <w:r w:rsidRPr="00244D65">
        <w:rPr>
          <w:noProof/>
        </w:rPr>
        <w:t xml:space="preserve"> lower carbon cost as </w:t>
      </w:r>
      <w:r w:rsidR="00993F64" w:rsidRPr="00244D65">
        <w:rPr>
          <w:noProof/>
        </w:rPr>
        <w:t xml:space="preserve">a </w:t>
      </w:r>
      <w:r w:rsidRPr="00244D65">
        <w:rPr>
          <w:noProof/>
        </w:rPr>
        <w:t xml:space="preserve">share of operating costs, compared to all (total) EEA flights. This is because </w:t>
      </w:r>
      <w:r w:rsidR="005D4ECF" w:rsidRPr="00244D65">
        <w:rPr>
          <w:noProof/>
        </w:rPr>
        <w:t xml:space="preserve">in </w:t>
      </w:r>
      <w:r w:rsidRPr="00244D65">
        <w:rPr>
          <w:noProof/>
        </w:rPr>
        <w:t>the policy options, extra-EEA flights are on average subject to a lower share of carbon pricing</w:t>
      </w:r>
      <w:r w:rsidR="003D33E9" w:rsidRPr="00244D65">
        <w:rPr>
          <w:noProof/>
        </w:rPr>
        <w:t>.</w:t>
      </w:r>
    </w:p>
    <w:p w14:paraId="274004CB" w14:textId="1DFA740D" w:rsidR="00C812DC" w:rsidRPr="00244D65" w:rsidRDefault="00CF3656" w:rsidP="005E4778">
      <w:pPr>
        <w:pStyle w:val="Tabletitle"/>
        <w:rPr>
          <w:b/>
          <w:noProof/>
        </w:rPr>
      </w:pPr>
      <w:r w:rsidRPr="00244D65">
        <w:rPr>
          <w:noProof/>
        </w:rPr>
        <w:t xml:space="preserve"> </w:t>
      </w:r>
      <w:bookmarkStart w:id="228" w:name="_Toc234496392"/>
      <w:bookmarkStart w:id="229" w:name="_Toc232754572"/>
      <w:r w:rsidR="007D1D0D" w:rsidRPr="00244D65">
        <w:rPr>
          <w:noProof/>
        </w:rPr>
        <w:t xml:space="preserve">Carbon costs as </w:t>
      </w:r>
      <w:r w:rsidR="005E5D96" w:rsidRPr="00244D65">
        <w:rPr>
          <w:noProof/>
        </w:rPr>
        <w:t xml:space="preserve">percentage </w:t>
      </w:r>
      <w:r w:rsidR="007D1D0D" w:rsidRPr="00244D65">
        <w:rPr>
          <w:noProof/>
        </w:rPr>
        <w:t xml:space="preserve">of </w:t>
      </w:r>
      <w:r w:rsidR="007D1D0D" w:rsidRPr="00244D65">
        <w:rPr>
          <w:iCs/>
          <w:noProof/>
        </w:rPr>
        <w:t>total operating</w:t>
      </w:r>
      <w:r w:rsidR="007D1D0D" w:rsidRPr="00244D65">
        <w:rPr>
          <w:noProof/>
        </w:rPr>
        <w:t xml:space="preserve"> costs</w:t>
      </w:r>
      <w:bookmarkEnd w:id="228"/>
      <w:bookmarkEnd w:id="229"/>
      <w:r w:rsidR="007D1D0D" w:rsidRPr="00244D65">
        <w:rPr>
          <w:noProof/>
        </w:rPr>
        <w:t xml:space="preserve"> </w:t>
      </w:r>
    </w:p>
    <w:tbl>
      <w:tblPr>
        <w:tblW w:w="5000" w:type="pct"/>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ook w:val="04A0" w:firstRow="1" w:lastRow="0" w:firstColumn="1" w:lastColumn="0" w:noHBand="0" w:noVBand="1"/>
      </w:tblPr>
      <w:tblGrid>
        <w:gridCol w:w="4695"/>
        <w:gridCol w:w="856"/>
        <w:gridCol w:w="881"/>
        <w:gridCol w:w="881"/>
        <w:gridCol w:w="1693"/>
      </w:tblGrid>
      <w:tr w:rsidR="007D1D0D" w:rsidRPr="00244D65" w14:paraId="05BC77CC" w14:textId="77777777" w:rsidTr="00D05F02">
        <w:trPr>
          <w:trHeight w:val="20"/>
        </w:trPr>
        <w:tc>
          <w:tcPr>
            <w:tcW w:w="5000" w:type="pct"/>
            <w:gridSpan w:val="5"/>
            <w:vAlign w:val="center"/>
            <w:hideMark/>
          </w:tcPr>
          <w:p w14:paraId="611535C4" w14:textId="77777777" w:rsidR="007D1D0D" w:rsidRPr="00244D65" w:rsidRDefault="007D1D0D" w:rsidP="0085595C">
            <w:pPr>
              <w:rPr>
                <w:b/>
                <w:noProof/>
                <w:sz w:val="22"/>
                <w:szCs w:val="22"/>
              </w:rPr>
            </w:pPr>
            <w:r w:rsidRPr="00244D65">
              <w:rPr>
                <w:b/>
                <w:noProof/>
                <w:sz w:val="22"/>
                <w:szCs w:val="22"/>
              </w:rPr>
              <w:t>Extra-EEA flights (departing + incoming)</w:t>
            </w:r>
          </w:p>
        </w:tc>
      </w:tr>
      <w:tr w:rsidR="00392133" w:rsidRPr="00244D65" w14:paraId="6A53CFBB" w14:textId="77777777" w:rsidTr="00D05F02">
        <w:trPr>
          <w:trHeight w:val="20"/>
        </w:trPr>
        <w:tc>
          <w:tcPr>
            <w:tcW w:w="2607" w:type="pct"/>
            <w:vMerge w:val="restart"/>
            <w:vAlign w:val="center"/>
            <w:hideMark/>
          </w:tcPr>
          <w:p w14:paraId="2A4C8D8D" w14:textId="77777777" w:rsidR="007D1D0D" w:rsidRPr="00244D65" w:rsidRDefault="007D1D0D" w:rsidP="0085595C">
            <w:pPr>
              <w:rPr>
                <w:b/>
                <w:noProof/>
                <w:sz w:val="22"/>
                <w:szCs w:val="22"/>
              </w:rPr>
            </w:pPr>
            <w:r w:rsidRPr="00244D65">
              <w:rPr>
                <w:b/>
                <w:noProof/>
                <w:sz w:val="22"/>
                <w:szCs w:val="22"/>
              </w:rPr>
              <w:t>Policy option</w:t>
            </w:r>
          </w:p>
        </w:tc>
        <w:tc>
          <w:tcPr>
            <w:tcW w:w="2393" w:type="pct"/>
            <w:gridSpan w:val="4"/>
            <w:vAlign w:val="center"/>
            <w:hideMark/>
          </w:tcPr>
          <w:p w14:paraId="55DF15CA" w14:textId="77777777" w:rsidR="007D1D0D" w:rsidRPr="00244D65" w:rsidRDefault="007D1D0D" w:rsidP="0085595C">
            <w:pPr>
              <w:rPr>
                <w:b/>
                <w:noProof/>
                <w:sz w:val="22"/>
                <w:szCs w:val="22"/>
              </w:rPr>
            </w:pPr>
            <w:r w:rsidRPr="00244D65">
              <w:rPr>
                <w:b/>
                <w:noProof/>
                <w:sz w:val="22"/>
                <w:szCs w:val="22"/>
              </w:rPr>
              <w:t>Carbon costs as % of total operating costs</w:t>
            </w:r>
          </w:p>
        </w:tc>
      </w:tr>
      <w:tr w:rsidR="00E04607" w:rsidRPr="00244D65" w14:paraId="69937DDB" w14:textId="77777777" w:rsidTr="00D05F02">
        <w:trPr>
          <w:trHeight w:val="20"/>
        </w:trPr>
        <w:tc>
          <w:tcPr>
            <w:tcW w:w="2607" w:type="pct"/>
            <w:vMerge/>
            <w:vAlign w:val="center"/>
            <w:hideMark/>
          </w:tcPr>
          <w:p w14:paraId="2C55219C" w14:textId="77777777" w:rsidR="007D1D0D" w:rsidRPr="00244D65" w:rsidRDefault="007D1D0D" w:rsidP="0085595C">
            <w:pPr>
              <w:rPr>
                <w:b/>
                <w:noProof/>
                <w:sz w:val="22"/>
                <w:szCs w:val="22"/>
              </w:rPr>
            </w:pPr>
          </w:p>
        </w:tc>
        <w:tc>
          <w:tcPr>
            <w:tcW w:w="475" w:type="pct"/>
            <w:vAlign w:val="center"/>
            <w:hideMark/>
          </w:tcPr>
          <w:p w14:paraId="58F72DFE" w14:textId="6EF6BAD1" w:rsidR="007D1D0D" w:rsidRPr="00244D65" w:rsidRDefault="007D1D0D" w:rsidP="005E4778">
            <w:pPr>
              <w:jc w:val="center"/>
              <w:rPr>
                <w:b/>
                <w:noProof/>
                <w:sz w:val="22"/>
                <w:szCs w:val="22"/>
              </w:rPr>
            </w:pPr>
            <w:r w:rsidRPr="00244D65">
              <w:rPr>
                <w:b/>
                <w:noProof/>
                <w:sz w:val="22"/>
                <w:szCs w:val="22"/>
              </w:rPr>
              <w:t>202</w:t>
            </w:r>
            <w:r w:rsidR="00781C70" w:rsidRPr="00244D65">
              <w:rPr>
                <w:b/>
                <w:noProof/>
                <w:sz w:val="22"/>
                <w:szCs w:val="22"/>
              </w:rPr>
              <w:t>4</w:t>
            </w:r>
          </w:p>
        </w:tc>
        <w:tc>
          <w:tcPr>
            <w:tcW w:w="489" w:type="pct"/>
            <w:vAlign w:val="center"/>
            <w:hideMark/>
          </w:tcPr>
          <w:p w14:paraId="1DAC5EB0" w14:textId="77777777" w:rsidR="007D1D0D" w:rsidRPr="00244D65" w:rsidRDefault="007D1D0D" w:rsidP="00545B9E">
            <w:pPr>
              <w:jc w:val="center"/>
              <w:rPr>
                <w:b/>
                <w:noProof/>
                <w:sz w:val="22"/>
                <w:szCs w:val="22"/>
              </w:rPr>
            </w:pPr>
            <w:r w:rsidRPr="00244D65">
              <w:rPr>
                <w:b/>
                <w:noProof/>
                <w:sz w:val="22"/>
                <w:szCs w:val="22"/>
              </w:rPr>
              <w:t>2030</w:t>
            </w:r>
          </w:p>
        </w:tc>
        <w:tc>
          <w:tcPr>
            <w:tcW w:w="489" w:type="pct"/>
            <w:vAlign w:val="center"/>
            <w:hideMark/>
          </w:tcPr>
          <w:p w14:paraId="78B9519D" w14:textId="77777777" w:rsidR="007D1D0D" w:rsidRPr="00244D65" w:rsidRDefault="007D1D0D" w:rsidP="00545B9E">
            <w:pPr>
              <w:jc w:val="center"/>
              <w:rPr>
                <w:b/>
                <w:noProof/>
                <w:sz w:val="22"/>
                <w:szCs w:val="22"/>
              </w:rPr>
            </w:pPr>
            <w:r w:rsidRPr="00244D65">
              <w:rPr>
                <w:b/>
                <w:noProof/>
                <w:sz w:val="22"/>
                <w:szCs w:val="22"/>
              </w:rPr>
              <w:t>2035</w:t>
            </w:r>
          </w:p>
        </w:tc>
        <w:tc>
          <w:tcPr>
            <w:tcW w:w="940" w:type="pct"/>
            <w:vAlign w:val="center"/>
            <w:hideMark/>
          </w:tcPr>
          <w:p w14:paraId="787CDF67" w14:textId="45F844C4" w:rsidR="007D1D0D" w:rsidRPr="00244D65" w:rsidRDefault="007D1D0D" w:rsidP="00545B9E">
            <w:pPr>
              <w:jc w:val="center"/>
              <w:rPr>
                <w:b/>
                <w:noProof/>
                <w:sz w:val="22"/>
                <w:szCs w:val="22"/>
              </w:rPr>
            </w:pPr>
            <w:r w:rsidRPr="00244D65">
              <w:rPr>
                <w:b/>
                <w:noProof/>
                <w:sz w:val="22"/>
                <w:szCs w:val="22"/>
              </w:rPr>
              <w:t>2040</w:t>
            </w:r>
            <w:r w:rsidR="2030FEE8" w:rsidRPr="00244D65">
              <w:rPr>
                <w:b/>
                <w:noProof/>
                <w:sz w:val="22"/>
                <w:szCs w:val="22"/>
              </w:rPr>
              <w:t xml:space="preserve"> </w:t>
            </w:r>
            <w:r>
              <w:rPr>
                <w:b/>
                <w:noProof/>
                <w:sz w:val="22"/>
                <w:szCs w:val="22"/>
              </w:rPr>
              <w:t>(87%)</w:t>
            </w:r>
          </w:p>
        </w:tc>
      </w:tr>
      <w:tr w:rsidR="004D24F8" w:rsidRPr="00244D65" w14:paraId="6F8443D8" w14:textId="77777777" w:rsidTr="00D05F02">
        <w:trPr>
          <w:trHeight w:val="20"/>
        </w:trPr>
        <w:tc>
          <w:tcPr>
            <w:tcW w:w="2607" w:type="pct"/>
            <w:vAlign w:val="center"/>
            <w:hideMark/>
          </w:tcPr>
          <w:p w14:paraId="5A503C1C" w14:textId="77777777" w:rsidR="005E5D96" w:rsidRPr="00244D65" w:rsidRDefault="005E5D96" w:rsidP="0085595C">
            <w:pPr>
              <w:rPr>
                <w:b/>
                <w:noProof/>
                <w:sz w:val="22"/>
                <w:szCs w:val="22"/>
              </w:rPr>
            </w:pPr>
            <w:r w:rsidRPr="00244D65">
              <w:rPr>
                <w:b/>
                <w:noProof/>
                <w:sz w:val="22"/>
                <w:szCs w:val="22"/>
              </w:rPr>
              <w:t>Baseline (full scope)</w:t>
            </w:r>
          </w:p>
        </w:tc>
        <w:tc>
          <w:tcPr>
            <w:tcW w:w="475" w:type="pct"/>
            <w:vMerge w:val="restart"/>
            <w:vAlign w:val="center"/>
            <w:hideMark/>
          </w:tcPr>
          <w:p w14:paraId="531EDA2F" w14:textId="1EDB7654" w:rsidR="005E5D96" w:rsidRPr="00244D65" w:rsidRDefault="005E5D96" w:rsidP="002658B5">
            <w:pPr>
              <w:jc w:val="center"/>
              <w:rPr>
                <w:noProof/>
                <w:sz w:val="22"/>
                <w:szCs w:val="22"/>
              </w:rPr>
            </w:pPr>
            <w:r w:rsidRPr="00244D65">
              <w:rPr>
                <w:noProof/>
                <w:sz w:val="22"/>
                <w:szCs w:val="22"/>
              </w:rPr>
              <w:t>0</w:t>
            </w:r>
            <w:r w:rsidRPr="00244D65" w:rsidDel="005E5D96">
              <w:rPr>
                <w:noProof/>
                <w:sz w:val="22"/>
                <w:szCs w:val="22"/>
              </w:rPr>
              <w:t>%</w:t>
            </w:r>
          </w:p>
        </w:tc>
        <w:tc>
          <w:tcPr>
            <w:tcW w:w="489" w:type="pct"/>
            <w:hideMark/>
          </w:tcPr>
          <w:p w14:paraId="61A51902" w14:textId="6457357A" w:rsidR="005E5D96" w:rsidRPr="00244D65" w:rsidRDefault="005E5D96" w:rsidP="00545B9E">
            <w:pPr>
              <w:jc w:val="center"/>
              <w:rPr>
                <w:noProof/>
                <w:sz w:val="22"/>
                <w:szCs w:val="22"/>
              </w:rPr>
            </w:pPr>
            <w:r w:rsidRPr="00244D65">
              <w:rPr>
                <w:noProof/>
                <w:sz w:val="22"/>
                <w:szCs w:val="22"/>
              </w:rPr>
              <w:t>7.7%</w:t>
            </w:r>
          </w:p>
        </w:tc>
        <w:tc>
          <w:tcPr>
            <w:tcW w:w="489" w:type="pct"/>
            <w:hideMark/>
          </w:tcPr>
          <w:p w14:paraId="15BD5D10" w14:textId="00AB75AC" w:rsidR="005E5D96" w:rsidRPr="00244D65" w:rsidRDefault="005E5D96" w:rsidP="00545B9E">
            <w:pPr>
              <w:jc w:val="center"/>
              <w:rPr>
                <w:noProof/>
                <w:sz w:val="22"/>
                <w:szCs w:val="22"/>
              </w:rPr>
            </w:pPr>
            <w:r w:rsidRPr="00244D65">
              <w:rPr>
                <w:noProof/>
                <w:sz w:val="22"/>
                <w:szCs w:val="22"/>
              </w:rPr>
              <w:t>8.</w:t>
            </w:r>
            <w:r w:rsidRPr="00244D65" w:rsidDel="005E5D96">
              <w:rPr>
                <w:noProof/>
                <w:sz w:val="22"/>
                <w:szCs w:val="22"/>
              </w:rPr>
              <w:t>0</w:t>
            </w:r>
            <w:r w:rsidRPr="00244D65">
              <w:rPr>
                <w:noProof/>
                <w:sz w:val="22"/>
                <w:szCs w:val="22"/>
              </w:rPr>
              <w:t>%</w:t>
            </w:r>
          </w:p>
        </w:tc>
        <w:tc>
          <w:tcPr>
            <w:tcW w:w="940" w:type="pct"/>
            <w:hideMark/>
          </w:tcPr>
          <w:p w14:paraId="1CA7E18B" w14:textId="4CCDED9F" w:rsidR="005E5D96" w:rsidRPr="00244D65" w:rsidRDefault="005E5D96" w:rsidP="00545B9E">
            <w:pPr>
              <w:jc w:val="center"/>
              <w:rPr>
                <w:noProof/>
                <w:sz w:val="22"/>
                <w:szCs w:val="22"/>
              </w:rPr>
            </w:pPr>
            <w:r w:rsidRPr="00244D65">
              <w:rPr>
                <w:noProof/>
                <w:sz w:val="22"/>
                <w:szCs w:val="22"/>
              </w:rPr>
              <w:t>10.8%</w:t>
            </w:r>
          </w:p>
        </w:tc>
      </w:tr>
      <w:tr w:rsidR="005E5D96" w:rsidRPr="00244D65" w14:paraId="198EA99E" w14:textId="77777777" w:rsidTr="00D05F02">
        <w:trPr>
          <w:trHeight w:val="20"/>
        </w:trPr>
        <w:tc>
          <w:tcPr>
            <w:tcW w:w="2607" w:type="pct"/>
            <w:vAlign w:val="center"/>
            <w:hideMark/>
          </w:tcPr>
          <w:p w14:paraId="402BB812" w14:textId="77777777" w:rsidR="005E5D96" w:rsidRPr="00244D65" w:rsidRDefault="005E5D96" w:rsidP="0085595C">
            <w:pPr>
              <w:rPr>
                <w:b/>
                <w:noProof/>
                <w:sz w:val="22"/>
                <w:szCs w:val="22"/>
              </w:rPr>
            </w:pPr>
            <w:r w:rsidRPr="00244D65">
              <w:rPr>
                <w:b/>
                <w:noProof/>
                <w:sz w:val="22"/>
                <w:szCs w:val="22"/>
              </w:rPr>
              <w:t>PO1 (clean cut)</w:t>
            </w:r>
          </w:p>
        </w:tc>
        <w:tc>
          <w:tcPr>
            <w:tcW w:w="475" w:type="pct"/>
            <w:vMerge/>
            <w:hideMark/>
          </w:tcPr>
          <w:p w14:paraId="68415517" w14:textId="420D7897" w:rsidR="005E5D96" w:rsidRPr="00244D65" w:rsidRDefault="005E5D96" w:rsidP="005E4778">
            <w:pPr>
              <w:jc w:val="center"/>
              <w:rPr>
                <w:noProof/>
                <w:sz w:val="22"/>
                <w:szCs w:val="22"/>
              </w:rPr>
            </w:pPr>
          </w:p>
        </w:tc>
        <w:tc>
          <w:tcPr>
            <w:tcW w:w="489" w:type="pct"/>
            <w:hideMark/>
          </w:tcPr>
          <w:p w14:paraId="2D6A494B" w14:textId="1321D810" w:rsidR="005E5D96" w:rsidRPr="00244D65" w:rsidRDefault="005E5D96" w:rsidP="00545B9E">
            <w:pPr>
              <w:jc w:val="center"/>
              <w:rPr>
                <w:noProof/>
                <w:sz w:val="22"/>
                <w:szCs w:val="22"/>
              </w:rPr>
            </w:pPr>
            <w:r w:rsidRPr="00244D65">
              <w:rPr>
                <w:noProof/>
                <w:sz w:val="22"/>
                <w:szCs w:val="22"/>
              </w:rPr>
              <w:t>0.</w:t>
            </w:r>
            <w:r w:rsidRPr="00244D65" w:rsidDel="005E5D96">
              <w:rPr>
                <w:noProof/>
                <w:sz w:val="22"/>
                <w:szCs w:val="22"/>
              </w:rPr>
              <w:t>4</w:t>
            </w:r>
            <w:r w:rsidRPr="00244D65">
              <w:rPr>
                <w:noProof/>
                <w:sz w:val="22"/>
                <w:szCs w:val="22"/>
              </w:rPr>
              <w:t>%</w:t>
            </w:r>
          </w:p>
        </w:tc>
        <w:tc>
          <w:tcPr>
            <w:tcW w:w="489" w:type="pct"/>
            <w:hideMark/>
          </w:tcPr>
          <w:p w14:paraId="618A9856" w14:textId="146AA0F4" w:rsidR="005E5D96" w:rsidRPr="00244D65" w:rsidRDefault="005E5D96" w:rsidP="00545B9E">
            <w:pPr>
              <w:jc w:val="center"/>
              <w:rPr>
                <w:noProof/>
                <w:sz w:val="22"/>
                <w:szCs w:val="22"/>
              </w:rPr>
            </w:pPr>
            <w:r w:rsidRPr="00244D65">
              <w:rPr>
                <w:noProof/>
                <w:sz w:val="22"/>
                <w:szCs w:val="22"/>
              </w:rPr>
              <w:t>1.6%</w:t>
            </w:r>
          </w:p>
        </w:tc>
        <w:tc>
          <w:tcPr>
            <w:tcW w:w="940" w:type="pct"/>
            <w:hideMark/>
          </w:tcPr>
          <w:p w14:paraId="1D031022" w14:textId="59AD5A86" w:rsidR="005E5D96" w:rsidRPr="00244D65" w:rsidRDefault="005E5D96" w:rsidP="00545B9E">
            <w:pPr>
              <w:jc w:val="center"/>
              <w:rPr>
                <w:noProof/>
                <w:sz w:val="22"/>
                <w:szCs w:val="22"/>
              </w:rPr>
            </w:pPr>
            <w:r w:rsidRPr="00244D65">
              <w:rPr>
                <w:noProof/>
                <w:sz w:val="22"/>
                <w:szCs w:val="22"/>
              </w:rPr>
              <w:t>0.</w:t>
            </w:r>
            <w:r w:rsidR="00A74A01" w:rsidRPr="00244D65">
              <w:rPr>
                <w:noProof/>
                <w:sz w:val="22"/>
                <w:szCs w:val="22"/>
              </w:rPr>
              <w:t>0</w:t>
            </w:r>
            <w:r w:rsidRPr="00244D65">
              <w:rPr>
                <w:noProof/>
                <w:sz w:val="22"/>
                <w:szCs w:val="22"/>
              </w:rPr>
              <w:t>%</w:t>
            </w:r>
          </w:p>
        </w:tc>
      </w:tr>
      <w:tr w:rsidR="005E5D96" w:rsidRPr="00244D65" w14:paraId="656D7C3D" w14:textId="77777777" w:rsidTr="00D05F02">
        <w:trPr>
          <w:trHeight w:val="20"/>
        </w:trPr>
        <w:tc>
          <w:tcPr>
            <w:tcW w:w="2607" w:type="pct"/>
            <w:vAlign w:val="center"/>
            <w:hideMark/>
          </w:tcPr>
          <w:p w14:paraId="110DCDE5" w14:textId="77777777" w:rsidR="005E5D96" w:rsidRPr="00244D65" w:rsidRDefault="005E5D96" w:rsidP="0085595C">
            <w:pPr>
              <w:rPr>
                <w:b/>
                <w:noProof/>
                <w:sz w:val="22"/>
                <w:szCs w:val="22"/>
              </w:rPr>
            </w:pPr>
            <w:r w:rsidRPr="00244D65">
              <w:rPr>
                <w:b/>
                <w:noProof/>
                <w:sz w:val="22"/>
                <w:szCs w:val="22"/>
              </w:rPr>
              <w:t>PO2 (departing flights, medium SAF support)</w:t>
            </w:r>
          </w:p>
        </w:tc>
        <w:tc>
          <w:tcPr>
            <w:tcW w:w="475" w:type="pct"/>
            <w:vMerge/>
            <w:hideMark/>
          </w:tcPr>
          <w:p w14:paraId="59A08635" w14:textId="1A673119" w:rsidR="005E5D96" w:rsidRPr="00244D65" w:rsidRDefault="005E5D96" w:rsidP="005E4778">
            <w:pPr>
              <w:jc w:val="center"/>
              <w:rPr>
                <w:noProof/>
                <w:sz w:val="22"/>
                <w:szCs w:val="22"/>
              </w:rPr>
            </w:pPr>
          </w:p>
        </w:tc>
        <w:tc>
          <w:tcPr>
            <w:tcW w:w="489" w:type="pct"/>
            <w:hideMark/>
          </w:tcPr>
          <w:p w14:paraId="7E498C0C" w14:textId="6A76B51F" w:rsidR="005E5D96" w:rsidRPr="00244D65" w:rsidRDefault="005E5D96" w:rsidP="00545B9E">
            <w:pPr>
              <w:jc w:val="center"/>
              <w:rPr>
                <w:noProof/>
                <w:sz w:val="22"/>
                <w:szCs w:val="22"/>
              </w:rPr>
            </w:pPr>
            <w:r w:rsidRPr="00244D65">
              <w:rPr>
                <w:noProof/>
                <w:sz w:val="22"/>
                <w:szCs w:val="22"/>
              </w:rPr>
              <w:t>3.4%</w:t>
            </w:r>
          </w:p>
        </w:tc>
        <w:tc>
          <w:tcPr>
            <w:tcW w:w="489" w:type="pct"/>
            <w:hideMark/>
          </w:tcPr>
          <w:p w14:paraId="668E9EAB" w14:textId="670F5C6C" w:rsidR="005E5D96" w:rsidRPr="00244D65" w:rsidRDefault="005E5D96" w:rsidP="00545B9E">
            <w:pPr>
              <w:jc w:val="center"/>
              <w:rPr>
                <w:noProof/>
                <w:sz w:val="22"/>
                <w:szCs w:val="22"/>
              </w:rPr>
            </w:pPr>
            <w:r w:rsidRPr="00244D65">
              <w:rPr>
                <w:noProof/>
                <w:sz w:val="22"/>
                <w:szCs w:val="22"/>
              </w:rPr>
              <w:t>4.7%</w:t>
            </w:r>
          </w:p>
        </w:tc>
        <w:tc>
          <w:tcPr>
            <w:tcW w:w="940" w:type="pct"/>
            <w:hideMark/>
          </w:tcPr>
          <w:p w14:paraId="0869FF22" w14:textId="5359863B" w:rsidR="005E5D96" w:rsidRPr="00244D65" w:rsidRDefault="005E5D96" w:rsidP="00545B9E">
            <w:pPr>
              <w:jc w:val="center"/>
              <w:rPr>
                <w:noProof/>
                <w:sz w:val="22"/>
                <w:szCs w:val="22"/>
              </w:rPr>
            </w:pPr>
            <w:r w:rsidRPr="00244D65">
              <w:rPr>
                <w:noProof/>
                <w:sz w:val="22"/>
                <w:szCs w:val="22"/>
              </w:rPr>
              <w:t>5.</w:t>
            </w:r>
            <w:r w:rsidR="00A74A01" w:rsidRPr="00244D65">
              <w:rPr>
                <w:noProof/>
                <w:sz w:val="22"/>
                <w:szCs w:val="22"/>
              </w:rPr>
              <w:t>4</w:t>
            </w:r>
            <w:r w:rsidRPr="00244D65">
              <w:rPr>
                <w:noProof/>
                <w:sz w:val="22"/>
                <w:szCs w:val="22"/>
              </w:rPr>
              <w:t>%</w:t>
            </w:r>
          </w:p>
        </w:tc>
      </w:tr>
      <w:tr w:rsidR="005E5D96" w:rsidRPr="00244D65" w14:paraId="1135769A" w14:textId="77777777" w:rsidTr="00D05F02">
        <w:trPr>
          <w:trHeight w:val="20"/>
        </w:trPr>
        <w:tc>
          <w:tcPr>
            <w:tcW w:w="2607" w:type="pct"/>
            <w:vAlign w:val="center"/>
            <w:hideMark/>
          </w:tcPr>
          <w:p w14:paraId="3444158A" w14:textId="77777777" w:rsidR="005E5D96" w:rsidRPr="00244D65" w:rsidRDefault="005E5D96" w:rsidP="0085595C">
            <w:pPr>
              <w:rPr>
                <w:b/>
                <w:noProof/>
                <w:sz w:val="22"/>
                <w:szCs w:val="22"/>
              </w:rPr>
            </w:pPr>
            <w:r w:rsidRPr="00244D65">
              <w:rPr>
                <w:b/>
                <w:noProof/>
                <w:sz w:val="22"/>
                <w:szCs w:val="22"/>
              </w:rPr>
              <w:t>PO3 (departing flights, larger SAF support)</w:t>
            </w:r>
          </w:p>
        </w:tc>
        <w:tc>
          <w:tcPr>
            <w:tcW w:w="475" w:type="pct"/>
            <w:vMerge/>
            <w:hideMark/>
          </w:tcPr>
          <w:p w14:paraId="32FB1FC2" w14:textId="006BD97A" w:rsidR="005E5D96" w:rsidRPr="00244D65" w:rsidRDefault="005E5D96" w:rsidP="005E4778">
            <w:pPr>
              <w:jc w:val="center"/>
              <w:rPr>
                <w:noProof/>
                <w:sz w:val="22"/>
                <w:szCs w:val="22"/>
              </w:rPr>
            </w:pPr>
          </w:p>
        </w:tc>
        <w:tc>
          <w:tcPr>
            <w:tcW w:w="489" w:type="pct"/>
            <w:hideMark/>
          </w:tcPr>
          <w:p w14:paraId="66FE1A09" w14:textId="2C7F6DF6" w:rsidR="005E5D96" w:rsidRPr="00244D65" w:rsidRDefault="005E5D96" w:rsidP="00545B9E">
            <w:pPr>
              <w:jc w:val="center"/>
              <w:rPr>
                <w:noProof/>
                <w:sz w:val="22"/>
                <w:szCs w:val="22"/>
              </w:rPr>
            </w:pPr>
            <w:r w:rsidRPr="00244D65">
              <w:rPr>
                <w:noProof/>
                <w:sz w:val="22"/>
                <w:szCs w:val="22"/>
              </w:rPr>
              <w:t>3.4%</w:t>
            </w:r>
          </w:p>
        </w:tc>
        <w:tc>
          <w:tcPr>
            <w:tcW w:w="489" w:type="pct"/>
            <w:hideMark/>
          </w:tcPr>
          <w:p w14:paraId="3D39ACD4" w14:textId="2FAA38C1" w:rsidR="005E5D96" w:rsidRPr="00244D65" w:rsidRDefault="005E5D96" w:rsidP="00545B9E">
            <w:pPr>
              <w:jc w:val="center"/>
              <w:rPr>
                <w:noProof/>
                <w:sz w:val="22"/>
                <w:szCs w:val="22"/>
              </w:rPr>
            </w:pPr>
            <w:r w:rsidRPr="00244D65">
              <w:rPr>
                <w:noProof/>
                <w:sz w:val="22"/>
                <w:szCs w:val="22"/>
              </w:rPr>
              <w:t>2.2%</w:t>
            </w:r>
          </w:p>
        </w:tc>
        <w:tc>
          <w:tcPr>
            <w:tcW w:w="940" w:type="pct"/>
            <w:hideMark/>
          </w:tcPr>
          <w:p w14:paraId="68A80785" w14:textId="30501B68" w:rsidR="005E5D96" w:rsidRPr="00244D65" w:rsidRDefault="005E5D96" w:rsidP="00545B9E">
            <w:pPr>
              <w:jc w:val="center"/>
              <w:rPr>
                <w:noProof/>
                <w:sz w:val="22"/>
                <w:szCs w:val="22"/>
              </w:rPr>
            </w:pPr>
            <w:r w:rsidRPr="00244D65">
              <w:rPr>
                <w:noProof/>
                <w:sz w:val="22"/>
                <w:szCs w:val="22"/>
              </w:rPr>
              <w:t>5.</w:t>
            </w:r>
            <w:r w:rsidR="00A74A01" w:rsidRPr="00244D65">
              <w:rPr>
                <w:noProof/>
                <w:sz w:val="22"/>
                <w:szCs w:val="22"/>
              </w:rPr>
              <w:t>4</w:t>
            </w:r>
            <w:r w:rsidRPr="00244D65">
              <w:rPr>
                <w:noProof/>
                <w:sz w:val="22"/>
                <w:szCs w:val="22"/>
              </w:rPr>
              <w:t>%</w:t>
            </w:r>
          </w:p>
        </w:tc>
      </w:tr>
    </w:tbl>
    <w:p w14:paraId="20DEC8FA" w14:textId="305D92E9" w:rsidR="00164C16" w:rsidRPr="00244D65" w:rsidRDefault="008469C8" w:rsidP="0085595C">
      <w:pPr>
        <w:rPr>
          <w:noProof/>
        </w:rPr>
      </w:pPr>
      <w:r w:rsidRPr="00244D65">
        <w:rPr>
          <w:b/>
          <w:bCs/>
          <w:noProof/>
        </w:rPr>
        <w:t xml:space="preserve">In the freight sector, </w:t>
      </w:r>
      <w:r w:rsidR="00766277" w:rsidRPr="00244D65">
        <w:rPr>
          <w:noProof/>
        </w:rPr>
        <w:t>we also focus on the segment where the impact of policy options is greatest, extra-EEA departing flights. D</w:t>
      </w:r>
      <w:r w:rsidRPr="00244D65">
        <w:rPr>
          <w:noProof/>
        </w:rPr>
        <w:t xml:space="preserve">emand is projected to increase </w:t>
      </w:r>
      <w:r w:rsidR="00FA1FC1" w:rsidRPr="00244D65">
        <w:rPr>
          <w:noProof/>
        </w:rPr>
        <w:t>by 2040</w:t>
      </w:r>
      <w:r w:rsidR="00B765B4" w:rsidRPr="00244D65">
        <w:rPr>
          <w:noProof/>
        </w:rPr>
        <w:t xml:space="preserve"> compared to 2024</w:t>
      </w:r>
      <w:r w:rsidR="00E20C8F" w:rsidRPr="00244D65">
        <w:rPr>
          <w:noProof/>
        </w:rPr>
        <w:t xml:space="preserve"> in all cases: </w:t>
      </w:r>
      <w:r w:rsidR="00B765B4" w:rsidRPr="00244D65">
        <w:rPr>
          <w:noProof/>
        </w:rPr>
        <w:t>37</w:t>
      </w:r>
      <w:r w:rsidR="00635CDA" w:rsidRPr="00244D65">
        <w:rPr>
          <w:noProof/>
        </w:rPr>
        <w:t xml:space="preserve">pp </w:t>
      </w:r>
      <w:r w:rsidR="00B765B4" w:rsidRPr="00244D65">
        <w:rPr>
          <w:noProof/>
        </w:rPr>
        <w:t xml:space="preserve">in the baseline </w:t>
      </w:r>
      <w:r w:rsidR="00D158B6" w:rsidRPr="00244D65">
        <w:rPr>
          <w:noProof/>
        </w:rPr>
        <w:t xml:space="preserve">(lowest increase) </w:t>
      </w:r>
      <w:r w:rsidR="00B765B4" w:rsidRPr="00244D65">
        <w:rPr>
          <w:noProof/>
        </w:rPr>
        <w:t xml:space="preserve">and </w:t>
      </w:r>
      <w:r w:rsidR="009B55DA" w:rsidRPr="00244D65">
        <w:rPr>
          <w:noProof/>
        </w:rPr>
        <w:t>45</w:t>
      </w:r>
      <w:r w:rsidR="00635CDA" w:rsidRPr="00244D65">
        <w:rPr>
          <w:noProof/>
        </w:rPr>
        <w:t xml:space="preserve">pp </w:t>
      </w:r>
      <w:r w:rsidR="00D158B6" w:rsidRPr="00244D65">
        <w:rPr>
          <w:noProof/>
        </w:rPr>
        <w:t>in PO1 (highest increase)</w:t>
      </w:r>
      <w:r w:rsidR="00392141" w:rsidRPr="00244D65">
        <w:rPr>
          <w:noProof/>
        </w:rPr>
        <w:t>.</w:t>
      </w:r>
      <w:r w:rsidR="006C4804" w:rsidRPr="00244D65">
        <w:rPr>
          <w:noProof/>
        </w:rPr>
        <w:t xml:space="preserve"> </w:t>
      </w:r>
      <w:r w:rsidR="00E06BF7" w:rsidRPr="00244D65">
        <w:rPr>
          <w:noProof/>
        </w:rPr>
        <w:t>Again demand grow</w:t>
      </w:r>
      <w:r w:rsidR="006436EF" w:rsidRPr="00244D65">
        <w:rPr>
          <w:noProof/>
        </w:rPr>
        <w:t>t</w:t>
      </w:r>
      <w:r w:rsidR="00E06BF7" w:rsidRPr="00244D65">
        <w:rPr>
          <w:noProof/>
        </w:rPr>
        <w:t xml:space="preserve">h is greatest where </w:t>
      </w:r>
      <w:r w:rsidR="00D3516E" w:rsidRPr="00244D65">
        <w:rPr>
          <w:noProof/>
        </w:rPr>
        <w:t>prices are lowest:</w:t>
      </w:r>
      <w:r w:rsidR="00757A14" w:rsidRPr="00244D65">
        <w:rPr>
          <w:noProof/>
        </w:rPr>
        <w:t xml:space="preserve"> d</w:t>
      </w:r>
      <w:r w:rsidR="001C3826" w:rsidRPr="00244D65">
        <w:rPr>
          <w:noProof/>
        </w:rPr>
        <w:t xml:space="preserve">emand grows most </w:t>
      </w:r>
      <w:r w:rsidR="001746F0" w:rsidRPr="00244D65">
        <w:rPr>
          <w:noProof/>
        </w:rPr>
        <w:t xml:space="preserve">where the ETS scope is smallest, </w:t>
      </w:r>
      <w:r w:rsidR="00CA4041" w:rsidRPr="00244D65">
        <w:rPr>
          <w:noProof/>
        </w:rPr>
        <w:t>and SAF support also has a positive effect on deman</w:t>
      </w:r>
      <w:r w:rsidR="002E41FC" w:rsidRPr="00244D65">
        <w:rPr>
          <w:noProof/>
        </w:rPr>
        <w:t>d</w:t>
      </w:r>
      <w:r w:rsidR="00CA4041" w:rsidRPr="00244D65">
        <w:rPr>
          <w:noProof/>
        </w:rPr>
        <w:t xml:space="preserve"> (s</w:t>
      </w:r>
      <w:r w:rsidR="00166559" w:rsidRPr="00244D65">
        <w:rPr>
          <w:noProof/>
        </w:rPr>
        <w:t xml:space="preserve">ee </w:t>
      </w:r>
      <w:r w:rsidR="003C1743" w:rsidRPr="00244D65">
        <w:rPr>
          <w:noProof/>
        </w:rPr>
        <w:t>T</w:t>
      </w:r>
      <w:r w:rsidR="007D1E7E" w:rsidRPr="00244D65">
        <w:rPr>
          <w:noProof/>
        </w:rPr>
        <w:t xml:space="preserve">able </w:t>
      </w:r>
      <w:r w:rsidR="00F36A37" w:rsidRPr="00244D65">
        <w:rPr>
          <w:noProof/>
        </w:rPr>
        <w:t>7</w:t>
      </w:r>
      <w:r w:rsidR="007D1E7E" w:rsidRPr="00244D65">
        <w:rPr>
          <w:noProof/>
        </w:rPr>
        <w:t xml:space="preserve"> in </w:t>
      </w:r>
      <w:r w:rsidR="00166559" w:rsidRPr="00244D65">
        <w:rPr>
          <w:noProof/>
        </w:rPr>
        <w:t>Annex 10</w:t>
      </w:r>
      <w:r w:rsidR="00CA4041" w:rsidRPr="00244D65">
        <w:rPr>
          <w:noProof/>
        </w:rPr>
        <w:t>)</w:t>
      </w:r>
      <w:r w:rsidR="00166559" w:rsidRPr="00244D65">
        <w:rPr>
          <w:noProof/>
        </w:rPr>
        <w:t>.</w:t>
      </w:r>
    </w:p>
    <w:p w14:paraId="1F2D6B45" w14:textId="18615CEA" w:rsidR="005B1A18" w:rsidRPr="00244D65" w:rsidRDefault="00E64AC9" w:rsidP="0085595C">
      <w:pPr>
        <w:rPr>
          <w:noProof/>
        </w:rPr>
      </w:pPr>
      <w:r w:rsidRPr="00244D65">
        <w:rPr>
          <w:b/>
          <w:bCs/>
          <w:noProof/>
        </w:rPr>
        <w:t xml:space="preserve">For outermost regions, </w:t>
      </w:r>
      <w:r w:rsidRPr="00244D65">
        <w:rPr>
          <w:noProof/>
        </w:rPr>
        <w:t>c</w:t>
      </w:r>
      <w:r w:rsidR="005B1A18" w:rsidRPr="00244D65">
        <w:rPr>
          <w:noProof/>
        </w:rPr>
        <w:t xml:space="preserve">ompared to the </w:t>
      </w:r>
      <w:r w:rsidR="000C0BC4" w:rsidRPr="00244D65">
        <w:rPr>
          <w:noProof/>
        </w:rPr>
        <w:t>b</w:t>
      </w:r>
      <w:r w:rsidR="005B1A18" w:rsidRPr="00244D65">
        <w:rPr>
          <w:noProof/>
        </w:rPr>
        <w:t xml:space="preserve">aseline, all </w:t>
      </w:r>
      <w:r w:rsidRPr="00244D65">
        <w:rPr>
          <w:noProof/>
        </w:rPr>
        <w:t>options</w:t>
      </w:r>
      <w:r w:rsidR="005B1A18" w:rsidRPr="00244D65">
        <w:rPr>
          <w:noProof/>
        </w:rPr>
        <w:t xml:space="preserve"> are expected to have a very limited impact on ticket </w:t>
      </w:r>
      <w:r w:rsidR="003F5D95" w:rsidRPr="00244D65">
        <w:rPr>
          <w:noProof/>
        </w:rPr>
        <w:t xml:space="preserve">prices </w:t>
      </w:r>
      <w:r w:rsidR="005B1A18" w:rsidRPr="00244D65">
        <w:rPr>
          <w:noProof/>
        </w:rPr>
        <w:t xml:space="preserve">for flights between outermost regions and their domestic mainland. </w:t>
      </w:r>
      <w:r w:rsidR="00397D6B" w:rsidRPr="00244D65">
        <w:rPr>
          <w:noProof/>
        </w:rPr>
        <w:t xml:space="preserve">In </w:t>
      </w:r>
      <w:r w:rsidR="005B1A18" w:rsidRPr="00244D65">
        <w:rPr>
          <w:noProof/>
        </w:rPr>
        <w:t xml:space="preserve">PO1, ticket prices remain unchanged compared to the baseline. PO2 shows that a potential slight (&lt;1%) decrease in fares could be experienced in 2030 by most ticket types thanks to the prolonged ETS support for SAF uptake, with varying magnitude of impacts depending on the flight distance. Up to 0.8% reduction in the ticket price could be experienced by a passenger flying on a low-cost carrier between Paris and Guadeloupe. Through a further extension of the ETS-financed SAF support, PO3 shows that cheaper tickets could potentially be bought by passengers flying business, economy, and low-cost carriers beyond 2030, although </w:t>
      </w:r>
      <w:r w:rsidR="001A1979" w:rsidRPr="00244D65">
        <w:rPr>
          <w:noProof/>
        </w:rPr>
        <w:t xml:space="preserve">differences remain small </w:t>
      </w:r>
      <w:r w:rsidR="001111F3" w:rsidRPr="00244D65">
        <w:rPr>
          <w:noProof/>
        </w:rPr>
        <w:t xml:space="preserve">(less than </w:t>
      </w:r>
      <w:r w:rsidR="005B1A18" w:rsidRPr="00244D65">
        <w:rPr>
          <w:noProof/>
        </w:rPr>
        <w:t xml:space="preserve">3% </w:t>
      </w:r>
      <w:r w:rsidR="00401676" w:rsidRPr="00244D65">
        <w:rPr>
          <w:noProof/>
        </w:rPr>
        <w:t xml:space="preserve">price difference compared to the baseline </w:t>
      </w:r>
      <w:r w:rsidR="00DC1EF4" w:rsidRPr="00244D65">
        <w:rPr>
          <w:noProof/>
        </w:rPr>
        <w:t>through to 2040)</w:t>
      </w:r>
      <w:r w:rsidR="005B1A18" w:rsidRPr="00244D65">
        <w:rPr>
          <w:noProof/>
        </w:rPr>
        <w:t>. The maximum reduction in ticket prices (2.5%) is experienced by low-cost carrier passengers on a flight between Paris and Guadeloupe in 2035. Overall, while all options maintain or slightly enhance affordability, PO3 has the most favourable outcome, followed by PO2.</w:t>
      </w:r>
      <w:r w:rsidR="00E11128" w:rsidRPr="00244D65">
        <w:rPr>
          <w:noProof/>
        </w:rPr>
        <w:t xml:space="preserve"> Outermost regions and small islands benefit from 100% support for uptake of eligible SAF.</w:t>
      </w:r>
    </w:p>
    <w:p w14:paraId="482EA2FE" w14:textId="087EB249" w:rsidR="00600B98" w:rsidRPr="00244D65" w:rsidRDefault="56C3FCF2" w:rsidP="0085595C">
      <w:pPr>
        <w:rPr>
          <w:noProof/>
        </w:rPr>
      </w:pPr>
      <w:r w:rsidRPr="00244D65">
        <w:rPr>
          <w:b/>
          <w:bCs/>
          <w:noProof/>
        </w:rPr>
        <w:t>Competitive distortions</w:t>
      </w:r>
      <w:r w:rsidRPr="00244D65">
        <w:rPr>
          <w:noProof/>
        </w:rPr>
        <w:t xml:space="preserve"> for </w:t>
      </w:r>
      <w:r w:rsidRPr="00244D65">
        <w:rPr>
          <w:b/>
          <w:bCs/>
          <w:noProof/>
        </w:rPr>
        <w:t xml:space="preserve">airlines </w:t>
      </w:r>
      <w:r w:rsidRPr="00244D65">
        <w:rPr>
          <w:noProof/>
        </w:rPr>
        <w:t xml:space="preserve">may arise when policies do not apply equally on routes and where they are not enforced equally, </w:t>
      </w:r>
      <w:r w:rsidR="004967F7" w:rsidRPr="00244D65">
        <w:rPr>
          <w:noProof/>
        </w:rPr>
        <w:t xml:space="preserve">for any </w:t>
      </w:r>
      <w:r w:rsidRPr="00244D65">
        <w:rPr>
          <w:noProof/>
        </w:rPr>
        <w:t>policy option. Enforcement has been crucial for the success of the EU ETS to date</w:t>
      </w:r>
      <w:r w:rsidR="00324959" w:rsidRPr="00244D65">
        <w:rPr>
          <w:rStyle w:val="FootnoteReference"/>
          <w:noProof/>
        </w:rPr>
        <w:footnoteReference w:id="72"/>
      </w:r>
      <w:r w:rsidRPr="00244D65">
        <w:rPr>
          <w:noProof/>
        </w:rPr>
        <w:t xml:space="preserve">. </w:t>
      </w:r>
      <w:r w:rsidR="203FC4FD" w:rsidRPr="00244D65">
        <w:rPr>
          <w:rFonts w:eastAsia="Times New Roman"/>
          <w:noProof/>
        </w:rPr>
        <w:t>Previous assessments</w:t>
      </w:r>
      <w:r w:rsidR="00134AFE" w:rsidRPr="00244D65">
        <w:rPr>
          <w:rStyle w:val="FootnoteReference"/>
          <w:rFonts w:eastAsia="Times New Roman"/>
          <w:noProof/>
        </w:rPr>
        <w:footnoteReference w:id="73"/>
      </w:r>
      <w:r w:rsidR="203FC4FD" w:rsidRPr="00244D65">
        <w:rPr>
          <w:rFonts w:eastAsia="Times New Roman"/>
          <w:noProof/>
        </w:rPr>
        <w:t xml:space="preserve"> found no evidence of carbon leakage for </w:t>
      </w:r>
      <w:bookmarkStart w:id="230" w:name="_Int_n3Wvsojq"/>
      <w:r w:rsidR="203FC4FD" w:rsidRPr="00244D65">
        <w:rPr>
          <w:rFonts w:eastAsia="Times New Roman"/>
          <w:noProof/>
        </w:rPr>
        <w:t>airlines, because</w:t>
      </w:r>
      <w:bookmarkEnd w:id="230"/>
      <w:r w:rsidR="203FC4FD" w:rsidRPr="00244D65">
        <w:rPr>
          <w:rFonts w:eastAsia="Times New Roman"/>
          <w:noProof/>
        </w:rPr>
        <w:t xml:space="preserve"> they are equally treated on routes covered by the ETS.</w:t>
      </w:r>
      <w:r w:rsidR="203FC4FD" w:rsidRPr="00244D65">
        <w:rPr>
          <w:noProof/>
        </w:rPr>
        <w:t xml:space="preserve"> </w:t>
      </w:r>
      <w:r w:rsidRPr="00244D65">
        <w:rPr>
          <w:noProof/>
        </w:rPr>
        <w:t>All options</w:t>
      </w:r>
      <w:r w:rsidRPr="00244D65" w:rsidDel="00862738">
        <w:rPr>
          <w:noProof/>
        </w:rPr>
        <w:t xml:space="preserve"> </w:t>
      </w:r>
      <w:r w:rsidRPr="00244D65">
        <w:rPr>
          <w:noProof/>
        </w:rPr>
        <w:t xml:space="preserve">apply uniformly per route to all airlines so do not create distortions. For airlines with a higher proportion of flights on routes covered by the ETS, there is a risk that they are less able to cross-subsidise them from </w:t>
      </w:r>
      <w:r w:rsidR="6A3574FF" w:rsidRPr="00244D65">
        <w:rPr>
          <w:noProof/>
        </w:rPr>
        <w:t>other routes.</w:t>
      </w:r>
      <w:r w:rsidRPr="00244D65">
        <w:rPr>
          <w:noProof/>
        </w:rPr>
        <w:t xml:space="preserve"> Several studies nevertheless argue that such cross-subsidisation is minimal</w:t>
      </w:r>
      <w:r w:rsidR="00324959" w:rsidRPr="00244D65">
        <w:rPr>
          <w:rStyle w:val="FootnoteReference"/>
          <w:noProof/>
        </w:rPr>
        <w:footnoteReference w:id="74"/>
      </w:r>
      <w:r w:rsidRPr="00244D65">
        <w:rPr>
          <w:noProof/>
        </w:rPr>
        <w:t xml:space="preserve">. </w:t>
      </w:r>
      <w:r w:rsidR="009B1D1A" w:rsidRPr="00244D65">
        <w:rPr>
          <w:noProof/>
        </w:rPr>
        <w:t>Also,</w:t>
      </w:r>
      <w:r w:rsidR="0008291B" w:rsidRPr="00244D65">
        <w:rPr>
          <w:noProof/>
        </w:rPr>
        <w:t xml:space="preserve"> the fact that</w:t>
      </w:r>
      <w:r w:rsidR="009B1D1A" w:rsidRPr="00244D65">
        <w:rPr>
          <w:noProof/>
        </w:rPr>
        <w:t xml:space="preserve"> SAF support is available for routes covered by the ETS channels more revenues back to the relevant airlines. </w:t>
      </w:r>
      <w:r w:rsidRPr="00244D65">
        <w:rPr>
          <w:noProof/>
        </w:rPr>
        <w:t>This is consistent with the 2021 Aviation ETS Impact Assessment.</w:t>
      </w:r>
      <w:r w:rsidR="1FD71F38" w:rsidRPr="00244D65">
        <w:rPr>
          <w:noProof/>
        </w:rPr>
        <w:t xml:space="preserve"> For PO2 and </w:t>
      </w:r>
      <w:r w:rsidR="00622860" w:rsidRPr="00244D65">
        <w:rPr>
          <w:noProof/>
        </w:rPr>
        <w:t>PO</w:t>
      </w:r>
      <w:r w:rsidR="1FD71F38" w:rsidRPr="00244D65">
        <w:rPr>
          <w:noProof/>
        </w:rPr>
        <w:t xml:space="preserve">3 where the EU ETS applies to departing flights, </w:t>
      </w:r>
      <w:r w:rsidR="3148413D" w:rsidRPr="00244D65">
        <w:rPr>
          <w:noProof/>
        </w:rPr>
        <w:t>airlines are able to deduct any CORSIA offsetting costs.</w:t>
      </w:r>
    </w:p>
    <w:p w14:paraId="6147652A" w14:textId="1364D86A" w:rsidR="00324959" w:rsidRPr="00244D65" w:rsidRDefault="009C2801" w:rsidP="0085595C">
      <w:pPr>
        <w:rPr>
          <w:rFonts w:eastAsia="Times New Roman"/>
          <w:noProof/>
        </w:rPr>
      </w:pPr>
      <w:r w:rsidRPr="00244D65">
        <w:rPr>
          <w:b/>
          <w:bCs/>
          <w:noProof/>
        </w:rPr>
        <w:t xml:space="preserve">Passenger behaviour and airport hubs: </w:t>
      </w:r>
      <w:r w:rsidRPr="00244D65">
        <w:rPr>
          <w:noProof/>
        </w:rPr>
        <w:t xml:space="preserve">Modelling shows that across </w:t>
      </w:r>
      <w:r w:rsidR="00407B31" w:rsidRPr="00244D65">
        <w:rPr>
          <w:noProof/>
        </w:rPr>
        <w:t xml:space="preserve">the </w:t>
      </w:r>
      <w:r w:rsidRPr="00244D65">
        <w:rPr>
          <w:noProof/>
        </w:rPr>
        <w:t xml:space="preserve">policy options and the baseline, </w:t>
      </w:r>
      <w:r w:rsidR="00E46B05" w:rsidRPr="00244D65">
        <w:rPr>
          <w:noProof/>
        </w:rPr>
        <w:t>in most case studies there are som</w:t>
      </w:r>
      <w:r w:rsidRPr="00244D65">
        <w:rPr>
          <w:noProof/>
        </w:rPr>
        <w:t xml:space="preserve">e passenger shifts from EEA to non-EEA hubs. All policy options reduce these shifts compared to the baseline, with PO1 having the most significant </w:t>
      </w:r>
      <w:r w:rsidR="00407B31" w:rsidRPr="00244D65">
        <w:rPr>
          <w:noProof/>
        </w:rPr>
        <w:t>effect</w:t>
      </w:r>
      <w:r w:rsidRPr="00244D65">
        <w:rPr>
          <w:noProof/>
        </w:rPr>
        <w:t>, followed by PO3 and then PO2</w:t>
      </w:r>
      <w:r w:rsidR="003E16CE" w:rsidRPr="00244D65">
        <w:rPr>
          <w:noProof/>
        </w:rPr>
        <w:t xml:space="preserve">, see Annex 10, </w:t>
      </w:r>
      <w:r>
        <w:rPr>
          <w:noProof/>
        </w:rPr>
        <w:t>Table</w:t>
      </w:r>
      <w:r w:rsidR="003E16CE" w:rsidRPr="00244D65">
        <w:rPr>
          <w:noProof/>
        </w:rPr>
        <w:t xml:space="preserve"> </w:t>
      </w:r>
      <w:r w:rsidR="0019025B" w:rsidRPr="00244D65">
        <w:rPr>
          <w:noProof/>
        </w:rPr>
        <w:t>18</w:t>
      </w:r>
      <w:r w:rsidRPr="00244D65">
        <w:rPr>
          <w:noProof/>
        </w:rPr>
        <w:t>.</w:t>
      </w:r>
      <w:r w:rsidR="008F6C3F" w:rsidRPr="00244D65">
        <w:rPr>
          <w:noProof/>
        </w:rPr>
        <w:t xml:space="preserve"> </w:t>
      </w:r>
      <w:r w:rsidR="56C3FCF2" w:rsidRPr="00244D65">
        <w:rPr>
          <w:noProof/>
        </w:rPr>
        <w:t xml:space="preserve">EEA </w:t>
      </w:r>
      <w:r w:rsidR="56C3FCF2" w:rsidRPr="00244D65">
        <w:rPr>
          <w:b/>
          <w:bCs/>
          <w:noProof/>
        </w:rPr>
        <w:t>airport</w:t>
      </w:r>
      <w:r w:rsidR="56C3FCF2" w:rsidRPr="00244D65">
        <w:rPr>
          <w:noProof/>
        </w:rPr>
        <w:t xml:space="preserve"> </w:t>
      </w:r>
      <w:r w:rsidR="56C3FCF2" w:rsidRPr="00244D65">
        <w:rPr>
          <w:rFonts w:eastAsia="Times New Roman"/>
          <w:noProof/>
          <w:color w:val="242828"/>
        </w:rPr>
        <w:t xml:space="preserve">hubs with large shares of transfer passengers may face an unlevel playing field compared </w:t>
      </w:r>
      <w:r w:rsidR="007950BC" w:rsidRPr="00244D65">
        <w:rPr>
          <w:rFonts w:eastAsia="Times New Roman"/>
          <w:noProof/>
          <w:color w:val="242828"/>
        </w:rPr>
        <w:t xml:space="preserve">to </w:t>
      </w:r>
      <w:r w:rsidR="56C3FCF2" w:rsidRPr="00244D65">
        <w:rPr>
          <w:rFonts w:eastAsia="Times New Roman"/>
          <w:noProof/>
          <w:color w:val="242828"/>
        </w:rPr>
        <w:t xml:space="preserve">other hubs subject to laxer rules, causing differences in operating costs, ticket prices, itinerary choice, etc. For EEA hubs, </w:t>
      </w:r>
      <w:bookmarkStart w:id="231" w:name="_Int_3JH7FEPF"/>
      <w:r w:rsidR="00BA61B0" w:rsidRPr="00244D65">
        <w:rPr>
          <w:rFonts w:eastAsia="Times New Roman"/>
          <w:noProof/>
          <w:color w:val="242828"/>
        </w:rPr>
        <w:t>relatively higher</w:t>
      </w:r>
      <w:bookmarkEnd w:id="231"/>
      <w:r w:rsidR="00BA61B0" w:rsidRPr="00244D65">
        <w:rPr>
          <w:rFonts w:eastAsia="Times New Roman"/>
          <w:noProof/>
          <w:color w:val="242828"/>
        </w:rPr>
        <w:t xml:space="preserve"> costs induced by local policies</w:t>
      </w:r>
      <w:r w:rsidR="00BA61B0" w:rsidRPr="00244D65">
        <w:rPr>
          <w:rStyle w:val="FootnoteReference"/>
          <w:rFonts w:eastAsia="Times New Roman"/>
          <w:noProof/>
          <w:color w:val="242828"/>
        </w:rPr>
        <w:footnoteReference w:id="75"/>
      </w:r>
      <w:r w:rsidR="00BA61B0" w:rsidRPr="00244D65">
        <w:rPr>
          <w:rFonts w:eastAsia="Times New Roman"/>
          <w:noProof/>
          <w:color w:val="242828"/>
        </w:rPr>
        <w:t xml:space="preserve"> </w:t>
      </w:r>
      <w:r w:rsidR="56C3FCF2" w:rsidRPr="00244D65">
        <w:rPr>
          <w:rFonts w:eastAsia="Times New Roman"/>
          <w:noProof/>
          <w:color w:val="242828"/>
        </w:rPr>
        <w:t xml:space="preserve">could </w:t>
      </w:r>
      <w:r w:rsidR="00BA61B0" w:rsidRPr="00244D65">
        <w:rPr>
          <w:rFonts w:eastAsia="Times New Roman"/>
          <w:noProof/>
          <w:color w:val="242828"/>
        </w:rPr>
        <w:t xml:space="preserve">risk </w:t>
      </w:r>
      <w:r w:rsidR="56C3FCF2" w:rsidRPr="00244D65">
        <w:rPr>
          <w:rFonts w:eastAsia="Times New Roman"/>
          <w:noProof/>
          <w:color w:val="242828"/>
        </w:rPr>
        <w:t>shift</w:t>
      </w:r>
      <w:r w:rsidR="00BA61B0" w:rsidRPr="00244D65">
        <w:rPr>
          <w:rFonts w:eastAsia="Times New Roman"/>
          <w:noProof/>
          <w:color w:val="242828"/>
        </w:rPr>
        <w:t>ing</w:t>
      </w:r>
      <w:r w:rsidR="56C3FCF2" w:rsidRPr="00244D65">
        <w:rPr>
          <w:rFonts w:eastAsia="Times New Roman"/>
          <w:noProof/>
          <w:color w:val="242828"/>
        </w:rPr>
        <w:t xml:space="preserve"> air transport activity to non-EEA hubs. </w:t>
      </w:r>
      <w:r w:rsidR="00132DBC" w:rsidRPr="00244D65">
        <w:rPr>
          <w:rFonts w:eastAsia="Times New Roman"/>
          <w:noProof/>
          <w:color w:val="242828"/>
        </w:rPr>
        <w:t>If</w:t>
      </w:r>
      <w:r w:rsidR="56C3FCF2" w:rsidRPr="00244D65">
        <w:rPr>
          <w:rFonts w:eastAsia="Times New Roman"/>
          <w:noProof/>
          <w:color w:val="242828"/>
        </w:rPr>
        <w:t xml:space="preserve"> </w:t>
      </w:r>
      <w:r w:rsidR="56C3FCF2" w:rsidRPr="00244D65">
        <w:rPr>
          <w:rFonts w:eastAsia="Times New Roman"/>
          <w:b/>
          <w:bCs/>
          <w:noProof/>
          <w:color w:val="242828"/>
        </w:rPr>
        <w:t>passenger shift</w:t>
      </w:r>
      <w:r w:rsidR="56C3FCF2" w:rsidRPr="00244D65" w:rsidDel="00EA1C96">
        <w:rPr>
          <w:noProof/>
        </w:rPr>
        <w:t xml:space="preserve"> </w:t>
      </w:r>
      <w:r w:rsidR="00132DBC" w:rsidRPr="00244D65">
        <w:rPr>
          <w:noProof/>
        </w:rPr>
        <w:t xml:space="preserve">occurs, it </w:t>
      </w:r>
      <w:r w:rsidR="56C3FCF2" w:rsidRPr="00244D65">
        <w:rPr>
          <w:rFonts w:eastAsia="Times New Roman"/>
          <w:noProof/>
          <w:color w:val="242828"/>
        </w:rPr>
        <w:t>may</w:t>
      </w:r>
      <w:r w:rsidR="009F2461" w:rsidRPr="00244D65">
        <w:rPr>
          <w:rFonts w:eastAsia="Times New Roman"/>
          <w:noProof/>
          <w:color w:val="242828"/>
        </w:rPr>
        <w:t xml:space="preserve"> </w:t>
      </w:r>
      <w:r w:rsidR="56C3FCF2" w:rsidRPr="00244D65" w:rsidDel="00EA1C96">
        <w:rPr>
          <w:rFonts w:eastAsia="Times New Roman"/>
          <w:noProof/>
          <w:color w:val="242828"/>
        </w:rPr>
        <w:t xml:space="preserve">lead to </w:t>
      </w:r>
      <w:r w:rsidR="3F9C208B" w:rsidRPr="00244D65">
        <w:rPr>
          <w:rFonts w:eastAsia="Times New Roman"/>
          <w:b/>
          <w:bCs/>
          <w:noProof/>
          <w:color w:val="242828"/>
        </w:rPr>
        <w:t>hub</w:t>
      </w:r>
      <w:r w:rsidR="3F9C208B" w:rsidRPr="00244D65">
        <w:rPr>
          <w:rFonts w:eastAsia="Times New Roman"/>
          <w:noProof/>
          <w:color w:val="242828"/>
        </w:rPr>
        <w:t xml:space="preserve"> </w:t>
      </w:r>
      <w:r w:rsidR="56C3FCF2" w:rsidRPr="00244D65" w:rsidDel="00EA1C96">
        <w:rPr>
          <w:rFonts w:eastAsia="Times New Roman"/>
          <w:b/>
          <w:bCs/>
          <w:noProof/>
          <w:color w:val="242828"/>
        </w:rPr>
        <w:t>carbon leakage</w:t>
      </w:r>
      <w:r w:rsidR="56C3FCF2" w:rsidRPr="00244D65">
        <w:rPr>
          <w:rFonts w:eastAsia="Times New Roman"/>
          <w:noProof/>
          <w:color w:val="242828"/>
          <w:vertAlign w:val="superscript"/>
        </w:rPr>
        <w:footnoteReference w:id="76"/>
      </w:r>
      <w:r w:rsidR="009F2461" w:rsidRPr="00244D65">
        <w:rPr>
          <w:rFonts w:eastAsia="Times New Roman"/>
          <w:b/>
          <w:bCs/>
          <w:noProof/>
          <w:color w:val="242828"/>
        </w:rPr>
        <w:t xml:space="preserve"> </w:t>
      </w:r>
      <w:r w:rsidR="009F2461" w:rsidRPr="00244D65">
        <w:rPr>
          <w:rFonts w:eastAsia="Times New Roman"/>
          <w:noProof/>
          <w:color w:val="242828"/>
        </w:rPr>
        <w:t xml:space="preserve">– </w:t>
      </w:r>
      <w:r w:rsidR="00132DBC" w:rsidRPr="00244D65">
        <w:rPr>
          <w:rFonts w:eastAsia="Times New Roman"/>
          <w:noProof/>
          <w:color w:val="242828"/>
        </w:rPr>
        <w:t>or it</w:t>
      </w:r>
      <w:r w:rsidR="009F2461" w:rsidRPr="00244D65">
        <w:rPr>
          <w:rFonts w:eastAsia="Times New Roman"/>
          <w:noProof/>
          <w:color w:val="242828"/>
        </w:rPr>
        <w:t xml:space="preserve"> may reduce emissions, </w:t>
      </w:r>
      <w:r w:rsidR="00273C5D" w:rsidRPr="00244D65">
        <w:rPr>
          <w:rFonts w:eastAsia="Times New Roman"/>
          <w:noProof/>
          <w:color w:val="242828"/>
        </w:rPr>
        <w:t xml:space="preserve">if </w:t>
      </w:r>
      <w:r w:rsidR="00E81516" w:rsidRPr="00244D65">
        <w:rPr>
          <w:rFonts w:eastAsia="Times New Roman"/>
          <w:noProof/>
          <w:color w:val="242828"/>
        </w:rPr>
        <w:t>the</w:t>
      </w:r>
      <w:r w:rsidR="00273C5D" w:rsidRPr="00244D65">
        <w:rPr>
          <w:rFonts w:eastAsia="Times New Roman"/>
          <w:noProof/>
          <w:color w:val="242828"/>
        </w:rPr>
        <w:t xml:space="preserve"> overall </w:t>
      </w:r>
      <w:r w:rsidR="00E81516" w:rsidRPr="00244D65">
        <w:rPr>
          <w:rFonts w:eastAsia="Times New Roman"/>
          <w:noProof/>
          <w:color w:val="242828"/>
        </w:rPr>
        <w:t xml:space="preserve">route is </w:t>
      </w:r>
      <w:r w:rsidR="00273C5D" w:rsidRPr="00244D65">
        <w:rPr>
          <w:rFonts w:eastAsia="Times New Roman"/>
          <w:noProof/>
          <w:color w:val="242828"/>
        </w:rPr>
        <w:t>shorter for example</w:t>
      </w:r>
      <w:r w:rsidR="56C3FCF2" w:rsidRPr="00244D65">
        <w:rPr>
          <w:rFonts w:eastAsia="Times New Roman"/>
          <w:noProof/>
          <w:color w:val="242828"/>
        </w:rPr>
        <w:t>.</w:t>
      </w:r>
      <w:r w:rsidR="56C3FCF2" w:rsidRPr="00244D65">
        <w:rPr>
          <w:noProof/>
        </w:rPr>
        <w:t xml:space="preserve"> To address problem driver</w:t>
      </w:r>
      <w:r w:rsidR="465B9FBF" w:rsidRPr="00244D65">
        <w:rPr>
          <w:noProof/>
        </w:rPr>
        <w:t>s</w:t>
      </w:r>
      <w:r w:rsidR="56C3FCF2" w:rsidRPr="00244D65">
        <w:rPr>
          <w:noProof/>
        </w:rPr>
        <w:t xml:space="preserve"> D2 (Lack of internalisation of the climate impact) and D3 (International carbon pricing measures in transport), it is important to limit </w:t>
      </w:r>
      <w:r w:rsidR="004B7821" w:rsidRPr="00244D65">
        <w:rPr>
          <w:noProof/>
        </w:rPr>
        <w:t xml:space="preserve">the </w:t>
      </w:r>
      <w:r w:rsidR="56C3FCF2" w:rsidRPr="00244D65">
        <w:rPr>
          <w:noProof/>
        </w:rPr>
        <w:t xml:space="preserve">risk of carbon leakage. </w:t>
      </w:r>
      <w:r w:rsidR="008E0568" w:rsidRPr="00244D65">
        <w:rPr>
          <w:noProof/>
        </w:rPr>
        <w:t>Five c</w:t>
      </w:r>
      <w:r w:rsidR="56C3FCF2" w:rsidRPr="00244D65">
        <w:rPr>
          <w:noProof/>
        </w:rPr>
        <w:t>ase studies were carried out to assess the risk of hub carbon leakage</w:t>
      </w:r>
      <w:r w:rsidR="00CF0CA5" w:rsidRPr="00244D65">
        <w:rPr>
          <w:noProof/>
        </w:rPr>
        <w:t xml:space="preserve"> (see </w:t>
      </w:r>
      <w:r w:rsidR="004632D6" w:rsidRPr="00244D65">
        <w:rPr>
          <w:noProof/>
        </w:rPr>
        <w:t>S</w:t>
      </w:r>
      <w:r w:rsidR="0047745C" w:rsidRPr="00244D65">
        <w:rPr>
          <w:noProof/>
        </w:rPr>
        <w:t xml:space="preserve">ection 4 in </w:t>
      </w:r>
      <w:r w:rsidR="00CF0CA5" w:rsidRPr="00244D65">
        <w:rPr>
          <w:noProof/>
        </w:rPr>
        <w:t>Annex 10)</w:t>
      </w:r>
      <w:r w:rsidR="465B9FBF" w:rsidRPr="00244D65">
        <w:rPr>
          <w:noProof/>
        </w:rPr>
        <w:t>.</w:t>
      </w:r>
      <w:r w:rsidR="56C3FCF2" w:rsidRPr="00244D65">
        <w:rPr>
          <w:noProof/>
        </w:rPr>
        <w:t xml:space="preserve"> </w:t>
      </w:r>
      <w:r w:rsidR="156EC9E2" w:rsidRPr="00244D65">
        <w:rPr>
          <w:noProof/>
        </w:rPr>
        <w:t xml:space="preserve">As shown in </w:t>
      </w:r>
      <w:r>
        <w:rPr>
          <w:noProof/>
        </w:rPr>
        <w:t>Table 13</w:t>
      </w:r>
      <w:r w:rsidR="00F723AE" w:rsidRPr="00244D65">
        <w:rPr>
          <w:noProof/>
        </w:rPr>
        <w:t xml:space="preserve"> </w:t>
      </w:r>
      <w:r w:rsidR="156EC9E2" w:rsidRPr="00244D65">
        <w:rPr>
          <w:noProof/>
        </w:rPr>
        <w:t xml:space="preserve">below, minor hub carbon leakage is observed in </w:t>
      </w:r>
      <w:r w:rsidR="00412A35" w:rsidRPr="00244D65">
        <w:rPr>
          <w:noProof/>
        </w:rPr>
        <w:t xml:space="preserve">one </w:t>
      </w:r>
      <w:r w:rsidR="156EC9E2" w:rsidRPr="00244D65">
        <w:rPr>
          <w:noProof/>
        </w:rPr>
        <w:t xml:space="preserve">case </w:t>
      </w:r>
      <w:r w:rsidR="00412A35" w:rsidRPr="00244D65">
        <w:rPr>
          <w:noProof/>
        </w:rPr>
        <w:t xml:space="preserve">study </w:t>
      </w:r>
      <w:r w:rsidR="001A47CF" w:rsidRPr="00244D65">
        <w:rPr>
          <w:noProof/>
        </w:rPr>
        <w:t xml:space="preserve">in PO1 </w:t>
      </w:r>
      <w:r w:rsidR="00412A35" w:rsidRPr="00244D65">
        <w:rPr>
          <w:noProof/>
        </w:rPr>
        <w:t>in 2040 (</w:t>
      </w:r>
      <w:r w:rsidR="001A47CF" w:rsidRPr="00244D65">
        <w:rPr>
          <w:noProof/>
        </w:rPr>
        <w:t xml:space="preserve">and </w:t>
      </w:r>
      <w:r w:rsidR="00412A35" w:rsidRPr="00244D65">
        <w:rPr>
          <w:noProof/>
        </w:rPr>
        <w:t xml:space="preserve">two in </w:t>
      </w:r>
      <w:r w:rsidR="001A47CF" w:rsidRPr="00244D65">
        <w:rPr>
          <w:noProof/>
        </w:rPr>
        <w:t>the baseline</w:t>
      </w:r>
      <w:r w:rsidR="00412A35" w:rsidRPr="00244D65">
        <w:rPr>
          <w:noProof/>
        </w:rPr>
        <w:t>)</w:t>
      </w:r>
      <w:r w:rsidR="4DDDA87E" w:rsidRPr="00244D65">
        <w:rPr>
          <w:noProof/>
        </w:rPr>
        <w:t>.</w:t>
      </w:r>
      <w:r w:rsidR="7261A255" w:rsidRPr="00244D65">
        <w:rPr>
          <w:noProof/>
        </w:rPr>
        <w:t xml:space="preserve"> </w:t>
      </w:r>
      <w:r w:rsidR="00412A35" w:rsidRPr="00244D65">
        <w:rPr>
          <w:noProof/>
        </w:rPr>
        <w:t xml:space="preserve">Overall, </w:t>
      </w:r>
      <w:r w:rsidR="0027027C" w:rsidRPr="00244D65">
        <w:rPr>
          <w:noProof/>
        </w:rPr>
        <w:t xml:space="preserve">hub </w:t>
      </w:r>
      <w:r w:rsidR="156EC9E2" w:rsidRPr="00244D65">
        <w:rPr>
          <w:noProof/>
        </w:rPr>
        <w:t>carbon leakage is minimal</w:t>
      </w:r>
      <w:r w:rsidR="06F43E00" w:rsidRPr="00244D65">
        <w:rPr>
          <w:noProof/>
        </w:rPr>
        <w:t xml:space="preserve"> </w:t>
      </w:r>
      <w:r w:rsidR="000867D9" w:rsidRPr="00244D65">
        <w:rPr>
          <w:noProof/>
        </w:rPr>
        <w:t xml:space="preserve">and emissions slightly decrease across </w:t>
      </w:r>
      <w:r w:rsidR="00311CD7" w:rsidRPr="00244D65">
        <w:rPr>
          <w:noProof/>
        </w:rPr>
        <w:t>all options and the baseline</w:t>
      </w:r>
      <w:r w:rsidR="00CF4711" w:rsidRPr="00244D65">
        <w:rPr>
          <w:rStyle w:val="FootnoteReference"/>
          <w:noProof/>
        </w:rPr>
        <w:footnoteReference w:id="77"/>
      </w:r>
      <w:r>
        <w:rPr>
          <w:noProof/>
        </w:rPr>
        <w:t>.</w:t>
      </w:r>
      <w:r w:rsidR="56C3FCF2" w:rsidRPr="00244D65">
        <w:rPr>
          <w:noProof/>
        </w:rPr>
        <w:t xml:space="preserve"> </w:t>
      </w:r>
      <w:r w:rsidR="00D84C9E" w:rsidRPr="00244D65">
        <w:rPr>
          <w:rFonts w:eastAsia="Times New Roman"/>
          <w:b/>
          <w:bCs/>
          <w:noProof/>
        </w:rPr>
        <w:t>In</w:t>
      </w:r>
      <w:r w:rsidR="56C3FCF2" w:rsidRPr="00244D65">
        <w:rPr>
          <w:rFonts w:eastAsia="Times New Roman"/>
          <w:b/>
          <w:bCs/>
          <w:noProof/>
        </w:rPr>
        <w:t xml:space="preserve"> PO1</w:t>
      </w:r>
      <w:r w:rsidR="00A80E69" w:rsidRPr="00244D65">
        <w:rPr>
          <w:rFonts w:eastAsia="Times New Roman"/>
          <w:b/>
          <w:bCs/>
          <w:noProof/>
        </w:rPr>
        <w:t>,</w:t>
      </w:r>
      <w:r w:rsidR="56C3FCF2" w:rsidRPr="00244D65">
        <w:rPr>
          <w:rFonts w:eastAsia="Times New Roman"/>
          <w:noProof/>
        </w:rPr>
        <w:t xml:space="preserve"> </w:t>
      </w:r>
      <w:r w:rsidR="293F804E" w:rsidRPr="00244D65">
        <w:rPr>
          <w:rFonts w:eastAsia="Times New Roman"/>
          <w:noProof/>
        </w:rPr>
        <w:t xml:space="preserve">there is a </w:t>
      </w:r>
      <w:r w:rsidR="00311CD7" w:rsidRPr="00244D65">
        <w:rPr>
          <w:rFonts w:eastAsia="Times New Roman"/>
          <w:noProof/>
        </w:rPr>
        <w:t xml:space="preserve">risk of passenger </w:t>
      </w:r>
      <w:r w:rsidR="293F804E" w:rsidRPr="00244D65">
        <w:rPr>
          <w:rFonts w:eastAsia="Times New Roman"/>
          <w:noProof/>
        </w:rPr>
        <w:t xml:space="preserve">shift of 3.5% in passenger-kilometres </w:t>
      </w:r>
      <w:r w:rsidR="476869AE" w:rsidRPr="00244D65">
        <w:rPr>
          <w:rFonts w:eastAsia="Times New Roman"/>
          <w:noProof/>
        </w:rPr>
        <w:t xml:space="preserve">from the original route to the alternative route </w:t>
      </w:r>
      <w:r w:rsidR="293F804E" w:rsidRPr="00244D65">
        <w:rPr>
          <w:rFonts w:eastAsia="Times New Roman"/>
          <w:noProof/>
        </w:rPr>
        <w:t xml:space="preserve">in 2040 </w:t>
      </w:r>
      <w:r w:rsidR="00F44EDD" w:rsidRPr="00244D65">
        <w:rPr>
          <w:rFonts w:eastAsia="Times New Roman"/>
          <w:noProof/>
        </w:rPr>
        <w:t>o</w:t>
      </w:r>
      <w:r w:rsidR="56C3FCF2" w:rsidRPr="00244D65">
        <w:rPr>
          <w:rFonts w:eastAsia="Times New Roman"/>
          <w:noProof/>
        </w:rPr>
        <w:t>n average</w:t>
      </w:r>
      <w:r w:rsidR="00E324ED" w:rsidRPr="00244D65">
        <w:rPr>
          <w:rFonts w:eastAsia="Times New Roman"/>
          <w:noProof/>
        </w:rPr>
        <w:t xml:space="preserve"> </w:t>
      </w:r>
      <w:r w:rsidR="56C3FCF2" w:rsidRPr="00244D65">
        <w:rPr>
          <w:rFonts w:eastAsia="Times New Roman"/>
          <w:noProof/>
        </w:rPr>
        <w:t>across all case studies</w:t>
      </w:r>
      <w:r w:rsidR="3A5748F8" w:rsidRPr="00244D65">
        <w:rPr>
          <w:rFonts w:eastAsia="Times New Roman"/>
          <w:noProof/>
        </w:rPr>
        <w:t xml:space="preserve"> </w:t>
      </w:r>
      <w:r w:rsidR="00FA63B4" w:rsidRPr="00244D65">
        <w:rPr>
          <w:rFonts w:eastAsia="Times New Roman"/>
          <w:noProof/>
        </w:rPr>
        <w:t xml:space="preserve">for </w:t>
      </w:r>
      <w:r w:rsidR="00AF11BD" w:rsidRPr="00244D65">
        <w:rPr>
          <w:rFonts w:eastAsia="Times New Roman"/>
          <w:noProof/>
        </w:rPr>
        <w:t xml:space="preserve">economy and </w:t>
      </w:r>
      <w:r w:rsidR="00262311" w:rsidRPr="00244D65">
        <w:rPr>
          <w:rFonts w:eastAsia="Times New Roman"/>
          <w:noProof/>
        </w:rPr>
        <w:t>first</w:t>
      </w:r>
      <w:r w:rsidR="00AF11BD" w:rsidRPr="00244D65">
        <w:rPr>
          <w:rFonts w:eastAsia="Times New Roman"/>
          <w:noProof/>
        </w:rPr>
        <w:t xml:space="preserve"> classes</w:t>
      </w:r>
      <w:r w:rsidR="00324959" w:rsidRPr="00244D65">
        <w:rPr>
          <w:rFonts w:eastAsia="Times New Roman"/>
          <w:noProof/>
        </w:rPr>
        <w:t>.</w:t>
      </w:r>
      <w:r w:rsidR="00962C09" w:rsidRPr="00244D65">
        <w:rPr>
          <w:rFonts w:eastAsia="Times New Roman"/>
          <w:noProof/>
        </w:rPr>
        <w:t xml:space="preserve"> </w:t>
      </w:r>
      <w:r w:rsidR="00D84C9E" w:rsidRPr="00244D65">
        <w:rPr>
          <w:rFonts w:eastAsia="Times New Roman"/>
          <w:b/>
          <w:bCs/>
          <w:noProof/>
        </w:rPr>
        <w:t>In</w:t>
      </w:r>
      <w:r w:rsidR="7D197E4E" w:rsidRPr="00244D65">
        <w:rPr>
          <w:rFonts w:eastAsia="Times New Roman"/>
          <w:noProof/>
        </w:rPr>
        <w:t xml:space="preserve"> </w:t>
      </w:r>
      <w:r w:rsidR="7D197E4E" w:rsidRPr="00244D65">
        <w:rPr>
          <w:rFonts w:eastAsia="Times New Roman"/>
          <w:b/>
          <w:bCs/>
          <w:noProof/>
        </w:rPr>
        <w:t>PO2</w:t>
      </w:r>
      <w:r w:rsidR="00C951B8" w:rsidRPr="00244D65">
        <w:rPr>
          <w:rFonts w:eastAsia="Times New Roman"/>
          <w:b/>
          <w:bCs/>
          <w:noProof/>
        </w:rPr>
        <w:t xml:space="preserve"> and PO3</w:t>
      </w:r>
      <w:r w:rsidR="7D197E4E" w:rsidRPr="00244D65">
        <w:rPr>
          <w:rFonts w:eastAsia="Times New Roman"/>
          <w:noProof/>
        </w:rPr>
        <w:t xml:space="preserve">, </w:t>
      </w:r>
      <w:r w:rsidR="00E31141" w:rsidRPr="00244D65">
        <w:rPr>
          <w:rFonts w:eastAsia="Times New Roman"/>
          <w:noProof/>
        </w:rPr>
        <w:t xml:space="preserve">average </w:t>
      </w:r>
      <w:r w:rsidR="00311CD7" w:rsidRPr="00244D65">
        <w:rPr>
          <w:rFonts w:eastAsia="Times New Roman"/>
          <w:noProof/>
        </w:rPr>
        <w:t xml:space="preserve">risk of </w:t>
      </w:r>
      <w:r w:rsidR="7D197E4E" w:rsidRPr="00244D65">
        <w:rPr>
          <w:rFonts w:eastAsia="Times New Roman"/>
          <w:noProof/>
        </w:rPr>
        <w:t xml:space="preserve">passenger shift </w:t>
      </w:r>
      <w:r w:rsidR="00E31141" w:rsidRPr="00244D65">
        <w:rPr>
          <w:rFonts w:eastAsia="Times New Roman"/>
          <w:noProof/>
        </w:rPr>
        <w:t xml:space="preserve">is </w:t>
      </w:r>
      <w:r w:rsidR="000B5292" w:rsidRPr="00244D65">
        <w:rPr>
          <w:rFonts w:eastAsia="Times New Roman"/>
          <w:noProof/>
        </w:rPr>
        <w:t xml:space="preserve">1pp higher than in PO1 </w:t>
      </w:r>
      <w:r w:rsidR="7D197E4E" w:rsidRPr="00244D65">
        <w:rPr>
          <w:rFonts w:eastAsia="Times New Roman"/>
          <w:noProof/>
        </w:rPr>
        <w:t>(</w:t>
      </w:r>
      <w:r w:rsidR="00F076A2" w:rsidRPr="00244D65">
        <w:rPr>
          <w:rFonts w:eastAsia="Times New Roman"/>
          <w:noProof/>
        </w:rPr>
        <w:t>4.</w:t>
      </w:r>
      <w:r w:rsidR="27037D70" w:rsidRPr="00244D65">
        <w:rPr>
          <w:rFonts w:eastAsia="Times New Roman"/>
          <w:noProof/>
        </w:rPr>
        <w:t>5</w:t>
      </w:r>
      <w:r w:rsidR="7D197E4E" w:rsidRPr="00244D65">
        <w:rPr>
          <w:rFonts w:eastAsia="Times New Roman"/>
          <w:noProof/>
        </w:rPr>
        <w:t>% on average in 2040</w:t>
      </w:r>
      <w:r w:rsidR="000B5292" w:rsidRPr="00244D65">
        <w:rPr>
          <w:rFonts w:eastAsia="Times New Roman"/>
          <w:noProof/>
        </w:rPr>
        <w:t>)</w:t>
      </w:r>
      <w:r w:rsidR="7D197E4E" w:rsidRPr="00244D65">
        <w:rPr>
          <w:rFonts w:eastAsia="Times New Roman"/>
          <w:noProof/>
        </w:rPr>
        <w:t>.</w:t>
      </w:r>
      <w:r w:rsidR="3F9C208B" w:rsidRPr="00244D65">
        <w:rPr>
          <w:rFonts w:eastAsia="Times New Roman"/>
          <w:noProof/>
        </w:rPr>
        <w:t xml:space="preserve"> </w:t>
      </w:r>
    </w:p>
    <w:p w14:paraId="7034E411" w14:textId="7024BEBA" w:rsidR="00A8150E" w:rsidRPr="00244D65" w:rsidRDefault="0010509E" w:rsidP="005E4778">
      <w:pPr>
        <w:pStyle w:val="Tabletitle"/>
        <w:rPr>
          <w:noProof/>
        </w:rPr>
      </w:pPr>
      <w:bookmarkStart w:id="232" w:name="_Toc222151249"/>
      <w:bookmarkStart w:id="233" w:name="_Toc234496393"/>
      <w:bookmarkStart w:id="234" w:name="_Toc232754573"/>
      <w:r w:rsidRPr="00244D65">
        <w:rPr>
          <w:noProof/>
        </w:rPr>
        <w:t>Case study average</w:t>
      </w:r>
      <w:r w:rsidR="00DA4505" w:rsidRPr="00244D65">
        <w:rPr>
          <w:noProof/>
        </w:rPr>
        <w:t>s for r</w:t>
      </w:r>
      <w:r w:rsidR="006115D6" w:rsidRPr="00244D65">
        <w:rPr>
          <w:noProof/>
        </w:rPr>
        <w:t>isk of passenger shift</w:t>
      </w:r>
      <w:r w:rsidR="00DA4505" w:rsidRPr="00244D65">
        <w:rPr>
          <w:noProof/>
        </w:rPr>
        <w:t xml:space="preserve"> and </w:t>
      </w:r>
      <w:r w:rsidR="006115D6" w:rsidRPr="00244D65">
        <w:rPr>
          <w:noProof/>
        </w:rPr>
        <w:t>emissions change</w:t>
      </w:r>
      <w:r w:rsidR="001872FD" w:rsidRPr="00244D65">
        <w:rPr>
          <w:noProof/>
        </w:rPr>
        <w:t xml:space="preserve"> </w:t>
      </w:r>
      <w:r w:rsidRPr="00244D65">
        <w:rPr>
          <w:noProof/>
        </w:rPr>
        <w:t>compared to the original EEA-route</w:t>
      </w:r>
      <w:bookmarkEnd w:id="232"/>
      <w:bookmarkEnd w:id="233"/>
      <w:bookmarkEnd w:id="234"/>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9"/>
        <w:gridCol w:w="1206"/>
        <w:gridCol w:w="1206"/>
        <w:gridCol w:w="1132"/>
        <w:gridCol w:w="1132"/>
        <w:gridCol w:w="3341"/>
      </w:tblGrid>
      <w:tr w:rsidR="004D24F8" w:rsidRPr="00244D65" w14:paraId="21F08515" w14:textId="77777777" w:rsidTr="00E251AF">
        <w:trPr>
          <w:trHeight w:val="372"/>
        </w:trPr>
        <w:tc>
          <w:tcPr>
            <w:tcW w:w="0" w:type="auto"/>
            <w:hideMark/>
          </w:tcPr>
          <w:p w14:paraId="7FF19316" w14:textId="77777777" w:rsidR="006115D6" w:rsidRPr="00244D65" w:rsidRDefault="006115D6" w:rsidP="0085595C">
            <w:pPr>
              <w:rPr>
                <w:noProof/>
                <w:sz w:val="22"/>
                <w:szCs w:val="22"/>
              </w:rPr>
            </w:pPr>
          </w:p>
        </w:tc>
        <w:tc>
          <w:tcPr>
            <w:tcW w:w="0" w:type="auto"/>
            <w:gridSpan w:val="2"/>
            <w:vAlign w:val="center"/>
            <w:hideMark/>
          </w:tcPr>
          <w:p w14:paraId="71A4A15C" w14:textId="5AEDB208" w:rsidR="006115D6" w:rsidRPr="00244D65" w:rsidRDefault="00B00D67" w:rsidP="0085595C">
            <w:pPr>
              <w:jc w:val="center"/>
              <w:rPr>
                <w:b/>
                <w:noProof/>
                <w:sz w:val="22"/>
                <w:szCs w:val="22"/>
              </w:rPr>
            </w:pPr>
            <w:r w:rsidRPr="00244D65">
              <w:rPr>
                <w:b/>
                <w:noProof/>
                <w:sz w:val="22"/>
                <w:szCs w:val="22"/>
              </w:rPr>
              <w:t>Average p</w:t>
            </w:r>
            <w:r w:rsidR="006115D6" w:rsidRPr="00244D65">
              <w:rPr>
                <w:b/>
                <w:noProof/>
                <w:sz w:val="22"/>
                <w:szCs w:val="22"/>
              </w:rPr>
              <w:t>assenger shift</w:t>
            </w:r>
            <w:r w:rsidR="00B93C67" w:rsidRPr="00244D65">
              <w:rPr>
                <w:b/>
                <w:noProof/>
                <w:sz w:val="22"/>
                <w:szCs w:val="22"/>
              </w:rPr>
              <w:t xml:space="preserve"> risk</w:t>
            </w:r>
          </w:p>
        </w:tc>
        <w:tc>
          <w:tcPr>
            <w:tcW w:w="0" w:type="auto"/>
            <w:gridSpan w:val="2"/>
            <w:vAlign w:val="center"/>
            <w:hideMark/>
          </w:tcPr>
          <w:p w14:paraId="53CF35B1" w14:textId="640CED23" w:rsidR="006115D6" w:rsidRPr="00244D65" w:rsidRDefault="00B00D67" w:rsidP="0085595C">
            <w:pPr>
              <w:jc w:val="center"/>
              <w:rPr>
                <w:b/>
                <w:noProof/>
                <w:sz w:val="22"/>
                <w:szCs w:val="22"/>
              </w:rPr>
            </w:pPr>
            <w:r w:rsidRPr="00244D65">
              <w:rPr>
                <w:b/>
                <w:noProof/>
                <w:sz w:val="22"/>
                <w:szCs w:val="22"/>
              </w:rPr>
              <w:t>Average e</w:t>
            </w:r>
            <w:r w:rsidR="006115D6" w:rsidRPr="00244D65">
              <w:rPr>
                <w:b/>
                <w:noProof/>
                <w:sz w:val="22"/>
                <w:szCs w:val="22"/>
              </w:rPr>
              <w:t>missions change</w:t>
            </w:r>
          </w:p>
        </w:tc>
        <w:tc>
          <w:tcPr>
            <w:tcW w:w="0" w:type="auto"/>
            <w:vMerge w:val="restart"/>
            <w:vAlign w:val="center"/>
            <w:hideMark/>
          </w:tcPr>
          <w:p w14:paraId="4F4B9719" w14:textId="5EF2518C" w:rsidR="006115D6" w:rsidRPr="00244D65" w:rsidRDefault="00DA4505" w:rsidP="0085595C">
            <w:pPr>
              <w:jc w:val="center"/>
              <w:rPr>
                <w:b/>
                <w:noProof/>
                <w:sz w:val="22"/>
                <w:szCs w:val="22"/>
              </w:rPr>
            </w:pPr>
            <w:r w:rsidRPr="00244D65">
              <w:rPr>
                <w:b/>
                <w:noProof/>
                <w:sz w:val="22"/>
                <w:szCs w:val="22"/>
              </w:rPr>
              <w:t>Specific r</w:t>
            </w:r>
            <w:r w:rsidR="00BA7F76" w:rsidRPr="00244D65">
              <w:rPr>
                <w:b/>
                <w:noProof/>
                <w:sz w:val="22"/>
                <w:szCs w:val="22"/>
              </w:rPr>
              <w:t xml:space="preserve">isk of </w:t>
            </w:r>
            <w:r w:rsidR="000E5152" w:rsidRPr="00244D65">
              <w:rPr>
                <w:b/>
                <w:noProof/>
                <w:sz w:val="22"/>
                <w:szCs w:val="22"/>
              </w:rPr>
              <w:t xml:space="preserve">hub </w:t>
            </w:r>
            <w:r w:rsidR="00BA7F76" w:rsidRPr="00244D65">
              <w:rPr>
                <w:b/>
                <w:noProof/>
                <w:sz w:val="22"/>
                <w:szCs w:val="22"/>
              </w:rPr>
              <w:t>c</w:t>
            </w:r>
            <w:r w:rsidR="006115D6" w:rsidRPr="00244D65">
              <w:rPr>
                <w:b/>
                <w:noProof/>
                <w:sz w:val="22"/>
                <w:szCs w:val="22"/>
              </w:rPr>
              <w:t>arbon leakage</w:t>
            </w:r>
          </w:p>
        </w:tc>
      </w:tr>
      <w:tr w:rsidR="004D24F8" w:rsidRPr="00244D65" w14:paraId="3D753328" w14:textId="77777777" w:rsidTr="00E251AF">
        <w:tc>
          <w:tcPr>
            <w:tcW w:w="0" w:type="auto"/>
          </w:tcPr>
          <w:p w14:paraId="232E38CB" w14:textId="77777777" w:rsidR="006115D6" w:rsidRPr="00244D65" w:rsidRDefault="006115D6" w:rsidP="0085595C">
            <w:pPr>
              <w:rPr>
                <w:b/>
                <w:noProof/>
                <w:sz w:val="22"/>
                <w:szCs w:val="22"/>
              </w:rPr>
            </w:pPr>
          </w:p>
        </w:tc>
        <w:tc>
          <w:tcPr>
            <w:tcW w:w="0" w:type="auto"/>
          </w:tcPr>
          <w:p w14:paraId="3F458622" w14:textId="77777777" w:rsidR="006115D6" w:rsidRPr="00244D65" w:rsidRDefault="006115D6" w:rsidP="005E4778">
            <w:pPr>
              <w:jc w:val="center"/>
              <w:rPr>
                <w:i/>
                <w:noProof/>
                <w:sz w:val="22"/>
                <w:szCs w:val="22"/>
              </w:rPr>
            </w:pPr>
            <w:r w:rsidRPr="00244D65">
              <w:rPr>
                <w:i/>
                <w:noProof/>
                <w:sz w:val="22"/>
                <w:szCs w:val="22"/>
              </w:rPr>
              <w:t>2035</w:t>
            </w:r>
          </w:p>
        </w:tc>
        <w:tc>
          <w:tcPr>
            <w:tcW w:w="0" w:type="auto"/>
          </w:tcPr>
          <w:p w14:paraId="69379DA4" w14:textId="77777777" w:rsidR="006115D6" w:rsidRPr="00244D65" w:rsidRDefault="006115D6" w:rsidP="005E4778">
            <w:pPr>
              <w:jc w:val="center"/>
              <w:rPr>
                <w:i/>
                <w:noProof/>
                <w:sz w:val="22"/>
                <w:szCs w:val="22"/>
              </w:rPr>
            </w:pPr>
            <w:r w:rsidRPr="00244D65">
              <w:rPr>
                <w:i/>
                <w:noProof/>
                <w:sz w:val="22"/>
                <w:szCs w:val="22"/>
              </w:rPr>
              <w:t>2040</w:t>
            </w:r>
          </w:p>
        </w:tc>
        <w:tc>
          <w:tcPr>
            <w:tcW w:w="0" w:type="auto"/>
          </w:tcPr>
          <w:p w14:paraId="15A78DDF" w14:textId="77777777" w:rsidR="006115D6" w:rsidRPr="00244D65" w:rsidRDefault="006115D6" w:rsidP="005E4778">
            <w:pPr>
              <w:jc w:val="center"/>
              <w:rPr>
                <w:i/>
                <w:noProof/>
                <w:sz w:val="22"/>
                <w:szCs w:val="22"/>
              </w:rPr>
            </w:pPr>
            <w:r w:rsidRPr="00244D65">
              <w:rPr>
                <w:i/>
                <w:noProof/>
                <w:sz w:val="22"/>
                <w:szCs w:val="22"/>
              </w:rPr>
              <w:t>2035</w:t>
            </w:r>
          </w:p>
        </w:tc>
        <w:tc>
          <w:tcPr>
            <w:tcW w:w="0" w:type="auto"/>
          </w:tcPr>
          <w:p w14:paraId="57FA7010" w14:textId="77777777" w:rsidR="006115D6" w:rsidRPr="00244D65" w:rsidRDefault="006115D6" w:rsidP="005E4778">
            <w:pPr>
              <w:jc w:val="center"/>
              <w:rPr>
                <w:i/>
                <w:noProof/>
                <w:sz w:val="22"/>
                <w:szCs w:val="22"/>
              </w:rPr>
            </w:pPr>
            <w:r w:rsidRPr="00244D65">
              <w:rPr>
                <w:i/>
                <w:noProof/>
                <w:sz w:val="22"/>
                <w:szCs w:val="22"/>
              </w:rPr>
              <w:t>2040</w:t>
            </w:r>
          </w:p>
        </w:tc>
        <w:tc>
          <w:tcPr>
            <w:tcW w:w="0" w:type="auto"/>
            <w:vMerge/>
          </w:tcPr>
          <w:p w14:paraId="3DA9FDAA" w14:textId="77777777" w:rsidR="006115D6" w:rsidRPr="00244D65" w:rsidRDefault="006115D6" w:rsidP="005E4778">
            <w:pPr>
              <w:jc w:val="center"/>
              <w:rPr>
                <w:noProof/>
                <w:sz w:val="22"/>
                <w:szCs w:val="22"/>
              </w:rPr>
            </w:pPr>
          </w:p>
        </w:tc>
      </w:tr>
      <w:tr w:rsidR="00EE5FA6" w:rsidRPr="00244D65" w14:paraId="6E0A40A5" w14:textId="77777777" w:rsidTr="00E251AF">
        <w:tc>
          <w:tcPr>
            <w:tcW w:w="0" w:type="auto"/>
            <w:hideMark/>
          </w:tcPr>
          <w:p w14:paraId="54385B8C" w14:textId="77777777" w:rsidR="006115D6" w:rsidRPr="00244D65" w:rsidRDefault="006115D6" w:rsidP="0085595C">
            <w:pPr>
              <w:rPr>
                <w:noProof/>
                <w:sz w:val="22"/>
                <w:szCs w:val="22"/>
              </w:rPr>
            </w:pPr>
            <w:r w:rsidRPr="00244D65">
              <w:rPr>
                <w:b/>
                <w:noProof/>
                <w:sz w:val="22"/>
                <w:szCs w:val="22"/>
              </w:rPr>
              <w:t>PO1</w:t>
            </w:r>
          </w:p>
        </w:tc>
        <w:tc>
          <w:tcPr>
            <w:tcW w:w="0" w:type="auto"/>
            <w:hideMark/>
          </w:tcPr>
          <w:p w14:paraId="111CF7C8" w14:textId="67F2E9F4" w:rsidR="006115D6" w:rsidRPr="00244D65" w:rsidRDefault="650B72C9" w:rsidP="005E4778">
            <w:pPr>
              <w:jc w:val="center"/>
              <w:rPr>
                <w:noProof/>
                <w:sz w:val="22"/>
                <w:szCs w:val="22"/>
              </w:rPr>
            </w:pPr>
            <w:r w:rsidRPr="00244D65">
              <w:rPr>
                <w:noProof/>
                <w:sz w:val="22"/>
                <w:szCs w:val="22"/>
              </w:rPr>
              <w:t>3</w:t>
            </w:r>
            <w:r w:rsidR="006115D6" w:rsidRPr="00244D65">
              <w:rPr>
                <w:noProof/>
                <w:sz w:val="22"/>
                <w:szCs w:val="22"/>
              </w:rPr>
              <w:t>%</w:t>
            </w:r>
          </w:p>
        </w:tc>
        <w:tc>
          <w:tcPr>
            <w:tcW w:w="0" w:type="auto"/>
          </w:tcPr>
          <w:p w14:paraId="1F5A790B" w14:textId="1F0DB685" w:rsidR="006115D6" w:rsidRPr="00244D65" w:rsidRDefault="253E2320" w:rsidP="005E4778">
            <w:pPr>
              <w:jc w:val="center"/>
              <w:rPr>
                <w:noProof/>
                <w:sz w:val="22"/>
                <w:szCs w:val="22"/>
              </w:rPr>
            </w:pPr>
            <w:r w:rsidRPr="00244D65">
              <w:rPr>
                <w:noProof/>
                <w:sz w:val="22"/>
                <w:szCs w:val="22"/>
              </w:rPr>
              <w:t>3</w:t>
            </w:r>
            <w:r w:rsidR="5445B739" w:rsidRPr="00244D65">
              <w:rPr>
                <w:noProof/>
                <w:sz w:val="22"/>
                <w:szCs w:val="22"/>
              </w:rPr>
              <w:t>.</w:t>
            </w:r>
            <w:r w:rsidR="4CAA3C94" w:rsidRPr="00244D65">
              <w:rPr>
                <w:noProof/>
                <w:sz w:val="22"/>
                <w:szCs w:val="22"/>
              </w:rPr>
              <w:t>5</w:t>
            </w:r>
            <w:r w:rsidR="006115D6" w:rsidRPr="00244D65">
              <w:rPr>
                <w:noProof/>
                <w:sz w:val="22"/>
                <w:szCs w:val="22"/>
              </w:rPr>
              <w:t>%</w:t>
            </w:r>
          </w:p>
        </w:tc>
        <w:tc>
          <w:tcPr>
            <w:tcW w:w="0" w:type="auto"/>
            <w:hideMark/>
          </w:tcPr>
          <w:p w14:paraId="6CE2561D" w14:textId="36ED4DB8" w:rsidR="006115D6" w:rsidRPr="00244D65" w:rsidRDefault="006115D6" w:rsidP="005E4778">
            <w:pPr>
              <w:jc w:val="center"/>
              <w:rPr>
                <w:noProof/>
                <w:sz w:val="22"/>
                <w:szCs w:val="22"/>
              </w:rPr>
            </w:pPr>
            <w:r w:rsidRPr="00244D65">
              <w:rPr>
                <w:noProof/>
                <w:sz w:val="22"/>
                <w:szCs w:val="22"/>
              </w:rPr>
              <w:t>-0.</w:t>
            </w:r>
            <w:r w:rsidR="00C54292" w:rsidRPr="00244D65">
              <w:rPr>
                <w:noProof/>
                <w:sz w:val="22"/>
                <w:szCs w:val="22"/>
              </w:rPr>
              <w:t>5</w:t>
            </w:r>
            <w:r w:rsidRPr="00244D65">
              <w:rPr>
                <w:noProof/>
                <w:sz w:val="22"/>
                <w:szCs w:val="22"/>
              </w:rPr>
              <w:t>%</w:t>
            </w:r>
          </w:p>
        </w:tc>
        <w:tc>
          <w:tcPr>
            <w:tcW w:w="0" w:type="auto"/>
          </w:tcPr>
          <w:p w14:paraId="420E7C70" w14:textId="6C1FC123" w:rsidR="006115D6" w:rsidRPr="00244D65" w:rsidRDefault="253E2320" w:rsidP="005E4778">
            <w:pPr>
              <w:jc w:val="center"/>
              <w:rPr>
                <w:noProof/>
                <w:sz w:val="22"/>
                <w:szCs w:val="22"/>
              </w:rPr>
            </w:pPr>
            <w:r w:rsidRPr="00244D65">
              <w:rPr>
                <w:noProof/>
                <w:sz w:val="22"/>
                <w:szCs w:val="22"/>
              </w:rPr>
              <w:t>-0.</w:t>
            </w:r>
            <w:r w:rsidR="147A208B" w:rsidRPr="00244D65">
              <w:rPr>
                <w:noProof/>
                <w:sz w:val="22"/>
                <w:szCs w:val="22"/>
              </w:rPr>
              <w:t>2</w:t>
            </w:r>
            <w:r w:rsidR="006115D6" w:rsidRPr="00244D65">
              <w:rPr>
                <w:noProof/>
                <w:sz w:val="22"/>
                <w:szCs w:val="22"/>
              </w:rPr>
              <w:t>%</w:t>
            </w:r>
          </w:p>
        </w:tc>
        <w:tc>
          <w:tcPr>
            <w:tcW w:w="0" w:type="auto"/>
            <w:hideMark/>
          </w:tcPr>
          <w:p w14:paraId="40C8AFBA" w14:textId="0A99B539" w:rsidR="006115D6" w:rsidRPr="00244D65" w:rsidRDefault="006115D6" w:rsidP="005E4778">
            <w:pPr>
              <w:jc w:val="center"/>
              <w:rPr>
                <w:noProof/>
                <w:sz w:val="22"/>
                <w:szCs w:val="22"/>
              </w:rPr>
            </w:pPr>
            <w:r w:rsidRPr="00244D65">
              <w:rPr>
                <w:noProof/>
                <w:sz w:val="22"/>
                <w:szCs w:val="22"/>
              </w:rPr>
              <w:t xml:space="preserve">CS </w:t>
            </w:r>
            <w:r w:rsidR="3C08208F" w:rsidRPr="00244D65">
              <w:rPr>
                <w:noProof/>
                <w:sz w:val="22"/>
                <w:szCs w:val="22"/>
              </w:rPr>
              <w:t>4</w:t>
            </w:r>
            <w:r w:rsidRPr="00244D65">
              <w:rPr>
                <w:noProof/>
                <w:sz w:val="22"/>
                <w:szCs w:val="22"/>
              </w:rPr>
              <w:t xml:space="preserve"> (</w:t>
            </w:r>
            <w:r w:rsidR="73AEB19E" w:rsidRPr="00244D65">
              <w:rPr>
                <w:noProof/>
                <w:sz w:val="22"/>
                <w:szCs w:val="22"/>
              </w:rPr>
              <w:t>0</w:t>
            </w:r>
            <w:r w:rsidRPr="00244D65">
              <w:rPr>
                <w:noProof/>
                <w:sz w:val="22"/>
                <w:szCs w:val="22"/>
              </w:rPr>
              <w:t>.</w:t>
            </w:r>
            <w:r w:rsidR="1F9F7A67" w:rsidRPr="00244D65">
              <w:rPr>
                <w:noProof/>
                <w:sz w:val="22"/>
                <w:szCs w:val="22"/>
              </w:rPr>
              <w:t>25</w:t>
            </w:r>
            <w:r w:rsidRPr="00244D65" w:rsidDel="006115D6">
              <w:rPr>
                <w:noProof/>
                <w:sz w:val="22"/>
                <w:szCs w:val="22"/>
              </w:rPr>
              <w:t xml:space="preserve">% </w:t>
            </w:r>
            <w:r w:rsidRPr="00244D65">
              <w:rPr>
                <w:noProof/>
                <w:sz w:val="22"/>
                <w:szCs w:val="22"/>
              </w:rPr>
              <w:t>in 2040)</w:t>
            </w:r>
          </w:p>
        </w:tc>
      </w:tr>
      <w:tr w:rsidR="00EE5FA6" w:rsidRPr="00244D65" w14:paraId="53A60F00" w14:textId="77777777" w:rsidTr="00E251AF">
        <w:tc>
          <w:tcPr>
            <w:tcW w:w="0" w:type="auto"/>
            <w:hideMark/>
          </w:tcPr>
          <w:p w14:paraId="1A5EDE20" w14:textId="77777777" w:rsidR="006115D6" w:rsidRPr="00244D65" w:rsidRDefault="006115D6" w:rsidP="0085595C">
            <w:pPr>
              <w:rPr>
                <w:noProof/>
                <w:sz w:val="22"/>
                <w:szCs w:val="22"/>
              </w:rPr>
            </w:pPr>
            <w:r w:rsidRPr="00244D65">
              <w:rPr>
                <w:b/>
                <w:noProof/>
                <w:sz w:val="22"/>
                <w:szCs w:val="22"/>
              </w:rPr>
              <w:t>PO2</w:t>
            </w:r>
          </w:p>
        </w:tc>
        <w:tc>
          <w:tcPr>
            <w:tcW w:w="0" w:type="auto"/>
            <w:hideMark/>
          </w:tcPr>
          <w:p w14:paraId="447C1F8E" w14:textId="1ECF03DF" w:rsidR="006115D6" w:rsidRPr="00244D65" w:rsidRDefault="4D48EE5E" w:rsidP="005E4778">
            <w:pPr>
              <w:jc w:val="center"/>
              <w:rPr>
                <w:noProof/>
                <w:sz w:val="22"/>
                <w:szCs w:val="22"/>
              </w:rPr>
            </w:pPr>
            <w:r w:rsidRPr="00244D65">
              <w:rPr>
                <w:noProof/>
                <w:sz w:val="22"/>
                <w:szCs w:val="22"/>
              </w:rPr>
              <w:t>3.</w:t>
            </w:r>
            <w:r w:rsidR="4D4D1693" w:rsidRPr="00244D65">
              <w:rPr>
                <w:noProof/>
                <w:sz w:val="22"/>
                <w:szCs w:val="22"/>
              </w:rPr>
              <w:t>7</w:t>
            </w:r>
            <w:r w:rsidR="006115D6" w:rsidRPr="00244D65">
              <w:rPr>
                <w:noProof/>
                <w:sz w:val="22"/>
                <w:szCs w:val="22"/>
              </w:rPr>
              <w:t>%</w:t>
            </w:r>
          </w:p>
        </w:tc>
        <w:tc>
          <w:tcPr>
            <w:tcW w:w="0" w:type="auto"/>
          </w:tcPr>
          <w:p w14:paraId="68D371AF" w14:textId="0E046885" w:rsidR="006115D6" w:rsidRPr="00244D65" w:rsidRDefault="2D789CE6" w:rsidP="005E4778">
            <w:pPr>
              <w:jc w:val="center"/>
              <w:rPr>
                <w:noProof/>
                <w:sz w:val="22"/>
                <w:szCs w:val="22"/>
              </w:rPr>
            </w:pPr>
            <w:r w:rsidRPr="00244D65">
              <w:rPr>
                <w:noProof/>
                <w:sz w:val="22"/>
                <w:szCs w:val="22"/>
              </w:rPr>
              <w:t>4.</w:t>
            </w:r>
            <w:r w:rsidR="32D1AED7" w:rsidRPr="00244D65">
              <w:rPr>
                <w:noProof/>
                <w:sz w:val="22"/>
                <w:szCs w:val="22"/>
              </w:rPr>
              <w:t>5</w:t>
            </w:r>
            <w:r w:rsidR="006115D6" w:rsidRPr="00244D65">
              <w:rPr>
                <w:noProof/>
                <w:sz w:val="22"/>
                <w:szCs w:val="22"/>
              </w:rPr>
              <w:t>%</w:t>
            </w:r>
          </w:p>
        </w:tc>
        <w:tc>
          <w:tcPr>
            <w:tcW w:w="0" w:type="auto"/>
            <w:hideMark/>
          </w:tcPr>
          <w:p w14:paraId="12BD4462" w14:textId="06D43FAE" w:rsidR="006115D6" w:rsidRPr="00244D65" w:rsidRDefault="006115D6" w:rsidP="005E4778">
            <w:pPr>
              <w:jc w:val="center"/>
              <w:rPr>
                <w:noProof/>
                <w:sz w:val="22"/>
                <w:szCs w:val="22"/>
              </w:rPr>
            </w:pPr>
            <w:r w:rsidRPr="00244D65">
              <w:rPr>
                <w:noProof/>
                <w:sz w:val="22"/>
                <w:szCs w:val="22"/>
              </w:rPr>
              <w:t>-0</w:t>
            </w:r>
            <w:r w:rsidR="43E5C4C3" w:rsidRPr="00244D65">
              <w:rPr>
                <w:noProof/>
                <w:sz w:val="22"/>
                <w:szCs w:val="22"/>
              </w:rPr>
              <w:t>.9</w:t>
            </w:r>
            <w:r w:rsidRPr="00244D65">
              <w:rPr>
                <w:noProof/>
                <w:sz w:val="22"/>
                <w:szCs w:val="22"/>
              </w:rPr>
              <w:t>%</w:t>
            </w:r>
          </w:p>
        </w:tc>
        <w:tc>
          <w:tcPr>
            <w:tcW w:w="0" w:type="auto"/>
          </w:tcPr>
          <w:p w14:paraId="01F5161B" w14:textId="765A6BEB" w:rsidR="006115D6" w:rsidRPr="00244D65" w:rsidRDefault="006115D6" w:rsidP="005E4778">
            <w:pPr>
              <w:jc w:val="center"/>
              <w:rPr>
                <w:noProof/>
                <w:sz w:val="22"/>
                <w:szCs w:val="22"/>
              </w:rPr>
            </w:pPr>
            <w:r w:rsidRPr="00244D65">
              <w:rPr>
                <w:noProof/>
                <w:sz w:val="22"/>
                <w:szCs w:val="22"/>
              </w:rPr>
              <w:t>-</w:t>
            </w:r>
            <w:r w:rsidR="2B166B3C" w:rsidRPr="00244D65">
              <w:rPr>
                <w:noProof/>
                <w:sz w:val="22"/>
                <w:szCs w:val="22"/>
              </w:rPr>
              <w:t>0</w:t>
            </w:r>
            <w:r w:rsidR="39178141" w:rsidRPr="00244D65">
              <w:rPr>
                <w:noProof/>
                <w:sz w:val="22"/>
                <w:szCs w:val="22"/>
              </w:rPr>
              <w:t>.</w:t>
            </w:r>
            <w:r w:rsidR="75691E7E" w:rsidRPr="00244D65">
              <w:rPr>
                <w:noProof/>
                <w:sz w:val="22"/>
                <w:szCs w:val="22"/>
              </w:rPr>
              <w:t>7</w:t>
            </w:r>
            <w:r w:rsidRPr="00244D65">
              <w:rPr>
                <w:noProof/>
                <w:sz w:val="22"/>
                <w:szCs w:val="22"/>
              </w:rPr>
              <w:t>%</w:t>
            </w:r>
          </w:p>
        </w:tc>
        <w:tc>
          <w:tcPr>
            <w:tcW w:w="0" w:type="auto"/>
            <w:hideMark/>
          </w:tcPr>
          <w:p w14:paraId="325DCD9F" w14:textId="4D8BCB79" w:rsidR="006115D6" w:rsidRPr="00244D65" w:rsidRDefault="000E5152" w:rsidP="005E4778">
            <w:pPr>
              <w:jc w:val="center"/>
              <w:rPr>
                <w:noProof/>
                <w:sz w:val="22"/>
                <w:szCs w:val="22"/>
              </w:rPr>
            </w:pPr>
            <w:r w:rsidRPr="00244D65">
              <w:rPr>
                <w:noProof/>
                <w:sz w:val="22"/>
                <w:szCs w:val="22"/>
              </w:rPr>
              <w:t>n/a</w:t>
            </w:r>
          </w:p>
        </w:tc>
      </w:tr>
      <w:tr w:rsidR="00EE5FA6" w:rsidRPr="00244D65" w14:paraId="1F59F093" w14:textId="77777777" w:rsidTr="00E251AF">
        <w:trPr>
          <w:trHeight w:val="300"/>
        </w:trPr>
        <w:tc>
          <w:tcPr>
            <w:tcW w:w="0" w:type="auto"/>
            <w:tcBorders>
              <w:top w:val="single" w:sz="4" w:space="0" w:color="auto"/>
              <w:left w:val="single" w:sz="4" w:space="0" w:color="auto"/>
              <w:bottom w:val="single" w:sz="4" w:space="0" w:color="auto"/>
              <w:right w:val="single" w:sz="4" w:space="0" w:color="auto"/>
            </w:tcBorders>
            <w:hideMark/>
          </w:tcPr>
          <w:p w14:paraId="249A535C" w14:textId="2BCFD55A" w:rsidR="006115D6" w:rsidRPr="00244D65" w:rsidRDefault="006115D6" w:rsidP="0085595C">
            <w:pPr>
              <w:rPr>
                <w:noProof/>
                <w:sz w:val="22"/>
                <w:szCs w:val="22"/>
              </w:rPr>
            </w:pPr>
            <w:r w:rsidRPr="00244D65">
              <w:rPr>
                <w:b/>
                <w:noProof/>
                <w:sz w:val="22"/>
                <w:szCs w:val="22"/>
              </w:rPr>
              <w:t>PO3</w:t>
            </w:r>
          </w:p>
        </w:tc>
        <w:tc>
          <w:tcPr>
            <w:tcW w:w="0" w:type="auto"/>
            <w:tcBorders>
              <w:top w:val="single" w:sz="4" w:space="0" w:color="auto"/>
              <w:left w:val="single" w:sz="4" w:space="0" w:color="auto"/>
              <w:bottom w:val="single" w:sz="4" w:space="0" w:color="auto"/>
              <w:right w:val="single" w:sz="4" w:space="0" w:color="auto"/>
            </w:tcBorders>
            <w:hideMark/>
          </w:tcPr>
          <w:p w14:paraId="4F7CBA86" w14:textId="179BBC7F" w:rsidR="006115D6" w:rsidRPr="00244D65" w:rsidRDefault="1401C2CB" w:rsidP="005E4778">
            <w:pPr>
              <w:jc w:val="center"/>
              <w:rPr>
                <w:noProof/>
                <w:sz w:val="22"/>
                <w:szCs w:val="22"/>
              </w:rPr>
            </w:pPr>
            <w:r w:rsidRPr="00244D65">
              <w:rPr>
                <w:noProof/>
                <w:sz w:val="22"/>
                <w:szCs w:val="22"/>
              </w:rPr>
              <w:t>3.</w:t>
            </w:r>
            <w:r w:rsidR="4DBE95BC" w:rsidRPr="00244D65">
              <w:rPr>
                <w:noProof/>
                <w:sz w:val="22"/>
                <w:szCs w:val="22"/>
              </w:rPr>
              <w:t>4</w:t>
            </w:r>
            <w:r w:rsidR="006115D6" w:rsidRPr="00244D65">
              <w:rPr>
                <w:noProof/>
                <w:sz w:val="22"/>
                <w:szCs w:val="22"/>
              </w:rPr>
              <w:t>%</w:t>
            </w:r>
          </w:p>
        </w:tc>
        <w:tc>
          <w:tcPr>
            <w:tcW w:w="0" w:type="auto"/>
            <w:tcBorders>
              <w:top w:val="single" w:sz="4" w:space="0" w:color="auto"/>
              <w:left w:val="single" w:sz="4" w:space="0" w:color="auto"/>
              <w:bottom w:val="single" w:sz="4" w:space="0" w:color="auto"/>
              <w:right w:val="single" w:sz="4" w:space="0" w:color="auto"/>
            </w:tcBorders>
          </w:tcPr>
          <w:p w14:paraId="7F0C992B" w14:textId="5811689C" w:rsidR="006115D6" w:rsidRPr="00244D65" w:rsidRDefault="7E15B683" w:rsidP="005E4778">
            <w:pPr>
              <w:jc w:val="center"/>
              <w:rPr>
                <w:noProof/>
                <w:sz w:val="22"/>
                <w:szCs w:val="22"/>
              </w:rPr>
            </w:pPr>
            <w:r w:rsidRPr="00244D65">
              <w:rPr>
                <w:noProof/>
                <w:sz w:val="22"/>
                <w:szCs w:val="22"/>
              </w:rPr>
              <w:t>4.</w:t>
            </w:r>
            <w:r w:rsidR="3B729EE7" w:rsidRPr="00244D65">
              <w:rPr>
                <w:noProof/>
                <w:sz w:val="22"/>
                <w:szCs w:val="22"/>
              </w:rPr>
              <w:t>5</w:t>
            </w:r>
            <w:r w:rsidR="006115D6" w:rsidRPr="00244D65">
              <w:rPr>
                <w:noProof/>
                <w:sz w:val="22"/>
                <w:szCs w:val="22"/>
              </w:rPr>
              <w:t>%</w:t>
            </w:r>
          </w:p>
        </w:tc>
        <w:tc>
          <w:tcPr>
            <w:tcW w:w="0" w:type="auto"/>
            <w:tcBorders>
              <w:top w:val="single" w:sz="4" w:space="0" w:color="auto"/>
              <w:left w:val="single" w:sz="4" w:space="0" w:color="auto"/>
              <w:bottom w:val="single" w:sz="4" w:space="0" w:color="auto"/>
              <w:right w:val="single" w:sz="4" w:space="0" w:color="auto"/>
            </w:tcBorders>
            <w:hideMark/>
          </w:tcPr>
          <w:p w14:paraId="215CF571" w14:textId="4C9B1626" w:rsidR="006115D6" w:rsidRPr="00244D65" w:rsidRDefault="006115D6" w:rsidP="005E4778">
            <w:pPr>
              <w:jc w:val="center"/>
              <w:rPr>
                <w:noProof/>
                <w:sz w:val="22"/>
                <w:szCs w:val="22"/>
              </w:rPr>
            </w:pPr>
            <w:r w:rsidRPr="00244D65">
              <w:rPr>
                <w:noProof/>
                <w:sz w:val="22"/>
                <w:szCs w:val="22"/>
              </w:rPr>
              <w:t>-0.</w:t>
            </w:r>
            <w:r w:rsidR="004C658D" w:rsidRPr="00244D65">
              <w:rPr>
                <w:noProof/>
                <w:sz w:val="22"/>
                <w:szCs w:val="22"/>
              </w:rPr>
              <w:t>8</w:t>
            </w:r>
            <w:r w:rsidRPr="00244D65">
              <w:rPr>
                <w:noProof/>
                <w:sz w:val="22"/>
                <w:szCs w:val="22"/>
              </w:rPr>
              <w:t>%</w:t>
            </w:r>
          </w:p>
        </w:tc>
        <w:tc>
          <w:tcPr>
            <w:tcW w:w="0" w:type="auto"/>
            <w:tcBorders>
              <w:top w:val="single" w:sz="4" w:space="0" w:color="auto"/>
              <w:left w:val="single" w:sz="4" w:space="0" w:color="auto"/>
              <w:bottom w:val="single" w:sz="4" w:space="0" w:color="auto"/>
              <w:right w:val="single" w:sz="4" w:space="0" w:color="auto"/>
            </w:tcBorders>
          </w:tcPr>
          <w:p w14:paraId="0640BC68" w14:textId="72746970" w:rsidR="006115D6" w:rsidRPr="00244D65" w:rsidRDefault="006115D6" w:rsidP="005E4778">
            <w:pPr>
              <w:jc w:val="center"/>
              <w:rPr>
                <w:noProof/>
                <w:sz w:val="22"/>
                <w:szCs w:val="22"/>
              </w:rPr>
            </w:pPr>
            <w:r w:rsidRPr="00244D65">
              <w:rPr>
                <w:noProof/>
                <w:sz w:val="22"/>
                <w:szCs w:val="22"/>
              </w:rPr>
              <w:t>-</w:t>
            </w:r>
            <w:r w:rsidR="7AF5CC5A" w:rsidRPr="00244D65">
              <w:rPr>
                <w:noProof/>
                <w:sz w:val="22"/>
                <w:szCs w:val="22"/>
              </w:rPr>
              <w:t>0</w:t>
            </w:r>
            <w:r w:rsidRPr="00244D65">
              <w:rPr>
                <w:noProof/>
                <w:sz w:val="22"/>
                <w:szCs w:val="22"/>
              </w:rPr>
              <w:t>.</w:t>
            </w:r>
            <w:r w:rsidR="7C06A5AD" w:rsidRPr="00244D65">
              <w:rPr>
                <w:noProof/>
                <w:sz w:val="22"/>
                <w:szCs w:val="22"/>
              </w:rPr>
              <w:t>7</w:t>
            </w:r>
            <w:r w:rsidRPr="00244D65">
              <w:rPr>
                <w:noProof/>
                <w:sz w:val="22"/>
                <w:szCs w:val="22"/>
              </w:rPr>
              <w:t>%</w:t>
            </w:r>
          </w:p>
        </w:tc>
        <w:tc>
          <w:tcPr>
            <w:tcW w:w="0" w:type="auto"/>
            <w:tcBorders>
              <w:top w:val="single" w:sz="4" w:space="0" w:color="auto"/>
              <w:left w:val="single" w:sz="4" w:space="0" w:color="auto"/>
              <w:bottom w:val="single" w:sz="4" w:space="0" w:color="auto"/>
              <w:right w:val="single" w:sz="4" w:space="0" w:color="auto"/>
            </w:tcBorders>
            <w:hideMark/>
          </w:tcPr>
          <w:p w14:paraId="7C8898C6" w14:textId="46CEC31F" w:rsidR="006115D6" w:rsidRPr="00244D65" w:rsidRDefault="000E5152" w:rsidP="005E4778">
            <w:pPr>
              <w:jc w:val="center"/>
              <w:rPr>
                <w:noProof/>
                <w:sz w:val="22"/>
                <w:szCs w:val="22"/>
              </w:rPr>
            </w:pPr>
            <w:r w:rsidRPr="00244D65">
              <w:rPr>
                <w:noProof/>
                <w:sz w:val="22"/>
                <w:szCs w:val="22"/>
              </w:rPr>
              <w:t>n/a</w:t>
            </w:r>
          </w:p>
        </w:tc>
      </w:tr>
      <w:tr w:rsidR="00EE5FA6" w:rsidRPr="00244D65" w14:paraId="53F82374" w14:textId="77777777" w:rsidTr="00E251AF">
        <w:tc>
          <w:tcPr>
            <w:tcW w:w="0" w:type="auto"/>
            <w:hideMark/>
          </w:tcPr>
          <w:p w14:paraId="586EE8A1" w14:textId="51B9F9C7" w:rsidR="006115D6" w:rsidRPr="00244D65" w:rsidRDefault="006115D6" w:rsidP="0085595C">
            <w:pPr>
              <w:rPr>
                <w:noProof/>
                <w:sz w:val="22"/>
                <w:szCs w:val="22"/>
              </w:rPr>
            </w:pPr>
            <w:r w:rsidRPr="00244D65">
              <w:rPr>
                <w:b/>
                <w:noProof/>
                <w:sz w:val="22"/>
                <w:szCs w:val="22"/>
              </w:rPr>
              <w:t>Baseline</w:t>
            </w:r>
          </w:p>
        </w:tc>
        <w:tc>
          <w:tcPr>
            <w:tcW w:w="0" w:type="auto"/>
            <w:hideMark/>
          </w:tcPr>
          <w:p w14:paraId="31DF4F4B" w14:textId="74AD8A9D" w:rsidR="006115D6" w:rsidRPr="00244D65" w:rsidRDefault="1BB709AC" w:rsidP="005E4778">
            <w:pPr>
              <w:jc w:val="center"/>
              <w:rPr>
                <w:noProof/>
                <w:sz w:val="22"/>
                <w:szCs w:val="22"/>
              </w:rPr>
            </w:pPr>
            <w:r w:rsidRPr="00244D65">
              <w:rPr>
                <w:noProof/>
                <w:sz w:val="22"/>
                <w:szCs w:val="22"/>
              </w:rPr>
              <w:t>4.</w:t>
            </w:r>
            <w:r w:rsidR="66290E97" w:rsidRPr="00244D65">
              <w:rPr>
                <w:noProof/>
                <w:sz w:val="22"/>
                <w:szCs w:val="22"/>
              </w:rPr>
              <w:t>6</w:t>
            </w:r>
            <w:r w:rsidR="006115D6" w:rsidRPr="00244D65">
              <w:rPr>
                <w:noProof/>
                <w:sz w:val="22"/>
                <w:szCs w:val="22"/>
              </w:rPr>
              <w:t>%</w:t>
            </w:r>
          </w:p>
        </w:tc>
        <w:tc>
          <w:tcPr>
            <w:tcW w:w="0" w:type="auto"/>
          </w:tcPr>
          <w:p w14:paraId="5EF1ABD0" w14:textId="3B1C942E" w:rsidR="006115D6" w:rsidRPr="00244D65" w:rsidRDefault="12FD3FDA" w:rsidP="005E4778">
            <w:pPr>
              <w:jc w:val="center"/>
              <w:rPr>
                <w:noProof/>
                <w:sz w:val="22"/>
                <w:szCs w:val="22"/>
              </w:rPr>
            </w:pPr>
            <w:r w:rsidRPr="00244D65">
              <w:rPr>
                <w:noProof/>
                <w:sz w:val="22"/>
                <w:szCs w:val="22"/>
              </w:rPr>
              <w:t>6</w:t>
            </w:r>
            <w:r w:rsidR="006115D6" w:rsidRPr="00244D65">
              <w:rPr>
                <w:noProof/>
                <w:sz w:val="22"/>
                <w:szCs w:val="22"/>
              </w:rPr>
              <w:t>%</w:t>
            </w:r>
          </w:p>
        </w:tc>
        <w:tc>
          <w:tcPr>
            <w:tcW w:w="0" w:type="auto"/>
            <w:hideMark/>
          </w:tcPr>
          <w:p w14:paraId="785933E9" w14:textId="40ABAEEF" w:rsidR="006115D6" w:rsidRPr="00244D65" w:rsidRDefault="006115D6" w:rsidP="005E4778">
            <w:pPr>
              <w:jc w:val="center"/>
              <w:rPr>
                <w:noProof/>
                <w:sz w:val="22"/>
                <w:szCs w:val="22"/>
              </w:rPr>
            </w:pPr>
            <w:r w:rsidRPr="00244D65">
              <w:rPr>
                <w:noProof/>
                <w:sz w:val="22"/>
                <w:szCs w:val="22"/>
              </w:rPr>
              <w:t>-</w:t>
            </w:r>
            <w:r w:rsidR="4A474530" w:rsidRPr="00244D65">
              <w:rPr>
                <w:noProof/>
                <w:sz w:val="22"/>
                <w:szCs w:val="22"/>
              </w:rPr>
              <w:t>1</w:t>
            </w:r>
            <w:r w:rsidRPr="00244D65">
              <w:rPr>
                <w:noProof/>
                <w:sz w:val="22"/>
                <w:szCs w:val="22"/>
              </w:rPr>
              <w:t>%</w:t>
            </w:r>
          </w:p>
        </w:tc>
        <w:tc>
          <w:tcPr>
            <w:tcW w:w="0" w:type="auto"/>
          </w:tcPr>
          <w:p w14:paraId="11295A53" w14:textId="268F2D64" w:rsidR="006115D6" w:rsidRPr="00244D65" w:rsidRDefault="006115D6" w:rsidP="005E4778">
            <w:pPr>
              <w:jc w:val="center"/>
              <w:rPr>
                <w:noProof/>
                <w:sz w:val="22"/>
                <w:szCs w:val="22"/>
              </w:rPr>
            </w:pPr>
            <w:r w:rsidRPr="00244D65">
              <w:rPr>
                <w:noProof/>
                <w:sz w:val="22"/>
                <w:szCs w:val="22"/>
              </w:rPr>
              <w:t>-</w:t>
            </w:r>
            <w:r w:rsidR="16033B34" w:rsidRPr="00244D65">
              <w:rPr>
                <w:noProof/>
                <w:sz w:val="22"/>
                <w:szCs w:val="22"/>
              </w:rPr>
              <w:t>0.5</w:t>
            </w:r>
            <w:r w:rsidRPr="00244D65">
              <w:rPr>
                <w:noProof/>
                <w:sz w:val="22"/>
                <w:szCs w:val="22"/>
              </w:rPr>
              <w:t>%</w:t>
            </w:r>
          </w:p>
        </w:tc>
        <w:tc>
          <w:tcPr>
            <w:tcW w:w="0" w:type="auto"/>
            <w:hideMark/>
          </w:tcPr>
          <w:p w14:paraId="7A7ACC2F" w14:textId="5C7810F8" w:rsidR="006115D6" w:rsidRPr="00244D65" w:rsidRDefault="006115D6" w:rsidP="005E4778">
            <w:pPr>
              <w:jc w:val="center"/>
              <w:rPr>
                <w:noProof/>
                <w:sz w:val="22"/>
                <w:szCs w:val="22"/>
              </w:rPr>
            </w:pPr>
            <w:r w:rsidRPr="00244D65">
              <w:rPr>
                <w:noProof/>
                <w:sz w:val="22"/>
                <w:szCs w:val="22"/>
              </w:rPr>
              <w:t>CS</w:t>
            </w:r>
            <w:r w:rsidR="5C98D750" w:rsidRPr="00244D65">
              <w:rPr>
                <w:noProof/>
                <w:sz w:val="22"/>
                <w:szCs w:val="22"/>
              </w:rPr>
              <w:t>1</w:t>
            </w:r>
            <w:r w:rsidR="00C63F96" w:rsidRPr="00244D65">
              <w:rPr>
                <w:noProof/>
                <w:sz w:val="22"/>
                <w:szCs w:val="22"/>
              </w:rPr>
              <w:t xml:space="preserve"> (</w:t>
            </w:r>
            <w:r w:rsidR="0727ABBB" w:rsidRPr="00244D65">
              <w:rPr>
                <w:noProof/>
                <w:sz w:val="22"/>
                <w:szCs w:val="22"/>
              </w:rPr>
              <w:t>0.72</w:t>
            </w:r>
            <w:r w:rsidRPr="00244D65">
              <w:rPr>
                <w:noProof/>
                <w:sz w:val="22"/>
                <w:szCs w:val="22"/>
              </w:rPr>
              <w:t xml:space="preserve">% in 2040) and </w:t>
            </w:r>
            <w:r w:rsidR="7A5F8678" w:rsidRPr="00244D65">
              <w:rPr>
                <w:noProof/>
                <w:sz w:val="22"/>
                <w:szCs w:val="22"/>
              </w:rPr>
              <w:t>CS</w:t>
            </w:r>
            <w:r w:rsidR="5C98A2F5" w:rsidRPr="00244D65">
              <w:rPr>
                <w:noProof/>
                <w:sz w:val="22"/>
                <w:szCs w:val="22"/>
              </w:rPr>
              <w:t>5</w:t>
            </w:r>
            <w:r w:rsidR="00C63F96" w:rsidRPr="00244D65">
              <w:rPr>
                <w:noProof/>
                <w:sz w:val="22"/>
                <w:szCs w:val="22"/>
              </w:rPr>
              <w:t xml:space="preserve"> (</w:t>
            </w:r>
            <w:r w:rsidR="46E6AA5A" w:rsidRPr="00244D65">
              <w:rPr>
                <w:noProof/>
                <w:sz w:val="22"/>
                <w:szCs w:val="22"/>
              </w:rPr>
              <w:t>0.25</w:t>
            </w:r>
            <w:r w:rsidRPr="00244D65">
              <w:rPr>
                <w:noProof/>
                <w:sz w:val="22"/>
                <w:szCs w:val="22"/>
              </w:rPr>
              <w:t>% in 2040)</w:t>
            </w:r>
          </w:p>
        </w:tc>
      </w:tr>
    </w:tbl>
    <w:p w14:paraId="27060325" w14:textId="38A9F816" w:rsidR="005F2B61" w:rsidRPr="00244D65" w:rsidRDefault="56C3FCF2" w:rsidP="0085595C">
      <w:pPr>
        <w:rPr>
          <w:noProof/>
        </w:rPr>
      </w:pPr>
      <w:r w:rsidRPr="00244D65">
        <w:rPr>
          <w:noProof/>
        </w:rPr>
        <w:t>The impact assessment for the revision of the EU ETS for aviation</w:t>
      </w:r>
      <w:r w:rsidR="00324959" w:rsidRPr="00244D65">
        <w:rPr>
          <w:rStyle w:val="FootnoteReference"/>
          <w:noProof/>
        </w:rPr>
        <w:footnoteReference w:id="78"/>
      </w:r>
      <w:r w:rsidRPr="00244D65">
        <w:rPr>
          <w:noProof/>
        </w:rPr>
        <w:t xml:space="preserve"> found that carbon leakage risks for </w:t>
      </w:r>
      <w:r w:rsidRPr="00244D65">
        <w:rPr>
          <w:b/>
          <w:bCs/>
          <w:noProof/>
        </w:rPr>
        <w:t xml:space="preserve">tourist destination </w:t>
      </w:r>
      <w:r w:rsidRPr="00244D65">
        <w:rPr>
          <w:noProof/>
        </w:rPr>
        <w:t>switching were low, due to the nature of air travel (passengers usually know where they want to go and choose the best flight options to get there</w:t>
      </w:r>
      <w:r w:rsidR="00491381" w:rsidRPr="00244D65">
        <w:rPr>
          <w:rStyle w:val="FootnoteReference"/>
          <w:noProof/>
        </w:rPr>
        <w:footnoteReference w:id="79"/>
      </w:r>
      <w:r>
        <w:rPr>
          <w:noProof/>
        </w:rPr>
        <w:t>.</w:t>
      </w:r>
      <w:r w:rsidR="0E4CF51F" w:rsidRPr="00244D65">
        <w:rPr>
          <w:noProof/>
        </w:rPr>
        <w:t xml:space="preserve"> This was</w:t>
      </w:r>
      <w:r w:rsidRPr="00244D65">
        <w:rPr>
          <w:noProof/>
        </w:rPr>
        <w:t xml:space="preserve"> confirmed by external studies</w:t>
      </w:r>
      <w:r w:rsidR="00324959" w:rsidRPr="00244D65">
        <w:rPr>
          <w:rStyle w:val="FootnoteReference"/>
          <w:noProof/>
        </w:rPr>
        <w:footnoteReference w:id="80"/>
      </w:r>
      <w:r>
        <w:rPr>
          <w:noProof/>
        </w:rPr>
        <w:t>,</w:t>
      </w:r>
      <w:r w:rsidR="7B89BD88" w:rsidRPr="00244D65">
        <w:rPr>
          <w:noProof/>
        </w:rPr>
        <w:t xml:space="preserve"> also showing that tourists prefer direct flights</w:t>
      </w:r>
      <w:r w:rsidR="00AC0830" w:rsidRPr="00244D65">
        <w:rPr>
          <w:rStyle w:val="FootnoteReference"/>
          <w:noProof/>
        </w:rPr>
        <w:footnoteReference w:id="81"/>
      </w:r>
      <w:r w:rsidR="004D4AEA" w:rsidRPr="00244D65">
        <w:rPr>
          <w:noProof/>
        </w:rPr>
        <w:t xml:space="preserve"> and that </w:t>
      </w:r>
      <w:r w:rsidR="00DD3D93" w:rsidRPr="00244D65">
        <w:rPr>
          <w:noProof/>
        </w:rPr>
        <w:t xml:space="preserve">demand has historically been </w:t>
      </w:r>
      <w:bookmarkStart w:id="235" w:name="_Int_w8ds3tpz"/>
      <w:r w:rsidR="00DD3D93" w:rsidRPr="00244D65">
        <w:rPr>
          <w:noProof/>
        </w:rPr>
        <w:t>relatively inelastic</w:t>
      </w:r>
      <w:bookmarkEnd w:id="235"/>
      <w:r w:rsidR="00DD3D93" w:rsidRPr="00244D65">
        <w:rPr>
          <w:noProof/>
        </w:rPr>
        <w:t xml:space="preserve"> to cost changes</w:t>
      </w:r>
      <w:r w:rsidR="00DD3D93" w:rsidRPr="00244D65">
        <w:rPr>
          <w:rStyle w:val="FootnoteReference"/>
          <w:noProof/>
        </w:rPr>
        <w:footnoteReference w:id="82"/>
      </w:r>
      <w:r>
        <w:rPr>
          <w:noProof/>
        </w:rPr>
        <w:t>.</w:t>
      </w:r>
      <w:r w:rsidRPr="00244D65">
        <w:rPr>
          <w:noProof/>
        </w:rPr>
        <w:t xml:space="preserve"> </w:t>
      </w:r>
      <w:r w:rsidR="00EC41A7" w:rsidRPr="00244D65">
        <w:rPr>
          <w:noProof/>
        </w:rPr>
        <w:t xml:space="preserve">A </w:t>
      </w:r>
      <w:r w:rsidR="000E7124" w:rsidRPr="00244D65">
        <w:rPr>
          <w:noProof/>
        </w:rPr>
        <w:t xml:space="preserve">study of </w:t>
      </w:r>
      <w:r w:rsidR="00382672" w:rsidRPr="00244D65">
        <w:rPr>
          <w:noProof/>
        </w:rPr>
        <w:t xml:space="preserve">Green Deal policies </w:t>
      </w:r>
      <w:r w:rsidR="00ED5FD7" w:rsidRPr="00244D65">
        <w:rPr>
          <w:noProof/>
        </w:rPr>
        <w:t xml:space="preserve">for aviation </w:t>
      </w:r>
      <w:r w:rsidR="004751A7" w:rsidRPr="00244D65">
        <w:rPr>
          <w:noProof/>
        </w:rPr>
        <w:t>(ETS, ReFuel</w:t>
      </w:r>
      <w:r w:rsidR="00591EDB" w:rsidRPr="00244D65">
        <w:rPr>
          <w:noProof/>
        </w:rPr>
        <w:t>EU</w:t>
      </w:r>
      <w:r w:rsidR="004751A7" w:rsidRPr="00244D65">
        <w:rPr>
          <w:noProof/>
        </w:rPr>
        <w:t>)</w:t>
      </w:r>
      <w:r w:rsidR="00ED5FD7" w:rsidRPr="00244D65">
        <w:rPr>
          <w:noProof/>
        </w:rPr>
        <w:t xml:space="preserve"> found that they </w:t>
      </w:r>
      <w:r w:rsidR="00B922D4" w:rsidRPr="00244D65">
        <w:rPr>
          <w:noProof/>
        </w:rPr>
        <w:t>achieve emissions reductions without</w:t>
      </w:r>
      <w:r w:rsidRPr="00244D65">
        <w:rPr>
          <w:noProof/>
        </w:rPr>
        <w:t xml:space="preserve"> carbon leakage</w:t>
      </w:r>
      <w:r w:rsidR="00F93AF5" w:rsidRPr="00244D65">
        <w:rPr>
          <w:noProof/>
        </w:rPr>
        <w:t xml:space="preserve"> (scope of the study: global aviation). It </w:t>
      </w:r>
      <w:r w:rsidR="000A0C7C" w:rsidRPr="00244D65">
        <w:rPr>
          <w:noProof/>
        </w:rPr>
        <w:t>mostly</w:t>
      </w:r>
      <w:r w:rsidR="00F93AF5" w:rsidRPr="00244D65">
        <w:rPr>
          <w:noProof/>
        </w:rPr>
        <w:t xml:space="preserve"> </w:t>
      </w:r>
      <w:r w:rsidR="00B26CD4" w:rsidRPr="00244D65">
        <w:rPr>
          <w:noProof/>
        </w:rPr>
        <w:t>identified</w:t>
      </w:r>
      <w:r w:rsidRPr="00244D65">
        <w:rPr>
          <w:noProof/>
        </w:rPr>
        <w:t xml:space="preserve"> carbon leakage to other sectors in case aviation fuel demand reduction leads to overall fuel price reductions</w:t>
      </w:r>
      <w:r w:rsidR="00324959" w:rsidRPr="00244D65">
        <w:rPr>
          <w:rStyle w:val="FootnoteReference"/>
          <w:noProof/>
        </w:rPr>
        <w:footnoteReference w:id="83"/>
      </w:r>
      <w:r>
        <w:rPr>
          <w:noProof/>
        </w:rPr>
        <w:t>.</w:t>
      </w:r>
      <w:r w:rsidR="003A33F2" w:rsidRPr="00244D65">
        <w:rPr>
          <w:noProof/>
        </w:rPr>
        <w:t xml:space="preserve"> </w:t>
      </w:r>
      <w:r w:rsidR="0031540E" w:rsidRPr="00244D65">
        <w:rPr>
          <w:noProof/>
        </w:rPr>
        <w:t xml:space="preserve">Qualitative analysis therefore suggests that </w:t>
      </w:r>
      <w:r w:rsidR="00E66866" w:rsidRPr="00244D65">
        <w:rPr>
          <w:noProof/>
        </w:rPr>
        <w:t xml:space="preserve">ticket prices are </w:t>
      </w:r>
      <w:r w:rsidR="009F6331" w:rsidRPr="00244D65">
        <w:rPr>
          <w:noProof/>
        </w:rPr>
        <w:t>one among several decision-making factors</w:t>
      </w:r>
      <w:r w:rsidR="005262E3" w:rsidRPr="00244D65">
        <w:rPr>
          <w:noProof/>
        </w:rPr>
        <w:t xml:space="preserve"> for tourists</w:t>
      </w:r>
      <w:r w:rsidR="000A4983" w:rsidRPr="00244D65">
        <w:rPr>
          <w:noProof/>
        </w:rPr>
        <w:t xml:space="preserve">, </w:t>
      </w:r>
      <w:r w:rsidR="00545858" w:rsidRPr="00244D65">
        <w:rPr>
          <w:noProof/>
        </w:rPr>
        <w:t xml:space="preserve">not necessarily the decisive factor. </w:t>
      </w:r>
      <w:r w:rsidR="00B76789" w:rsidRPr="00244D65">
        <w:rPr>
          <w:noProof/>
        </w:rPr>
        <w:t>Ticket prices for tourist flights are impacted in the same way as any other flight, so analysis above on ticket prices etc. applies.</w:t>
      </w:r>
    </w:p>
    <w:p w14:paraId="2651166D" w14:textId="5A3C94FB" w:rsidR="00E71D57" w:rsidRPr="00244D65" w:rsidRDefault="3967CA64" w:rsidP="0085595C">
      <w:pPr>
        <w:rPr>
          <w:noProof/>
        </w:rPr>
      </w:pPr>
      <w:r w:rsidRPr="00244D65">
        <w:rPr>
          <w:noProof/>
        </w:rPr>
        <w:t xml:space="preserve">On </w:t>
      </w:r>
      <w:r w:rsidRPr="00244D65">
        <w:rPr>
          <w:b/>
          <w:bCs/>
          <w:noProof/>
        </w:rPr>
        <w:t xml:space="preserve">SAF support and ETS revenues, </w:t>
      </w:r>
      <w:r w:rsidRPr="00244D65">
        <w:rPr>
          <w:noProof/>
        </w:rPr>
        <w:t xml:space="preserve">PO2 sets aside </w:t>
      </w:r>
      <w:r w:rsidR="000E3B16" w:rsidRPr="00244D65">
        <w:rPr>
          <w:noProof/>
        </w:rPr>
        <w:t>140</w:t>
      </w:r>
      <w:r w:rsidR="000C653C" w:rsidRPr="00244D65">
        <w:rPr>
          <w:noProof/>
        </w:rPr>
        <w:t xml:space="preserve"> </w:t>
      </w:r>
      <w:r w:rsidRPr="00244D65">
        <w:rPr>
          <w:noProof/>
        </w:rPr>
        <w:t>million allowances for SAF support, whereas PO3 sets aside</w:t>
      </w:r>
      <w:r w:rsidR="000C653C" w:rsidRPr="00244D65">
        <w:rPr>
          <w:noProof/>
        </w:rPr>
        <w:t xml:space="preserve"> </w:t>
      </w:r>
      <w:r w:rsidR="00354E5D" w:rsidRPr="00244D65">
        <w:rPr>
          <w:noProof/>
        </w:rPr>
        <w:t>280 million</w:t>
      </w:r>
      <w:r w:rsidRPr="00244D65">
        <w:rPr>
          <w:noProof/>
        </w:rPr>
        <w:t xml:space="preserve">. The allowances set aside lower the volume of allowances auctioned and </w:t>
      </w:r>
      <w:r w:rsidR="7D8EF114" w:rsidRPr="00244D65">
        <w:rPr>
          <w:noProof/>
        </w:rPr>
        <w:t>thus</w:t>
      </w:r>
      <w:r w:rsidRPr="00244D65">
        <w:rPr>
          <w:noProof/>
        </w:rPr>
        <w:t xml:space="preserve"> decrease the ETS revenues available to Member States </w:t>
      </w:r>
      <w:r w:rsidR="007503D3" w:rsidRPr="00244D65">
        <w:rPr>
          <w:noProof/>
        </w:rPr>
        <w:t xml:space="preserve">for other </w:t>
      </w:r>
      <w:r w:rsidR="00695B42" w:rsidRPr="00244D65">
        <w:rPr>
          <w:noProof/>
        </w:rPr>
        <w:t>climate mitigation purposes</w:t>
      </w:r>
      <w:r w:rsidR="007503D3" w:rsidRPr="00244D65">
        <w:rPr>
          <w:noProof/>
        </w:rPr>
        <w:t xml:space="preserve"> </w:t>
      </w:r>
      <w:r w:rsidRPr="00244D65">
        <w:rPr>
          <w:noProof/>
        </w:rPr>
        <w:t xml:space="preserve">and the Innovation Fund. </w:t>
      </w:r>
      <w:r w:rsidR="00A90939" w:rsidRPr="00244D65">
        <w:rPr>
          <w:noProof/>
        </w:rPr>
        <w:t xml:space="preserve">In 2035, </w:t>
      </w:r>
      <w:r w:rsidR="00F77105" w:rsidRPr="00244D65">
        <w:rPr>
          <w:noProof/>
        </w:rPr>
        <w:t xml:space="preserve">the medium amount of SAF support in PO2 </w:t>
      </w:r>
      <w:r w:rsidR="00207331" w:rsidRPr="00244D65">
        <w:rPr>
          <w:noProof/>
        </w:rPr>
        <w:t>is projected to be used up</w:t>
      </w:r>
      <w:r w:rsidR="00A14B0F" w:rsidRPr="00244D65">
        <w:rPr>
          <w:noProof/>
        </w:rPr>
        <w:t xml:space="preserve">, </w:t>
      </w:r>
      <w:r w:rsidR="00A37274" w:rsidRPr="00244D65">
        <w:rPr>
          <w:noProof/>
        </w:rPr>
        <w:t xml:space="preserve">while there is still support in </w:t>
      </w:r>
      <w:r w:rsidR="0346D023" w:rsidRPr="00244D65">
        <w:rPr>
          <w:noProof/>
        </w:rPr>
        <w:t xml:space="preserve">PO3. </w:t>
      </w:r>
      <w:r w:rsidR="00C62B94" w:rsidRPr="00244D65">
        <w:rPr>
          <w:noProof/>
        </w:rPr>
        <w:t xml:space="preserve">See </w:t>
      </w:r>
      <w:r w:rsidR="004632D6" w:rsidRPr="00244D65">
        <w:rPr>
          <w:noProof/>
        </w:rPr>
        <w:t>S</w:t>
      </w:r>
      <w:r w:rsidR="00C62B94" w:rsidRPr="00244D65">
        <w:rPr>
          <w:noProof/>
        </w:rPr>
        <w:t xml:space="preserve">ection 8 </w:t>
      </w:r>
      <w:r w:rsidRPr="00244D65">
        <w:rPr>
          <w:noProof/>
        </w:rPr>
        <w:t>in Annex</w:t>
      </w:r>
      <w:r w:rsidR="006B52AD" w:rsidRPr="00244D65">
        <w:rPr>
          <w:noProof/>
        </w:rPr>
        <w:t xml:space="preserve"> 10</w:t>
      </w:r>
      <w:r w:rsidR="00C62B94" w:rsidRPr="00244D65">
        <w:rPr>
          <w:noProof/>
        </w:rPr>
        <w:t xml:space="preserve"> for</w:t>
      </w:r>
      <w:r w:rsidR="00C4595C" w:rsidRPr="00244D65">
        <w:rPr>
          <w:noProof/>
        </w:rPr>
        <w:t xml:space="preserve"> analysis on the</w:t>
      </w:r>
      <w:r w:rsidR="00C62B94" w:rsidRPr="00244D65">
        <w:rPr>
          <w:noProof/>
        </w:rPr>
        <w:t xml:space="preserve"> </w:t>
      </w:r>
      <w:r w:rsidR="00C4595C" w:rsidRPr="00244D65">
        <w:rPr>
          <w:noProof/>
        </w:rPr>
        <w:t>SAF support mechanism.</w:t>
      </w:r>
    </w:p>
    <w:p w14:paraId="4079C935" w14:textId="6B9F2720" w:rsidR="008C1B98" w:rsidRPr="00244D65" w:rsidRDefault="00E71D57" w:rsidP="0085595C">
      <w:pPr>
        <w:rPr>
          <w:noProof/>
        </w:rPr>
      </w:pPr>
      <w:r w:rsidRPr="00244D65">
        <w:rPr>
          <w:noProof/>
        </w:rPr>
        <w:t xml:space="preserve">As a complement to the ETS price signal, ETS auctioning revenues are used to support the transition towards climate neutrality. </w:t>
      </w:r>
      <w:r w:rsidRPr="00244D65">
        <w:rPr>
          <w:b/>
          <w:bCs/>
          <w:noProof/>
        </w:rPr>
        <w:t xml:space="preserve">The highest revenues come from PO2, where ETS coverage is widest and a medium </w:t>
      </w:r>
      <w:bookmarkStart w:id="236" w:name="_Int_33Wx4pCB"/>
      <w:r w:rsidRPr="00244D65">
        <w:rPr>
          <w:b/>
          <w:bCs/>
          <w:noProof/>
        </w:rPr>
        <w:t>amount</w:t>
      </w:r>
      <w:bookmarkEnd w:id="236"/>
      <w:r w:rsidRPr="00244D65">
        <w:rPr>
          <w:b/>
          <w:bCs/>
          <w:noProof/>
        </w:rPr>
        <w:t xml:space="preserve"> of allowances is set aside for direct SAF uptake support</w:t>
      </w:r>
      <w:r w:rsidRPr="00244D65">
        <w:rPr>
          <w:noProof/>
        </w:rPr>
        <w:t xml:space="preserve">. </w:t>
      </w:r>
      <w:r w:rsidR="001748CD" w:rsidRPr="00244D65">
        <w:rPr>
          <w:noProof/>
        </w:rPr>
        <w:t>See Annex 10</w:t>
      </w:r>
      <w:r w:rsidR="00FC3AA5" w:rsidRPr="00244D65">
        <w:rPr>
          <w:noProof/>
        </w:rPr>
        <w:t xml:space="preserve">, </w:t>
      </w:r>
      <w:r>
        <w:rPr>
          <w:noProof/>
        </w:rPr>
        <w:t>Table</w:t>
      </w:r>
      <w:r w:rsidR="00FC3AA5" w:rsidRPr="00244D65">
        <w:rPr>
          <w:noProof/>
        </w:rPr>
        <w:t xml:space="preserve"> 10</w:t>
      </w:r>
      <w:r w:rsidR="001748CD" w:rsidRPr="00244D65">
        <w:rPr>
          <w:noProof/>
        </w:rPr>
        <w:t xml:space="preserve"> for </w:t>
      </w:r>
      <w:r w:rsidR="00D11A8D" w:rsidRPr="00244D65">
        <w:rPr>
          <w:noProof/>
        </w:rPr>
        <w:t xml:space="preserve">more </w:t>
      </w:r>
      <w:r w:rsidR="001748CD" w:rsidRPr="00244D65">
        <w:rPr>
          <w:noProof/>
        </w:rPr>
        <w:t>detail.</w:t>
      </w:r>
    </w:p>
    <w:p w14:paraId="75C2CE18" w14:textId="445E7E74" w:rsidR="00F77B0A" w:rsidRPr="00244D65" w:rsidRDefault="005D6418" w:rsidP="0085595C">
      <w:pPr>
        <w:pStyle w:val="Heading4"/>
        <w:rPr>
          <w:noProof/>
        </w:rPr>
      </w:pPr>
      <w:r w:rsidRPr="00244D65">
        <w:rPr>
          <w:noProof/>
        </w:rPr>
        <w:t xml:space="preserve"> Maritime </w:t>
      </w:r>
    </w:p>
    <w:p w14:paraId="73F312E4" w14:textId="63D95ADB" w:rsidR="00AC0CAF" w:rsidRPr="00244D65" w:rsidRDefault="00AC0CAF" w:rsidP="0085595C">
      <w:pPr>
        <w:rPr>
          <w:rStyle w:val="eop"/>
          <w:noProof/>
        </w:rPr>
      </w:pPr>
      <w:r w:rsidRPr="00244D65">
        <w:rPr>
          <w:rStyle w:val="normaltextrun"/>
          <w:noProof/>
        </w:rPr>
        <w:t xml:space="preserve">In the policy scenario PO1, the </w:t>
      </w:r>
      <w:r w:rsidRPr="00244D65">
        <w:rPr>
          <w:rStyle w:val="normaltextrun"/>
          <w:b/>
          <w:bCs/>
          <w:noProof/>
        </w:rPr>
        <w:t xml:space="preserve">uptake of renewable fuels </w:t>
      </w:r>
      <w:r w:rsidRPr="00244D65">
        <w:rPr>
          <w:rStyle w:val="normaltextrun"/>
          <w:noProof/>
        </w:rPr>
        <w:t xml:space="preserve">would still be limited in 2030, but increase significantly in the period 2040 and 2050, reaching 87% of total energy demand in 2050. The fuel mix in 2050 is dominated by biofuels (58%), renewable fuels of non-biological origin (RFNBOs) (27%), electricity (2%) and a residual use of fossil fuels (13%). </w:t>
      </w:r>
      <w:r w:rsidRPr="00244D65">
        <w:rPr>
          <w:rStyle w:val="eop"/>
          <w:noProof/>
        </w:rPr>
        <w:t xml:space="preserve">In policy options PO2 and PO3, the uptake of renewable fuels slightly increases by around 2-3 percentage points in 2040 and 5-6 percentage points in 2050. This is </w:t>
      </w:r>
      <w:bookmarkStart w:id="237" w:name="_Int_sjUYDIO8"/>
      <w:r w:rsidR="00806B1C" w:rsidRPr="00244D65">
        <w:rPr>
          <w:rStyle w:val="eop"/>
          <w:noProof/>
        </w:rPr>
        <w:t>mainly</w:t>
      </w:r>
      <w:r w:rsidRPr="00244D65">
        <w:rPr>
          <w:rStyle w:val="eop"/>
          <w:noProof/>
        </w:rPr>
        <w:t xml:space="preserve"> due</w:t>
      </w:r>
      <w:bookmarkEnd w:id="237"/>
      <w:r w:rsidRPr="00244D65">
        <w:rPr>
          <w:rStyle w:val="eop"/>
          <w:noProof/>
        </w:rPr>
        <w:t xml:space="preserve"> to the expansion of EU ETS to smaller vessels and the further uptake of renewable fuels in this segment. The allowances set aside for the SMAP mechanism would </w:t>
      </w:r>
      <w:r w:rsidR="00806B1C" w:rsidRPr="00244D65">
        <w:rPr>
          <w:rStyle w:val="eop"/>
          <w:noProof/>
        </w:rPr>
        <w:t xml:space="preserve">also contribute to such </w:t>
      </w:r>
      <w:r w:rsidR="006E794A" w:rsidRPr="00244D65">
        <w:rPr>
          <w:rStyle w:val="eop"/>
          <w:noProof/>
        </w:rPr>
        <w:t xml:space="preserve">an uptake, although they also </w:t>
      </w:r>
      <w:r w:rsidRPr="00244D65">
        <w:rPr>
          <w:rStyle w:val="eop"/>
          <w:noProof/>
        </w:rPr>
        <w:t>decrease the ETS revenues available to Member States for other sectoral uses.</w:t>
      </w:r>
    </w:p>
    <w:p w14:paraId="75DBF052" w14:textId="5375B4F9" w:rsidR="00AF1B21" w:rsidRPr="00244D65" w:rsidRDefault="2437BF49" w:rsidP="0085595C">
      <w:pPr>
        <w:rPr>
          <w:rStyle w:val="normaltextrun"/>
          <w:noProof/>
        </w:rPr>
      </w:pPr>
      <w:r w:rsidRPr="00244D65">
        <w:rPr>
          <w:rStyle w:val="normaltextrun"/>
          <w:noProof/>
        </w:rPr>
        <w:t xml:space="preserve">In relation to </w:t>
      </w:r>
      <w:r w:rsidRPr="00244D65">
        <w:rPr>
          <w:rStyle w:val="normaltextrun"/>
          <w:b/>
          <w:bCs/>
          <w:noProof/>
        </w:rPr>
        <w:t>competitiveness impacts</w:t>
      </w:r>
      <w:r w:rsidRPr="00244D65">
        <w:rPr>
          <w:rStyle w:val="normaltextrun"/>
          <w:noProof/>
        </w:rPr>
        <w:t>, the lowering of the container transhipment incidence threshold from 65 % to 50% should lead to the identification of additional “neighbouring container transhipment ports” under the ETS Directive. In the short-term, it would concern</w:t>
      </w:r>
      <w:r w:rsidR="00A21275" w:rsidRPr="00244D65">
        <w:rPr>
          <w:rStyle w:val="normaltextrun"/>
          <w:noProof/>
        </w:rPr>
        <w:t>, based on current data at the time of preparing this impact assessment,</w:t>
      </w:r>
      <w:r w:rsidRPr="00244D65">
        <w:rPr>
          <w:rStyle w:val="normaltextrun"/>
          <w:noProof/>
        </w:rPr>
        <w:t xml:space="preserve"> the ports of Abu Qir and Damietta in Egypt and the port of Tekirdağ in Türkiye, which represent a yearly transhipment volume of more than 2 million TEU. If these three additional ports were included, the anti-evasion measure would apply to more than 80% of the transhipment activities taking place in non-EU Mediterranean countries. </w:t>
      </w:r>
    </w:p>
    <w:p w14:paraId="790C37BB" w14:textId="5BEB6EE7" w:rsidR="00A83B55" w:rsidRPr="00244D65" w:rsidDel="00BD4F5E" w:rsidRDefault="00023BD0" w:rsidP="0085595C">
      <w:pPr>
        <w:rPr>
          <w:noProof/>
        </w:rPr>
      </w:pPr>
      <w:r w:rsidRPr="00244D65">
        <w:rPr>
          <w:rStyle w:val="normaltextrun"/>
          <w:noProof/>
        </w:rPr>
        <w:t>T</w:t>
      </w:r>
      <w:r w:rsidR="00A83B55" w:rsidRPr="00244D65">
        <w:rPr>
          <w:rStyle w:val="normaltextrun"/>
          <w:noProof/>
        </w:rPr>
        <w:t xml:space="preserve">his </w:t>
      </w:r>
      <w:r w:rsidR="00AF1B21" w:rsidRPr="00244D65">
        <w:rPr>
          <w:rStyle w:val="normaltextrun"/>
          <w:noProof/>
        </w:rPr>
        <w:t>measure</w:t>
      </w:r>
      <w:r w:rsidR="00A83B55" w:rsidRPr="00244D65">
        <w:rPr>
          <w:rStyle w:val="normaltextrun"/>
          <w:noProof/>
        </w:rPr>
        <w:t xml:space="preserve"> could also help better address the risk of evasion linked to future transhipment hubs, such as the port of Cherchell in Algeria, the Port of Dakhla or Nador West Med in Morocco. In general, this measure should contribute to protect the competitiveness of EU ports and help avoid the negative impacts that may occur if relocation of container transhipment activities is taking place. </w:t>
      </w:r>
    </w:p>
    <w:p w14:paraId="3B7DD32D" w14:textId="188116DF" w:rsidR="00A83B55" w:rsidRPr="00244D65" w:rsidRDefault="0C2DD6A9" w:rsidP="0085595C">
      <w:pPr>
        <w:rPr>
          <w:rStyle w:val="normaltextrun"/>
          <w:noProof/>
        </w:rPr>
      </w:pPr>
      <w:r w:rsidRPr="00244D65">
        <w:rPr>
          <w:rStyle w:val="normaltextrun"/>
          <w:noProof/>
        </w:rPr>
        <w:t>Amendments to relevant EU MRV and ETS elements to address the specific nature of offshore activities</w:t>
      </w:r>
      <w:r w:rsidR="00A83B55" w:rsidRPr="00244D65">
        <w:rPr>
          <w:rStyle w:val="normaltextrun"/>
          <w:noProof/>
        </w:rPr>
        <w:t xml:space="preserve"> would ensure that all ships involved in offshore activities within EU Member States</w:t>
      </w:r>
      <w:r w:rsidR="137E2569" w:rsidRPr="00244D65">
        <w:rPr>
          <w:rStyle w:val="normaltextrun"/>
          <w:noProof/>
        </w:rPr>
        <w:t>’</w:t>
      </w:r>
      <w:r w:rsidR="00A83B55" w:rsidRPr="00244D65">
        <w:rPr>
          <w:rStyle w:val="normaltextrun"/>
          <w:noProof/>
        </w:rPr>
        <w:t xml:space="preserve"> </w:t>
      </w:r>
      <w:r w:rsidR="00602488" w:rsidRPr="00244D65">
        <w:rPr>
          <w:rStyle w:val="normaltextrun"/>
          <w:noProof/>
        </w:rPr>
        <w:t xml:space="preserve">territorial waters or Exclusive Economic Zones </w:t>
      </w:r>
      <w:r w:rsidR="00A83B55" w:rsidRPr="00244D65">
        <w:rPr>
          <w:rStyle w:val="normaltextrun"/>
          <w:noProof/>
        </w:rPr>
        <w:t>are subject to emissions regulation, regardless of their flag or port of origin. Consequently, it would promote a fairer and more level playing field for EU offshore shipping companies. However, it could slightly increase the administrative burden for both shipowners and regulators, due to the need for more detailed reporting and verification. </w:t>
      </w:r>
    </w:p>
    <w:p w14:paraId="03838C02" w14:textId="40DB209E" w:rsidR="00864D85" w:rsidRPr="00244D65" w:rsidRDefault="00864D85" w:rsidP="0085595C">
      <w:pPr>
        <w:rPr>
          <w:rFonts w:ascii="Segoe UI" w:hAnsi="Segoe UI" w:cs="Segoe UI"/>
          <w:noProof/>
          <w:sz w:val="18"/>
          <w:szCs w:val="18"/>
        </w:rPr>
      </w:pPr>
      <w:r w:rsidRPr="00244D65">
        <w:rPr>
          <w:rStyle w:val="normaltextrun"/>
          <w:noProof/>
        </w:rPr>
        <w:t xml:space="preserve">Additional compliance costs for smaller vessels are expected to be passed on to shippers and voyagers, which may have indirect impacts on </w:t>
      </w:r>
      <w:r w:rsidRPr="00244D65">
        <w:rPr>
          <w:rStyle w:val="normaltextrun"/>
          <w:b/>
          <w:bCs/>
          <w:noProof/>
        </w:rPr>
        <w:t>trade patterns and macroeconomic indicators</w:t>
      </w:r>
      <w:r w:rsidRPr="00244D65">
        <w:rPr>
          <w:rStyle w:val="normaltextrun"/>
          <w:noProof/>
        </w:rPr>
        <w:t>. Modelling of impacts of maritime policy options in GEM-E3 found that, for EU27 countries, GDP would drop by 0.00</w:t>
      </w:r>
      <w:r w:rsidR="000F65B0" w:rsidRPr="00244D65">
        <w:rPr>
          <w:rStyle w:val="normaltextrun"/>
          <w:noProof/>
        </w:rPr>
        <w:t>1</w:t>
      </w:r>
      <w:r w:rsidRPr="00244D65">
        <w:rPr>
          <w:rStyle w:val="normaltextrun"/>
          <w:noProof/>
        </w:rPr>
        <w:t xml:space="preserve">% in 2040 under </w:t>
      </w:r>
      <w:r w:rsidR="004D5D71" w:rsidRPr="00244D65">
        <w:rPr>
          <w:rStyle w:val="normaltextrun"/>
          <w:noProof/>
        </w:rPr>
        <w:t>both</w:t>
      </w:r>
      <w:r w:rsidRPr="00244D65">
        <w:rPr>
          <w:rStyle w:val="normaltextrun"/>
          <w:noProof/>
        </w:rPr>
        <w:t xml:space="preserve"> PO2</w:t>
      </w:r>
      <w:r w:rsidR="004D5D71" w:rsidRPr="00244D65">
        <w:rPr>
          <w:rStyle w:val="normaltextrun"/>
          <w:noProof/>
        </w:rPr>
        <w:t xml:space="preserve"> and PO3</w:t>
      </w:r>
      <w:r w:rsidRPr="00244D65">
        <w:rPr>
          <w:rStyle w:val="normaltextrun"/>
          <w:noProof/>
        </w:rPr>
        <w:t>, which means that macroeconomic impacts are expected to be marginal on average. These effects are expected to be slightly more significant in FI, EL, SE, DK, due to higher dependency on transport provided by smaller vessels. Impacts on third countries are expected to be negligible, on average, with a drop in GDP estimated at 0.0003% in 2040.</w:t>
      </w:r>
      <w:r w:rsidR="000C653C" w:rsidRPr="00244D65">
        <w:rPr>
          <w:rStyle w:val="normaltextrun"/>
          <w:noProof/>
        </w:rPr>
        <w:t xml:space="preserve"> </w:t>
      </w:r>
    </w:p>
    <w:p w14:paraId="4D696A0D" w14:textId="258987DA" w:rsidR="00F77B0A" w:rsidRPr="00244D65" w:rsidRDefault="55558E38" w:rsidP="0085595C">
      <w:pPr>
        <w:pStyle w:val="Heading4"/>
        <w:rPr>
          <w:noProof/>
        </w:rPr>
      </w:pPr>
      <w:r w:rsidRPr="00244D65">
        <w:rPr>
          <w:noProof/>
        </w:rPr>
        <w:t xml:space="preserve"> </w:t>
      </w:r>
      <w:r w:rsidR="00CB332F" w:rsidRPr="00244D65">
        <w:rPr>
          <w:noProof/>
        </w:rPr>
        <w:t>Carbon leakage prevention</w:t>
      </w:r>
    </w:p>
    <w:p w14:paraId="5510C559" w14:textId="1588CD61" w:rsidR="004F73B1" w:rsidRPr="00244D65" w:rsidRDefault="004F73B1" w:rsidP="0085595C">
      <w:pPr>
        <w:rPr>
          <w:noProof/>
          <w:sz w:val="20"/>
          <w:szCs w:val="20"/>
          <w:lang w:eastAsia="en-GB"/>
        </w:rPr>
      </w:pPr>
      <w:r w:rsidRPr="00244D65">
        <w:rPr>
          <w:noProof/>
          <w:lang w:eastAsia="en-GB"/>
        </w:rPr>
        <w:t xml:space="preserve">GEM-E3 model results provide insights into how alternative ETS design choices translate into heterogenous sectoral and macroeconomic impacts, relative to the </w:t>
      </w:r>
      <w:r w:rsidR="005E447A" w:rsidRPr="00244D65">
        <w:rPr>
          <w:noProof/>
          <w:lang w:eastAsia="en-GB"/>
        </w:rPr>
        <w:t>baseline</w:t>
      </w:r>
      <w:r w:rsidRPr="00244D65">
        <w:rPr>
          <w:noProof/>
          <w:lang w:eastAsia="en-GB"/>
        </w:rPr>
        <w:t xml:space="preserve"> scenario by taking into consideration key drivers within scenario assumptions such as the different free allocation distributions across industry, as well as the different ETS coverage and cap stringency and alternative revenue recycling.</w:t>
      </w:r>
      <w:r w:rsidR="002C3B55" w:rsidRPr="00244D65">
        <w:rPr>
          <w:noProof/>
          <w:lang w:eastAsia="en-GB"/>
        </w:rPr>
        <w:t xml:space="preserve"> The policy scenarios assessed by the GEM-E3 model are described in </w:t>
      </w:r>
      <w:r w:rsidR="004632D6" w:rsidRPr="00244D65">
        <w:rPr>
          <w:noProof/>
          <w:lang w:eastAsia="en-GB"/>
        </w:rPr>
        <w:t>S</w:t>
      </w:r>
      <w:r w:rsidR="002C3B55" w:rsidRPr="00244D65">
        <w:rPr>
          <w:noProof/>
          <w:lang w:eastAsia="en-GB"/>
        </w:rPr>
        <w:t xml:space="preserve">ection </w:t>
      </w:r>
      <w:r w:rsidR="00D73ABE" w:rsidRPr="00244D65">
        <w:rPr>
          <w:noProof/>
          <w:lang w:eastAsia="en-GB"/>
        </w:rPr>
        <w:t xml:space="preserve">6.1.1.7 and in Annex 12, </w:t>
      </w:r>
      <w:r w:rsidR="004632D6" w:rsidRPr="00244D65">
        <w:rPr>
          <w:noProof/>
          <w:lang w:eastAsia="en-GB"/>
        </w:rPr>
        <w:t>S</w:t>
      </w:r>
      <w:r w:rsidR="00D73ABE" w:rsidRPr="00244D65">
        <w:rPr>
          <w:noProof/>
          <w:lang w:eastAsia="en-GB"/>
        </w:rPr>
        <w:t>ection 1.4.1.</w:t>
      </w:r>
    </w:p>
    <w:p w14:paraId="7F6FDBC4" w14:textId="5F27DCB2" w:rsidR="004F73B1" w:rsidRPr="00244D65" w:rsidRDefault="004F73B1" w:rsidP="0085595C">
      <w:pPr>
        <w:rPr>
          <w:rFonts w:eastAsia="Arial" w:cs="Arial"/>
          <w:noProof/>
          <w:lang w:eastAsia="en-GB"/>
        </w:rPr>
      </w:pPr>
      <w:r w:rsidRPr="00244D65">
        <w:rPr>
          <w:rFonts w:eastAsia="Arial" w:cs="Arial"/>
          <w:noProof/>
          <w:lang w:eastAsia="en-GB"/>
        </w:rPr>
        <w:t xml:space="preserve">Changes in the unit cost of production are driven by specific scenario assumptions namely: (i) different shares of free allocation, with highest shares in </w:t>
      </w:r>
      <w:r w:rsidR="00D73ABE" w:rsidRPr="00244D65">
        <w:rPr>
          <w:rFonts w:eastAsia="Arial" w:cs="Arial"/>
          <w:noProof/>
          <w:lang w:eastAsia="en-GB"/>
        </w:rPr>
        <w:t>PO</w:t>
      </w:r>
      <w:r w:rsidRPr="00244D65">
        <w:rPr>
          <w:rFonts w:eastAsia="Arial" w:cs="Arial"/>
          <w:noProof/>
          <w:lang w:eastAsia="en-GB"/>
        </w:rPr>
        <w:t xml:space="preserve">2_90, (ii) changes in carbon prices, notably in </w:t>
      </w:r>
      <w:r w:rsidR="00D73ABE" w:rsidRPr="00244D65">
        <w:rPr>
          <w:rFonts w:eastAsia="Arial" w:cs="Arial"/>
          <w:noProof/>
          <w:lang w:eastAsia="en-GB"/>
        </w:rPr>
        <w:t>PO</w:t>
      </w:r>
      <w:r w:rsidRPr="00244D65">
        <w:rPr>
          <w:rFonts w:eastAsia="Arial" w:cs="Arial"/>
          <w:noProof/>
          <w:lang w:eastAsia="en-GB"/>
        </w:rPr>
        <w:t xml:space="preserve">2 and </w:t>
      </w:r>
      <w:r w:rsidR="00D73ABE" w:rsidRPr="00244D65">
        <w:rPr>
          <w:rFonts w:eastAsia="Arial" w:cs="Arial"/>
          <w:noProof/>
          <w:lang w:eastAsia="en-GB"/>
        </w:rPr>
        <w:t>PO</w:t>
      </w:r>
      <w:r w:rsidRPr="00244D65">
        <w:rPr>
          <w:rFonts w:eastAsia="Arial" w:cs="Arial"/>
          <w:noProof/>
          <w:lang w:eastAsia="en-GB"/>
        </w:rPr>
        <w:t xml:space="preserve">3 where carbon prices are lower than the reference case due to the expansion of </w:t>
      </w:r>
      <w:r w:rsidR="00F909E3" w:rsidRPr="00244D65">
        <w:rPr>
          <w:rFonts w:eastAsia="Arial" w:cs="Arial"/>
          <w:noProof/>
          <w:lang w:eastAsia="en-GB"/>
        </w:rPr>
        <w:t>EU ETS</w:t>
      </w:r>
      <w:r w:rsidRPr="00244D65">
        <w:rPr>
          <w:rFonts w:eastAsia="Arial" w:cs="Arial"/>
          <w:noProof/>
          <w:lang w:eastAsia="en-GB"/>
        </w:rPr>
        <w:t xml:space="preserve"> coverage to waste emissions, (iii) other scenario implications of waste inclusion in </w:t>
      </w:r>
      <w:r w:rsidR="00F909E3" w:rsidRPr="00244D65">
        <w:rPr>
          <w:rFonts w:eastAsia="Arial" w:cs="Arial"/>
          <w:noProof/>
          <w:lang w:eastAsia="en-GB"/>
        </w:rPr>
        <w:t>EU ETS</w:t>
      </w:r>
      <w:r w:rsidRPr="00244D65">
        <w:rPr>
          <w:rFonts w:eastAsia="Arial" w:cs="Arial"/>
          <w:noProof/>
          <w:lang w:eastAsia="en-GB"/>
        </w:rPr>
        <w:t xml:space="preserve">, such as the </w:t>
      </w:r>
      <w:r w:rsidRPr="00244D65">
        <w:rPr>
          <w:rStyle w:val="normaltextrun"/>
          <w:noProof/>
        </w:rPr>
        <w:t>increase</w:t>
      </w:r>
      <w:r w:rsidRPr="00244D65">
        <w:rPr>
          <w:rFonts w:eastAsia="Arial" w:cs="Arial"/>
          <w:noProof/>
          <w:lang w:eastAsia="en-GB"/>
        </w:rPr>
        <w:t xml:space="preserve"> in the price of electricity and (iv) the impact arising from revenue recycling. The dominant driver of the sectoral effects varies between these four mechanisms across sectors. </w:t>
      </w:r>
    </w:p>
    <w:p w14:paraId="3B6AFD21" w14:textId="3A50CEAA" w:rsidR="00324145" w:rsidRPr="00244D65" w:rsidRDefault="004F73B1" w:rsidP="0085595C">
      <w:pPr>
        <w:rPr>
          <w:rFonts w:eastAsia="Arial" w:cs="Arial"/>
          <w:noProof/>
          <w:lang w:eastAsia="en-GB"/>
        </w:rPr>
      </w:pPr>
      <w:r w:rsidRPr="00244D65">
        <w:rPr>
          <w:rFonts w:eastAsia="Arial" w:cs="Arial"/>
          <w:noProof/>
          <w:lang w:eastAsia="en-GB"/>
        </w:rPr>
        <w:t xml:space="preserve">Among the policy measures, </w:t>
      </w:r>
      <w:r w:rsidR="00D73ABE" w:rsidRPr="00244D65">
        <w:rPr>
          <w:rFonts w:eastAsia="Arial" w:cs="Arial"/>
          <w:noProof/>
          <w:lang w:eastAsia="en-GB"/>
        </w:rPr>
        <w:t>PO</w:t>
      </w:r>
      <w:r w:rsidRPr="00244D65">
        <w:rPr>
          <w:rFonts w:eastAsia="Arial" w:cs="Arial"/>
          <w:noProof/>
          <w:lang w:eastAsia="en-GB"/>
        </w:rPr>
        <w:t xml:space="preserve">3 shows the </w:t>
      </w:r>
      <w:r w:rsidR="00D73ABE" w:rsidRPr="00244D65">
        <w:rPr>
          <w:rFonts w:eastAsia="Arial" w:cs="Arial"/>
          <w:noProof/>
          <w:lang w:eastAsia="en-GB"/>
        </w:rPr>
        <w:t xml:space="preserve">highest </w:t>
      </w:r>
      <w:r w:rsidR="00D73ABE" w:rsidRPr="00244D65">
        <w:rPr>
          <w:rStyle w:val="normaltextrun"/>
          <w:noProof/>
        </w:rPr>
        <w:t>reduction</w:t>
      </w:r>
      <w:r w:rsidRPr="00244D65">
        <w:rPr>
          <w:rFonts w:eastAsia="Arial" w:cs="Arial"/>
          <w:noProof/>
          <w:lang w:eastAsia="en-GB"/>
        </w:rPr>
        <w:t xml:space="preserve"> in production costs relative to the </w:t>
      </w:r>
      <w:r w:rsidR="005E447A" w:rsidRPr="00244D65">
        <w:rPr>
          <w:rFonts w:eastAsia="Arial" w:cs="Arial"/>
          <w:noProof/>
          <w:lang w:eastAsia="en-GB"/>
        </w:rPr>
        <w:t>baseline</w:t>
      </w:r>
      <w:r w:rsidRPr="00244D65">
        <w:rPr>
          <w:rFonts w:eastAsia="Arial" w:cs="Arial"/>
          <w:noProof/>
          <w:lang w:eastAsia="en-GB"/>
        </w:rPr>
        <w:t xml:space="preserve">, despite the full phase-out of free allowances after 2034. This improvement in competitiveness is driven by the inclusion of waste emissions in </w:t>
      </w:r>
      <w:r w:rsidR="00F909E3" w:rsidRPr="00244D65">
        <w:rPr>
          <w:rFonts w:eastAsia="Arial" w:cs="Arial"/>
          <w:noProof/>
          <w:lang w:eastAsia="en-GB"/>
        </w:rPr>
        <w:t>EU ETS</w:t>
      </w:r>
      <w:r w:rsidRPr="00244D65">
        <w:rPr>
          <w:rFonts w:eastAsia="Arial" w:cs="Arial"/>
          <w:noProof/>
          <w:lang w:eastAsia="en-GB"/>
        </w:rPr>
        <w:t>, which leads on to a decline in the carbon price. By contrast, policy options with alternative revenue recycling (</w:t>
      </w:r>
      <w:r w:rsidR="00D73ABE" w:rsidRPr="00244D65">
        <w:rPr>
          <w:rFonts w:eastAsia="Arial" w:cs="Arial"/>
          <w:noProof/>
          <w:lang w:eastAsia="en-GB"/>
        </w:rPr>
        <w:t>PO</w:t>
      </w:r>
      <w:r w:rsidRPr="00244D65">
        <w:rPr>
          <w:rFonts w:eastAsia="Arial" w:cs="Arial"/>
          <w:noProof/>
          <w:lang w:eastAsia="en-GB"/>
        </w:rPr>
        <w:t xml:space="preserve">3R and </w:t>
      </w:r>
      <w:r w:rsidR="00D73ABE" w:rsidRPr="00244D65">
        <w:rPr>
          <w:rFonts w:eastAsia="Arial" w:cs="Arial"/>
          <w:noProof/>
          <w:lang w:eastAsia="en-GB"/>
        </w:rPr>
        <w:t>PO</w:t>
      </w:r>
      <w:r w:rsidRPr="00244D65">
        <w:rPr>
          <w:rFonts w:eastAsia="Arial" w:cs="Arial"/>
          <w:noProof/>
          <w:lang w:eastAsia="en-GB"/>
        </w:rPr>
        <w:t>1R) exhibit lower competitiveness, as redirecting revenues away from power-sector investment towards households increases domestic demand, which in turn raises both capital and labour costs.</w:t>
      </w:r>
    </w:p>
    <w:p w14:paraId="1BC0367A" w14:textId="37CE1665" w:rsidR="00324145" w:rsidRPr="00244D65" w:rsidRDefault="008C499B" w:rsidP="0085595C">
      <w:pPr>
        <w:rPr>
          <w:rFonts w:eastAsia="Arial" w:cs="Arial"/>
          <w:noProof/>
          <w:lang w:eastAsia="en-GB"/>
        </w:rPr>
      </w:pPr>
      <w:r w:rsidRPr="00244D65">
        <w:rPr>
          <w:rFonts w:eastAsia="Arial" w:cs="Arial"/>
          <w:noProof/>
          <w:lang w:eastAsia="en-GB"/>
        </w:rPr>
        <w:t xml:space="preserve">Production and exports respond heterogeneously across policy options relative to the </w:t>
      </w:r>
      <w:r w:rsidR="00324145" w:rsidRPr="00244D65">
        <w:rPr>
          <w:rFonts w:eastAsia="Arial" w:cs="Arial"/>
          <w:noProof/>
          <w:lang w:eastAsia="en-GB"/>
        </w:rPr>
        <w:t xml:space="preserve">baseline </w:t>
      </w:r>
      <w:r w:rsidRPr="00244D65">
        <w:rPr>
          <w:rFonts w:eastAsia="Arial" w:cs="Arial"/>
          <w:noProof/>
          <w:lang w:eastAsia="en-GB"/>
        </w:rPr>
        <w:t xml:space="preserve">scenario, reflecting </w:t>
      </w:r>
      <w:r w:rsidRPr="00244D65">
        <w:rPr>
          <w:rStyle w:val="normaltextrun"/>
          <w:noProof/>
        </w:rPr>
        <w:t>differences</w:t>
      </w:r>
      <w:r w:rsidRPr="00244D65">
        <w:rPr>
          <w:rFonts w:eastAsia="Arial" w:cs="Arial"/>
          <w:noProof/>
          <w:lang w:eastAsia="en-GB"/>
        </w:rPr>
        <w:t xml:space="preserve"> in free allocation, sectoral coverage, and revenue recycling. By contrast, policy </w:t>
      </w:r>
      <w:r w:rsidRPr="00244D65">
        <w:rPr>
          <w:rStyle w:val="normaltextrun"/>
          <w:noProof/>
        </w:rPr>
        <w:t>options</w:t>
      </w:r>
      <w:r w:rsidRPr="00244D65">
        <w:rPr>
          <w:rFonts w:eastAsia="Arial" w:cs="Arial"/>
          <w:noProof/>
          <w:lang w:eastAsia="en-GB"/>
        </w:rPr>
        <w:t xml:space="preserve"> with alternative recycling (</w:t>
      </w:r>
      <w:r w:rsidR="00F80DDC" w:rsidRPr="00244D65">
        <w:rPr>
          <w:rFonts w:eastAsia="Arial" w:cs="Arial"/>
          <w:noProof/>
          <w:lang w:eastAsia="en-GB"/>
        </w:rPr>
        <w:t>PO</w:t>
      </w:r>
      <w:r w:rsidRPr="00244D65">
        <w:rPr>
          <w:rFonts w:eastAsia="Arial" w:cs="Arial"/>
          <w:noProof/>
          <w:lang w:eastAsia="en-GB"/>
        </w:rPr>
        <w:t xml:space="preserve">3R and </w:t>
      </w:r>
      <w:r w:rsidR="00F80DDC" w:rsidRPr="00244D65">
        <w:rPr>
          <w:rFonts w:eastAsia="Arial" w:cs="Arial"/>
          <w:noProof/>
          <w:lang w:eastAsia="en-GB"/>
        </w:rPr>
        <w:t>PO</w:t>
      </w:r>
      <w:r w:rsidRPr="00244D65">
        <w:rPr>
          <w:rFonts w:eastAsia="Arial" w:cs="Arial"/>
          <w:noProof/>
          <w:lang w:eastAsia="en-GB"/>
        </w:rPr>
        <w:t>1R) show lower production and export level due to reduced competitiveness.</w:t>
      </w:r>
    </w:p>
    <w:p w14:paraId="0C291603" w14:textId="4915319D" w:rsidR="000714EA" w:rsidRPr="00244D65" w:rsidRDefault="000714EA" w:rsidP="0085595C">
      <w:pPr>
        <w:rPr>
          <w:rFonts w:eastAsia="Arial" w:cs="Arial"/>
          <w:noProof/>
        </w:rPr>
      </w:pPr>
      <w:r w:rsidRPr="00244D65">
        <w:rPr>
          <w:rFonts w:eastAsia="Arial" w:cs="Arial"/>
          <w:noProof/>
        </w:rPr>
        <w:t xml:space="preserve">In all policy options, GDP in 2040 increases relative to the reference scenario, reflecting positive macroeconomic effects driven by higher exports and/or increased private consumption, depending </w:t>
      </w:r>
      <w:r w:rsidRPr="00244D65">
        <w:rPr>
          <w:rStyle w:val="normaltextrun"/>
          <w:noProof/>
        </w:rPr>
        <w:t>on</w:t>
      </w:r>
      <w:r w:rsidRPr="00244D65">
        <w:rPr>
          <w:rFonts w:eastAsia="Arial" w:cs="Arial"/>
          <w:noProof/>
        </w:rPr>
        <w:t xml:space="preserve"> the scenario. The GDP increase ranges from 0.00% under </w:t>
      </w:r>
      <w:r w:rsidR="008C499B" w:rsidRPr="00244D65">
        <w:rPr>
          <w:rFonts w:eastAsia="Arial" w:cs="Arial"/>
          <w:noProof/>
          <w:lang w:eastAsia="en-GB"/>
        </w:rPr>
        <w:t>PO2</w:t>
      </w:r>
      <w:r w:rsidRPr="00244D65">
        <w:rPr>
          <w:rFonts w:eastAsia="Arial" w:cs="Arial"/>
          <w:noProof/>
        </w:rPr>
        <w:t xml:space="preserve">_50 to 0.08% under </w:t>
      </w:r>
      <w:r w:rsidR="008C499B" w:rsidRPr="00244D65">
        <w:rPr>
          <w:rFonts w:eastAsia="Arial" w:cs="Arial"/>
          <w:noProof/>
          <w:lang w:eastAsia="en-GB"/>
        </w:rPr>
        <w:t>PO3R</w:t>
      </w:r>
      <w:r w:rsidRPr="00244D65">
        <w:rPr>
          <w:rFonts w:eastAsia="Arial" w:cs="Arial"/>
          <w:noProof/>
        </w:rPr>
        <w:t xml:space="preserve">, with the latter achieving the highest GDP level due to the combined effect of a lower carbon price and stronger household demand stimulated by </w:t>
      </w:r>
      <w:bookmarkStart w:id="238" w:name="_Int_4qh9Lp1r"/>
      <w:r w:rsidRPr="00244D65">
        <w:rPr>
          <w:rFonts w:eastAsia="Arial" w:cs="Arial"/>
          <w:noProof/>
        </w:rPr>
        <w:t>lump-sum</w:t>
      </w:r>
      <w:bookmarkEnd w:id="238"/>
      <w:r w:rsidRPr="00244D65">
        <w:rPr>
          <w:rFonts w:eastAsia="Arial" w:cs="Arial"/>
          <w:noProof/>
        </w:rPr>
        <w:t xml:space="preserve"> recycling of </w:t>
      </w:r>
      <w:r w:rsidR="00F909E3" w:rsidRPr="00244D65">
        <w:rPr>
          <w:rFonts w:eastAsia="Arial" w:cs="Arial"/>
          <w:noProof/>
        </w:rPr>
        <w:t>EU ETS</w:t>
      </w:r>
      <w:r w:rsidRPr="00244D65">
        <w:rPr>
          <w:rFonts w:eastAsia="Arial" w:cs="Arial"/>
          <w:noProof/>
        </w:rPr>
        <w:t xml:space="preserve"> revenues.</w:t>
      </w:r>
    </w:p>
    <w:p w14:paraId="596FADC2" w14:textId="1B5194EA" w:rsidR="00324145" w:rsidRPr="00244D65" w:rsidRDefault="004F73B1" w:rsidP="0085595C">
      <w:pPr>
        <w:rPr>
          <w:rFonts w:eastAsia="Arial" w:cs="Arial"/>
          <w:noProof/>
        </w:rPr>
      </w:pPr>
      <w:r w:rsidRPr="00244D65">
        <w:rPr>
          <w:rFonts w:eastAsia="Arial" w:cs="Arial"/>
          <w:noProof/>
        </w:rPr>
        <w:t xml:space="preserve">In all scenarios except those with alternative recycling schemes, an improvement in EU27 </w:t>
      </w:r>
      <w:r w:rsidRPr="00244D65">
        <w:rPr>
          <w:rStyle w:val="normaltextrun"/>
          <w:noProof/>
        </w:rPr>
        <w:t>competitiveness</w:t>
      </w:r>
      <w:r w:rsidRPr="00244D65">
        <w:rPr>
          <w:rFonts w:eastAsia="Arial" w:cs="Arial"/>
          <w:noProof/>
        </w:rPr>
        <w:t xml:space="preserve"> is observed, reflected in higher exports. This outcome is driven by a higher allocation of free allowances to </w:t>
      </w:r>
      <w:r w:rsidR="00F909E3" w:rsidRPr="00244D65">
        <w:rPr>
          <w:rFonts w:eastAsia="Arial" w:cs="Arial"/>
          <w:noProof/>
        </w:rPr>
        <w:t>EU ETS</w:t>
      </w:r>
      <w:r w:rsidRPr="00244D65">
        <w:rPr>
          <w:rFonts w:eastAsia="Arial" w:cs="Arial"/>
          <w:noProof/>
        </w:rPr>
        <w:t xml:space="preserve"> sectors (e.g. </w:t>
      </w:r>
      <w:r w:rsidR="008C499B" w:rsidRPr="00244D65">
        <w:rPr>
          <w:rFonts w:eastAsia="Arial" w:cs="Arial"/>
          <w:noProof/>
          <w:lang w:eastAsia="en-GB"/>
        </w:rPr>
        <w:t>PO1</w:t>
      </w:r>
      <w:r w:rsidRPr="00244D65">
        <w:rPr>
          <w:rFonts w:eastAsia="Arial" w:cs="Arial"/>
          <w:noProof/>
        </w:rPr>
        <w:t xml:space="preserve">), and/or lower carbon prices required to meet the </w:t>
      </w:r>
      <w:r w:rsidR="00F909E3" w:rsidRPr="00244D65">
        <w:rPr>
          <w:rFonts w:eastAsia="Arial" w:cs="Arial"/>
          <w:noProof/>
        </w:rPr>
        <w:t>EU ETS</w:t>
      </w:r>
      <w:r w:rsidRPr="00244D65">
        <w:rPr>
          <w:rFonts w:eastAsia="Arial" w:cs="Arial"/>
          <w:noProof/>
        </w:rPr>
        <w:t xml:space="preserve"> cap </w:t>
      </w:r>
      <w:r w:rsidR="00324145" w:rsidRPr="00244D65">
        <w:rPr>
          <w:rFonts w:eastAsia="Arial" w:cs="Arial"/>
          <w:noProof/>
        </w:rPr>
        <w:t>because of</w:t>
      </w:r>
      <w:r w:rsidRPr="00244D65">
        <w:rPr>
          <w:rFonts w:eastAsia="Arial" w:cs="Arial"/>
          <w:noProof/>
        </w:rPr>
        <w:t xml:space="preserve"> including waste emissions in </w:t>
      </w:r>
      <w:r w:rsidR="00F909E3" w:rsidRPr="00244D65">
        <w:rPr>
          <w:rFonts w:eastAsia="Arial" w:cs="Arial"/>
          <w:noProof/>
        </w:rPr>
        <w:t>EU ETS</w:t>
      </w:r>
      <w:r w:rsidRPr="00244D65">
        <w:rPr>
          <w:rFonts w:eastAsia="Arial" w:cs="Arial"/>
          <w:noProof/>
        </w:rPr>
        <w:t xml:space="preserve"> (e.g. </w:t>
      </w:r>
      <w:r w:rsidR="008C499B" w:rsidRPr="00244D65">
        <w:rPr>
          <w:rFonts w:eastAsia="Arial" w:cs="Arial"/>
          <w:noProof/>
          <w:lang w:eastAsia="en-GB"/>
        </w:rPr>
        <w:t>PO3</w:t>
      </w:r>
      <w:r w:rsidRPr="00244D65">
        <w:rPr>
          <w:rFonts w:eastAsia="Arial" w:cs="Arial"/>
          <w:noProof/>
        </w:rPr>
        <w:t xml:space="preserve">). In the recycling scenarios, private consumption is the main driver of GDP growth, reflecting the lump-sum transfer of </w:t>
      </w:r>
      <w:r w:rsidR="00F909E3" w:rsidRPr="00244D65">
        <w:rPr>
          <w:rFonts w:eastAsia="Arial" w:cs="Arial"/>
          <w:noProof/>
        </w:rPr>
        <w:t>EU ETS</w:t>
      </w:r>
      <w:r w:rsidRPr="00244D65">
        <w:rPr>
          <w:rFonts w:eastAsia="Arial" w:cs="Arial"/>
          <w:noProof/>
        </w:rPr>
        <w:t xml:space="preserve"> revenues to households. In these cases, exports decline due to higher labour and capital costs, which arise from increased household demand and upward pressure on factor prices. In </w:t>
      </w:r>
      <w:r w:rsidR="008C499B" w:rsidRPr="00244D65">
        <w:rPr>
          <w:rFonts w:eastAsia="Arial" w:cs="Arial"/>
          <w:noProof/>
          <w:lang w:eastAsia="en-GB"/>
        </w:rPr>
        <w:t>PO2</w:t>
      </w:r>
      <w:r w:rsidRPr="00244D65">
        <w:rPr>
          <w:rFonts w:eastAsia="Arial" w:cs="Arial"/>
          <w:noProof/>
        </w:rPr>
        <w:t xml:space="preserve"> scenarios, private consumption drops marginally as increasing electricity prices stemming from higher waste incineration, put a pressure to the remaining disposable income.</w:t>
      </w:r>
    </w:p>
    <w:p w14:paraId="7D9326BC" w14:textId="3A7ED65D" w:rsidR="00F6591C" w:rsidRPr="00244D65" w:rsidRDefault="00F6591C" w:rsidP="0085595C">
      <w:pPr>
        <w:pStyle w:val="paragraph"/>
        <w:spacing w:before="120" w:beforeAutospacing="0" w:after="120" w:afterAutospacing="0"/>
        <w:jc w:val="both"/>
        <w:rPr>
          <w:rFonts w:eastAsia="Arial"/>
          <w:noProof/>
          <w:lang w:val="en-GB"/>
        </w:rPr>
      </w:pPr>
      <w:r w:rsidRPr="00244D65">
        <w:rPr>
          <w:rFonts w:eastAsia="Arial"/>
          <w:noProof/>
          <w:lang w:val="en-GB"/>
        </w:rPr>
        <w:t xml:space="preserve">Additional details on the competitiveness impacts of carbon leakage measures, including figures and insight for selected sectors can be found in Annex 12, </w:t>
      </w:r>
      <w:r w:rsidR="004632D6" w:rsidRPr="00244D65">
        <w:rPr>
          <w:rFonts w:eastAsia="Arial"/>
          <w:noProof/>
          <w:lang w:val="en-GB"/>
        </w:rPr>
        <w:t>S</w:t>
      </w:r>
      <w:r w:rsidRPr="00244D65">
        <w:rPr>
          <w:rFonts w:eastAsia="Arial"/>
          <w:noProof/>
          <w:lang w:val="en-GB"/>
        </w:rPr>
        <w:t>ection 1.4.</w:t>
      </w:r>
      <w:r w:rsidR="003C3858" w:rsidRPr="00244D65">
        <w:rPr>
          <w:rFonts w:eastAsia="Arial"/>
          <w:noProof/>
          <w:lang w:val="en-GB"/>
        </w:rPr>
        <w:t>2.</w:t>
      </w:r>
    </w:p>
    <w:p w14:paraId="5243FA32" w14:textId="3387938A" w:rsidR="0097643B" w:rsidRPr="00244D65" w:rsidRDefault="004F73B1" w:rsidP="0085595C">
      <w:pPr>
        <w:rPr>
          <w:noProof/>
          <w:lang w:eastAsia="en-GB"/>
        </w:rPr>
      </w:pPr>
      <w:r w:rsidRPr="00244D65">
        <w:rPr>
          <w:noProof/>
          <w:lang w:eastAsia="en-GB"/>
        </w:rPr>
        <w:t xml:space="preserve">It was outside the scope of the impact assessment to consider the impact of the CBAM in preventing carbon leakage up until 2040, but it is important to note that the policy instrument will be progressively phased in as free allocation is phased out and it is expected that by equalising the carbon price paid at the border that the risk of carbon leakage in the sectors currently covered should be significantly, if not entirely, reduced. </w:t>
      </w:r>
    </w:p>
    <w:p w14:paraId="55F726B5" w14:textId="2C160551" w:rsidR="001E4BAC" w:rsidRPr="00244D65" w:rsidRDefault="004F73B1" w:rsidP="0085595C">
      <w:pPr>
        <w:rPr>
          <w:noProof/>
          <w:lang w:eastAsia="en-GB"/>
        </w:rPr>
      </w:pPr>
      <w:r w:rsidRPr="00244D65">
        <w:rPr>
          <w:noProof/>
          <w:lang w:eastAsia="en-GB"/>
        </w:rPr>
        <w:t xml:space="preserve">Free allocation was always intended to be transitory in nature so its continuation into Phase V </w:t>
      </w:r>
      <w:r w:rsidR="00E3674B" w:rsidRPr="00244D65">
        <w:rPr>
          <w:noProof/>
          <w:lang w:eastAsia="en-GB"/>
        </w:rPr>
        <w:t>(2031-2040)</w:t>
      </w:r>
      <w:r w:rsidRPr="00244D65">
        <w:rPr>
          <w:noProof/>
          <w:lang w:eastAsia="en-GB"/>
        </w:rPr>
        <w:t xml:space="preserve"> in </w:t>
      </w:r>
      <w:bookmarkStart w:id="239" w:name="_Int_wX2byaKG"/>
      <w:r w:rsidRPr="00244D65">
        <w:rPr>
          <w:noProof/>
          <w:lang w:eastAsia="en-GB"/>
        </w:rPr>
        <w:t>all of</w:t>
      </w:r>
      <w:bookmarkEnd w:id="239"/>
      <w:r w:rsidRPr="00244D65">
        <w:rPr>
          <w:noProof/>
          <w:lang w:eastAsia="en-GB"/>
        </w:rPr>
        <w:t xml:space="preserve"> the policy measures under consideration shows an acknowledgement by the Commission that the non-CBAM sectors will require further support to decarbonise in what is a very challenging operating environment. However, the trajectory of the ETS cap means that the extent to which free allocation continues to be distributed based on the existing free allocation rules, will increasingly become less relevant if the annual amount of preliminary free allocation calculated exceeds the annual free allocation budget and the cross sectoral correction factor </w:t>
      </w:r>
      <w:r w:rsidR="00590B4C" w:rsidRPr="00244D65">
        <w:rPr>
          <w:noProof/>
          <w:lang w:eastAsia="en-GB"/>
        </w:rPr>
        <w:t>is</w:t>
      </w:r>
      <w:r w:rsidRPr="00244D65">
        <w:rPr>
          <w:noProof/>
          <w:lang w:eastAsia="en-GB"/>
        </w:rPr>
        <w:t xml:space="preserve"> applied</w:t>
      </w:r>
      <w:r w:rsidR="00590B4C" w:rsidRPr="00244D65">
        <w:rPr>
          <w:noProof/>
          <w:lang w:eastAsia="en-GB"/>
        </w:rPr>
        <w:t xml:space="preserve"> in </w:t>
      </w:r>
      <w:r w:rsidRPr="00244D65">
        <w:rPr>
          <w:noProof/>
          <w:lang w:eastAsia="en-GB"/>
        </w:rPr>
        <w:t xml:space="preserve">most </w:t>
      </w:r>
      <w:r w:rsidR="00590B4C" w:rsidRPr="00244D65">
        <w:rPr>
          <w:noProof/>
          <w:lang w:eastAsia="en-GB"/>
        </w:rPr>
        <w:t>years</w:t>
      </w:r>
      <w:r w:rsidR="00227E6C" w:rsidRPr="00244D65">
        <w:rPr>
          <w:noProof/>
          <w:lang w:eastAsia="en-GB"/>
        </w:rPr>
        <w:t xml:space="preserve"> – </w:t>
      </w:r>
      <w:r w:rsidR="00324145" w:rsidRPr="00244D65">
        <w:rPr>
          <w:noProof/>
          <w:lang w:eastAsia="en-GB"/>
        </w:rPr>
        <w:t xml:space="preserve">ranging between </w:t>
      </w:r>
      <w:r>
        <w:rPr>
          <w:noProof/>
          <w:lang w:eastAsia="en-GB"/>
        </w:rPr>
        <w:t>0.92</w:t>
      </w:r>
      <w:r w:rsidR="000C653C" w:rsidRPr="00244D65">
        <w:rPr>
          <w:noProof/>
          <w:lang w:eastAsia="en-GB"/>
        </w:rPr>
        <w:t xml:space="preserve"> </w:t>
      </w:r>
      <w:r w:rsidR="00FF0DC4" w:rsidRPr="00244D65">
        <w:rPr>
          <w:noProof/>
          <w:lang w:eastAsia="en-GB"/>
        </w:rPr>
        <w:t>to</w:t>
      </w:r>
      <w:r w:rsidR="00687CE0" w:rsidRPr="00244D65">
        <w:rPr>
          <w:noProof/>
          <w:lang w:eastAsia="en-GB"/>
        </w:rPr>
        <w:t xml:space="preserve"> </w:t>
      </w:r>
      <w:r>
        <w:rPr>
          <w:noProof/>
          <w:lang w:eastAsia="en-GB"/>
        </w:rPr>
        <w:t>0.36</w:t>
      </w:r>
      <w:r w:rsidR="00FF0DC4" w:rsidRPr="00244D65">
        <w:rPr>
          <w:noProof/>
          <w:lang w:eastAsia="en-GB"/>
        </w:rPr>
        <w:t xml:space="preserve"> </w:t>
      </w:r>
      <w:r w:rsidR="001E4BAC" w:rsidRPr="00244D65">
        <w:rPr>
          <w:noProof/>
          <w:lang w:eastAsia="en-GB"/>
        </w:rPr>
        <w:t>depending on the policy scenario</w:t>
      </w:r>
      <w:r w:rsidR="00273C93" w:rsidRPr="00244D65">
        <w:rPr>
          <w:rStyle w:val="FootnoteReference"/>
          <w:noProof/>
          <w:lang w:eastAsia="en-GB"/>
        </w:rPr>
        <w:footnoteReference w:id="84"/>
      </w:r>
      <w:r w:rsidR="001E4BAC" w:rsidRPr="00244D65">
        <w:rPr>
          <w:noProof/>
          <w:lang w:eastAsia="en-GB"/>
        </w:rPr>
        <w:t>.</w:t>
      </w:r>
    </w:p>
    <w:p w14:paraId="2729CD63" w14:textId="2CF0A999" w:rsidR="004F73B1" w:rsidRPr="00244D65" w:rsidRDefault="004F73B1" w:rsidP="0085595C">
      <w:pPr>
        <w:rPr>
          <w:noProof/>
          <w:lang w:eastAsia="en-GB"/>
        </w:rPr>
      </w:pPr>
      <w:r w:rsidRPr="00244D65">
        <w:rPr>
          <w:noProof/>
          <w:lang w:eastAsia="en-GB"/>
        </w:rPr>
        <w:t xml:space="preserve">An important topic in this regard is the use of allowance revenue to solely be used to support industry, which was a frequent position advocated by industrial associations during the stakeholder interviews. </w:t>
      </w:r>
      <w:r w:rsidR="00B16DA8" w:rsidRPr="00244D65">
        <w:rPr>
          <w:noProof/>
          <w:lang w:eastAsia="en-GB"/>
        </w:rPr>
        <w:t>U</w:t>
      </w:r>
      <w:r w:rsidRPr="00244D65">
        <w:rPr>
          <w:noProof/>
          <w:lang w:eastAsia="en-GB"/>
        </w:rPr>
        <w:t xml:space="preserve">ltimately it will require the state and private sector to work together to ensure the enabling conditions (i.e. availability of green hydrogen, infrastructure for CCUS, availability of low cost and low carbon electricity, market demand for low carbon products) are available so that the ambitious trajectories already outlined by industrial sectors for their decarbonisation are achieved. </w:t>
      </w:r>
      <w:r w:rsidR="00C50A39" w:rsidRPr="00244D65">
        <w:rPr>
          <w:noProof/>
          <w:lang w:eastAsia="en-GB"/>
        </w:rPr>
        <w:t>The instruments to support decarbonisation via the IDB an</w:t>
      </w:r>
      <w:r w:rsidR="00B67197" w:rsidRPr="00244D65">
        <w:rPr>
          <w:noProof/>
          <w:lang w:eastAsia="en-GB"/>
        </w:rPr>
        <w:t xml:space="preserve">d the IF are assessed separately. In </w:t>
      </w:r>
      <w:r w:rsidR="3471903D" w:rsidRPr="00244D65">
        <w:rPr>
          <w:noProof/>
          <w:lang w:eastAsia="en-GB"/>
        </w:rPr>
        <w:t>addition</w:t>
      </w:r>
      <w:r w:rsidR="00B67197" w:rsidRPr="00244D65">
        <w:rPr>
          <w:noProof/>
          <w:lang w:eastAsia="en-GB"/>
        </w:rPr>
        <w:t>, o</w:t>
      </w:r>
      <w:r w:rsidR="00F7108F" w:rsidRPr="00244D65">
        <w:rPr>
          <w:rFonts w:eastAsia="Times New Roman"/>
          <w:noProof/>
        </w:rPr>
        <w:t>ther measures and initiatives announced by the European Commission, such as the Industrial Accelerator Act, the European Grids Package, or the CO</w:t>
      </w:r>
      <w:r w:rsidR="00F7108F" w:rsidRPr="00244D65">
        <w:rPr>
          <w:rFonts w:eastAsia="Times New Roman"/>
          <w:noProof/>
          <w:vertAlign w:val="subscript"/>
        </w:rPr>
        <w:t>2</w:t>
      </w:r>
      <w:r w:rsidR="00F7108F" w:rsidRPr="00244D65">
        <w:rPr>
          <w:rFonts w:eastAsia="Times New Roman"/>
          <w:noProof/>
        </w:rPr>
        <w:t xml:space="preserve"> Infrastructure Package</w:t>
      </w:r>
      <w:r w:rsidR="00AD4DC6" w:rsidRPr="00244D65">
        <w:rPr>
          <w:rFonts w:eastAsia="Times New Roman"/>
          <w:noProof/>
        </w:rPr>
        <w:t>, as well as the revision of the Renewable Energy Directive</w:t>
      </w:r>
      <w:r w:rsidR="00F7108F" w:rsidRPr="00244D65">
        <w:rPr>
          <w:rFonts w:eastAsia="Times New Roman"/>
          <w:noProof/>
        </w:rPr>
        <w:t xml:space="preserve"> will further complement </w:t>
      </w:r>
      <w:r w:rsidR="00F909E3" w:rsidRPr="00244D65">
        <w:rPr>
          <w:rFonts w:eastAsia="Times New Roman"/>
          <w:noProof/>
        </w:rPr>
        <w:t>EU ETS</w:t>
      </w:r>
      <w:r w:rsidR="00F7108F" w:rsidRPr="00244D65">
        <w:rPr>
          <w:rFonts w:eastAsia="Times New Roman"/>
          <w:noProof/>
        </w:rPr>
        <w:t xml:space="preserve"> and drive the process of industrial decarbonisation</w:t>
      </w:r>
    </w:p>
    <w:p w14:paraId="5E70FEF4" w14:textId="27A72588" w:rsidR="00B14752" w:rsidRPr="00244D65" w:rsidRDefault="00B14752" w:rsidP="0085595C">
      <w:pPr>
        <w:rPr>
          <w:noProof/>
          <w:lang w:eastAsia="en-GB"/>
        </w:rPr>
      </w:pPr>
      <w:r w:rsidRPr="00244D65">
        <w:rPr>
          <w:noProof/>
        </w:rPr>
        <w:t xml:space="preserve">For </w:t>
      </w:r>
      <w:r w:rsidRPr="00244D65">
        <w:rPr>
          <w:b/>
          <w:bCs/>
          <w:noProof/>
        </w:rPr>
        <w:t>ICC</w:t>
      </w:r>
      <w:r w:rsidRPr="00244D65">
        <w:rPr>
          <w:noProof/>
        </w:rPr>
        <w:t xml:space="preserve"> compensation, </w:t>
      </w:r>
      <w:r w:rsidRPr="00244D65">
        <w:rPr>
          <w:noProof/>
          <w:lang w:eastAsia="en-GB"/>
        </w:rPr>
        <w:t>estimate</w:t>
      </w:r>
      <w:r w:rsidR="00210E1C" w:rsidRPr="00244D65">
        <w:rPr>
          <w:noProof/>
          <w:lang w:eastAsia="en-GB"/>
        </w:rPr>
        <w:t>s indicate</w:t>
      </w:r>
      <w:r w:rsidRPr="00244D65">
        <w:rPr>
          <w:noProof/>
          <w:lang w:eastAsia="en-GB"/>
        </w:rPr>
        <w:t xml:space="preserve"> that indirect carbon cost accounts for between </w:t>
      </w:r>
      <w:r w:rsidR="006860AC" w:rsidRPr="00244D65">
        <w:rPr>
          <w:noProof/>
          <w:lang w:eastAsia="en-GB"/>
        </w:rPr>
        <w:t>8</w:t>
      </w:r>
      <w:r w:rsidRPr="00244D65">
        <w:rPr>
          <w:noProof/>
          <w:lang w:eastAsia="en-GB"/>
        </w:rPr>
        <w:t xml:space="preserve">%-11% of the retail electricity price paid by large industrial consumers in the EU on average in 2025, smaller than the share of taxes, network charges, or fuel costs. </w:t>
      </w:r>
    </w:p>
    <w:p w14:paraId="2FF1C610" w14:textId="77777777" w:rsidR="00B14752" w:rsidRPr="00244D65" w:rsidRDefault="00B14752" w:rsidP="0085595C">
      <w:pPr>
        <w:rPr>
          <w:noProof/>
          <w:lang w:eastAsia="en-GB"/>
        </w:rPr>
      </w:pPr>
      <w:r w:rsidRPr="00244D65">
        <w:rPr>
          <w:noProof/>
          <w:lang w:eastAsia="en-GB"/>
        </w:rPr>
        <w:t xml:space="preserve">The upper end of this range is based on the </w:t>
      </w:r>
      <w:r w:rsidRPr="00244D65">
        <w:rPr>
          <w:i/>
          <w:iCs/>
          <w:noProof/>
          <w:lang w:eastAsia="en-GB"/>
        </w:rPr>
        <w:t xml:space="preserve">marginal emissions factor, </w:t>
      </w:r>
      <w:r w:rsidRPr="00244D65">
        <w:rPr>
          <w:noProof/>
          <w:lang w:eastAsia="en-GB"/>
        </w:rPr>
        <w:t xml:space="preserve">which takes account of the fact that ICC can be passed on through electricity prices even when the grid is </w:t>
      </w:r>
      <w:bookmarkStart w:id="240" w:name="_Int_JxXNJK5j"/>
      <w:r w:rsidRPr="00244D65">
        <w:rPr>
          <w:noProof/>
          <w:lang w:eastAsia="en-GB"/>
        </w:rPr>
        <w:t>largely decarbonised</w:t>
      </w:r>
      <w:bookmarkEnd w:id="240"/>
      <w:r w:rsidRPr="00244D65">
        <w:rPr>
          <w:noProof/>
          <w:lang w:eastAsia="en-GB"/>
        </w:rPr>
        <w:t xml:space="preserve">. This means that: i) carbon cost is passed through to consumers whenever fossil fuels are the price-setting marginal generator; but ii) carbon cost is not passed through whenever the price is set by non-fossil generation. The lower end of this range is based on the </w:t>
      </w:r>
      <w:r w:rsidRPr="00244D65">
        <w:rPr>
          <w:i/>
          <w:iCs/>
          <w:noProof/>
          <w:lang w:eastAsia="en-GB"/>
        </w:rPr>
        <w:t>average emissions factor</w:t>
      </w:r>
      <w:r w:rsidRPr="00244D65">
        <w:rPr>
          <w:noProof/>
          <w:lang w:eastAsia="en-GB"/>
        </w:rPr>
        <w:t xml:space="preserve"> of the EU power mix and represents the share of carbon cost in total electricity system costs. </w:t>
      </w:r>
    </w:p>
    <w:p w14:paraId="1B2663B6" w14:textId="72B5AC0D" w:rsidR="00AA73E4" w:rsidRPr="00244D65" w:rsidRDefault="00616B9C" w:rsidP="0085595C">
      <w:pPr>
        <w:rPr>
          <w:noProof/>
        </w:rPr>
      </w:pPr>
      <w:r w:rsidRPr="00244D65">
        <w:rPr>
          <w:noProof/>
        </w:rPr>
        <w:t>T</w:t>
      </w:r>
      <w:r w:rsidR="00652771" w:rsidRPr="00244D65">
        <w:rPr>
          <w:noProof/>
        </w:rPr>
        <w:t xml:space="preserve">he main effect of continuing to provide compensation would be </w:t>
      </w:r>
      <w:r w:rsidR="003C7AB1" w:rsidRPr="00244D65">
        <w:rPr>
          <w:noProof/>
        </w:rPr>
        <w:t xml:space="preserve">to </w:t>
      </w:r>
      <w:r w:rsidRPr="00244D65">
        <w:rPr>
          <w:noProof/>
        </w:rPr>
        <w:t>alleviate the risk of carbon leakage and incentivise electrification by compensating for some of this cost</w:t>
      </w:r>
      <w:r w:rsidR="003E27D3" w:rsidRPr="00244D65">
        <w:rPr>
          <w:noProof/>
        </w:rPr>
        <w:t xml:space="preserve">. </w:t>
      </w:r>
      <w:r w:rsidR="006E6105" w:rsidRPr="00244D65">
        <w:rPr>
          <w:noProof/>
        </w:rPr>
        <w:t xml:space="preserve">ICC compensation is </w:t>
      </w:r>
      <w:r w:rsidR="00FC338F" w:rsidRPr="00244D65">
        <w:rPr>
          <w:noProof/>
        </w:rPr>
        <w:t>therefore also</w:t>
      </w:r>
      <w:r w:rsidR="006E6105" w:rsidRPr="00244D65">
        <w:rPr>
          <w:noProof/>
        </w:rPr>
        <w:t xml:space="preserve"> an important contributor to the com</w:t>
      </w:r>
      <w:r w:rsidR="00361333" w:rsidRPr="00244D65">
        <w:rPr>
          <w:noProof/>
        </w:rPr>
        <w:t>petitiveness</w:t>
      </w:r>
      <w:r w:rsidR="00FC338F" w:rsidRPr="00244D65">
        <w:rPr>
          <w:noProof/>
        </w:rPr>
        <w:t xml:space="preserve"> of electro-intensive processes within sectors. This is particularly important for</w:t>
      </w:r>
      <w:r w:rsidR="00361333" w:rsidRPr="00244D65">
        <w:rPr>
          <w:noProof/>
        </w:rPr>
        <w:t xml:space="preserve"> as long as direct emi</w:t>
      </w:r>
      <w:r w:rsidR="00FC338F" w:rsidRPr="00244D65">
        <w:rPr>
          <w:noProof/>
        </w:rPr>
        <w:t>tting processes</w:t>
      </w:r>
      <w:r w:rsidR="00361333" w:rsidRPr="00244D65">
        <w:rPr>
          <w:noProof/>
        </w:rPr>
        <w:t xml:space="preserve"> continue </w:t>
      </w:r>
      <w:r w:rsidR="00FC338F" w:rsidRPr="00244D65">
        <w:rPr>
          <w:noProof/>
        </w:rPr>
        <w:t>to receive free allocation</w:t>
      </w:r>
      <w:r w:rsidR="00B772C5" w:rsidRPr="00244D65">
        <w:rPr>
          <w:noProof/>
        </w:rPr>
        <w:t xml:space="preserve">, and as long as fossil fuels continue to </w:t>
      </w:r>
      <w:r w:rsidR="001A799B" w:rsidRPr="00244D65">
        <w:rPr>
          <w:noProof/>
        </w:rPr>
        <w:t xml:space="preserve">act as the marginal generator, thereby </w:t>
      </w:r>
      <w:r w:rsidR="007D0C3F" w:rsidRPr="00244D65">
        <w:rPr>
          <w:noProof/>
        </w:rPr>
        <w:t>exert</w:t>
      </w:r>
      <w:r w:rsidR="001A799B" w:rsidRPr="00244D65">
        <w:rPr>
          <w:noProof/>
        </w:rPr>
        <w:t>ing</w:t>
      </w:r>
      <w:r w:rsidR="007D0C3F" w:rsidRPr="00244D65">
        <w:rPr>
          <w:noProof/>
        </w:rPr>
        <w:t xml:space="preserve"> a greater </w:t>
      </w:r>
      <w:r w:rsidR="00B772C5" w:rsidRPr="00244D65">
        <w:rPr>
          <w:noProof/>
        </w:rPr>
        <w:t xml:space="preserve">influence </w:t>
      </w:r>
      <w:r w:rsidR="007D0C3F" w:rsidRPr="00244D65">
        <w:rPr>
          <w:noProof/>
        </w:rPr>
        <w:t xml:space="preserve">on electricity prices than their </w:t>
      </w:r>
      <w:r w:rsidR="001A799B" w:rsidRPr="00244D65">
        <w:rPr>
          <w:noProof/>
        </w:rPr>
        <w:t>generation share would suggest.</w:t>
      </w:r>
      <w:r w:rsidR="006A75F0" w:rsidRPr="00244D65">
        <w:rPr>
          <w:noProof/>
        </w:rPr>
        <w:t xml:space="preserve"> </w:t>
      </w:r>
    </w:p>
    <w:p w14:paraId="45909E26" w14:textId="296C6C40" w:rsidR="00E2101F" w:rsidRPr="00244D65" w:rsidRDefault="007142B6" w:rsidP="0085595C">
      <w:pPr>
        <w:rPr>
          <w:noProof/>
          <w:lang w:eastAsia="en-GB"/>
        </w:rPr>
      </w:pPr>
      <w:r w:rsidRPr="00244D65">
        <w:rPr>
          <w:noProof/>
          <w:lang w:eastAsia="en-GB"/>
        </w:rPr>
        <w:t>The provision of some ICC through an EU-level instrument</w:t>
      </w:r>
      <w:r w:rsidR="00DA5B57" w:rsidRPr="00244D65">
        <w:rPr>
          <w:noProof/>
          <w:lang w:eastAsia="en-GB"/>
        </w:rPr>
        <w:t xml:space="preserve"> would provide greater certainty over the availability of compensation compared to a purely State-aid-based approach</w:t>
      </w:r>
      <w:r w:rsidRPr="00244D65">
        <w:rPr>
          <w:noProof/>
          <w:lang w:eastAsia="en-GB"/>
        </w:rPr>
        <w:t>,</w:t>
      </w:r>
      <w:r w:rsidR="00DA5B57" w:rsidRPr="00244D65">
        <w:rPr>
          <w:noProof/>
          <w:lang w:eastAsia="en-GB"/>
        </w:rPr>
        <w:t xml:space="preserve"> as well as diminish distortion of competition. </w:t>
      </w:r>
      <w:r w:rsidR="00B6045E" w:rsidRPr="00244D65">
        <w:rPr>
          <w:noProof/>
          <w:lang w:eastAsia="en-GB"/>
        </w:rPr>
        <w:t xml:space="preserve">Therefore, option ICC2 would have additional competitiveness benefits to some installations (those who would not have received aid under ICC1). </w:t>
      </w:r>
      <w:r w:rsidR="00DA5B57" w:rsidRPr="00244D65">
        <w:rPr>
          <w:noProof/>
          <w:lang w:eastAsia="en-GB"/>
        </w:rPr>
        <w:t xml:space="preserve">On the other hand, it would bring additional administrative burden as noted in </w:t>
      </w:r>
      <w:r w:rsidR="004632D6" w:rsidRPr="00244D65">
        <w:rPr>
          <w:noProof/>
          <w:lang w:eastAsia="en-GB"/>
        </w:rPr>
        <w:t>S</w:t>
      </w:r>
      <w:r w:rsidR="001F5833" w:rsidRPr="00244D65">
        <w:rPr>
          <w:noProof/>
          <w:lang w:eastAsia="en-GB"/>
        </w:rPr>
        <w:t>ection</w:t>
      </w:r>
      <w:r w:rsidR="00DA5B57" w:rsidRPr="00244D65">
        <w:rPr>
          <w:noProof/>
          <w:lang w:eastAsia="en-GB"/>
        </w:rPr>
        <w:t xml:space="preserve"> 6.2.2.5.</w:t>
      </w:r>
      <w:r w:rsidRPr="00244D65">
        <w:rPr>
          <w:noProof/>
          <w:lang w:eastAsia="en-GB"/>
        </w:rPr>
        <w:t xml:space="preserve"> </w:t>
      </w:r>
    </w:p>
    <w:p w14:paraId="037D2093" w14:textId="63D6CB31" w:rsidR="001A799B" w:rsidRPr="00244D65" w:rsidRDefault="007142B6" w:rsidP="0085595C">
      <w:pPr>
        <w:rPr>
          <w:noProof/>
          <w:lang w:eastAsia="en-GB"/>
        </w:rPr>
      </w:pPr>
      <w:r w:rsidRPr="00244D65">
        <w:rPr>
          <w:noProof/>
          <w:lang w:eastAsia="en-GB"/>
        </w:rPr>
        <w:t xml:space="preserve">As explained in </w:t>
      </w:r>
      <w:r w:rsidR="004632D6" w:rsidRPr="00244D65">
        <w:rPr>
          <w:noProof/>
          <w:lang w:eastAsia="en-GB"/>
        </w:rPr>
        <w:t>S</w:t>
      </w:r>
      <w:r w:rsidR="001F5833" w:rsidRPr="00244D65">
        <w:rPr>
          <w:noProof/>
          <w:lang w:eastAsia="en-GB"/>
        </w:rPr>
        <w:t>ection</w:t>
      </w:r>
      <w:r w:rsidRPr="00244D65">
        <w:rPr>
          <w:noProof/>
          <w:lang w:eastAsia="en-GB"/>
        </w:rPr>
        <w:t xml:space="preserve"> </w:t>
      </w:r>
      <w:r w:rsidR="00757192" w:rsidRPr="00244D65">
        <w:rPr>
          <w:noProof/>
          <w:lang w:eastAsia="en-GB"/>
        </w:rPr>
        <w:t>6.2.1.6 above (and in Annex 12)</w:t>
      </w:r>
      <w:r w:rsidR="006023F9" w:rsidRPr="00244D65">
        <w:rPr>
          <w:noProof/>
          <w:lang w:eastAsia="en-GB"/>
        </w:rPr>
        <w:t>, the</w:t>
      </w:r>
      <w:r w:rsidR="00CC62D7" w:rsidRPr="00244D65">
        <w:rPr>
          <w:noProof/>
          <w:lang w:eastAsia="en-GB"/>
        </w:rPr>
        <w:t xml:space="preserve"> extent of this </w:t>
      </w:r>
      <w:r w:rsidR="00737F6A" w:rsidRPr="00244D65">
        <w:rPr>
          <w:noProof/>
          <w:lang w:eastAsia="en-GB"/>
        </w:rPr>
        <w:t>compe</w:t>
      </w:r>
      <w:r w:rsidR="00577690" w:rsidRPr="00244D65">
        <w:rPr>
          <w:noProof/>
          <w:lang w:eastAsia="en-GB"/>
        </w:rPr>
        <w:t>nsation</w:t>
      </w:r>
      <w:r w:rsidR="00737F6A" w:rsidRPr="00244D65">
        <w:rPr>
          <w:noProof/>
          <w:lang w:eastAsia="en-GB"/>
        </w:rPr>
        <w:t xml:space="preserve"> is estimated </w:t>
      </w:r>
      <w:r w:rsidR="005C2917" w:rsidRPr="00244D65">
        <w:rPr>
          <w:noProof/>
          <w:lang w:eastAsia="en-GB"/>
        </w:rPr>
        <w:t xml:space="preserve">as being equivalent to </w:t>
      </w:r>
      <w:r>
        <w:rPr>
          <w:noProof/>
          <w:lang w:eastAsia="en-GB"/>
        </w:rPr>
        <w:t>11% - 22%</w:t>
      </w:r>
      <w:r w:rsidR="00C02FA9" w:rsidRPr="00244D65">
        <w:rPr>
          <w:noProof/>
          <w:lang w:eastAsia="en-GB"/>
        </w:rPr>
        <w:t xml:space="preserve"> of overall ETS revenues in the 2031-40 period</w:t>
      </w:r>
      <w:r w:rsidR="00E46958" w:rsidRPr="00244D65">
        <w:rPr>
          <w:noProof/>
          <w:lang w:eastAsia="en-GB"/>
        </w:rPr>
        <w:t xml:space="preserve"> if all Member States were to provide State aid post-2030 using schemes similar to those currently in place</w:t>
      </w:r>
      <w:r w:rsidR="00F505E2" w:rsidRPr="00244D65">
        <w:rPr>
          <w:rStyle w:val="FootnoteReference"/>
          <w:noProof/>
          <w:lang w:eastAsia="en-GB"/>
        </w:rPr>
        <w:footnoteReference w:id="85"/>
      </w:r>
      <w:r w:rsidR="00D85FE8" w:rsidRPr="00244D65">
        <w:rPr>
          <w:noProof/>
          <w:lang w:eastAsia="en-GB"/>
        </w:rPr>
        <w:t>.</w:t>
      </w:r>
      <w:r w:rsidR="00DD1F49" w:rsidRPr="00244D65">
        <w:rPr>
          <w:noProof/>
          <w:lang w:eastAsia="en-GB"/>
        </w:rPr>
        <w:t xml:space="preserve"> </w:t>
      </w:r>
      <w:r w:rsidR="006F10B6" w:rsidRPr="00244D65">
        <w:rPr>
          <w:noProof/>
          <w:lang w:eastAsia="en-GB"/>
        </w:rPr>
        <w:t>T</w:t>
      </w:r>
      <w:r w:rsidR="003B071A" w:rsidRPr="00244D65">
        <w:rPr>
          <w:noProof/>
          <w:lang w:eastAsia="en-GB"/>
        </w:rPr>
        <w:t>he higher end of the range</w:t>
      </w:r>
      <w:r w:rsidR="007B2A5C" w:rsidRPr="00244D65">
        <w:rPr>
          <w:noProof/>
          <w:lang w:eastAsia="en-GB"/>
        </w:rPr>
        <w:t xml:space="preserve"> a</w:t>
      </w:r>
      <w:r w:rsidR="00A356BA" w:rsidRPr="00244D65">
        <w:rPr>
          <w:noProof/>
          <w:lang w:eastAsia="en-GB"/>
        </w:rPr>
        <w:t xml:space="preserve">ssumes that post-2030 </w:t>
      </w:r>
      <w:r w:rsidR="006F10B6" w:rsidRPr="00244D65">
        <w:rPr>
          <w:noProof/>
          <w:lang w:eastAsia="en-GB"/>
        </w:rPr>
        <w:t>compensation continues to be based on the carbon intensity of fossil-based electricity generation</w:t>
      </w:r>
      <w:r w:rsidR="003B071A" w:rsidRPr="00244D65">
        <w:rPr>
          <w:noProof/>
          <w:lang w:eastAsia="en-GB"/>
        </w:rPr>
        <w:t xml:space="preserve">. </w:t>
      </w:r>
    </w:p>
    <w:p w14:paraId="601664E4" w14:textId="68CC3DFE" w:rsidR="00F77B0A" w:rsidRPr="00244D65" w:rsidRDefault="3B5A48D5" w:rsidP="0085595C">
      <w:pPr>
        <w:pStyle w:val="Heading4"/>
        <w:rPr>
          <w:noProof/>
        </w:rPr>
      </w:pPr>
      <w:r w:rsidRPr="00244D65">
        <w:rPr>
          <w:noProof/>
        </w:rPr>
        <w:t xml:space="preserve"> </w:t>
      </w:r>
      <w:r w:rsidR="00F77B0A" w:rsidRPr="00244D65">
        <w:rPr>
          <w:noProof/>
        </w:rPr>
        <w:t>Waste</w:t>
      </w:r>
    </w:p>
    <w:p w14:paraId="53F31C78" w14:textId="282687EC" w:rsidR="00633735" w:rsidRPr="00244D65" w:rsidRDefault="00514AD5" w:rsidP="0085595C">
      <w:pPr>
        <w:rPr>
          <w:noProof/>
          <w:lang w:eastAsia="en-GB"/>
        </w:rPr>
      </w:pPr>
      <w:r w:rsidRPr="00244D65">
        <w:rPr>
          <w:noProof/>
          <w:lang w:eastAsia="en-GB"/>
        </w:rPr>
        <w:t>Extending carbon pricing</w:t>
      </w:r>
      <w:r w:rsidR="00E30E2C" w:rsidRPr="00244D65">
        <w:rPr>
          <w:noProof/>
          <w:lang w:eastAsia="en-GB"/>
        </w:rPr>
        <w:t xml:space="preserve"> to </w:t>
      </w:r>
      <w:r w:rsidRPr="00244D65">
        <w:rPr>
          <w:noProof/>
          <w:lang w:eastAsia="en-GB"/>
        </w:rPr>
        <w:t xml:space="preserve">greenhouse gas emissions from </w:t>
      </w:r>
      <w:r w:rsidR="008D68AE" w:rsidRPr="00244D65">
        <w:rPr>
          <w:noProof/>
          <w:lang w:eastAsia="en-GB"/>
        </w:rPr>
        <w:t xml:space="preserve">municipal </w:t>
      </w:r>
      <w:r w:rsidR="00E30E2C" w:rsidRPr="00244D65">
        <w:rPr>
          <w:noProof/>
          <w:lang w:eastAsia="en-GB"/>
        </w:rPr>
        <w:t xml:space="preserve">waste incineration </w:t>
      </w:r>
      <w:r w:rsidR="00E837A0" w:rsidRPr="00244D65">
        <w:rPr>
          <w:noProof/>
          <w:lang w:eastAsia="en-GB"/>
        </w:rPr>
        <w:t>(PO2)</w:t>
      </w:r>
      <w:r w:rsidR="00E30E2C" w:rsidRPr="00244D65">
        <w:rPr>
          <w:noProof/>
          <w:lang w:eastAsia="en-GB"/>
        </w:rPr>
        <w:t xml:space="preserve"> and </w:t>
      </w:r>
      <w:r w:rsidR="008D68AE" w:rsidRPr="00244D65">
        <w:rPr>
          <w:noProof/>
          <w:lang w:eastAsia="en-GB"/>
        </w:rPr>
        <w:t xml:space="preserve">hazardous </w:t>
      </w:r>
      <w:r w:rsidR="00CE611E" w:rsidRPr="00244D65">
        <w:rPr>
          <w:noProof/>
          <w:lang w:eastAsia="en-GB"/>
        </w:rPr>
        <w:t xml:space="preserve">waste incineration and </w:t>
      </w:r>
      <w:r w:rsidR="00E30E2C" w:rsidRPr="00244D65">
        <w:rPr>
          <w:noProof/>
          <w:lang w:eastAsia="en-GB"/>
        </w:rPr>
        <w:t>landfilling of non-hazardous waste</w:t>
      </w:r>
      <w:r w:rsidR="00E837A0" w:rsidRPr="00244D65">
        <w:rPr>
          <w:noProof/>
          <w:lang w:eastAsia="en-GB"/>
        </w:rPr>
        <w:t xml:space="preserve"> (PO3)</w:t>
      </w:r>
      <w:r w:rsidR="00E30E2C" w:rsidRPr="00244D65">
        <w:rPr>
          <w:noProof/>
          <w:lang w:eastAsia="en-GB"/>
        </w:rPr>
        <w:t xml:space="preserve"> </w:t>
      </w:r>
      <w:r w:rsidRPr="00244D65">
        <w:rPr>
          <w:noProof/>
          <w:lang w:eastAsia="en-GB"/>
        </w:rPr>
        <w:t xml:space="preserve">can </w:t>
      </w:r>
      <w:r w:rsidR="00635E4E" w:rsidRPr="00244D65">
        <w:rPr>
          <w:noProof/>
          <w:lang w:eastAsia="en-GB"/>
        </w:rPr>
        <w:t xml:space="preserve">provide </w:t>
      </w:r>
      <w:r w:rsidRPr="00244D65">
        <w:rPr>
          <w:noProof/>
          <w:lang w:eastAsia="en-GB"/>
        </w:rPr>
        <w:t>an important complementary financial incentive</w:t>
      </w:r>
      <w:r w:rsidR="008569F0" w:rsidRPr="00244D65">
        <w:rPr>
          <w:noProof/>
          <w:lang w:eastAsia="en-GB"/>
        </w:rPr>
        <w:t xml:space="preserve"> to </w:t>
      </w:r>
      <w:r w:rsidR="00126307" w:rsidRPr="00244D65">
        <w:rPr>
          <w:noProof/>
          <w:lang w:eastAsia="en-GB"/>
        </w:rPr>
        <w:t xml:space="preserve">foster </w:t>
      </w:r>
      <w:r w:rsidR="009B1CFB" w:rsidRPr="00244D65">
        <w:rPr>
          <w:noProof/>
          <w:lang w:eastAsia="en-GB"/>
        </w:rPr>
        <w:t xml:space="preserve">sectoral </w:t>
      </w:r>
      <w:r w:rsidR="00126307" w:rsidRPr="00244D65">
        <w:rPr>
          <w:noProof/>
          <w:lang w:eastAsia="en-GB"/>
        </w:rPr>
        <w:t>innovation,</w:t>
      </w:r>
      <w:r w:rsidR="009B1CFB" w:rsidRPr="00244D65">
        <w:rPr>
          <w:noProof/>
          <w:lang w:eastAsia="en-GB"/>
        </w:rPr>
        <w:t xml:space="preserve"> support the </w:t>
      </w:r>
      <w:r w:rsidR="000D4878" w:rsidRPr="00244D65">
        <w:rPr>
          <w:noProof/>
          <w:lang w:eastAsia="en-GB"/>
        </w:rPr>
        <w:t xml:space="preserve">economy-wide </w:t>
      </w:r>
      <w:r w:rsidR="009B1CFB" w:rsidRPr="00244D65">
        <w:rPr>
          <w:noProof/>
          <w:lang w:eastAsia="en-GB"/>
        </w:rPr>
        <w:t>uptake of carbon removals and CCU, and</w:t>
      </w:r>
      <w:r w:rsidR="00126307" w:rsidRPr="00244D65">
        <w:rPr>
          <w:noProof/>
          <w:lang w:eastAsia="en-GB"/>
        </w:rPr>
        <w:t xml:space="preserve"> </w:t>
      </w:r>
      <w:r w:rsidR="00395F47" w:rsidRPr="00244D65">
        <w:rPr>
          <w:noProof/>
          <w:lang w:eastAsia="en-GB"/>
        </w:rPr>
        <w:t>contribute to</w:t>
      </w:r>
      <w:r w:rsidR="008569F0" w:rsidRPr="00244D65">
        <w:rPr>
          <w:noProof/>
          <w:lang w:eastAsia="en-GB"/>
        </w:rPr>
        <w:t xml:space="preserve"> </w:t>
      </w:r>
      <w:r w:rsidRPr="00244D65">
        <w:rPr>
          <w:noProof/>
          <w:lang w:eastAsia="en-GB"/>
        </w:rPr>
        <w:t xml:space="preserve">the </w:t>
      </w:r>
      <w:r w:rsidR="00A23A2B" w:rsidRPr="00244D65">
        <w:rPr>
          <w:noProof/>
          <w:lang w:eastAsia="en-GB"/>
        </w:rPr>
        <w:t xml:space="preserve">circular economy, </w:t>
      </w:r>
      <w:r w:rsidR="004105A6" w:rsidRPr="00244D65">
        <w:rPr>
          <w:noProof/>
          <w:lang w:eastAsia="en-GB"/>
        </w:rPr>
        <w:t xml:space="preserve">reinforcing </w:t>
      </w:r>
      <w:r w:rsidR="00635E4E" w:rsidRPr="00244D65">
        <w:rPr>
          <w:noProof/>
          <w:lang w:eastAsia="en-GB"/>
        </w:rPr>
        <w:t xml:space="preserve">recycling, </w:t>
      </w:r>
      <w:r w:rsidRPr="00244D65">
        <w:rPr>
          <w:noProof/>
          <w:lang w:eastAsia="en-GB"/>
        </w:rPr>
        <w:t>more efficient material flows,</w:t>
      </w:r>
      <w:r w:rsidR="00A23A2B" w:rsidRPr="00244D65">
        <w:rPr>
          <w:noProof/>
          <w:lang w:eastAsia="en-GB"/>
        </w:rPr>
        <w:t xml:space="preserve"> and </w:t>
      </w:r>
      <w:r w:rsidR="00395F47" w:rsidRPr="00244D65">
        <w:rPr>
          <w:noProof/>
          <w:lang w:eastAsia="en-GB"/>
        </w:rPr>
        <w:t xml:space="preserve">EU </w:t>
      </w:r>
      <w:r w:rsidR="00A23A2B" w:rsidRPr="00244D65">
        <w:rPr>
          <w:noProof/>
          <w:lang w:eastAsia="en-GB"/>
        </w:rPr>
        <w:t>competitiveness</w:t>
      </w:r>
      <w:r w:rsidR="00454579" w:rsidRPr="00244D65">
        <w:rPr>
          <w:noProof/>
          <w:lang w:eastAsia="en-GB"/>
        </w:rPr>
        <w:t xml:space="preserve">. </w:t>
      </w:r>
      <w:r w:rsidR="006E7E8A" w:rsidRPr="00244D65">
        <w:rPr>
          <w:noProof/>
          <w:lang w:eastAsia="en-GB"/>
        </w:rPr>
        <w:t xml:space="preserve">These were also the most frequently cited </w:t>
      </w:r>
      <w:r w:rsidR="00635E4E" w:rsidRPr="00244D65">
        <w:rPr>
          <w:noProof/>
          <w:lang w:eastAsia="en-GB"/>
        </w:rPr>
        <w:t xml:space="preserve">reasons </w:t>
      </w:r>
      <w:r w:rsidR="00DF18BC" w:rsidRPr="00244D65">
        <w:rPr>
          <w:noProof/>
          <w:lang w:eastAsia="en-GB"/>
        </w:rPr>
        <w:t xml:space="preserve">by stakeholders in the </w:t>
      </w:r>
      <w:r w:rsidR="00635E4E" w:rsidRPr="00244D65">
        <w:rPr>
          <w:noProof/>
          <w:lang w:eastAsia="en-GB"/>
        </w:rPr>
        <w:t xml:space="preserve">public consultation in support of MWI inclusion. </w:t>
      </w:r>
    </w:p>
    <w:p w14:paraId="4E7C8B69" w14:textId="77777777" w:rsidR="00062CEC" w:rsidRPr="00244D65" w:rsidRDefault="00AE3D16" w:rsidP="0085595C">
      <w:pPr>
        <w:rPr>
          <w:noProof/>
          <w:lang w:eastAsia="en-GB"/>
        </w:rPr>
      </w:pPr>
      <w:r w:rsidRPr="00244D65">
        <w:rPr>
          <w:noProof/>
          <w:lang w:eastAsia="en-GB"/>
        </w:rPr>
        <w:t xml:space="preserve">First, as explained in the preceding and following sections, the inclusion of municipal waste incineration in the scope of the EU ETS under PO2 and PO3 offers considerable opportunities for biogenic carbon removal generation and enables the consideration of alternatives for how to account the emissions that are captured and used in non-permanent products, such as e-fuels and synthetic chemicals. </w:t>
      </w:r>
    </w:p>
    <w:p w14:paraId="7B4E02BF" w14:textId="423DFDAD" w:rsidR="000C653C" w:rsidRPr="00244D65" w:rsidRDefault="00AE3D16" w:rsidP="0085595C">
      <w:pPr>
        <w:rPr>
          <w:noProof/>
          <w:lang w:eastAsia="en-GB"/>
        </w:rPr>
      </w:pPr>
      <w:r w:rsidRPr="00244D65">
        <w:rPr>
          <w:noProof/>
          <w:lang w:eastAsia="en-GB"/>
        </w:rPr>
        <w:t xml:space="preserve">Second, </w:t>
      </w:r>
      <w:r w:rsidR="009C4E4B" w:rsidRPr="00244D65">
        <w:rPr>
          <w:noProof/>
          <w:lang w:eastAsia="en-GB"/>
        </w:rPr>
        <w:t xml:space="preserve">by internalising the carbon footprint of waste disposal and </w:t>
      </w:r>
      <w:r w:rsidR="009C4E4B" w:rsidRPr="00244D65">
        <w:rPr>
          <w:noProof/>
        </w:rPr>
        <w:t>financially incentivising the business case for</w:t>
      </w:r>
      <w:r w:rsidR="009C4E4B" w:rsidRPr="00244D65">
        <w:rPr>
          <w:noProof/>
          <w:lang w:eastAsia="en-GB"/>
        </w:rPr>
        <w:t xml:space="preserve"> separate waste collection, sorting, material and carbon recovery and recycling, PO2 and PO3 contribute to the ambition set out in the Competitiveness Compass and the Clean Industrial Deal to make the EU the world leader on the circular economy by 2030, to double the amount of circular materials by 2030, and to establish a clear link between incentives for decarbonisation and circularity efforts by industry</w:t>
      </w:r>
      <w:r>
        <w:rPr>
          <w:noProof/>
          <w:lang w:eastAsia="en-GB"/>
        </w:rPr>
        <w:t>.</w:t>
      </w:r>
      <w:r w:rsidR="00514AD5" w:rsidRPr="00244D65">
        <w:rPr>
          <w:noProof/>
          <w:lang w:eastAsia="en-GB"/>
        </w:rPr>
        <w:t xml:space="preserve"> </w:t>
      </w:r>
      <w:r w:rsidR="00DB1379" w:rsidRPr="00244D65">
        <w:rPr>
          <w:noProof/>
          <w:lang w:eastAsia="en-GB"/>
        </w:rPr>
        <w:t>C</w:t>
      </w:r>
      <w:r w:rsidR="007C6345" w:rsidRPr="00244D65">
        <w:rPr>
          <w:rFonts w:eastAsia="Arial"/>
          <w:noProof/>
        </w:rPr>
        <w:t>ircular economy activities</w:t>
      </w:r>
      <w:r w:rsidR="001C06F4" w:rsidRPr="00244D65">
        <w:rPr>
          <w:rFonts w:eastAsia="Arial"/>
          <w:noProof/>
        </w:rPr>
        <w:t xml:space="preserve"> already </w:t>
      </w:r>
      <w:r w:rsidR="007C6345" w:rsidRPr="00244D65">
        <w:rPr>
          <w:rFonts w:eastAsia="Arial"/>
          <w:noProof/>
        </w:rPr>
        <w:t>represent around</w:t>
      </w:r>
      <w:r w:rsidR="00673A48" w:rsidRPr="00244D65">
        <w:rPr>
          <w:rFonts w:eastAsia="Arial"/>
          <w:noProof/>
        </w:rPr>
        <w:t xml:space="preserve"> 1-2% of EU </w:t>
      </w:r>
      <w:r w:rsidR="007C6345" w:rsidRPr="00244D65">
        <w:rPr>
          <w:rFonts w:eastAsia="Arial"/>
          <w:noProof/>
        </w:rPr>
        <w:t>GDP</w:t>
      </w:r>
      <w:r w:rsidR="007C6345" w:rsidRPr="00244D65">
        <w:rPr>
          <w:rFonts w:eastAsia="Arial"/>
          <w:noProof/>
          <w:vertAlign w:val="superscript"/>
        </w:rPr>
        <w:footnoteReference w:id="86"/>
      </w:r>
      <w:r w:rsidR="00673A48" w:rsidRPr="00244D65">
        <w:rPr>
          <w:rFonts w:eastAsia="Arial"/>
          <w:noProof/>
        </w:rPr>
        <w:t xml:space="preserve"> and </w:t>
      </w:r>
      <w:r w:rsidR="00DB1379" w:rsidRPr="00244D65">
        <w:rPr>
          <w:rFonts w:eastAsia="Arial"/>
          <w:noProof/>
        </w:rPr>
        <w:t xml:space="preserve">generated </w:t>
      </w:r>
      <w:r w:rsidR="007C6345" w:rsidRPr="00244D65">
        <w:rPr>
          <w:rFonts w:eastAsia="Arial"/>
          <w:noProof/>
        </w:rPr>
        <w:t xml:space="preserve">almost </w:t>
      </w:r>
      <w:r w:rsidR="00DB1379" w:rsidRPr="00244D65">
        <w:rPr>
          <w:rFonts w:eastAsia="Arial"/>
          <w:noProof/>
        </w:rPr>
        <w:t xml:space="preserve">EUR </w:t>
      </w:r>
      <w:r w:rsidR="007C6345" w:rsidRPr="00244D65">
        <w:rPr>
          <w:rFonts w:eastAsia="Arial"/>
          <w:noProof/>
        </w:rPr>
        <w:t>300</w:t>
      </w:r>
      <w:r w:rsidR="00673A48" w:rsidRPr="00244D65">
        <w:rPr>
          <w:noProof/>
          <w:lang w:eastAsia="en-GB"/>
        </w:rPr>
        <w:t xml:space="preserve"> billion in gross value added</w:t>
      </w:r>
      <w:r w:rsidR="008A58EC" w:rsidRPr="00244D65">
        <w:rPr>
          <w:noProof/>
          <w:lang w:eastAsia="en-GB"/>
        </w:rPr>
        <w:t>,</w:t>
      </w:r>
      <w:r w:rsidR="00673A48" w:rsidRPr="00244D65">
        <w:rPr>
          <w:noProof/>
          <w:lang w:eastAsia="en-GB"/>
        </w:rPr>
        <w:t xml:space="preserve"> alongside </w:t>
      </w:r>
      <w:r w:rsidR="008A58EC" w:rsidRPr="00244D65">
        <w:rPr>
          <w:noProof/>
          <w:lang w:eastAsia="en-GB"/>
        </w:rPr>
        <w:t xml:space="preserve">EUR </w:t>
      </w:r>
      <w:r w:rsidR="00DB4702" w:rsidRPr="00244D65">
        <w:rPr>
          <w:noProof/>
          <w:lang w:eastAsia="en-GB"/>
        </w:rPr>
        <w:t>122</w:t>
      </w:r>
      <w:r w:rsidR="00673A48" w:rsidRPr="00244D65">
        <w:rPr>
          <w:noProof/>
          <w:lang w:eastAsia="en-GB"/>
        </w:rPr>
        <w:t xml:space="preserve"> billion in private </w:t>
      </w:r>
      <w:r w:rsidR="007C6345" w:rsidRPr="00244D65">
        <w:rPr>
          <w:rFonts w:eastAsia="Arial"/>
          <w:noProof/>
        </w:rPr>
        <w:t>investment</w:t>
      </w:r>
      <w:r w:rsidR="008A58EC" w:rsidRPr="00244D65">
        <w:rPr>
          <w:rFonts w:eastAsia="Arial"/>
          <w:noProof/>
        </w:rPr>
        <w:t>,</w:t>
      </w:r>
      <w:r w:rsidR="007C6345" w:rsidRPr="00244D65">
        <w:rPr>
          <w:rFonts w:eastAsia="Arial"/>
          <w:noProof/>
        </w:rPr>
        <w:t xml:space="preserve"> in </w:t>
      </w:r>
      <w:r w:rsidR="00673A48" w:rsidRPr="00244D65">
        <w:rPr>
          <w:noProof/>
          <w:lang w:eastAsia="en-GB"/>
        </w:rPr>
        <w:t>2021</w:t>
      </w:r>
      <w:r w:rsidR="007C6345" w:rsidRPr="00244D65">
        <w:rPr>
          <w:rStyle w:val="FootnoteReference"/>
          <w:rFonts w:eastAsia="Arial"/>
          <w:noProof/>
        </w:rPr>
        <w:footnoteReference w:id="87"/>
      </w:r>
      <w:r w:rsidR="00673A48" w:rsidRPr="00244D65">
        <w:rPr>
          <w:noProof/>
          <w:lang w:eastAsia="en-GB"/>
        </w:rPr>
        <w:t xml:space="preserve">. </w:t>
      </w:r>
      <w:r w:rsidR="00803F95" w:rsidRPr="00244D65">
        <w:rPr>
          <w:noProof/>
          <w:lang w:eastAsia="en-GB"/>
        </w:rPr>
        <w:t>The European remanufacturing market’s circular potential is projected to grow from its current value of EUR 31 billion to EUR 100 billion by 2030, creating 500,000 new jobs</w:t>
      </w:r>
      <w:r w:rsidR="00FE3A2B" w:rsidRPr="00244D65">
        <w:rPr>
          <w:rStyle w:val="FootnoteReference"/>
          <w:noProof/>
          <w:lang w:eastAsia="en-GB"/>
        </w:rPr>
        <w:footnoteReference w:id="88"/>
      </w:r>
      <w:r w:rsidR="00FE3A2B" w:rsidRPr="00244D65">
        <w:rPr>
          <w:noProof/>
          <w:lang w:eastAsia="en-GB"/>
        </w:rPr>
        <w:t xml:space="preserve">, with PO2 and PO3 projected to foster the growth of the EU circular economy and recycling sector. </w:t>
      </w:r>
      <w:r w:rsidR="00D542B7" w:rsidRPr="00244D65">
        <w:rPr>
          <w:noProof/>
          <w:lang w:eastAsia="en-GB"/>
        </w:rPr>
        <w:t>The impact is expected to be significant for PO2</w:t>
      </w:r>
      <w:r w:rsidR="009C5B0E" w:rsidRPr="00244D65">
        <w:rPr>
          <w:noProof/>
          <w:lang w:eastAsia="en-GB"/>
        </w:rPr>
        <w:t>,</w:t>
      </w:r>
      <w:r w:rsidR="00D542B7" w:rsidRPr="00244D65">
        <w:rPr>
          <w:noProof/>
          <w:lang w:eastAsia="en-GB"/>
        </w:rPr>
        <w:t xml:space="preserve"> and comparatively highest for PO3, while no change compared to the baseline is expected under PO1.</w:t>
      </w:r>
      <w:r w:rsidR="00E672C2" w:rsidRPr="00244D65">
        <w:rPr>
          <w:noProof/>
          <w:lang w:eastAsia="en-GB"/>
        </w:rPr>
        <w:t xml:space="preserve"> </w:t>
      </w:r>
      <w:r w:rsidR="001E561B" w:rsidRPr="00244D65">
        <w:rPr>
          <w:noProof/>
          <w:lang w:eastAsia="en-GB"/>
        </w:rPr>
        <w:t xml:space="preserve">Accelerating the </w:t>
      </w:r>
      <w:r w:rsidR="00AA053A" w:rsidRPr="00244D65">
        <w:rPr>
          <w:noProof/>
          <w:lang w:eastAsia="en-GB"/>
        </w:rPr>
        <w:t>joint</w:t>
      </w:r>
      <w:r w:rsidR="001E561B" w:rsidRPr="00244D65">
        <w:rPr>
          <w:noProof/>
          <w:lang w:eastAsia="en-GB"/>
        </w:rPr>
        <w:t xml:space="preserve"> transition to more circularity and decarbonisation of waste increases the EU’s economic security, resilience and competitiveness</w:t>
      </w:r>
      <w:r w:rsidR="00095FDA" w:rsidRPr="00244D65">
        <w:rPr>
          <w:noProof/>
          <w:lang w:eastAsia="en-GB"/>
        </w:rPr>
        <w:t xml:space="preserve"> </w:t>
      </w:r>
      <w:r w:rsidR="00673A48" w:rsidRPr="00244D65">
        <w:rPr>
          <w:noProof/>
          <w:lang w:eastAsia="en-GB"/>
        </w:rPr>
        <w:t xml:space="preserve">by reducing </w:t>
      </w:r>
      <w:r w:rsidR="000A37BD" w:rsidRPr="00244D65">
        <w:rPr>
          <w:noProof/>
          <w:lang w:eastAsia="en-GB"/>
        </w:rPr>
        <w:t xml:space="preserve">global </w:t>
      </w:r>
      <w:r w:rsidR="00313B9C" w:rsidRPr="00244D65">
        <w:rPr>
          <w:noProof/>
          <w:lang w:eastAsia="en-GB"/>
        </w:rPr>
        <w:t xml:space="preserve">dependencies </w:t>
      </w:r>
      <w:r w:rsidR="00673A48" w:rsidRPr="00244D65">
        <w:rPr>
          <w:noProof/>
          <w:lang w:eastAsia="en-GB"/>
        </w:rPr>
        <w:t>on imported virgin materials</w:t>
      </w:r>
      <w:r w:rsidR="00C123D5" w:rsidRPr="00244D65">
        <w:rPr>
          <w:noProof/>
          <w:lang w:eastAsia="en-GB"/>
        </w:rPr>
        <w:t xml:space="preserve"> and </w:t>
      </w:r>
      <w:r w:rsidR="00FC3ECF" w:rsidRPr="00244D65">
        <w:rPr>
          <w:noProof/>
          <w:lang w:eastAsia="en-GB"/>
        </w:rPr>
        <w:t>price volatility</w:t>
      </w:r>
      <w:r w:rsidR="00673A48" w:rsidRPr="00244D65">
        <w:rPr>
          <w:noProof/>
          <w:lang w:eastAsia="en-GB"/>
        </w:rPr>
        <w:t xml:space="preserve">, improving resource productivity, </w:t>
      </w:r>
      <w:r w:rsidR="00095FDA" w:rsidRPr="00244D65">
        <w:rPr>
          <w:noProof/>
          <w:lang w:eastAsia="en-GB"/>
        </w:rPr>
        <w:t xml:space="preserve">job creation </w:t>
      </w:r>
      <w:r w:rsidR="00673A48" w:rsidRPr="00244D65">
        <w:rPr>
          <w:noProof/>
          <w:lang w:eastAsia="en-GB"/>
        </w:rPr>
        <w:t>and strengthening innovation.</w:t>
      </w:r>
    </w:p>
    <w:p w14:paraId="1CBD049C" w14:textId="77777777" w:rsidR="00E251AF" w:rsidRPr="00244D65" w:rsidRDefault="005760A2" w:rsidP="0085595C">
      <w:pPr>
        <w:rPr>
          <w:noProof/>
          <w:lang w:eastAsia="en-GB"/>
        </w:rPr>
      </w:pPr>
      <w:r w:rsidRPr="00244D65">
        <w:rPr>
          <w:noProof/>
          <w:lang w:eastAsia="en-GB"/>
        </w:rPr>
        <w:t>Finally</w:t>
      </w:r>
      <w:r w:rsidR="00D61801" w:rsidRPr="00244D65">
        <w:rPr>
          <w:noProof/>
          <w:lang w:eastAsia="en-GB"/>
        </w:rPr>
        <w:t>,</w:t>
      </w:r>
      <w:r w:rsidR="0057470F" w:rsidRPr="00244D65">
        <w:rPr>
          <w:noProof/>
          <w:lang w:eastAsia="en-GB"/>
        </w:rPr>
        <w:t xml:space="preserve"> while the situation substantially differs between Member States,</w:t>
      </w:r>
      <w:r w:rsidR="00D61801" w:rsidRPr="00244D65">
        <w:rPr>
          <w:noProof/>
          <w:lang w:eastAsia="en-GB"/>
        </w:rPr>
        <w:t xml:space="preserve"> </w:t>
      </w:r>
      <w:r w:rsidR="00E35AFC" w:rsidRPr="00244D65">
        <w:rPr>
          <w:noProof/>
          <w:lang w:eastAsia="en-GB"/>
        </w:rPr>
        <w:t xml:space="preserve">in view of the EUs increasing recycling and circular economy targets, </w:t>
      </w:r>
      <w:r w:rsidRPr="00244D65">
        <w:rPr>
          <w:noProof/>
          <w:lang w:eastAsia="en-GB"/>
        </w:rPr>
        <w:t xml:space="preserve">the carbon price can also provide </w:t>
      </w:r>
      <w:r w:rsidR="00073FEF" w:rsidRPr="00244D65">
        <w:rPr>
          <w:noProof/>
          <w:lang w:eastAsia="en-GB"/>
        </w:rPr>
        <w:t>a complementary incentive</w:t>
      </w:r>
      <w:r w:rsidR="00D61801" w:rsidRPr="00244D65">
        <w:rPr>
          <w:noProof/>
          <w:lang w:eastAsia="en-GB"/>
        </w:rPr>
        <w:t xml:space="preserve"> </w:t>
      </w:r>
      <w:r w:rsidRPr="00244D65">
        <w:rPr>
          <w:noProof/>
          <w:lang w:eastAsia="en-GB"/>
        </w:rPr>
        <w:t>over time to aggregate</w:t>
      </w:r>
      <w:r w:rsidR="00D61801" w:rsidRPr="00244D65">
        <w:rPr>
          <w:noProof/>
          <w:lang w:eastAsia="en-GB"/>
        </w:rPr>
        <w:t xml:space="preserve"> infrastructure and make </w:t>
      </w:r>
      <w:r w:rsidRPr="00244D65">
        <w:rPr>
          <w:noProof/>
          <w:lang w:eastAsia="en-GB"/>
        </w:rPr>
        <w:t>waste disposal</w:t>
      </w:r>
      <w:r w:rsidR="00D61801" w:rsidRPr="00244D65">
        <w:rPr>
          <w:noProof/>
          <w:lang w:eastAsia="en-GB"/>
        </w:rPr>
        <w:t xml:space="preserve"> more efficient from an environmental and recycling point of view</w:t>
      </w:r>
      <w:r w:rsidRPr="00244D65">
        <w:rPr>
          <w:noProof/>
          <w:lang w:eastAsia="en-GB"/>
        </w:rPr>
        <w:t>.</w:t>
      </w:r>
    </w:p>
    <w:p w14:paraId="56295572" w14:textId="0A05D4AF" w:rsidR="00F77B0A" w:rsidRPr="00244D65" w:rsidRDefault="00F77B0A" w:rsidP="0085595C">
      <w:pPr>
        <w:pStyle w:val="Heading4"/>
        <w:rPr>
          <w:noProof/>
        </w:rPr>
      </w:pPr>
      <w:r w:rsidRPr="00244D65">
        <w:rPr>
          <w:noProof/>
        </w:rPr>
        <w:t>CCU</w:t>
      </w:r>
    </w:p>
    <w:p w14:paraId="56EA9507" w14:textId="30B99F7E" w:rsidR="00FD0F79" w:rsidRPr="00244D65" w:rsidRDefault="00FD0F79" w:rsidP="0085595C">
      <w:pPr>
        <w:rPr>
          <w:noProof/>
        </w:rPr>
      </w:pPr>
      <w:r w:rsidRPr="00244D65">
        <w:rPr>
          <w:noProof/>
        </w:rPr>
        <w:t xml:space="preserve">Under the </w:t>
      </w:r>
      <w:r w:rsidR="00476728" w:rsidRPr="00244D65">
        <w:rPr>
          <w:noProof/>
        </w:rPr>
        <w:t>baseline scenario,</w:t>
      </w:r>
      <w:r w:rsidRPr="00244D65">
        <w:rPr>
          <w:noProof/>
        </w:rPr>
        <w:t xml:space="preserve"> upstream accounting would make non-permanent CCU products uncompetitive </w:t>
      </w:r>
      <w:r w:rsidR="00AF0F37" w:rsidRPr="00244D65">
        <w:rPr>
          <w:noProof/>
        </w:rPr>
        <w:t xml:space="preserve">as it would require the surrender of allowances for the carbon embedded in CCU chemicals, plastics, which does not apply to </w:t>
      </w:r>
      <w:r w:rsidR="000F3BD7" w:rsidRPr="00244D65">
        <w:rPr>
          <w:noProof/>
        </w:rPr>
        <w:t>traditional virgin</w:t>
      </w:r>
      <w:r w:rsidR="009E7979" w:rsidRPr="00244D65">
        <w:rPr>
          <w:noProof/>
        </w:rPr>
        <w:t xml:space="preserve"> fossil equivalent products (for which only direct, scope 1 emissions are covered by the ETS)</w:t>
      </w:r>
      <w:r w:rsidRPr="00244D65">
        <w:rPr>
          <w:noProof/>
        </w:rPr>
        <w:t xml:space="preserve">. </w:t>
      </w:r>
      <w:r w:rsidR="00FF293D" w:rsidRPr="00244D65">
        <w:rPr>
          <w:noProof/>
        </w:rPr>
        <w:t xml:space="preserve">Furthermore, in the baseline, </w:t>
      </w:r>
      <w:r w:rsidR="0087359E" w:rsidRPr="00244D65">
        <w:rPr>
          <w:noProof/>
        </w:rPr>
        <w:t>the</w:t>
      </w:r>
      <w:r w:rsidR="00FF293D" w:rsidRPr="00244D65">
        <w:rPr>
          <w:noProof/>
        </w:rPr>
        <w:t xml:space="preserve"> limited ince</w:t>
      </w:r>
      <w:r w:rsidR="00DA476C" w:rsidRPr="00244D65">
        <w:rPr>
          <w:noProof/>
        </w:rPr>
        <w:t>n</w:t>
      </w:r>
      <w:r w:rsidR="00FF293D" w:rsidRPr="00244D65">
        <w:rPr>
          <w:noProof/>
        </w:rPr>
        <w:t>tive to invest in carbon capture</w:t>
      </w:r>
      <w:r w:rsidR="0087359E" w:rsidRPr="00244D65">
        <w:rPr>
          <w:noProof/>
        </w:rPr>
        <w:t xml:space="preserve"> results in CO</w:t>
      </w:r>
      <w:r w:rsidR="0087359E" w:rsidRPr="00244D65">
        <w:rPr>
          <w:noProof/>
          <w:vertAlign w:val="subscript"/>
        </w:rPr>
        <w:t>2</w:t>
      </w:r>
      <w:r w:rsidR="0087359E" w:rsidRPr="00244D65">
        <w:rPr>
          <w:noProof/>
        </w:rPr>
        <w:t xml:space="preserve"> feedstock </w:t>
      </w:r>
      <w:r w:rsidR="00D749BB" w:rsidRPr="00244D65">
        <w:rPr>
          <w:noProof/>
        </w:rPr>
        <w:t>being</w:t>
      </w:r>
      <w:r w:rsidRPr="00244D65">
        <w:rPr>
          <w:noProof/>
        </w:rPr>
        <w:t xml:space="preserve"> scarce and expensive</w:t>
      </w:r>
      <w:r w:rsidR="00D749BB" w:rsidRPr="00244D65">
        <w:rPr>
          <w:noProof/>
        </w:rPr>
        <w:t>, which negatively affects the</w:t>
      </w:r>
      <w:r w:rsidRPr="00244D65">
        <w:rPr>
          <w:noProof/>
        </w:rPr>
        <w:t xml:space="preserve"> business case for non-permanent CCU products. </w:t>
      </w:r>
    </w:p>
    <w:p w14:paraId="4FEC5327" w14:textId="44BDB9AF" w:rsidR="00F77B0A" w:rsidRPr="00244D65" w:rsidRDefault="00476728" w:rsidP="0085595C">
      <w:pPr>
        <w:rPr>
          <w:noProof/>
        </w:rPr>
      </w:pPr>
      <w:r w:rsidRPr="00244D65">
        <w:rPr>
          <w:noProof/>
        </w:rPr>
        <w:t xml:space="preserve">The </w:t>
      </w:r>
      <w:r w:rsidR="00D749BB" w:rsidRPr="00244D65">
        <w:rPr>
          <w:noProof/>
        </w:rPr>
        <w:t xml:space="preserve">hybrid </w:t>
      </w:r>
      <w:r w:rsidRPr="00244D65">
        <w:rPr>
          <w:noProof/>
        </w:rPr>
        <w:t xml:space="preserve">downstream </w:t>
      </w:r>
      <w:r w:rsidR="00D749BB" w:rsidRPr="00244D65">
        <w:rPr>
          <w:noProof/>
        </w:rPr>
        <w:t xml:space="preserve">and midstream </w:t>
      </w:r>
      <w:r w:rsidRPr="00244D65">
        <w:rPr>
          <w:noProof/>
        </w:rPr>
        <w:t>accounting approach</w:t>
      </w:r>
      <w:r w:rsidR="00D749BB" w:rsidRPr="00244D65">
        <w:rPr>
          <w:noProof/>
        </w:rPr>
        <w:t xml:space="preserve"> (PO2 and PO3)</w:t>
      </w:r>
      <w:r w:rsidR="000F045C" w:rsidRPr="00244D65">
        <w:rPr>
          <w:noProof/>
        </w:rPr>
        <w:t>, enabled by the integration of waste incineration in the ETS,</w:t>
      </w:r>
      <w:r w:rsidRPr="00244D65">
        <w:rPr>
          <w:noProof/>
        </w:rPr>
        <w:t xml:space="preserve"> ensures that </w:t>
      </w:r>
      <w:r w:rsidR="00D749BB" w:rsidRPr="00244D65">
        <w:rPr>
          <w:noProof/>
        </w:rPr>
        <w:t xml:space="preserve">there is a level playing field </w:t>
      </w:r>
      <w:r w:rsidR="00E0227A" w:rsidRPr="00244D65">
        <w:rPr>
          <w:noProof/>
        </w:rPr>
        <w:t xml:space="preserve">in terms of emissions accounting </w:t>
      </w:r>
      <w:r w:rsidR="00D749BB" w:rsidRPr="00244D65">
        <w:rPr>
          <w:noProof/>
        </w:rPr>
        <w:t xml:space="preserve">for </w:t>
      </w:r>
      <w:r w:rsidRPr="00244D65">
        <w:rPr>
          <w:noProof/>
        </w:rPr>
        <w:t xml:space="preserve">non-permanent CCU products </w:t>
      </w:r>
      <w:r w:rsidR="00E0227A" w:rsidRPr="00244D65">
        <w:rPr>
          <w:noProof/>
        </w:rPr>
        <w:t>and</w:t>
      </w:r>
      <w:r w:rsidRPr="00244D65">
        <w:rPr>
          <w:noProof/>
        </w:rPr>
        <w:t xml:space="preserve"> their fossil fuel equivalent. Only the combustion and process emissions from their production are reported and priced in the ETS for both type of products, while the emissions embedded in the product will be reported and paid for downstream when those emissions are realised, i.e. at the point of incineratio</w:t>
      </w:r>
      <w:r w:rsidR="000A62F1" w:rsidRPr="00244D65">
        <w:rPr>
          <w:noProof/>
        </w:rPr>
        <w:t>n. This accounting approach also provides flexibility for operators to decide whether the CO</w:t>
      </w:r>
      <w:r w:rsidR="000A62F1" w:rsidRPr="00244D65">
        <w:rPr>
          <w:noProof/>
          <w:vertAlign w:val="subscript"/>
        </w:rPr>
        <w:t>2</w:t>
      </w:r>
      <w:r w:rsidR="000A62F1" w:rsidRPr="00244D65">
        <w:rPr>
          <w:noProof/>
        </w:rPr>
        <w:t xml:space="preserve"> should be stored or utilised in different types of products or applications depending on their circumstances (location, access to CO</w:t>
      </w:r>
      <w:r w:rsidR="000A62F1" w:rsidRPr="00244D65">
        <w:rPr>
          <w:noProof/>
          <w:vertAlign w:val="subscript"/>
        </w:rPr>
        <w:t xml:space="preserve">2 </w:t>
      </w:r>
      <w:r w:rsidR="000A62F1" w:rsidRPr="00244D65">
        <w:rPr>
          <w:noProof/>
        </w:rPr>
        <w:t>infrastructure and storage, access to green H</w:t>
      </w:r>
      <w:r w:rsidR="000A62F1" w:rsidRPr="00244D65">
        <w:rPr>
          <w:noProof/>
          <w:vertAlign w:val="subscript"/>
        </w:rPr>
        <w:t xml:space="preserve">2, </w:t>
      </w:r>
      <w:r w:rsidR="000A62F1" w:rsidRPr="00244D65">
        <w:rPr>
          <w:noProof/>
        </w:rPr>
        <w:t>etc.) and the comparative costs and benefits between storing emissions, or producing different synthetic chemicals, plastics or e-fuels. For e-fuel producers this option gives more clarity on the costs and trade-offs available for sourcing different CO</w:t>
      </w:r>
      <w:r w:rsidR="000A62F1" w:rsidRPr="00244D65">
        <w:rPr>
          <w:noProof/>
          <w:vertAlign w:val="subscript"/>
        </w:rPr>
        <w:t xml:space="preserve">2 </w:t>
      </w:r>
      <w:r w:rsidR="000A62F1" w:rsidRPr="00244D65">
        <w:rPr>
          <w:noProof/>
        </w:rPr>
        <w:t>feedstock for their production process. Fossil CO</w:t>
      </w:r>
      <w:r w:rsidR="000A62F1" w:rsidRPr="00244D65">
        <w:rPr>
          <w:noProof/>
          <w:vertAlign w:val="subscript"/>
        </w:rPr>
        <w:t xml:space="preserve">2 </w:t>
      </w:r>
      <w:r w:rsidR="000A62F1" w:rsidRPr="00244D65">
        <w:rPr>
          <w:noProof/>
        </w:rPr>
        <w:t>may be more available and cheaper to capture, but it requires the surrendering of emissions of allowances, while biogenic or atmospheric CO</w:t>
      </w:r>
      <w:r w:rsidR="000A62F1" w:rsidRPr="00244D65">
        <w:rPr>
          <w:noProof/>
          <w:vertAlign w:val="subscript"/>
        </w:rPr>
        <w:t xml:space="preserve">2 </w:t>
      </w:r>
      <w:r w:rsidR="000A62F1" w:rsidRPr="00244D65">
        <w:rPr>
          <w:noProof/>
        </w:rPr>
        <w:t xml:space="preserve">may be more expensive to source, but do not require an ETS payment. </w:t>
      </w:r>
    </w:p>
    <w:p w14:paraId="236F381C" w14:textId="67424CDE" w:rsidR="00E229E3" w:rsidRPr="00244D65" w:rsidRDefault="00E229E3" w:rsidP="0085595C">
      <w:pPr>
        <w:pStyle w:val="Heading3"/>
        <w:rPr>
          <w:noProof/>
        </w:rPr>
      </w:pPr>
      <w:bookmarkStart w:id="241" w:name="_Toc234949750"/>
      <w:bookmarkStart w:id="242" w:name="_Toc232752506"/>
      <w:r w:rsidRPr="00244D65">
        <w:rPr>
          <w:noProof/>
        </w:rPr>
        <w:t>SMEs</w:t>
      </w:r>
      <w:bookmarkEnd w:id="241"/>
      <w:bookmarkEnd w:id="242"/>
    </w:p>
    <w:p w14:paraId="383EDFFA" w14:textId="0402E76A" w:rsidR="00F77B0A" w:rsidRPr="00244D65" w:rsidRDefault="00DF1A3F" w:rsidP="0085595C">
      <w:pPr>
        <w:pStyle w:val="Heading4"/>
        <w:rPr>
          <w:noProof/>
        </w:rPr>
      </w:pPr>
      <w:r w:rsidRPr="00244D65">
        <w:rPr>
          <w:noProof/>
        </w:rPr>
        <w:t xml:space="preserve"> </w:t>
      </w:r>
      <w:r w:rsidR="00F77B0A" w:rsidRPr="00244D65">
        <w:rPr>
          <w:noProof/>
        </w:rPr>
        <w:t>Aviation</w:t>
      </w:r>
    </w:p>
    <w:p w14:paraId="4BCE2F0D" w14:textId="1D5BFA67" w:rsidR="00255196" w:rsidRPr="00244D65" w:rsidRDefault="00255196" w:rsidP="0085595C">
      <w:pPr>
        <w:rPr>
          <w:noProof/>
        </w:rPr>
      </w:pPr>
      <w:r w:rsidRPr="00244D65">
        <w:rPr>
          <w:noProof/>
        </w:rPr>
        <w:t>There are more than 370 active aircraft operators in the EU ETS, and 187 of these are registered in EU countries and therefore included in this report’s analysis. </w:t>
      </w:r>
    </w:p>
    <w:p w14:paraId="104F10E4" w14:textId="5F39BEBF" w:rsidR="005719D9" w:rsidRPr="00244D65" w:rsidRDefault="003F05A5" w:rsidP="0085595C">
      <w:pPr>
        <w:rPr>
          <w:b/>
          <w:noProof/>
          <w:sz w:val="22"/>
          <w:szCs w:val="22"/>
        </w:rPr>
      </w:pPr>
      <w:r w:rsidRPr="00244D65">
        <w:rPr>
          <w:b/>
          <w:noProof/>
        </w:rPr>
        <w:t>In most</w:t>
      </w:r>
      <w:r w:rsidR="00255196" w:rsidRPr="00244D65">
        <w:rPr>
          <w:b/>
          <w:noProof/>
        </w:rPr>
        <w:t xml:space="preserve"> </w:t>
      </w:r>
      <w:r w:rsidR="008B48B3" w:rsidRPr="00244D65">
        <w:rPr>
          <w:b/>
          <w:noProof/>
        </w:rPr>
        <w:t>EU member states</w:t>
      </w:r>
      <w:r w:rsidRPr="00244D65">
        <w:rPr>
          <w:b/>
          <w:noProof/>
        </w:rPr>
        <w:t>,</w:t>
      </w:r>
      <w:r w:rsidR="008B48B3" w:rsidRPr="00244D65">
        <w:rPr>
          <w:b/>
          <w:noProof/>
        </w:rPr>
        <w:t xml:space="preserve"> </w:t>
      </w:r>
      <w:r w:rsidRPr="00244D65">
        <w:rPr>
          <w:b/>
          <w:noProof/>
        </w:rPr>
        <w:t>large enterprises own</w:t>
      </w:r>
      <w:r w:rsidR="008B48B3" w:rsidRPr="00244D65">
        <w:rPr>
          <w:b/>
          <w:noProof/>
        </w:rPr>
        <w:t xml:space="preserve"> </w:t>
      </w:r>
      <w:r w:rsidR="00255196" w:rsidRPr="00244D65">
        <w:rPr>
          <w:b/>
          <w:noProof/>
        </w:rPr>
        <w:t>a majority of</w:t>
      </w:r>
      <w:r w:rsidRPr="00244D65">
        <w:rPr>
          <w:b/>
          <w:noProof/>
        </w:rPr>
        <w:t xml:space="preserve"> </w:t>
      </w:r>
      <w:r w:rsidR="00255196" w:rsidRPr="00244D65">
        <w:rPr>
          <w:b/>
          <w:noProof/>
        </w:rPr>
        <w:t>aircraft operators</w:t>
      </w:r>
      <w:r w:rsidR="00255196" w:rsidRPr="00244D65">
        <w:rPr>
          <w:noProof/>
        </w:rPr>
        <w:t xml:space="preserve">. </w:t>
      </w:r>
      <w:r w:rsidR="00FA0C84" w:rsidRPr="00244D65">
        <w:rPr>
          <w:noProof/>
        </w:rPr>
        <w:t>In</w:t>
      </w:r>
      <w:r w:rsidR="00255196" w:rsidRPr="00244D65">
        <w:rPr>
          <w:noProof/>
        </w:rPr>
        <w:t xml:space="preserve"> 15 </w:t>
      </w:r>
      <w:r w:rsidR="00FA0C84" w:rsidRPr="00244D65">
        <w:rPr>
          <w:noProof/>
        </w:rPr>
        <w:t xml:space="preserve">member states, large enterprises own all </w:t>
      </w:r>
      <w:r w:rsidR="00255196" w:rsidRPr="00244D65">
        <w:rPr>
          <w:noProof/>
        </w:rPr>
        <w:t>aircraft</w:t>
      </w:r>
      <w:r w:rsidR="00FA0C84" w:rsidRPr="00244D65">
        <w:rPr>
          <w:noProof/>
        </w:rPr>
        <w:t xml:space="preserve"> </w:t>
      </w:r>
      <w:r w:rsidR="00255196" w:rsidRPr="00244D65">
        <w:rPr>
          <w:noProof/>
        </w:rPr>
        <w:t>operators.</w:t>
      </w:r>
      <w:r w:rsidR="00FA0C84" w:rsidRPr="00244D65">
        <w:rPr>
          <w:noProof/>
        </w:rPr>
        <w:t xml:space="preserve"> </w:t>
      </w:r>
      <w:r w:rsidR="0080784E" w:rsidRPr="00244D65">
        <w:rPr>
          <w:noProof/>
        </w:rPr>
        <w:t>In seven member states,</w:t>
      </w:r>
      <w:r w:rsidR="00255196" w:rsidRPr="00244D65">
        <w:rPr>
          <w:noProof/>
        </w:rPr>
        <w:t xml:space="preserve"> 60</w:t>
      </w:r>
      <w:r w:rsidR="0080784E" w:rsidRPr="00244D65">
        <w:rPr>
          <w:noProof/>
        </w:rPr>
        <w:t xml:space="preserve"> </w:t>
      </w:r>
      <w:r w:rsidR="00255196" w:rsidRPr="00244D65">
        <w:rPr>
          <w:noProof/>
        </w:rPr>
        <w:t>to</w:t>
      </w:r>
      <w:r w:rsidR="0080784E" w:rsidRPr="00244D65">
        <w:rPr>
          <w:noProof/>
        </w:rPr>
        <w:t xml:space="preserve"> </w:t>
      </w:r>
      <w:r w:rsidR="00255196" w:rsidRPr="00244D65">
        <w:rPr>
          <w:noProof/>
        </w:rPr>
        <w:t>95% of aircraft</w:t>
      </w:r>
      <w:r w:rsidR="0080784E" w:rsidRPr="00244D65">
        <w:rPr>
          <w:noProof/>
        </w:rPr>
        <w:t xml:space="preserve"> </w:t>
      </w:r>
      <w:r w:rsidR="00255196" w:rsidRPr="00244D65">
        <w:rPr>
          <w:noProof/>
        </w:rPr>
        <w:t xml:space="preserve">operators </w:t>
      </w:r>
      <w:r w:rsidR="0080784E" w:rsidRPr="00244D65">
        <w:rPr>
          <w:noProof/>
        </w:rPr>
        <w:t>are owned by large enterprises:</w:t>
      </w:r>
      <w:r w:rsidR="00255196" w:rsidRPr="00244D65">
        <w:rPr>
          <w:noProof/>
        </w:rPr>
        <w:t xml:space="preserve"> Bulgaria (60%), Poland (67%), Greece (75%), France (86%), Belgium (86%), Italy (88%), and Germany (93%). </w:t>
      </w:r>
      <w:r w:rsidR="0080784E" w:rsidRPr="00244D65">
        <w:rPr>
          <w:noProof/>
        </w:rPr>
        <w:t xml:space="preserve">In </w:t>
      </w:r>
      <w:r w:rsidR="00255196" w:rsidRPr="00244D65">
        <w:rPr>
          <w:noProof/>
        </w:rPr>
        <w:t>Romania</w:t>
      </w:r>
      <w:r w:rsidR="0080784E" w:rsidRPr="00244D65">
        <w:rPr>
          <w:noProof/>
        </w:rPr>
        <w:t>,</w:t>
      </w:r>
      <w:r w:rsidR="00255196" w:rsidRPr="00244D65">
        <w:rPr>
          <w:noProof/>
        </w:rPr>
        <w:t xml:space="preserve"> two thirds of aircraft</w:t>
      </w:r>
      <w:r w:rsidR="0080784E" w:rsidRPr="00244D65">
        <w:rPr>
          <w:noProof/>
        </w:rPr>
        <w:t xml:space="preserve"> </w:t>
      </w:r>
      <w:r w:rsidR="00255196" w:rsidRPr="00244D65">
        <w:rPr>
          <w:noProof/>
        </w:rPr>
        <w:t xml:space="preserve">operators </w:t>
      </w:r>
      <w:r w:rsidR="0080784E" w:rsidRPr="00244D65">
        <w:rPr>
          <w:noProof/>
        </w:rPr>
        <w:t xml:space="preserve">are </w:t>
      </w:r>
      <w:r w:rsidR="00255196" w:rsidRPr="00244D65">
        <w:rPr>
          <w:noProof/>
        </w:rPr>
        <w:t>owned by medium-sized</w:t>
      </w:r>
      <w:r w:rsidR="0080784E" w:rsidRPr="00244D65">
        <w:rPr>
          <w:noProof/>
        </w:rPr>
        <w:t xml:space="preserve"> </w:t>
      </w:r>
      <w:r w:rsidR="00255196" w:rsidRPr="00244D65">
        <w:rPr>
          <w:noProof/>
        </w:rPr>
        <w:t>enterprises. Hungary and Slovenia each have a single aircraft operator, owned respectively by a medium-sized and a small enterprise. </w:t>
      </w:r>
      <w:r w:rsidR="00975387" w:rsidRPr="00244D65">
        <w:rPr>
          <w:noProof/>
        </w:rPr>
        <w:t>For more detail, see Annex 6.</w:t>
      </w:r>
      <w:r w:rsidR="001E6457" w:rsidRPr="00244D65">
        <w:rPr>
          <w:noProof/>
          <w:sz w:val="22"/>
          <w:szCs w:val="22"/>
        </w:rPr>
        <w:fldChar w:fldCharType="begin"/>
      </w:r>
      <w:r w:rsidR="001E6457" w:rsidRPr="00244D65">
        <w:rPr>
          <w:noProof/>
          <w:sz w:val="22"/>
          <w:szCs w:val="22"/>
        </w:rPr>
        <w:instrText xml:space="preserve"> INCLUDEPICTURE  "cid:image007.png@01DC586B.AD6A6BD0" \* MERGEFORMATINET </w:instrText>
      </w:r>
      <w:r w:rsidR="001E6457" w:rsidRPr="00244D65">
        <w:rPr>
          <w:noProof/>
          <w:sz w:val="22"/>
          <w:szCs w:val="22"/>
        </w:rPr>
        <w:fldChar w:fldCharType="separate"/>
      </w:r>
      <w:r w:rsidR="001E6457" w:rsidRPr="00244D65">
        <w:rPr>
          <w:noProof/>
          <w:sz w:val="22"/>
          <w:szCs w:val="22"/>
        </w:rPr>
        <w:fldChar w:fldCharType="begin"/>
      </w:r>
      <w:r w:rsidR="001E6457" w:rsidRPr="00244D65">
        <w:rPr>
          <w:noProof/>
          <w:sz w:val="22"/>
          <w:szCs w:val="22"/>
        </w:rPr>
        <w:instrText xml:space="preserve"> INCLUDEPICTURE  "cid:image007.png@01DC586B.AD6A6BD0" \* MERGEFORMATINET </w:instrText>
      </w:r>
      <w:r w:rsidR="001E6457" w:rsidRPr="00244D65">
        <w:rPr>
          <w:noProof/>
          <w:sz w:val="22"/>
          <w:szCs w:val="22"/>
        </w:rPr>
        <w:fldChar w:fldCharType="separate"/>
      </w:r>
      <w:r w:rsidR="001E6457" w:rsidRPr="00244D65">
        <w:rPr>
          <w:noProof/>
          <w:sz w:val="22"/>
          <w:szCs w:val="22"/>
        </w:rPr>
        <w:fldChar w:fldCharType="begin"/>
      </w:r>
      <w:r w:rsidR="001E6457" w:rsidRPr="00244D65">
        <w:rPr>
          <w:noProof/>
          <w:sz w:val="22"/>
          <w:szCs w:val="22"/>
        </w:rPr>
        <w:instrText xml:space="preserve"> INCLUDEPICTURE  "cid:image007.png@01DC586B.AD6A6BD0" \* MERGEFORMATINET </w:instrText>
      </w:r>
      <w:r w:rsidR="001E6457" w:rsidRPr="00244D65">
        <w:rPr>
          <w:noProof/>
          <w:sz w:val="22"/>
          <w:szCs w:val="22"/>
        </w:rPr>
        <w:fldChar w:fldCharType="separate"/>
      </w:r>
      <w:r w:rsidR="001E6457" w:rsidRPr="00244D65">
        <w:rPr>
          <w:noProof/>
          <w:sz w:val="22"/>
          <w:szCs w:val="22"/>
        </w:rPr>
        <w:fldChar w:fldCharType="begin"/>
      </w:r>
      <w:r w:rsidR="001E6457" w:rsidRPr="00244D65">
        <w:rPr>
          <w:noProof/>
          <w:sz w:val="22"/>
          <w:szCs w:val="22"/>
        </w:rPr>
        <w:instrText xml:space="preserve"> INCLUDEPICTURE  "cid:image007.png@01DC586B.AD6A6BD0" \* MERGEFORMATINET </w:instrText>
      </w:r>
      <w:r w:rsidR="001E6457" w:rsidRPr="00244D65">
        <w:rPr>
          <w:noProof/>
          <w:sz w:val="22"/>
          <w:szCs w:val="22"/>
        </w:rPr>
        <w:fldChar w:fldCharType="separate"/>
      </w:r>
      <w:r w:rsidR="00833581" w:rsidRPr="00244D65">
        <w:rPr>
          <w:noProof/>
          <w:sz w:val="22"/>
          <w:szCs w:val="22"/>
        </w:rPr>
        <w:fldChar w:fldCharType="begin"/>
      </w:r>
      <w:r w:rsidR="00833581" w:rsidRPr="00244D65">
        <w:rPr>
          <w:noProof/>
          <w:sz w:val="22"/>
          <w:szCs w:val="22"/>
        </w:rPr>
        <w:instrText xml:space="preserve"> INCLUDEPICTURE  "cid:image007.png@01DC586B.AD6A6BD0" \* MERGEFORMATINET </w:instrText>
      </w:r>
      <w:r w:rsidR="00833581" w:rsidRPr="00244D65">
        <w:rPr>
          <w:noProof/>
          <w:sz w:val="22"/>
          <w:szCs w:val="22"/>
        </w:rPr>
        <w:fldChar w:fldCharType="separate"/>
      </w:r>
      <w:r w:rsidR="00587432" w:rsidRPr="00244D65">
        <w:rPr>
          <w:noProof/>
          <w:sz w:val="22"/>
          <w:szCs w:val="22"/>
        </w:rPr>
        <w:fldChar w:fldCharType="begin"/>
      </w:r>
      <w:r w:rsidR="00587432" w:rsidRPr="00244D65">
        <w:rPr>
          <w:noProof/>
          <w:sz w:val="22"/>
          <w:szCs w:val="22"/>
        </w:rPr>
        <w:instrText xml:space="preserve"> INCLUDEPICTURE  "cid:image007.png@01DC586B.AD6A6BD0" \* MERGEFORMATINET </w:instrText>
      </w:r>
      <w:r w:rsidR="00587432" w:rsidRPr="00244D65">
        <w:rPr>
          <w:noProof/>
          <w:sz w:val="22"/>
          <w:szCs w:val="22"/>
        </w:rPr>
        <w:fldChar w:fldCharType="separate"/>
      </w:r>
      <w:r w:rsidR="001E3B01" w:rsidRPr="00244D65">
        <w:rPr>
          <w:noProof/>
          <w:sz w:val="22"/>
          <w:szCs w:val="22"/>
        </w:rPr>
        <w:fldChar w:fldCharType="begin"/>
      </w:r>
      <w:r w:rsidR="001E3B01" w:rsidRPr="00244D65">
        <w:rPr>
          <w:noProof/>
          <w:sz w:val="22"/>
          <w:szCs w:val="22"/>
        </w:rPr>
        <w:instrText xml:space="preserve"> INCLUDEPICTURE  "cid:image007.png@01DC586B.AD6A6BD0" \* MERGEFORMATINET </w:instrText>
      </w:r>
      <w:r w:rsidR="001E3B01" w:rsidRPr="00244D65">
        <w:rPr>
          <w:noProof/>
          <w:sz w:val="22"/>
          <w:szCs w:val="22"/>
        </w:rPr>
        <w:fldChar w:fldCharType="separate"/>
      </w:r>
      <w:r>
        <w:rPr>
          <w:noProof/>
          <w:sz w:val="22"/>
          <w:szCs w:val="22"/>
        </w:rPr>
        <w:fldChar w:fldCharType="begin"/>
      </w:r>
      <w:r>
        <w:rPr>
          <w:noProof/>
          <w:sz w:val="22"/>
          <w:szCs w:val="22"/>
        </w:rPr>
        <w:instrText xml:space="preserve"> INCLUDEPICTURE  "cid:image007.png@01DC586B.AD6A6BD0" \* MERGEFORMATINET </w:instrText>
      </w:r>
      <w:r>
        <w:rPr>
          <w:noProof/>
          <w:sz w:val="22"/>
          <w:szCs w:val="22"/>
        </w:rPr>
        <w:fldChar w:fldCharType="end"/>
      </w:r>
      <w:r w:rsidR="001E3B01" w:rsidRPr="00244D65">
        <w:rPr>
          <w:noProof/>
          <w:sz w:val="22"/>
          <w:szCs w:val="22"/>
        </w:rPr>
        <w:fldChar w:fldCharType="end"/>
      </w:r>
      <w:r w:rsidR="00587432" w:rsidRPr="00244D65">
        <w:rPr>
          <w:noProof/>
          <w:sz w:val="22"/>
          <w:szCs w:val="22"/>
        </w:rPr>
        <w:fldChar w:fldCharType="end"/>
      </w:r>
      <w:r w:rsidR="00833581" w:rsidRPr="00244D65">
        <w:rPr>
          <w:noProof/>
          <w:sz w:val="22"/>
          <w:szCs w:val="22"/>
        </w:rPr>
        <w:fldChar w:fldCharType="end"/>
      </w:r>
      <w:r w:rsidR="001E6457" w:rsidRPr="00244D65">
        <w:rPr>
          <w:noProof/>
          <w:sz w:val="22"/>
          <w:szCs w:val="22"/>
        </w:rPr>
        <w:fldChar w:fldCharType="end"/>
      </w:r>
      <w:r w:rsidR="001E6457" w:rsidRPr="00244D65">
        <w:rPr>
          <w:noProof/>
          <w:sz w:val="22"/>
          <w:szCs w:val="22"/>
        </w:rPr>
        <w:fldChar w:fldCharType="end"/>
      </w:r>
      <w:r w:rsidR="001E6457" w:rsidRPr="00244D65">
        <w:rPr>
          <w:noProof/>
          <w:sz w:val="22"/>
          <w:szCs w:val="22"/>
        </w:rPr>
        <w:fldChar w:fldCharType="end"/>
      </w:r>
      <w:r w:rsidR="001E6457" w:rsidRPr="00244D65">
        <w:rPr>
          <w:noProof/>
          <w:sz w:val="22"/>
          <w:szCs w:val="22"/>
        </w:rPr>
        <w:fldChar w:fldCharType="end"/>
      </w:r>
    </w:p>
    <w:p w14:paraId="5F23475F" w14:textId="22AAA070" w:rsidR="00F77B0A" w:rsidRPr="00244D65" w:rsidRDefault="00DF1A3F" w:rsidP="0085595C">
      <w:pPr>
        <w:pStyle w:val="Heading4"/>
        <w:rPr>
          <w:noProof/>
        </w:rPr>
      </w:pPr>
      <w:r w:rsidRPr="00244D65">
        <w:rPr>
          <w:noProof/>
        </w:rPr>
        <w:t xml:space="preserve"> </w:t>
      </w:r>
      <w:r w:rsidR="00F77B0A" w:rsidRPr="00244D65">
        <w:rPr>
          <w:noProof/>
        </w:rPr>
        <w:t>Maritime</w:t>
      </w:r>
    </w:p>
    <w:p w14:paraId="0B41BDA0" w14:textId="5E5F0EE5" w:rsidR="00B25DC6" w:rsidRPr="00244D65" w:rsidRDefault="00537140" w:rsidP="0085595C">
      <w:pPr>
        <w:rPr>
          <w:noProof/>
          <w:lang w:eastAsia="en-GB"/>
        </w:rPr>
      </w:pPr>
      <w:r w:rsidRPr="00244D65">
        <w:rPr>
          <w:rStyle w:val="normaltextrun"/>
          <w:noProof/>
        </w:rPr>
        <w:t xml:space="preserve">The extension of the ETS to smaller vessels under PO2 is expected to </w:t>
      </w:r>
      <w:r w:rsidRPr="00244D65">
        <w:rPr>
          <w:rStyle w:val="normaltextrun"/>
          <w:b/>
          <w:bCs/>
          <w:noProof/>
        </w:rPr>
        <w:t>primarily affect SMEs</w:t>
      </w:r>
      <w:r w:rsidRPr="00244D65">
        <w:rPr>
          <w:rStyle w:val="normaltextrun"/>
          <w:noProof/>
        </w:rPr>
        <w:t>, since companies managing smaller vessels tend to be on average smaller (i.e. 1</w:t>
      </w:r>
      <w:r w:rsidR="00F00DEA" w:rsidRPr="00244D65">
        <w:rPr>
          <w:rStyle w:val="normaltextrun"/>
          <w:noProof/>
        </w:rPr>
        <w:t>.</w:t>
      </w:r>
      <w:r w:rsidRPr="00244D65">
        <w:rPr>
          <w:rStyle w:val="normaltextrun"/>
          <w:noProof/>
        </w:rPr>
        <w:t>6 vessels per company) than those already reporting under the EU maritime MRV (2</w:t>
      </w:r>
      <w:r w:rsidR="00F00DEA" w:rsidRPr="00244D65">
        <w:rPr>
          <w:rStyle w:val="normaltextrun"/>
          <w:noProof/>
        </w:rPr>
        <w:t>.</w:t>
      </w:r>
      <w:r w:rsidRPr="00244D65">
        <w:rPr>
          <w:rStyle w:val="normaltextrun"/>
          <w:noProof/>
        </w:rPr>
        <w:t>6 vessels per company). In addition, most companies managing smaller vessels would be new to the MRV and ETS system and would need to set up and familiarise themselves with MRV and ETS processes. A key disadvantage for SMEs is their more limited capacity to absorb additional administrative costs. While some administrative costs borne by shipping companies are dependent on fleet size, other costs are fixed. As such, the proportionate administrative burden is likely to be higher for smaller businesses who do not benefit from significant economies of scale. SMEs in the maritime sector are expected to sell or buy allowances via intermediary traders mainly from the financial sector instead of participating directly in the primary</w:t>
      </w:r>
      <w:r w:rsidR="002938F6" w:rsidRPr="00244D65">
        <w:rPr>
          <w:rStyle w:val="normaltextrun"/>
          <w:noProof/>
        </w:rPr>
        <w:t xml:space="preserve"> or</w:t>
      </w:r>
      <w:r w:rsidRPr="00244D65">
        <w:rPr>
          <w:rStyle w:val="normaltextrun"/>
          <w:noProof/>
        </w:rPr>
        <w:t xml:space="preserve"> secondary markets. Another key disadvantage for SMEs is their limited ability to access financing for capital investments in low-carbon technologies (e.g., alternative propulsion systems or onboard carbon capture). This constraint may reduce the range of greenhouse gas abatement options available to them, potentially increasing their exposure to ETS-related costs in the short term.</w:t>
      </w:r>
      <w:r w:rsidRPr="00244D65">
        <w:rPr>
          <w:rStyle w:val="eop"/>
          <w:noProof/>
        </w:rPr>
        <w:t> </w:t>
      </w:r>
    </w:p>
    <w:p w14:paraId="6775E146" w14:textId="518B2B5E" w:rsidR="00F77B0A" w:rsidRPr="00244D65" w:rsidRDefault="00DF1A3F" w:rsidP="0085595C">
      <w:pPr>
        <w:pStyle w:val="Heading4"/>
        <w:rPr>
          <w:noProof/>
        </w:rPr>
      </w:pPr>
      <w:r w:rsidRPr="00244D65">
        <w:rPr>
          <w:noProof/>
        </w:rPr>
        <w:t xml:space="preserve"> </w:t>
      </w:r>
      <w:r w:rsidR="00545A2C" w:rsidRPr="00244D65">
        <w:rPr>
          <w:noProof/>
        </w:rPr>
        <w:t>Carbon leakage prevention</w:t>
      </w:r>
    </w:p>
    <w:p w14:paraId="0BC15978" w14:textId="56EA2DD0" w:rsidR="00006F3E" w:rsidRPr="00244D65" w:rsidRDefault="001436E1" w:rsidP="0085595C">
      <w:pPr>
        <w:rPr>
          <w:noProof/>
        </w:rPr>
      </w:pPr>
      <w:r w:rsidRPr="00244D65">
        <w:rPr>
          <w:noProof/>
        </w:rPr>
        <w:t>B</w:t>
      </w:r>
      <w:r w:rsidR="00006F3E" w:rsidRPr="00244D65">
        <w:rPr>
          <w:noProof/>
        </w:rPr>
        <w:t>usinesses most likely to be affected by the policy measures were identified by using the preliminary NIMs dataset to categorise sub-installation information for selected non-CBAM sectors into different tCO</w:t>
      </w:r>
      <w:r w:rsidR="00006F3E" w:rsidRPr="00244D65">
        <w:rPr>
          <w:noProof/>
          <w:vertAlign w:val="subscript"/>
        </w:rPr>
        <w:t>2</w:t>
      </w:r>
      <w:r w:rsidR="00006F3E" w:rsidRPr="00244D65">
        <w:rPr>
          <w:noProof/>
        </w:rPr>
        <w:t xml:space="preserve"> emission ranges. However, SMEs cannot be directly identified from the ETS data available and therefore proxy measures based on low </w:t>
      </w:r>
      <w:r w:rsidR="00E83E34" w:rsidRPr="00244D65">
        <w:rPr>
          <w:noProof/>
        </w:rPr>
        <w:t xml:space="preserve">direct </w:t>
      </w:r>
      <w:r w:rsidR="00006F3E" w:rsidRPr="00244D65">
        <w:rPr>
          <w:noProof/>
        </w:rPr>
        <w:t xml:space="preserve">emissions </w:t>
      </w:r>
      <w:r w:rsidR="00E83E34" w:rsidRPr="00244D65">
        <w:rPr>
          <w:noProof/>
        </w:rPr>
        <w:t xml:space="preserve">or low electricity consumption (for indirect </w:t>
      </w:r>
      <w:r w:rsidR="203769DC" w:rsidRPr="00244D65">
        <w:rPr>
          <w:noProof/>
        </w:rPr>
        <w:t>emissions</w:t>
      </w:r>
      <w:r w:rsidR="00E83E34" w:rsidRPr="00244D65">
        <w:rPr>
          <w:noProof/>
        </w:rPr>
        <w:t>)</w:t>
      </w:r>
      <w:r w:rsidR="00006F3E" w:rsidRPr="00244D65">
        <w:rPr>
          <w:noProof/>
        </w:rPr>
        <w:t xml:space="preserve"> are adopted for the SME test.</w:t>
      </w:r>
      <w:r w:rsidR="00E71C55" w:rsidRPr="00244D65">
        <w:rPr>
          <w:noProof/>
        </w:rPr>
        <w:t xml:space="preserve"> </w:t>
      </w:r>
      <w:r w:rsidR="00656DD7" w:rsidRPr="00244D65">
        <w:rPr>
          <w:noProof/>
        </w:rPr>
        <w:t xml:space="preserve">Annex 6 </w:t>
      </w:r>
      <w:r w:rsidR="001D4BBA" w:rsidRPr="00244D65">
        <w:rPr>
          <w:noProof/>
        </w:rPr>
        <w:t>contains</w:t>
      </w:r>
      <w:r w:rsidR="00656DD7" w:rsidRPr="00244D65">
        <w:rPr>
          <w:noProof/>
        </w:rPr>
        <w:t xml:space="preserve"> further a</w:t>
      </w:r>
      <w:r w:rsidR="005308B2" w:rsidRPr="00244D65">
        <w:rPr>
          <w:noProof/>
        </w:rPr>
        <w:t>nalysis</w:t>
      </w:r>
      <w:r w:rsidR="001D4BBA" w:rsidRPr="00244D65">
        <w:rPr>
          <w:noProof/>
        </w:rPr>
        <w:t>, using non-ETS data,</w:t>
      </w:r>
      <w:r w:rsidR="005308B2" w:rsidRPr="00244D65">
        <w:rPr>
          <w:noProof/>
        </w:rPr>
        <w:t xml:space="preserve"> of the</w:t>
      </w:r>
      <w:r w:rsidR="001D4BBA" w:rsidRPr="00244D65">
        <w:rPr>
          <w:noProof/>
        </w:rPr>
        <w:t xml:space="preserve"> potential presence of SMEs among ETS-regulated installations.</w:t>
      </w:r>
      <w:r w:rsidR="005308B2" w:rsidRPr="00244D65">
        <w:rPr>
          <w:noProof/>
        </w:rPr>
        <w:t xml:space="preserve"> </w:t>
      </w:r>
    </w:p>
    <w:p w14:paraId="13920413" w14:textId="70EC7361" w:rsidR="00006F3E" w:rsidRPr="00244D65" w:rsidRDefault="00006F3E" w:rsidP="0085595C">
      <w:pPr>
        <w:rPr>
          <w:noProof/>
        </w:rPr>
      </w:pPr>
      <w:r w:rsidRPr="00244D65">
        <w:rPr>
          <w:noProof/>
        </w:rPr>
        <w:t>For the non-CBAM sectors, the lime and refined oil sectors have the lowest shares of their total sub-installations that emit under 5,000 tCO</w:t>
      </w:r>
      <w:r w:rsidRPr="00244D65">
        <w:rPr>
          <w:noProof/>
          <w:vertAlign w:val="subscript"/>
        </w:rPr>
        <w:t xml:space="preserve">2 </w:t>
      </w:r>
      <w:r w:rsidRPr="00244D65">
        <w:rPr>
          <w:noProof/>
        </w:rPr>
        <w:t>(under 20% and around 20% respectively)</w:t>
      </w:r>
      <w:r w:rsidR="00B438CF" w:rsidRPr="00244D65">
        <w:rPr>
          <w:noProof/>
        </w:rPr>
        <w:t>,</w:t>
      </w:r>
      <w:r w:rsidRPr="00244D65">
        <w:rPr>
          <w:noProof/>
        </w:rPr>
        <w:t xml:space="preserve"> while the ceramics and paper and paperboard sectors have the highest shares accounting for over 60% and 50% of their total sub-installations respectively. The chemical sectors both organic and inorganic are within this range with a 34% and 36% share of their total sub-installations that emit under 5,000 tCO</w:t>
      </w:r>
      <w:r w:rsidRPr="00244D65">
        <w:rPr>
          <w:noProof/>
          <w:vertAlign w:val="subscript"/>
        </w:rPr>
        <w:t>2</w:t>
      </w:r>
      <w:r w:rsidRPr="00244D65">
        <w:rPr>
          <w:noProof/>
        </w:rPr>
        <w:t xml:space="preserve"> respectively. </w:t>
      </w:r>
    </w:p>
    <w:p w14:paraId="3D0C7CC2" w14:textId="715C6E16" w:rsidR="00F85386" w:rsidRPr="00244D65" w:rsidRDefault="00006F3E" w:rsidP="0085595C">
      <w:pPr>
        <w:rPr>
          <w:noProof/>
        </w:rPr>
      </w:pPr>
      <w:r w:rsidRPr="00244D65">
        <w:rPr>
          <w:noProof/>
        </w:rPr>
        <w:t>SME stakeholders were represented by their sector associations in the stakeholder interviews as well as having the opportunity to submit their views within the OPC itself.</w:t>
      </w:r>
      <w:r w:rsidR="000C653C" w:rsidRPr="00244D65">
        <w:rPr>
          <w:noProof/>
        </w:rPr>
        <w:t xml:space="preserve"> </w:t>
      </w:r>
      <w:r w:rsidRPr="00244D65">
        <w:rPr>
          <w:noProof/>
        </w:rPr>
        <w:t xml:space="preserve">In terms of the impact of the policy measures on SMEs within the non-CBAM sectors, the consultation exercise collected evidence that the concerns raised (i.e. increased direct carbon costs and a loss of international competitiveness) are very similar in nature to larger emitters but that the magnitude of the impact may be greater. It is to be expected that </w:t>
      </w:r>
      <w:r w:rsidR="009E01AE" w:rsidRPr="00244D65">
        <w:rPr>
          <w:noProof/>
        </w:rPr>
        <w:t>CL1 (</w:t>
      </w:r>
      <w:r w:rsidRPr="00244D65">
        <w:rPr>
          <w:noProof/>
        </w:rPr>
        <w:t>PO1</w:t>
      </w:r>
      <w:r w:rsidR="009E01AE" w:rsidRPr="00244D65">
        <w:rPr>
          <w:noProof/>
        </w:rPr>
        <w:t>)</w:t>
      </w:r>
      <w:r w:rsidRPr="00244D65">
        <w:rPr>
          <w:noProof/>
        </w:rPr>
        <w:t xml:space="preserve"> will have </w:t>
      </w:r>
      <w:r w:rsidR="00C5336B" w:rsidRPr="00244D65">
        <w:rPr>
          <w:noProof/>
        </w:rPr>
        <w:t>a smaller</w:t>
      </w:r>
      <w:r w:rsidRPr="00244D65">
        <w:rPr>
          <w:noProof/>
        </w:rPr>
        <w:t xml:space="preserve"> impact on SMEs than </w:t>
      </w:r>
      <w:r w:rsidR="009E01AE" w:rsidRPr="00244D65">
        <w:rPr>
          <w:noProof/>
        </w:rPr>
        <w:t>CL2 (</w:t>
      </w:r>
      <w:r w:rsidRPr="00244D65">
        <w:rPr>
          <w:noProof/>
        </w:rPr>
        <w:t>PO2</w:t>
      </w:r>
      <w:r w:rsidR="009E01AE" w:rsidRPr="00244D65">
        <w:rPr>
          <w:noProof/>
        </w:rPr>
        <w:t>)</w:t>
      </w:r>
      <w:r w:rsidRPr="00244D65">
        <w:rPr>
          <w:noProof/>
        </w:rPr>
        <w:t xml:space="preserve"> or </w:t>
      </w:r>
      <w:r w:rsidR="009E01AE" w:rsidRPr="00244D65">
        <w:rPr>
          <w:noProof/>
        </w:rPr>
        <w:t>CL3 (</w:t>
      </w:r>
      <w:r w:rsidRPr="00244D65">
        <w:rPr>
          <w:noProof/>
        </w:rPr>
        <w:t>PO3</w:t>
      </w:r>
      <w:r w:rsidR="009E01AE" w:rsidRPr="00244D65">
        <w:rPr>
          <w:noProof/>
        </w:rPr>
        <w:t>)</w:t>
      </w:r>
      <w:r w:rsidRPr="00244D65">
        <w:rPr>
          <w:noProof/>
        </w:rPr>
        <w:t xml:space="preserve"> given that the non-CBAM sectors receive more free allowances under the current approach without imposi</w:t>
      </w:r>
      <w:r w:rsidR="003F2AD8" w:rsidRPr="00244D65">
        <w:rPr>
          <w:noProof/>
        </w:rPr>
        <w:t>ng</w:t>
      </w:r>
      <w:r w:rsidRPr="00244D65">
        <w:rPr>
          <w:noProof/>
        </w:rPr>
        <w:t xml:space="preserve"> additional requirements under </w:t>
      </w:r>
      <w:r w:rsidR="00DA4AA1" w:rsidRPr="00244D65">
        <w:rPr>
          <w:noProof/>
        </w:rPr>
        <w:t>CL2 (</w:t>
      </w:r>
      <w:r w:rsidRPr="00244D65">
        <w:rPr>
          <w:noProof/>
        </w:rPr>
        <w:t>PO2</w:t>
      </w:r>
      <w:r w:rsidR="00DA4AA1" w:rsidRPr="00244D65">
        <w:rPr>
          <w:noProof/>
        </w:rPr>
        <w:t>)</w:t>
      </w:r>
      <w:r w:rsidRPr="00244D65">
        <w:rPr>
          <w:noProof/>
        </w:rPr>
        <w:t xml:space="preserve"> to comply with conditionalities or receiving less allowances under the more rapid phase out of free allocation envisaged under </w:t>
      </w:r>
      <w:r w:rsidR="009E01AE" w:rsidRPr="00244D65">
        <w:rPr>
          <w:noProof/>
        </w:rPr>
        <w:t>CL3 (</w:t>
      </w:r>
      <w:r w:rsidRPr="00244D65">
        <w:rPr>
          <w:noProof/>
        </w:rPr>
        <w:t>PO3</w:t>
      </w:r>
      <w:r w:rsidR="00DA4AA1" w:rsidRPr="00244D65">
        <w:rPr>
          <w:noProof/>
        </w:rPr>
        <w:t>)</w:t>
      </w:r>
      <w:r w:rsidRPr="00244D65">
        <w:rPr>
          <w:noProof/>
        </w:rPr>
        <w:t xml:space="preserve"> to align with CBAM sectors. Indeed, interviews with industrial stakeholders advanced the position that the introduction of further conditionalities as envisaged in </w:t>
      </w:r>
      <w:r w:rsidR="00DA4AA1" w:rsidRPr="00244D65">
        <w:rPr>
          <w:noProof/>
        </w:rPr>
        <w:t>CL2 (</w:t>
      </w:r>
      <w:r w:rsidRPr="00244D65">
        <w:rPr>
          <w:noProof/>
        </w:rPr>
        <w:t>PO2</w:t>
      </w:r>
      <w:r w:rsidR="00DA4AA1" w:rsidRPr="00244D65">
        <w:rPr>
          <w:noProof/>
        </w:rPr>
        <w:t>)</w:t>
      </w:r>
      <w:r w:rsidRPr="00244D65">
        <w:rPr>
          <w:noProof/>
        </w:rPr>
        <w:t xml:space="preserve"> would impose additional administrative costs on operators and that these would </w:t>
      </w:r>
      <w:r w:rsidR="00600152" w:rsidRPr="00244D65">
        <w:rPr>
          <w:noProof/>
        </w:rPr>
        <w:t>have a higher</w:t>
      </w:r>
      <w:r w:rsidRPr="00244D65">
        <w:rPr>
          <w:noProof/>
        </w:rPr>
        <w:t xml:space="preserve"> impact SMEs. Given the strong insistence </w:t>
      </w:r>
      <w:r w:rsidR="00D746BC" w:rsidRPr="00244D65">
        <w:rPr>
          <w:noProof/>
        </w:rPr>
        <w:t>by</w:t>
      </w:r>
      <w:r w:rsidR="00581396" w:rsidRPr="00244D65">
        <w:rPr>
          <w:noProof/>
        </w:rPr>
        <w:t xml:space="preserve"> </w:t>
      </w:r>
      <w:r w:rsidRPr="00244D65">
        <w:rPr>
          <w:noProof/>
        </w:rPr>
        <w:t xml:space="preserve">industrial associations </w:t>
      </w:r>
      <w:r w:rsidR="00F70654" w:rsidRPr="00244D65">
        <w:rPr>
          <w:noProof/>
        </w:rPr>
        <w:t>regarding</w:t>
      </w:r>
      <w:r w:rsidRPr="00244D65">
        <w:rPr>
          <w:noProof/>
        </w:rPr>
        <w:t xml:space="preserve"> the </w:t>
      </w:r>
      <w:r w:rsidR="00F70654" w:rsidRPr="00244D65">
        <w:rPr>
          <w:noProof/>
        </w:rPr>
        <w:t xml:space="preserve">importance of </w:t>
      </w:r>
      <w:r w:rsidRPr="00244D65">
        <w:rPr>
          <w:noProof/>
        </w:rPr>
        <w:t>continu</w:t>
      </w:r>
      <w:r w:rsidR="00D746BC" w:rsidRPr="00244D65">
        <w:rPr>
          <w:noProof/>
        </w:rPr>
        <w:t>ed</w:t>
      </w:r>
      <w:r w:rsidRPr="00244D65">
        <w:rPr>
          <w:noProof/>
        </w:rPr>
        <w:t xml:space="preserve"> free allocation, </w:t>
      </w:r>
      <w:r w:rsidR="00DA4AA1" w:rsidRPr="00244D65">
        <w:rPr>
          <w:noProof/>
        </w:rPr>
        <w:t>CL3(</w:t>
      </w:r>
      <w:r w:rsidRPr="00244D65">
        <w:rPr>
          <w:noProof/>
        </w:rPr>
        <w:t>PO3</w:t>
      </w:r>
      <w:r w:rsidR="00DA4AA1" w:rsidRPr="00244D65">
        <w:rPr>
          <w:noProof/>
        </w:rPr>
        <w:t>)</w:t>
      </w:r>
      <w:r w:rsidRPr="00244D65">
        <w:rPr>
          <w:noProof/>
        </w:rPr>
        <w:t xml:space="preserve"> would increase the risk of carbon </w:t>
      </w:r>
      <w:r w:rsidR="200B30C3" w:rsidRPr="00244D65">
        <w:rPr>
          <w:noProof/>
        </w:rPr>
        <w:t>leakage,</w:t>
      </w:r>
      <w:r w:rsidRPr="00244D65">
        <w:rPr>
          <w:noProof/>
        </w:rPr>
        <w:t xml:space="preserve"> and this risk would be even greater for SMEs.</w:t>
      </w:r>
    </w:p>
    <w:p w14:paraId="647E06BD" w14:textId="15EA6D4B" w:rsidR="002A510F" w:rsidRPr="00244D65" w:rsidRDefault="00AB63E7" w:rsidP="0085595C">
      <w:pPr>
        <w:rPr>
          <w:noProof/>
        </w:rPr>
      </w:pPr>
      <w:r w:rsidRPr="00244D65">
        <w:rPr>
          <w:noProof/>
        </w:rPr>
        <w:t>S</w:t>
      </w:r>
      <w:r w:rsidR="00414973" w:rsidRPr="00244D65">
        <w:rPr>
          <w:noProof/>
        </w:rPr>
        <w:t xml:space="preserve">mall </w:t>
      </w:r>
      <w:r w:rsidR="00E44867" w:rsidRPr="00244D65">
        <w:rPr>
          <w:noProof/>
        </w:rPr>
        <w:t>installations</w:t>
      </w:r>
      <w:r w:rsidRPr="00244D65">
        <w:rPr>
          <w:noProof/>
        </w:rPr>
        <w:t xml:space="preserve"> </w:t>
      </w:r>
      <w:r w:rsidR="00267476" w:rsidRPr="00244D65">
        <w:rPr>
          <w:noProof/>
        </w:rPr>
        <w:t>in the NIM</w:t>
      </w:r>
      <w:r w:rsidR="00F85386" w:rsidRPr="00244D65">
        <w:rPr>
          <w:noProof/>
        </w:rPr>
        <w:t>s</w:t>
      </w:r>
      <w:r w:rsidR="00267476" w:rsidRPr="00244D65">
        <w:rPr>
          <w:noProof/>
        </w:rPr>
        <w:t xml:space="preserve"> dataset were also identified </w:t>
      </w:r>
      <w:r w:rsidR="00452041" w:rsidRPr="00244D65">
        <w:rPr>
          <w:noProof/>
        </w:rPr>
        <w:t xml:space="preserve">in sectors eligible for ICC compensation and categorised </w:t>
      </w:r>
      <w:r w:rsidR="008C46CA" w:rsidRPr="00244D65">
        <w:rPr>
          <w:noProof/>
        </w:rPr>
        <w:t>according to their annual electricity consumption.</w:t>
      </w:r>
      <w:r w:rsidR="0052208A" w:rsidRPr="00244D65">
        <w:rPr>
          <w:noProof/>
        </w:rPr>
        <w:t xml:space="preserve"> </w:t>
      </w:r>
      <w:r w:rsidR="00B065E9" w:rsidRPr="00244D65">
        <w:rPr>
          <w:noProof/>
        </w:rPr>
        <w:t xml:space="preserve">The smallest installations (under 5,000 MWh) </w:t>
      </w:r>
      <w:r w:rsidR="008F0F13" w:rsidRPr="00244D65">
        <w:rPr>
          <w:noProof/>
        </w:rPr>
        <w:t>accounted for 20</w:t>
      </w:r>
      <w:r w:rsidR="00540A30" w:rsidRPr="00244D65">
        <w:rPr>
          <w:noProof/>
        </w:rPr>
        <w:t>%</w:t>
      </w:r>
      <w:r w:rsidR="008F0F13" w:rsidRPr="00244D65">
        <w:rPr>
          <w:noProof/>
        </w:rPr>
        <w:t>-35% of the total number in</w:t>
      </w:r>
      <w:r w:rsidR="00540A30" w:rsidRPr="00244D65">
        <w:rPr>
          <w:noProof/>
        </w:rPr>
        <w:t xml:space="preserve"> manufacture of other inorganic basic chemicals, aluminium production, the manufacture of basic iron and steel, and ferro-alloys and copper production</w:t>
      </w:r>
      <w:r w:rsidR="00491242" w:rsidRPr="00244D65">
        <w:rPr>
          <w:noProof/>
        </w:rPr>
        <w:t xml:space="preserve"> (see Annex 12 for details)</w:t>
      </w:r>
      <w:r w:rsidR="00540A30" w:rsidRPr="00244D65">
        <w:rPr>
          <w:noProof/>
        </w:rPr>
        <w:t>.</w:t>
      </w:r>
      <w:r w:rsidR="003E0F6B" w:rsidRPr="00244D65">
        <w:rPr>
          <w:noProof/>
        </w:rPr>
        <w:t xml:space="preserve"> This suggests that</w:t>
      </w:r>
      <w:r w:rsidR="0030183F" w:rsidRPr="00244D65">
        <w:rPr>
          <w:noProof/>
        </w:rPr>
        <w:t xml:space="preserve"> changes to ICC compens</w:t>
      </w:r>
      <w:r w:rsidR="00C43720" w:rsidRPr="00244D65">
        <w:rPr>
          <w:noProof/>
        </w:rPr>
        <w:t xml:space="preserve">ation would have the greatest effect in </w:t>
      </w:r>
      <w:r w:rsidR="003E0F6B" w:rsidRPr="00244D65">
        <w:rPr>
          <w:noProof/>
        </w:rPr>
        <w:t>these sectors</w:t>
      </w:r>
      <w:r w:rsidR="00270249" w:rsidRPr="00244D65">
        <w:rPr>
          <w:noProof/>
        </w:rPr>
        <w:t xml:space="preserve">, and that they would be most affected by </w:t>
      </w:r>
      <w:r w:rsidR="001F4A02" w:rsidRPr="00244D65">
        <w:rPr>
          <w:noProof/>
        </w:rPr>
        <w:t xml:space="preserve">the potentially larger administration effort of Option ICC2 (see </w:t>
      </w:r>
      <w:r w:rsidR="004632D6" w:rsidRPr="00244D65">
        <w:rPr>
          <w:noProof/>
        </w:rPr>
        <w:t>S</w:t>
      </w:r>
      <w:r w:rsidR="001F5833" w:rsidRPr="00244D65">
        <w:rPr>
          <w:noProof/>
        </w:rPr>
        <w:t>ection</w:t>
      </w:r>
      <w:r w:rsidR="001F4A02" w:rsidRPr="00244D65">
        <w:rPr>
          <w:noProof/>
        </w:rPr>
        <w:t xml:space="preserve"> </w:t>
      </w:r>
      <w:r w:rsidR="007A1A2F" w:rsidRPr="00244D65">
        <w:rPr>
          <w:noProof/>
        </w:rPr>
        <w:t>6.2.2.5).</w:t>
      </w:r>
    </w:p>
    <w:p w14:paraId="7CBF746C" w14:textId="4066E560" w:rsidR="00D33DC8" w:rsidRPr="00244D65" w:rsidRDefault="00CE6720" w:rsidP="0085595C">
      <w:pPr>
        <w:pStyle w:val="Heading4"/>
        <w:rPr>
          <w:noProof/>
        </w:rPr>
      </w:pPr>
      <w:r w:rsidRPr="00244D65">
        <w:rPr>
          <w:noProof/>
        </w:rPr>
        <w:t xml:space="preserve"> </w:t>
      </w:r>
      <w:r w:rsidR="00F77B0A" w:rsidRPr="00244D65">
        <w:rPr>
          <w:noProof/>
        </w:rPr>
        <w:t>Waste</w:t>
      </w:r>
    </w:p>
    <w:p w14:paraId="5781517A" w14:textId="5F8440D0" w:rsidR="00D33DC8" w:rsidRPr="00244D65" w:rsidRDefault="00D73CFB" w:rsidP="0085595C">
      <w:pPr>
        <w:rPr>
          <w:noProof/>
          <w:lang w:eastAsia="en-GB"/>
        </w:rPr>
      </w:pPr>
      <w:r w:rsidRPr="00244D65">
        <w:rPr>
          <w:noProof/>
          <w:lang w:eastAsia="en-GB"/>
        </w:rPr>
        <w:t xml:space="preserve">PO1 is not expected to have </w:t>
      </w:r>
      <w:r w:rsidR="0016759F" w:rsidRPr="00244D65">
        <w:rPr>
          <w:noProof/>
          <w:lang w:eastAsia="en-GB"/>
        </w:rPr>
        <w:t xml:space="preserve">an </w:t>
      </w:r>
      <w:r w:rsidR="00FC3ECF" w:rsidRPr="00244D65">
        <w:rPr>
          <w:noProof/>
          <w:lang w:eastAsia="en-GB"/>
        </w:rPr>
        <w:t xml:space="preserve">additional </w:t>
      </w:r>
      <w:r w:rsidRPr="00244D65">
        <w:rPr>
          <w:noProof/>
          <w:lang w:eastAsia="en-GB"/>
        </w:rPr>
        <w:t xml:space="preserve">impact on SMEs as the scope of the EU ETS is not </w:t>
      </w:r>
      <w:r w:rsidR="00FC3ECF" w:rsidRPr="00244D65">
        <w:rPr>
          <w:noProof/>
          <w:lang w:eastAsia="en-GB"/>
        </w:rPr>
        <w:t xml:space="preserve">further </w:t>
      </w:r>
      <w:r w:rsidR="0016759F" w:rsidRPr="00244D65">
        <w:rPr>
          <w:noProof/>
          <w:lang w:eastAsia="en-GB"/>
        </w:rPr>
        <w:t xml:space="preserve">expanded </w:t>
      </w:r>
      <w:r w:rsidRPr="00244D65">
        <w:rPr>
          <w:noProof/>
          <w:lang w:eastAsia="en-GB"/>
        </w:rPr>
        <w:t xml:space="preserve">to waste activities. </w:t>
      </w:r>
      <w:r w:rsidR="00FC3ECF" w:rsidRPr="00244D65">
        <w:rPr>
          <w:noProof/>
          <w:lang w:eastAsia="en-GB"/>
        </w:rPr>
        <w:t>Under PO2 and PO3, t</w:t>
      </w:r>
      <w:r w:rsidR="00DF257D" w:rsidRPr="00244D65">
        <w:rPr>
          <w:noProof/>
          <w:lang w:eastAsia="en-GB"/>
        </w:rPr>
        <w:t>he</w:t>
      </w:r>
      <w:r w:rsidR="00AA05FF" w:rsidRPr="00244D65">
        <w:rPr>
          <w:noProof/>
          <w:lang w:eastAsia="en-GB"/>
        </w:rPr>
        <w:t xml:space="preserve"> waste </w:t>
      </w:r>
      <w:r w:rsidR="00ED7953" w:rsidRPr="00244D65">
        <w:rPr>
          <w:noProof/>
          <w:lang w:eastAsia="en-GB"/>
        </w:rPr>
        <w:t xml:space="preserve">disposal </w:t>
      </w:r>
      <w:r w:rsidR="00AA05FF" w:rsidRPr="00244D65">
        <w:rPr>
          <w:noProof/>
          <w:lang w:eastAsia="en-GB"/>
        </w:rPr>
        <w:t xml:space="preserve">sector </w:t>
      </w:r>
      <w:r w:rsidR="00386348" w:rsidRPr="00244D65">
        <w:rPr>
          <w:noProof/>
          <w:lang w:eastAsia="en-GB"/>
        </w:rPr>
        <w:t xml:space="preserve">integrated in the EU ETS is characterised by a </w:t>
      </w:r>
      <w:r w:rsidR="00A6033A" w:rsidRPr="00244D65">
        <w:rPr>
          <w:noProof/>
          <w:lang w:eastAsia="en-GB"/>
        </w:rPr>
        <w:t xml:space="preserve">relatively </w:t>
      </w:r>
      <w:r w:rsidR="00E858BD" w:rsidRPr="00244D65">
        <w:rPr>
          <w:noProof/>
          <w:lang w:eastAsia="en-GB"/>
        </w:rPr>
        <w:t>high</w:t>
      </w:r>
      <w:r w:rsidR="00DF257D" w:rsidRPr="00244D65">
        <w:rPr>
          <w:noProof/>
          <w:lang w:eastAsia="en-GB"/>
        </w:rPr>
        <w:t>er</w:t>
      </w:r>
      <w:r w:rsidR="001C4787" w:rsidRPr="00244D65">
        <w:rPr>
          <w:noProof/>
          <w:lang w:eastAsia="en-GB"/>
        </w:rPr>
        <w:t xml:space="preserve"> share of </w:t>
      </w:r>
      <w:r w:rsidR="00AA05FF" w:rsidRPr="00244D65">
        <w:rPr>
          <w:noProof/>
          <w:lang w:eastAsia="en-GB"/>
        </w:rPr>
        <w:t xml:space="preserve">medium-sized enterprises compared to </w:t>
      </w:r>
      <w:r w:rsidR="00B77AE9" w:rsidRPr="00244D65">
        <w:rPr>
          <w:noProof/>
          <w:lang w:eastAsia="en-GB"/>
        </w:rPr>
        <w:t xml:space="preserve">most </w:t>
      </w:r>
      <w:r w:rsidR="00AA05FF" w:rsidRPr="00244D65">
        <w:rPr>
          <w:noProof/>
          <w:lang w:eastAsia="en-GB"/>
        </w:rPr>
        <w:t xml:space="preserve">other sectors </w:t>
      </w:r>
      <w:r w:rsidR="00DF257D" w:rsidRPr="00244D65">
        <w:rPr>
          <w:noProof/>
          <w:lang w:eastAsia="en-GB"/>
        </w:rPr>
        <w:t xml:space="preserve">currently </w:t>
      </w:r>
      <w:r w:rsidR="00AA05FF" w:rsidRPr="00244D65">
        <w:rPr>
          <w:noProof/>
          <w:lang w:eastAsia="en-GB"/>
        </w:rPr>
        <w:t>under the EU ETS</w:t>
      </w:r>
      <w:r w:rsidR="00E858BD" w:rsidRPr="00244D65">
        <w:rPr>
          <w:noProof/>
          <w:lang w:eastAsia="en-GB"/>
        </w:rPr>
        <w:t xml:space="preserve">. </w:t>
      </w:r>
      <w:r w:rsidR="003E2298" w:rsidRPr="00244D65">
        <w:rPr>
          <w:noProof/>
          <w:lang w:eastAsia="en-GB"/>
        </w:rPr>
        <w:t xml:space="preserve">Both the scope of </w:t>
      </w:r>
      <w:r w:rsidR="0057199D" w:rsidRPr="00244D65">
        <w:rPr>
          <w:noProof/>
          <w:lang w:eastAsia="en-GB"/>
        </w:rPr>
        <w:t>PO2 and PO3 would be modulated by the applied activity threshold. Under the ETS Directive, combustion installations are</w:t>
      </w:r>
      <w:r w:rsidR="003E2298" w:rsidRPr="00244D65">
        <w:rPr>
          <w:noProof/>
          <w:lang w:eastAsia="en-GB"/>
        </w:rPr>
        <w:t xml:space="preserve"> normally</w:t>
      </w:r>
      <w:r w:rsidR="0057199D" w:rsidRPr="00244D65">
        <w:rPr>
          <w:noProof/>
          <w:lang w:eastAsia="en-GB"/>
        </w:rPr>
        <w:t xml:space="preserve"> included in the scope of the system if they are above the threshold of 20 MW rated thermal input. As assessed in Annex 13, an inclusion of the waste </w:t>
      </w:r>
      <w:r w:rsidR="003E2298" w:rsidRPr="00244D65">
        <w:rPr>
          <w:noProof/>
          <w:lang w:eastAsia="en-GB"/>
        </w:rPr>
        <w:t>disposal sector under PO2 or PO3 must</w:t>
      </w:r>
      <w:r w:rsidR="0057199D" w:rsidRPr="00244D65">
        <w:rPr>
          <w:noProof/>
          <w:lang w:eastAsia="en-GB"/>
        </w:rPr>
        <w:t xml:space="preserve"> consider the appropriateness of this thermal capacity threshold in view of the </w:t>
      </w:r>
      <w:r w:rsidR="00913E98" w:rsidRPr="00244D65">
        <w:rPr>
          <w:noProof/>
          <w:lang w:eastAsia="en-GB"/>
        </w:rPr>
        <w:t xml:space="preserve">specific </w:t>
      </w:r>
      <w:r w:rsidR="0057199D" w:rsidRPr="00244D65">
        <w:rPr>
          <w:noProof/>
          <w:lang w:eastAsia="en-GB"/>
        </w:rPr>
        <w:t xml:space="preserve">nature of waste as a feedstock, </w:t>
      </w:r>
      <w:r w:rsidR="00497E16" w:rsidRPr="00244D65">
        <w:rPr>
          <w:noProof/>
          <w:lang w:eastAsia="en-GB"/>
        </w:rPr>
        <w:t xml:space="preserve">regulatory consistency with the Industrial Emissions Directive, </w:t>
      </w:r>
      <w:r w:rsidR="00913E98" w:rsidRPr="00244D65">
        <w:rPr>
          <w:noProof/>
          <w:lang w:eastAsia="en-GB"/>
        </w:rPr>
        <w:t>avoiding</w:t>
      </w:r>
      <w:r w:rsidR="00497E16" w:rsidRPr="00244D65">
        <w:rPr>
          <w:noProof/>
          <w:lang w:eastAsia="en-GB"/>
        </w:rPr>
        <w:t xml:space="preserve"> threshold effects and </w:t>
      </w:r>
      <w:r w:rsidR="00913E98" w:rsidRPr="00244D65">
        <w:rPr>
          <w:noProof/>
          <w:lang w:eastAsia="en-GB"/>
        </w:rPr>
        <w:t xml:space="preserve">risks of </w:t>
      </w:r>
      <w:r w:rsidR="00497E16" w:rsidRPr="00244D65">
        <w:rPr>
          <w:noProof/>
          <w:lang w:eastAsia="en-GB"/>
        </w:rPr>
        <w:t>circumvention, and</w:t>
      </w:r>
      <w:r w:rsidR="0057199D" w:rsidRPr="00244D65">
        <w:rPr>
          <w:noProof/>
          <w:lang w:eastAsia="en-GB"/>
        </w:rPr>
        <w:t xml:space="preserve"> avoidance of disproportionate impacts on small operators. </w:t>
      </w:r>
      <w:r w:rsidR="00497E16" w:rsidRPr="00244D65">
        <w:rPr>
          <w:noProof/>
          <w:lang w:eastAsia="en-GB"/>
        </w:rPr>
        <w:t>Regardless of the threshold level, t</w:t>
      </w:r>
      <w:r w:rsidR="00C228B7" w:rsidRPr="00244D65">
        <w:rPr>
          <w:noProof/>
          <w:lang w:eastAsia="en-GB"/>
        </w:rPr>
        <w:t xml:space="preserve">he </w:t>
      </w:r>
      <w:r w:rsidR="002E0C6D" w:rsidRPr="00244D65">
        <w:rPr>
          <w:noProof/>
          <w:lang w:eastAsia="en-GB"/>
        </w:rPr>
        <w:t xml:space="preserve">impact on SMEs </w:t>
      </w:r>
      <w:r w:rsidR="00FD68C6" w:rsidRPr="00244D65">
        <w:rPr>
          <w:noProof/>
          <w:lang w:eastAsia="en-GB"/>
        </w:rPr>
        <w:t xml:space="preserve">can </w:t>
      </w:r>
      <w:r w:rsidR="002E0C6D" w:rsidRPr="00244D65">
        <w:rPr>
          <w:noProof/>
          <w:lang w:eastAsia="en-GB"/>
        </w:rPr>
        <w:t xml:space="preserve">be addressed through several </w:t>
      </w:r>
      <w:r w:rsidR="00002EC1" w:rsidRPr="00244D65">
        <w:rPr>
          <w:noProof/>
          <w:lang w:eastAsia="en-GB"/>
        </w:rPr>
        <w:t>provisions. First,</w:t>
      </w:r>
      <w:r w:rsidR="00C23BAA" w:rsidRPr="00244D65">
        <w:rPr>
          <w:noProof/>
          <w:lang w:eastAsia="en-GB"/>
        </w:rPr>
        <w:t xml:space="preserve"> </w:t>
      </w:r>
      <w:bookmarkStart w:id="243" w:name="_Int_KDGONxuV"/>
      <w:r w:rsidR="00C23BAA" w:rsidRPr="00244D65">
        <w:rPr>
          <w:noProof/>
          <w:lang w:eastAsia="en-GB"/>
        </w:rPr>
        <w:t>administrative</w:t>
      </w:r>
      <w:bookmarkEnd w:id="243"/>
      <w:r w:rsidR="00C23BAA" w:rsidRPr="00244D65">
        <w:rPr>
          <w:noProof/>
          <w:lang w:eastAsia="en-GB"/>
        </w:rPr>
        <w:t xml:space="preserve"> and financial </w:t>
      </w:r>
      <w:r w:rsidR="00E858BD" w:rsidRPr="00244D65">
        <w:rPr>
          <w:noProof/>
          <w:lang w:eastAsia="en-GB"/>
        </w:rPr>
        <w:t>burden</w:t>
      </w:r>
      <w:r w:rsidR="003B49E9" w:rsidRPr="00244D65">
        <w:rPr>
          <w:noProof/>
          <w:lang w:eastAsia="en-GB"/>
        </w:rPr>
        <w:t>s</w:t>
      </w:r>
      <w:r w:rsidR="00E858BD" w:rsidRPr="00244D65">
        <w:rPr>
          <w:noProof/>
          <w:lang w:eastAsia="en-GB"/>
        </w:rPr>
        <w:t xml:space="preserve"> </w:t>
      </w:r>
      <w:r w:rsidR="00C23BAA" w:rsidRPr="00244D65">
        <w:rPr>
          <w:noProof/>
          <w:lang w:eastAsia="en-GB"/>
        </w:rPr>
        <w:t xml:space="preserve">resulting from MRV compliance requirements </w:t>
      </w:r>
      <w:r w:rsidR="00FD68C6" w:rsidRPr="00244D65">
        <w:rPr>
          <w:noProof/>
          <w:lang w:eastAsia="en-GB"/>
        </w:rPr>
        <w:t>are</w:t>
      </w:r>
      <w:r w:rsidR="00861CD8" w:rsidRPr="00244D65">
        <w:rPr>
          <w:noProof/>
          <w:lang w:eastAsia="en-GB"/>
        </w:rPr>
        <w:t xml:space="preserve"> addressed through </w:t>
      </w:r>
      <w:r w:rsidR="00AA05FF" w:rsidRPr="00244D65">
        <w:rPr>
          <w:noProof/>
          <w:lang w:eastAsia="en-GB"/>
        </w:rPr>
        <w:t>simplified MRV provisions for smaller installations</w:t>
      </w:r>
      <w:r w:rsidR="003B49E9" w:rsidRPr="00244D65">
        <w:rPr>
          <w:noProof/>
          <w:lang w:eastAsia="en-GB"/>
        </w:rPr>
        <w:t>,</w:t>
      </w:r>
      <w:r w:rsidR="00E858BD" w:rsidRPr="00244D65">
        <w:rPr>
          <w:noProof/>
          <w:lang w:eastAsia="en-GB"/>
        </w:rPr>
        <w:t xml:space="preserve"> provid</w:t>
      </w:r>
      <w:r w:rsidR="003B49E9" w:rsidRPr="00244D65">
        <w:rPr>
          <w:noProof/>
          <w:lang w:eastAsia="en-GB"/>
        </w:rPr>
        <w:t>ing</w:t>
      </w:r>
      <w:r w:rsidR="00AA05FF" w:rsidRPr="00244D65">
        <w:rPr>
          <w:noProof/>
          <w:lang w:eastAsia="en-GB"/>
        </w:rPr>
        <w:t xml:space="preserve"> a scalable and proportionate </w:t>
      </w:r>
      <w:r w:rsidR="003B49E9" w:rsidRPr="00244D65">
        <w:rPr>
          <w:noProof/>
          <w:lang w:eastAsia="en-GB"/>
        </w:rPr>
        <w:t>approach</w:t>
      </w:r>
      <w:r w:rsidR="00AA05FF" w:rsidRPr="00244D65">
        <w:rPr>
          <w:noProof/>
          <w:lang w:eastAsia="en-GB"/>
        </w:rPr>
        <w:t xml:space="preserve">, avoiding excessive </w:t>
      </w:r>
      <w:r w:rsidR="00E858BD" w:rsidRPr="00244D65">
        <w:rPr>
          <w:noProof/>
          <w:lang w:eastAsia="en-GB"/>
        </w:rPr>
        <w:t>burden</w:t>
      </w:r>
      <w:r w:rsidR="003B49E9" w:rsidRPr="00244D65">
        <w:rPr>
          <w:noProof/>
          <w:lang w:eastAsia="en-GB"/>
        </w:rPr>
        <w:t>s</w:t>
      </w:r>
      <w:r w:rsidR="00AA05FF" w:rsidRPr="00244D65">
        <w:rPr>
          <w:noProof/>
          <w:lang w:eastAsia="en-GB"/>
        </w:rPr>
        <w:t xml:space="preserve"> on low-emitting sites while still ensuring a basic level of emissions accountability. </w:t>
      </w:r>
      <w:r w:rsidR="00002EC1" w:rsidRPr="00244D65">
        <w:rPr>
          <w:noProof/>
          <w:lang w:eastAsia="en-GB"/>
        </w:rPr>
        <w:t>Second</w:t>
      </w:r>
      <w:r w:rsidR="00E858BD" w:rsidRPr="00244D65">
        <w:rPr>
          <w:noProof/>
          <w:lang w:eastAsia="en-GB"/>
        </w:rPr>
        <w:t xml:space="preserve">, </w:t>
      </w:r>
      <w:r w:rsidR="00742B83" w:rsidRPr="00244D65">
        <w:rPr>
          <w:noProof/>
          <w:lang w:eastAsia="en-GB"/>
        </w:rPr>
        <w:t xml:space="preserve">regardless of the threshold </w:t>
      </w:r>
      <w:r w:rsidR="004D16F3" w:rsidRPr="00244D65">
        <w:rPr>
          <w:noProof/>
          <w:lang w:eastAsia="en-GB"/>
        </w:rPr>
        <w:t>level</w:t>
      </w:r>
      <w:r w:rsidR="00E858BD" w:rsidRPr="00244D65">
        <w:rPr>
          <w:noProof/>
          <w:lang w:eastAsia="en-GB"/>
        </w:rPr>
        <w:t xml:space="preserve">, smaller installations </w:t>
      </w:r>
      <w:r w:rsidR="00242806" w:rsidRPr="00244D65">
        <w:rPr>
          <w:noProof/>
          <w:lang w:eastAsia="en-GB"/>
        </w:rPr>
        <w:t>would</w:t>
      </w:r>
      <w:r w:rsidR="002A6DE6" w:rsidRPr="00244D65">
        <w:rPr>
          <w:noProof/>
          <w:lang w:eastAsia="en-GB"/>
        </w:rPr>
        <w:t xml:space="preserve"> </w:t>
      </w:r>
      <w:r w:rsidR="00242806" w:rsidRPr="00244D65">
        <w:rPr>
          <w:noProof/>
          <w:lang w:eastAsia="en-GB"/>
        </w:rPr>
        <w:t>be eligible for</w:t>
      </w:r>
      <w:r w:rsidR="002A6DE6" w:rsidRPr="00244D65">
        <w:rPr>
          <w:noProof/>
          <w:lang w:eastAsia="en-GB"/>
        </w:rPr>
        <w:t xml:space="preserve"> the </w:t>
      </w:r>
      <w:r w:rsidR="00E858BD" w:rsidRPr="00244D65">
        <w:rPr>
          <w:noProof/>
          <w:lang w:eastAsia="en-GB"/>
        </w:rPr>
        <w:t xml:space="preserve">opt-out </w:t>
      </w:r>
      <w:r w:rsidR="002A6DE6" w:rsidRPr="00244D65">
        <w:rPr>
          <w:noProof/>
          <w:lang w:eastAsia="en-GB"/>
        </w:rPr>
        <w:t xml:space="preserve">clauses </w:t>
      </w:r>
      <w:r w:rsidR="00E858BD" w:rsidRPr="00244D65">
        <w:rPr>
          <w:noProof/>
          <w:lang w:eastAsia="en-GB"/>
        </w:rPr>
        <w:t xml:space="preserve">under the existing small- and ultra-small emitter provisions in the </w:t>
      </w:r>
      <w:r w:rsidR="002A6DE6" w:rsidRPr="00244D65">
        <w:rPr>
          <w:noProof/>
          <w:lang w:eastAsia="en-GB"/>
        </w:rPr>
        <w:t xml:space="preserve">ETS </w:t>
      </w:r>
      <w:r w:rsidR="00E858BD" w:rsidRPr="00244D65">
        <w:rPr>
          <w:noProof/>
          <w:lang w:eastAsia="en-GB"/>
        </w:rPr>
        <w:t>Directive.</w:t>
      </w:r>
    </w:p>
    <w:p w14:paraId="0EA184A7" w14:textId="3DFE9AA0" w:rsidR="00F77B0A" w:rsidRPr="00244D65" w:rsidRDefault="00DF1A3F" w:rsidP="0085595C">
      <w:pPr>
        <w:pStyle w:val="Heading4"/>
        <w:rPr>
          <w:noProof/>
        </w:rPr>
      </w:pPr>
      <w:r w:rsidRPr="00244D65">
        <w:rPr>
          <w:noProof/>
        </w:rPr>
        <w:t xml:space="preserve"> </w:t>
      </w:r>
      <w:r w:rsidR="00F77B0A" w:rsidRPr="00244D65">
        <w:rPr>
          <w:noProof/>
        </w:rPr>
        <w:t>CCU</w:t>
      </w:r>
    </w:p>
    <w:p w14:paraId="799F5594" w14:textId="77777777" w:rsidR="002C1BA2" w:rsidRPr="00244D65" w:rsidRDefault="002C1BA2" w:rsidP="0085595C">
      <w:pPr>
        <w:rPr>
          <w:noProof/>
        </w:rPr>
      </w:pPr>
      <w:r w:rsidRPr="00244D65">
        <w:rPr>
          <w:noProof/>
        </w:rPr>
        <w:t xml:space="preserve">While carbon capture requires expensive investments that make sense only for large installations, many technology providers in the field of CCU that look to commercialize recently developed technology are small, start-up businesses. Therefore, measures CCU2 and CCU3 seek to level the playing field for these new entrants to allow new CCU products to compete with CCS. </w:t>
      </w:r>
    </w:p>
    <w:p w14:paraId="3CC109AF" w14:textId="4B9D0E7B" w:rsidR="002C1BA2" w:rsidRPr="00244D65" w:rsidRDefault="002C1BA2" w:rsidP="0085595C">
      <w:pPr>
        <w:rPr>
          <w:noProof/>
        </w:rPr>
      </w:pPr>
      <w:r w:rsidRPr="00244D65">
        <w:rPr>
          <w:noProof/>
        </w:rPr>
        <w:t>Furthermore, these measures have been designed to be implementable based on the established MRVA system that can ensure the accounting integrity of the EU ETS, while not imposing excessive administrative burdens on operators. For this reason, the measure based on LCA accounting has been discarded as overly complex and costly to implement</w:t>
      </w:r>
      <w:r w:rsidR="15D32627" w:rsidRPr="00244D65">
        <w:rPr>
          <w:noProof/>
        </w:rPr>
        <w:t xml:space="preserve">. </w:t>
      </w:r>
    </w:p>
    <w:p w14:paraId="70A30261" w14:textId="77777777" w:rsidR="002C1BA2" w:rsidRPr="00244D65" w:rsidRDefault="002C1BA2" w:rsidP="0085595C">
      <w:pPr>
        <w:rPr>
          <w:noProof/>
        </w:rPr>
      </w:pPr>
      <w:r w:rsidRPr="00244D65">
        <w:rPr>
          <w:noProof/>
        </w:rPr>
        <w:t xml:space="preserve">Stakeholders consulted as a part of the OPC questionnaire emphasize the importance of ‘administrative proportionality’ for non-permanent CCU policy measures. Especially amongst business associations, emphasis was placed on implementing an accounting approach that prioritizes simplicity and continuity for SMEs to effectively implement non-permanent CCU measures. </w:t>
      </w:r>
    </w:p>
    <w:p w14:paraId="3C708F53" w14:textId="6E1EABB1" w:rsidR="002009C1" w:rsidRPr="00244D65" w:rsidRDefault="002009C1" w:rsidP="0085595C">
      <w:pPr>
        <w:pStyle w:val="Heading3"/>
        <w:rPr>
          <w:noProof/>
        </w:rPr>
      </w:pPr>
      <w:bookmarkStart w:id="244" w:name="_Toc212594973"/>
      <w:bookmarkStart w:id="245" w:name="_Toc234949751"/>
      <w:bookmarkStart w:id="246" w:name="_Toc232752507"/>
      <w:r w:rsidRPr="00244D65">
        <w:rPr>
          <w:noProof/>
        </w:rPr>
        <w:t>Public authorities</w:t>
      </w:r>
      <w:bookmarkEnd w:id="244"/>
      <w:bookmarkEnd w:id="245"/>
      <w:bookmarkEnd w:id="246"/>
    </w:p>
    <w:p w14:paraId="0483DE22" w14:textId="284D6745" w:rsidR="003F4A03" w:rsidRPr="00244D65" w:rsidRDefault="00F976E6" w:rsidP="0085595C">
      <w:pPr>
        <w:rPr>
          <w:noProof/>
          <w:lang w:eastAsia="en-GB"/>
        </w:rPr>
      </w:pPr>
      <w:r w:rsidRPr="00244D65">
        <w:rPr>
          <w:noProof/>
        </w:rPr>
        <w:t xml:space="preserve">A major benefit to public authorities is represented by the auction revenue </w:t>
      </w:r>
      <w:r w:rsidR="00722FF5" w:rsidRPr="00244D65">
        <w:rPr>
          <w:noProof/>
        </w:rPr>
        <w:t>derived</w:t>
      </w:r>
      <w:r w:rsidRPr="00244D65">
        <w:rPr>
          <w:noProof/>
        </w:rPr>
        <w:t xml:space="preserve"> from </w:t>
      </w:r>
      <w:r w:rsidR="000078A8" w:rsidRPr="00244D65">
        <w:rPr>
          <w:noProof/>
        </w:rPr>
        <w:t xml:space="preserve">the auctioning of the </w:t>
      </w:r>
      <w:r w:rsidR="00F909E3" w:rsidRPr="00244D65">
        <w:rPr>
          <w:noProof/>
        </w:rPr>
        <w:t>EU ETS</w:t>
      </w:r>
      <w:r w:rsidR="000078A8" w:rsidRPr="00244D65">
        <w:rPr>
          <w:noProof/>
        </w:rPr>
        <w:t xml:space="preserve"> allowances. </w:t>
      </w:r>
      <w:r w:rsidR="00023726" w:rsidRPr="00244D65">
        <w:rPr>
          <w:noProof/>
        </w:rPr>
        <w:t xml:space="preserve">The auctioning volumes are </w:t>
      </w:r>
      <w:r w:rsidR="00722FF5" w:rsidRPr="00244D65">
        <w:rPr>
          <w:noProof/>
        </w:rPr>
        <w:t>derived</w:t>
      </w:r>
      <w:r w:rsidR="00023726" w:rsidRPr="00244D65">
        <w:rPr>
          <w:noProof/>
        </w:rPr>
        <w:t xml:space="preserve"> from the </w:t>
      </w:r>
      <w:r w:rsidR="0025689E" w:rsidRPr="00244D65">
        <w:rPr>
          <w:noProof/>
        </w:rPr>
        <w:t xml:space="preserve">estimates for the allowances distributed for free to </w:t>
      </w:r>
      <w:r w:rsidRPr="00244D65">
        <w:rPr>
          <w:noProof/>
        </w:rPr>
        <w:t>industry</w:t>
      </w:r>
      <w:r w:rsidR="58E4C39E" w:rsidRPr="00244D65">
        <w:rPr>
          <w:noProof/>
        </w:rPr>
        <w:t>,</w:t>
      </w:r>
      <w:r w:rsidR="00074894" w:rsidRPr="00244D65">
        <w:rPr>
          <w:noProof/>
        </w:rPr>
        <w:t xml:space="preserve"> and it does not </w:t>
      </w:r>
      <w:bookmarkStart w:id="247" w:name="_Int_dpbo90Q9"/>
      <w:r w:rsidR="00074894" w:rsidRPr="00244D65">
        <w:rPr>
          <w:noProof/>
        </w:rPr>
        <w:t>take into account</w:t>
      </w:r>
      <w:bookmarkEnd w:id="247"/>
      <w:r w:rsidR="00074894" w:rsidRPr="00244D65">
        <w:rPr>
          <w:noProof/>
        </w:rPr>
        <w:t xml:space="preserve"> any split between auction revenue that is accrued to EU level funds</w:t>
      </w:r>
      <w:r w:rsidR="0025689E" w:rsidRPr="00244D65">
        <w:rPr>
          <w:noProof/>
        </w:rPr>
        <w:t xml:space="preserve"> </w:t>
      </w:r>
      <w:r w:rsidR="00861339" w:rsidRPr="00244D65">
        <w:rPr>
          <w:noProof/>
        </w:rPr>
        <w:t xml:space="preserve">or to </w:t>
      </w:r>
      <w:r w:rsidR="00D84903" w:rsidRPr="00244D65">
        <w:rPr>
          <w:noProof/>
        </w:rPr>
        <w:t>national</w:t>
      </w:r>
      <w:r w:rsidR="00861339" w:rsidRPr="00244D65">
        <w:rPr>
          <w:noProof/>
        </w:rPr>
        <w:t xml:space="preserve"> treasures. </w:t>
      </w:r>
      <w:r>
        <w:rPr>
          <w:noProof/>
        </w:rPr>
        <w:t xml:space="preserve">This represents the total maximum auction revenue, excluding only what is allocated for free to industry from the annual cap of allowances. By deducting the estimated volumes of free allocation from the ETS cap for each year, the cumulative the value of auction revenue will range between aproximately </w:t>
      </w:r>
      <w:r>
        <w:rPr>
          <w:noProof/>
          <w:lang w:eastAsia="en-GB"/>
        </w:rPr>
        <w:t>EUR 600 to over 800-= billion,</w:t>
      </w:r>
      <w:r>
        <w:rPr>
          <w:noProof/>
        </w:rPr>
        <w:t xml:space="preserve"> depending on the policy options – see Table 22 in Annex 12 for additional details.</w:t>
      </w:r>
      <w:r w:rsidR="007F03C4" w:rsidRPr="00244D65">
        <w:rPr>
          <w:noProof/>
        </w:rPr>
        <w:t xml:space="preserve"> </w:t>
      </w:r>
    </w:p>
    <w:p w14:paraId="26E674EC" w14:textId="003A0EA1" w:rsidR="001C1D30" w:rsidRPr="00244D65" w:rsidRDefault="00AD4DA5" w:rsidP="0085595C">
      <w:pPr>
        <w:rPr>
          <w:noProof/>
          <w:lang w:eastAsia="en-GB"/>
        </w:rPr>
      </w:pPr>
      <w:r w:rsidRPr="00244D65">
        <w:rPr>
          <w:noProof/>
          <w:lang w:eastAsia="en-GB"/>
        </w:rPr>
        <w:t xml:space="preserve">In terms of the use of auction revenues, </w:t>
      </w:r>
      <w:r w:rsidR="00221B90" w:rsidRPr="00244D65">
        <w:rPr>
          <w:noProof/>
          <w:lang w:eastAsia="en-GB"/>
        </w:rPr>
        <w:t xml:space="preserve">the </w:t>
      </w:r>
      <w:r w:rsidR="001F60D1" w:rsidRPr="00244D65">
        <w:rPr>
          <w:noProof/>
          <w:lang w:eastAsia="en-GB"/>
        </w:rPr>
        <w:t xml:space="preserve">quantitative </w:t>
      </w:r>
      <w:r w:rsidR="00221B90" w:rsidRPr="00244D65">
        <w:rPr>
          <w:noProof/>
          <w:lang w:eastAsia="en-GB"/>
        </w:rPr>
        <w:t>assessment of macro-economic impacts done based on GEM-E3</w:t>
      </w:r>
      <w:r w:rsidR="001F60D1" w:rsidRPr="00244D65">
        <w:rPr>
          <w:noProof/>
          <w:lang w:eastAsia="en-GB"/>
        </w:rPr>
        <w:t xml:space="preserve"> assume </w:t>
      </w:r>
      <w:r w:rsidR="001F60D1" w:rsidRPr="00244D65">
        <w:rPr>
          <w:noProof/>
        </w:rPr>
        <w:t>that the</w:t>
      </w:r>
      <w:r w:rsidR="00221B90" w:rsidRPr="00244D65">
        <w:rPr>
          <w:noProof/>
        </w:rPr>
        <w:t xml:space="preserve"> revenue generated by </w:t>
      </w:r>
      <w:r w:rsidR="00F909E3" w:rsidRPr="00244D65">
        <w:rPr>
          <w:noProof/>
        </w:rPr>
        <w:t>EU ETS</w:t>
      </w:r>
      <w:r w:rsidR="00221B90" w:rsidRPr="00244D65">
        <w:rPr>
          <w:noProof/>
        </w:rPr>
        <w:t xml:space="preserve"> is recycled with 50% financing power </w:t>
      </w:r>
      <w:r w:rsidR="006265CB" w:rsidRPr="00244D65">
        <w:rPr>
          <w:noProof/>
        </w:rPr>
        <w:t xml:space="preserve">dedicated to </w:t>
      </w:r>
      <w:r w:rsidR="00221B90" w:rsidRPr="00244D65">
        <w:rPr>
          <w:noProof/>
        </w:rPr>
        <w:t xml:space="preserve">sector investments and 50% dedicated to improving energy efficiency in </w:t>
      </w:r>
      <w:r w:rsidR="00F909E3" w:rsidRPr="00244D65">
        <w:rPr>
          <w:noProof/>
        </w:rPr>
        <w:t>EU ETS</w:t>
      </w:r>
      <w:r w:rsidR="00221B90" w:rsidRPr="00244D65">
        <w:rPr>
          <w:noProof/>
        </w:rPr>
        <w:t xml:space="preserve"> industries. </w:t>
      </w:r>
      <w:r w:rsidR="001F60D1" w:rsidRPr="00244D65">
        <w:rPr>
          <w:noProof/>
        </w:rPr>
        <w:t xml:space="preserve">A variant to </w:t>
      </w:r>
      <w:r w:rsidR="00221B90" w:rsidRPr="00244D65">
        <w:rPr>
          <w:noProof/>
        </w:rPr>
        <w:t xml:space="preserve">this </w:t>
      </w:r>
      <w:r w:rsidR="001F60D1" w:rsidRPr="00244D65">
        <w:rPr>
          <w:noProof/>
        </w:rPr>
        <w:t xml:space="preserve">assumption (marked R in the respective scenarios) </w:t>
      </w:r>
      <w:r w:rsidR="00221B90" w:rsidRPr="00244D65">
        <w:rPr>
          <w:noProof/>
        </w:rPr>
        <w:t>consider</w:t>
      </w:r>
      <w:r w:rsidR="001F60D1" w:rsidRPr="00244D65">
        <w:rPr>
          <w:noProof/>
        </w:rPr>
        <w:t>s</w:t>
      </w:r>
      <w:r w:rsidR="00221B90" w:rsidRPr="00244D65">
        <w:rPr>
          <w:noProof/>
        </w:rPr>
        <w:t xml:space="preserve"> a revised recycling structure where the 50% allocation to the power sector is instead transferred as a lump sum payment to households.</w:t>
      </w:r>
    </w:p>
    <w:p w14:paraId="0C3DC214" w14:textId="2463C99E" w:rsidR="00AF7476" w:rsidRPr="00244D65" w:rsidRDefault="001C1D30" w:rsidP="0085595C">
      <w:pPr>
        <w:rPr>
          <w:noProof/>
          <w:lang w:eastAsia="en-GB"/>
        </w:rPr>
      </w:pPr>
      <w:r w:rsidRPr="00244D65">
        <w:rPr>
          <w:noProof/>
          <w:lang w:eastAsia="en-GB"/>
        </w:rPr>
        <w:t>The spending of Member States revenues is analysed yearly in the Climate Action Progress Report and the Carbon Market Report</w:t>
      </w:r>
      <w:r w:rsidRPr="00244D65">
        <w:rPr>
          <w:rStyle w:val="FootnoteReference"/>
          <w:noProof/>
          <w:lang w:eastAsia="en-GB"/>
        </w:rPr>
        <w:footnoteReference w:id="89"/>
      </w:r>
      <w:r w:rsidRPr="00244D65">
        <w:rPr>
          <w:noProof/>
          <w:lang w:eastAsia="en-GB"/>
        </w:rPr>
        <w:t>.</w:t>
      </w:r>
      <w:r w:rsidR="000C653C" w:rsidRPr="00244D65">
        <w:rPr>
          <w:noProof/>
          <w:lang w:eastAsia="en-GB"/>
        </w:rPr>
        <w:t xml:space="preserve"> </w:t>
      </w:r>
      <w:r w:rsidR="00061331" w:rsidRPr="00244D65">
        <w:rPr>
          <w:noProof/>
          <w:lang w:eastAsia="en-GB"/>
        </w:rPr>
        <w:t>T</w:t>
      </w:r>
      <w:r w:rsidR="00E038EF" w:rsidRPr="00244D65">
        <w:rPr>
          <w:noProof/>
          <w:lang w:eastAsia="en-GB"/>
        </w:rPr>
        <w:t>he</w:t>
      </w:r>
      <w:r w:rsidR="00061331" w:rsidRPr="00244D65">
        <w:rPr>
          <w:noProof/>
          <w:lang w:eastAsia="en-GB"/>
        </w:rPr>
        <w:t xml:space="preserve"> Member States </w:t>
      </w:r>
      <w:r w:rsidR="00864941" w:rsidRPr="00244D65">
        <w:rPr>
          <w:noProof/>
          <w:lang w:eastAsia="en-GB"/>
        </w:rPr>
        <w:t xml:space="preserve">reported </w:t>
      </w:r>
      <w:r w:rsidR="00061331" w:rsidRPr="00244D65">
        <w:rPr>
          <w:noProof/>
          <w:lang w:eastAsia="en-GB"/>
        </w:rPr>
        <w:t xml:space="preserve">only </w:t>
      </w:r>
      <w:r w:rsidR="00A84713" w:rsidRPr="00244D65">
        <w:rPr>
          <w:noProof/>
          <w:lang w:eastAsia="en-GB"/>
        </w:rPr>
        <w:t>5</w:t>
      </w:r>
      <w:r w:rsidR="00E038EF" w:rsidRPr="00244D65">
        <w:rPr>
          <w:noProof/>
          <w:lang w:eastAsia="en-GB"/>
        </w:rPr>
        <w:t xml:space="preserve">% of the ETS revenues is used to support decarbonisation of </w:t>
      </w:r>
      <w:r w:rsidR="00202E4E" w:rsidRPr="00244D65">
        <w:rPr>
          <w:noProof/>
          <w:lang w:eastAsia="en-GB"/>
        </w:rPr>
        <w:t>energy in</w:t>
      </w:r>
      <w:r w:rsidR="006D7D6F" w:rsidRPr="00244D65">
        <w:rPr>
          <w:noProof/>
          <w:lang w:eastAsia="en-GB"/>
        </w:rPr>
        <w:t>tensive industries</w:t>
      </w:r>
      <w:r w:rsidR="00A84713" w:rsidRPr="00244D65">
        <w:rPr>
          <w:noProof/>
          <w:lang w:eastAsia="en-GB"/>
        </w:rPr>
        <w:t xml:space="preserve"> in 2024</w:t>
      </w:r>
      <w:r w:rsidR="4F399FDE" w:rsidRPr="00244D65">
        <w:rPr>
          <w:noProof/>
          <w:lang w:eastAsia="en-GB"/>
        </w:rPr>
        <w:t>, while the most support received by industry is for indirect cost compensation</w:t>
      </w:r>
      <w:r w:rsidR="23202977" w:rsidRPr="00244D65">
        <w:rPr>
          <w:noProof/>
          <w:lang w:eastAsia="en-GB"/>
        </w:rPr>
        <w:t>.</w:t>
      </w:r>
      <w:r w:rsidR="00C75EE7" w:rsidRPr="00244D65">
        <w:rPr>
          <w:noProof/>
          <w:lang w:eastAsia="en-GB"/>
        </w:rPr>
        <w:t xml:space="preserve"> While the Member States could </w:t>
      </w:r>
      <w:r w:rsidR="00E00CDC" w:rsidRPr="00244D65">
        <w:rPr>
          <w:noProof/>
          <w:lang w:eastAsia="en-GB"/>
        </w:rPr>
        <w:t xml:space="preserve">allocate a higher share of this revenue for the decarbonisation of industry, national approaches will remain inherently fragmented, lacking the ability to exploit the </w:t>
      </w:r>
      <w:r w:rsidR="4B3AB065" w:rsidRPr="00244D65">
        <w:rPr>
          <w:noProof/>
          <w:lang w:eastAsia="en-GB"/>
        </w:rPr>
        <w:t>economies</w:t>
      </w:r>
      <w:r w:rsidR="00E00CDC" w:rsidRPr="00244D65">
        <w:rPr>
          <w:noProof/>
          <w:lang w:eastAsia="en-GB"/>
        </w:rPr>
        <w:t xml:space="preserve"> of scale and efficient allocation of resources the single EU market can provide. Therefore,</w:t>
      </w:r>
      <w:r w:rsidR="00545245" w:rsidRPr="00244D65">
        <w:rPr>
          <w:noProof/>
          <w:lang w:eastAsia="en-GB"/>
        </w:rPr>
        <w:t xml:space="preserve"> </w:t>
      </w:r>
      <w:r w:rsidR="00CE50B5" w:rsidRPr="00244D65">
        <w:rPr>
          <w:noProof/>
          <w:lang w:eastAsia="en-GB"/>
        </w:rPr>
        <w:t xml:space="preserve">EU level </w:t>
      </w:r>
      <w:r w:rsidR="00545245" w:rsidRPr="00244D65">
        <w:rPr>
          <w:noProof/>
          <w:lang w:eastAsia="en-GB"/>
        </w:rPr>
        <w:t>instruments, such as the</w:t>
      </w:r>
      <w:r w:rsidR="00CE50B5" w:rsidRPr="00244D65">
        <w:rPr>
          <w:noProof/>
          <w:lang w:eastAsia="en-GB"/>
        </w:rPr>
        <w:t xml:space="preserve"> IDB </w:t>
      </w:r>
      <w:r w:rsidR="00545245" w:rsidRPr="00244D65">
        <w:rPr>
          <w:noProof/>
          <w:lang w:eastAsia="en-GB"/>
        </w:rPr>
        <w:t>and the IF</w:t>
      </w:r>
      <w:r w:rsidR="00D448A9" w:rsidRPr="00244D65">
        <w:rPr>
          <w:noProof/>
          <w:lang w:eastAsia="en-GB"/>
        </w:rPr>
        <w:t>, will play a key role in the</w:t>
      </w:r>
      <w:r w:rsidR="00545245" w:rsidRPr="00244D65">
        <w:rPr>
          <w:noProof/>
          <w:lang w:eastAsia="en-GB"/>
        </w:rPr>
        <w:t xml:space="preserve"> funding of decarbonisation investments </w:t>
      </w:r>
      <w:r w:rsidR="00AF3809" w:rsidRPr="00244D65">
        <w:rPr>
          <w:noProof/>
          <w:lang w:eastAsia="en-GB"/>
        </w:rPr>
        <w:t>in the next period</w:t>
      </w:r>
      <w:r w:rsidR="00545245" w:rsidRPr="00244D65">
        <w:rPr>
          <w:noProof/>
          <w:lang w:eastAsia="en-GB"/>
        </w:rPr>
        <w:t xml:space="preserve"> (see Annex </w:t>
      </w:r>
      <w:r w:rsidR="00CE50B5" w:rsidRPr="00244D65">
        <w:rPr>
          <w:noProof/>
          <w:lang w:eastAsia="en-GB"/>
        </w:rPr>
        <w:t>9</w:t>
      </w:r>
      <w:r w:rsidR="00545245" w:rsidRPr="00244D65">
        <w:rPr>
          <w:noProof/>
          <w:lang w:eastAsia="en-GB"/>
        </w:rPr>
        <w:t xml:space="preserve"> for more details).</w:t>
      </w:r>
    </w:p>
    <w:p w14:paraId="64C6B9D0" w14:textId="1665A68E" w:rsidR="005E2A37" w:rsidRPr="00244D65" w:rsidRDefault="009006F8" w:rsidP="0085595C">
      <w:pPr>
        <w:rPr>
          <w:noProof/>
          <w:lang w:eastAsia="en-GB"/>
        </w:rPr>
      </w:pPr>
      <w:r w:rsidRPr="00244D65">
        <w:rPr>
          <w:noProof/>
          <w:lang w:eastAsia="en-GB"/>
        </w:rPr>
        <w:t xml:space="preserve">Impacts on public authorities also relate to the </w:t>
      </w:r>
      <w:r w:rsidR="00D37ECC" w:rsidRPr="00244D65">
        <w:rPr>
          <w:noProof/>
          <w:lang w:eastAsia="en-GB"/>
        </w:rPr>
        <w:t>operation</w:t>
      </w:r>
      <w:r w:rsidRPr="00244D65">
        <w:rPr>
          <w:noProof/>
          <w:lang w:eastAsia="en-GB"/>
        </w:rPr>
        <w:t xml:space="preserve"> Union Registry</w:t>
      </w:r>
      <w:r w:rsidR="00D37ECC" w:rsidRPr="00244D65">
        <w:rPr>
          <w:noProof/>
          <w:lang w:eastAsia="en-GB"/>
        </w:rPr>
        <w:t xml:space="preserve">, which resulted from the </w:t>
      </w:r>
      <w:r w:rsidR="008F4685" w:rsidRPr="00244D65">
        <w:rPr>
          <w:noProof/>
          <w:lang w:eastAsia="en-GB"/>
        </w:rPr>
        <w:t>centralisation</w:t>
      </w:r>
      <w:r w:rsidR="00EF7E98" w:rsidRPr="00244D65">
        <w:rPr>
          <w:noProof/>
          <w:lang w:eastAsia="en-GB"/>
        </w:rPr>
        <w:t xml:space="preserve"> of 30</w:t>
      </w:r>
      <w:r w:rsidR="004F67B4" w:rsidRPr="00244D65">
        <w:rPr>
          <w:noProof/>
          <w:lang w:eastAsia="en-GB"/>
        </w:rPr>
        <w:t xml:space="preserve"> </w:t>
      </w:r>
      <w:r w:rsidR="210DEC63" w:rsidRPr="00244D65">
        <w:rPr>
          <w:noProof/>
          <w:lang w:eastAsia="en-GB"/>
        </w:rPr>
        <w:t>separate</w:t>
      </w:r>
      <w:r w:rsidR="004F67B4" w:rsidRPr="00244D65">
        <w:rPr>
          <w:noProof/>
          <w:lang w:eastAsia="en-GB"/>
        </w:rPr>
        <w:t xml:space="preserve"> national registries under a single system</w:t>
      </w:r>
      <w:r w:rsidRPr="00244D65">
        <w:rPr>
          <w:noProof/>
          <w:lang w:eastAsia="en-GB"/>
        </w:rPr>
        <w:t xml:space="preserve">. </w:t>
      </w:r>
      <w:r w:rsidR="0030534C" w:rsidRPr="00244D65">
        <w:rPr>
          <w:noProof/>
          <w:lang w:eastAsia="en-GB"/>
        </w:rPr>
        <w:t xml:space="preserve">As indicated in the ETS Evaluation (see Annex 15, </w:t>
      </w:r>
      <w:r w:rsidR="004632D6" w:rsidRPr="00244D65">
        <w:rPr>
          <w:noProof/>
          <w:lang w:eastAsia="en-GB"/>
        </w:rPr>
        <w:t>S</w:t>
      </w:r>
      <w:r w:rsidR="0030534C" w:rsidRPr="00244D65">
        <w:rPr>
          <w:noProof/>
          <w:lang w:eastAsia="en-GB"/>
        </w:rPr>
        <w:t xml:space="preserve">ection </w:t>
      </w:r>
      <w:r w:rsidR="004632D6" w:rsidRPr="00244D65">
        <w:rPr>
          <w:noProof/>
          <w:lang w:eastAsia="en-GB"/>
        </w:rPr>
        <w:t>10</w:t>
      </w:r>
      <w:r w:rsidR="000D67DE" w:rsidRPr="00244D65">
        <w:rPr>
          <w:noProof/>
          <w:lang w:eastAsia="en-GB"/>
        </w:rPr>
        <w:t>.6.4), the Union Registry plays a crucial role in ensu</w:t>
      </w:r>
      <w:r w:rsidR="0044384F" w:rsidRPr="00244D65">
        <w:rPr>
          <w:noProof/>
          <w:lang w:eastAsia="en-GB"/>
        </w:rPr>
        <w:t>rin</w:t>
      </w:r>
      <w:r w:rsidR="0086080F" w:rsidRPr="00244D65">
        <w:rPr>
          <w:noProof/>
          <w:lang w:eastAsia="en-GB"/>
        </w:rPr>
        <w:t xml:space="preserve">g the transparency, </w:t>
      </w:r>
      <w:r w:rsidR="4530EF76" w:rsidRPr="00244D65">
        <w:rPr>
          <w:noProof/>
          <w:lang w:eastAsia="en-GB"/>
        </w:rPr>
        <w:t>integrity,</w:t>
      </w:r>
      <w:r w:rsidR="0086080F" w:rsidRPr="00244D65">
        <w:rPr>
          <w:noProof/>
          <w:lang w:eastAsia="en-GB"/>
        </w:rPr>
        <w:t xml:space="preserve"> and </w:t>
      </w:r>
      <w:r w:rsidR="008E665E" w:rsidRPr="00244D65">
        <w:rPr>
          <w:noProof/>
          <w:lang w:eastAsia="en-GB"/>
        </w:rPr>
        <w:t xml:space="preserve">security of the EU ETS. </w:t>
      </w:r>
      <w:r w:rsidR="00906086" w:rsidRPr="00244D65">
        <w:rPr>
          <w:noProof/>
          <w:lang w:eastAsia="en-GB"/>
        </w:rPr>
        <w:t xml:space="preserve">The changes analysed in this impact assessment, in particular as regards PO2 and PO3, increase the </w:t>
      </w:r>
      <w:r w:rsidR="00543423" w:rsidRPr="00244D65">
        <w:rPr>
          <w:noProof/>
          <w:lang w:eastAsia="en-GB"/>
        </w:rPr>
        <w:t xml:space="preserve">scope and </w:t>
      </w:r>
      <w:r w:rsidR="00906086" w:rsidRPr="00244D65">
        <w:rPr>
          <w:noProof/>
          <w:lang w:eastAsia="en-GB"/>
        </w:rPr>
        <w:t xml:space="preserve">complexity of the </w:t>
      </w:r>
      <w:r w:rsidR="00543423" w:rsidRPr="00244D65">
        <w:rPr>
          <w:noProof/>
          <w:lang w:eastAsia="en-GB"/>
        </w:rPr>
        <w:t xml:space="preserve">EU </w:t>
      </w:r>
      <w:r w:rsidR="00906086" w:rsidRPr="00244D65">
        <w:rPr>
          <w:noProof/>
          <w:lang w:eastAsia="en-GB"/>
        </w:rPr>
        <w:t>ETS</w:t>
      </w:r>
      <w:r w:rsidR="00473838" w:rsidRPr="00244D65">
        <w:rPr>
          <w:noProof/>
          <w:lang w:eastAsia="en-GB"/>
        </w:rPr>
        <w:t xml:space="preserve">, </w:t>
      </w:r>
      <w:r w:rsidR="00543423" w:rsidRPr="00244D65">
        <w:rPr>
          <w:noProof/>
          <w:lang w:eastAsia="en-GB"/>
        </w:rPr>
        <w:t>which in turn increase the risks</w:t>
      </w:r>
      <w:r w:rsidR="00772250" w:rsidRPr="00244D65">
        <w:rPr>
          <w:noProof/>
          <w:lang w:eastAsia="en-GB"/>
        </w:rPr>
        <w:t xml:space="preserve"> for</w:t>
      </w:r>
      <w:r w:rsidR="00543423" w:rsidRPr="00244D65">
        <w:rPr>
          <w:noProof/>
          <w:lang w:eastAsia="en-GB"/>
        </w:rPr>
        <w:t xml:space="preserve"> </w:t>
      </w:r>
      <w:r w:rsidR="00473838" w:rsidRPr="00244D65">
        <w:rPr>
          <w:noProof/>
          <w:lang w:eastAsia="en-GB"/>
        </w:rPr>
        <w:t>and demands</w:t>
      </w:r>
      <w:r w:rsidR="00772250" w:rsidRPr="00244D65">
        <w:rPr>
          <w:noProof/>
          <w:lang w:eastAsia="en-GB"/>
        </w:rPr>
        <w:t xml:space="preserve"> on</w:t>
      </w:r>
      <w:r w:rsidR="00543423" w:rsidRPr="00244D65">
        <w:rPr>
          <w:noProof/>
          <w:lang w:eastAsia="en-GB"/>
        </w:rPr>
        <w:t xml:space="preserve"> the Union Registry</w:t>
      </w:r>
      <w:r w:rsidR="00772250" w:rsidRPr="00244D65">
        <w:rPr>
          <w:noProof/>
          <w:lang w:eastAsia="en-GB"/>
        </w:rPr>
        <w:t xml:space="preserve"> and the underlying IT infrastructure</w:t>
      </w:r>
      <w:r w:rsidR="00543423" w:rsidRPr="00244D65">
        <w:rPr>
          <w:noProof/>
          <w:lang w:eastAsia="en-GB"/>
        </w:rPr>
        <w:t xml:space="preserve">. </w:t>
      </w:r>
      <w:r w:rsidR="009143A6" w:rsidRPr="00244D65">
        <w:rPr>
          <w:noProof/>
          <w:lang w:eastAsia="en-GB"/>
        </w:rPr>
        <w:t xml:space="preserve">In addition, </w:t>
      </w:r>
      <w:r w:rsidR="00772250" w:rsidRPr="00244D65">
        <w:rPr>
          <w:noProof/>
          <w:lang w:eastAsia="en-GB"/>
        </w:rPr>
        <w:t>the</w:t>
      </w:r>
      <w:r w:rsidR="005E2A37" w:rsidRPr="00244D65">
        <w:rPr>
          <w:noProof/>
          <w:lang w:eastAsia="en-GB"/>
        </w:rPr>
        <w:t xml:space="preserve"> growth of the European carbon market and the value of the ETS allowances over the last decade</w:t>
      </w:r>
      <w:r w:rsidR="005E2A37" w:rsidRPr="00244D65">
        <w:rPr>
          <w:rStyle w:val="FootnoteReference"/>
          <w:noProof/>
          <w:lang w:eastAsia="en-GB"/>
        </w:rPr>
        <w:footnoteReference w:id="90"/>
      </w:r>
      <w:r>
        <w:rPr>
          <w:noProof/>
          <w:lang w:eastAsia="en-GB"/>
        </w:rPr>
        <w:t>,</w:t>
      </w:r>
      <w:r w:rsidR="00FB5E98" w:rsidRPr="00244D65">
        <w:rPr>
          <w:noProof/>
          <w:lang w:eastAsia="en-GB"/>
        </w:rPr>
        <w:t xml:space="preserve"> expected to continue with the measures analysed in this impact assessment,</w:t>
      </w:r>
      <w:r w:rsidR="005E2A37" w:rsidRPr="00244D65">
        <w:rPr>
          <w:noProof/>
          <w:lang w:eastAsia="en-GB"/>
        </w:rPr>
        <w:t xml:space="preserve"> and the evolution of the regulatory environment</w:t>
      </w:r>
      <w:r w:rsidR="005E2A37" w:rsidRPr="00244D65">
        <w:rPr>
          <w:rStyle w:val="FootnoteReference"/>
          <w:noProof/>
          <w:lang w:eastAsia="en-GB"/>
        </w:rPr>
        <w:footnoteReference w:id="91"/>
      </w:r>
      <w:r w:rsidR="005E2A37" w:rsidRPr="00244D65">
        <w:rPr>
          <w:noProof/>
          <w:lang w:eastAsia="en-GB"/>
        </w:rPr>
        <w:t xml:space="preserve"> require a new setup for the financing of the Union registry, leaning of financial market standards and proportionate to the growing value of the assets. </w:t>
      </w:r>
    </w:p>
    <w:p w14:paraId="18A930E3" w14:textId="1283FADC" w:rsidR="00C53C58" w:rsidRPr="00244D65" w:rsidRDefault="00DE75FA" w:rsidP="0085595C">
      <w:pPr>
        <w:rPr>
          <w:noProof/>
          <w:lang w:eastAsia="en-GB"/>
        </w:rPr>
      </w:pPr>
      <w:r w:rsidRPr="00244D65">
        <w:rPr>
          <w:noProof/>
          <w:lang w:eastAsia="en-GB"/>
        </w:rPr>
        <w:t>Nevertheless, measures exist to address t</w:t>
      </w:r>
      <w:r w:rsidR="005D7BAB" w:rsidRPr="00244D65">
        <w:rPr>
          <w:noProof/>
          <w:lang w:eastAsia="en-GB"/>
        </w:rPr>
        <w:t>hese</w:t>
      </w:r>
      <w:r w:rsidR="009143A6" w:rsidRPr="00244D65">
        <w:rPr>
          <w:noProof/>
          <w:lang w:eastAsia="en-GB"/>
        </w:rPr>
        <w:t xml:space="preserve"> growing risks </w:t>
      </w:r>
      <w:r w:rsidRPr="00244D65">
        <w:rPr>
          <w:noProof/>
          <w:lang w:eastAsia="en-GB"/>
        </w:rPr>
        <w:t>to</w:t>
      </w:r>
      <w:r w:rsidR="00772250" w:rsidRPr="00244D65">
        <w:rPr>
          <w:noProof/>
          <w:lang w:eastAsia="en-GB"/>
        </w:rPr>
        <w:t xml:space="preserve"> ensure a reliable </w:t>
      </w:r>
      <w:r w:rsidR="00E615AE" w:rsidRPr="00244D65">
        <w:rPr>
          <w:noProof/>
          <w:lang w:eastAsia="en-GB"/>
        </w:rPr>
        <w:t>service to its users</w:t>
      </w:r>
      <w:r w:rsidR="009143A6" w:rsidRPr="00244D65">
        <w:rPr>
          <w:noProof/>
          <w:lang w:eastAsia="en-GB"/>
        </w:rPr>
        <w:t xml:space="preserve">, </w:t>
      </w:r>
      <w:r w:rsidRPr="00244D65">
        <w:rPr>
          <w:noProof/>
          <w:lang w:eastAsia="en-GB"/>
        </w:rPr>
        <w:t>through</w:t>
      </w:r>
      <w:r w:rsidR="009143A6" w:rsidRPr="00244D65">
        <w:rPr>
          <w:noProof/>
          <w:lang w:eastAsia="en-GB"/>
        </w:rPr>
        <w:t xml:space="preserve"> </w:t>
      </w:r>
      <w:r w:rsidR="00E615AE" w:rsidRPr="00244D65">
        <w:rPr>
          <w:noProof/>
          <w:lang w:eastAsia="en-GB"/>
        </w:rPr>
        <w:t>adequate financing for the operation for the operation of the Union Registry.</w:t>
      </w:r>
      <w:r w:rsidR="00B73E76" w:rsidRPr="00244D65">
        <w:rPr>
          <w:noProof/>
          <w:lang w:eastAsia="en-GB"/>
        </w:rPr>
        <w:t xml:space="preserve"> </w:t>
      </w:r>
      <w:r w:rsidR="00E615AE" w:rsidRPr="00244D65">
        <w:rPr>
          <w:noProof/>
          <w:lang w:eastAsia="en-GB"/>
        </w:rPr>
        <w:t>T</w:t>
      </w:r>
      <w:r w:rsidR="001533C4" w:rsidRPr="00244D65">
        <w:rPr>
          <w:noProof/>
          <w:lang w:eastAsia="en-GB"/>
        </w:rPr>
        <w:t xml:space="preserve">he central administrator of the Union Registry </w:t>
      </w:r>
      <w:r w:rsidRPr="00244D65">
        <w:rPr>
          <w:noProof/>
          <w:lang w:eastAsia="en-GB"/>
        </w:rPr>
        <w:t>c</w:t>
      </w:r>
      <w:r w:rsidR="001533C4" w:rsidRPr="00244D65">
        <w:rPr>
          <w:noProof/>
          <w:lang w:eastAsia="en-GB"/>
        </w:rPr>
        <w:t xml:space="preserve">ould </w:t>
      </w:r>
      <w:r w:rsidR="0048142F" w:rsidRPr="00244D65">
        <w:rPr>
          <w:noProof/>
          <w:lang w:eastAsia="en-GB"/>
        </w:rPr>
        <w:t xml:space="preserve">be given the legal prerogative to raise fees from the users of the system (compliance </w:t>
      </w:r>
      <w:r w:rsidR="004056F7" w:rsidRPr="00244D65">
        <w:rPr>
          <w:noProof/>
          <w:lang w:eastAsia="en-GB"/>
        </w:rPr>
        <w:t>accounts</w:t>
      </w:r>
      <w:r w:rsidR="0048142F" w:rsidRPr="00244D65">
        <w:rPr>
          <w:noProof/>
          <w:lang w:eastAsia="en-GB"/>
        </w:rPr>
        <w:t xml:space="preserve"> and traders) </w:t>
      </w:r>
      <w:r w:rsidR="00C81E30" w:rsidRPr="00244D65">
        <w:rPr>
          <w:noProof/>
          <w:lang w:eastAsia="en-GB"/>
        </w:rPr>
        <w:t xml:space="preserve">or use part of </w:t>
      </w:r>
      <w:r w:rsidR="00A060DA" w:rsidRPr="00244D65">
        <w:rPr>
          <w:noProof/>
          <w:lang w:eastAsia="en-GB"/>
        </w:rPr>
        <w:t>the auction revenue</w:t>
      </w:r>
      <w:r w:rsidR="0048142F" w:rsidRPr="00244D65">
        <w:rPr>
          <w:noProof/>
          <w:lang w:eastAsia="en-GB"/>
        </w:rPr>
        <w:t xml:space="preserve"> to finance the </w:t>
      </w:r>
      <w:r w:rsidR="004056F7" w:rsidRPr="00244D65">
        <w:rPr>
          <w:noProof/>
          <w:lang w:eastAsia="en-GB"/>
        </w:rPr>
        <w:t xml:space="preserve">services it renders to these entities. </w:t>
      </w:r>
      <w:r w:rsidR="00C52BCD" w:rsidRPr="00244D65">
        <w:rPr>
          <w:noProof/>
          <w:lang w:eastAsia="en-GB"/>
        </w:rPr>
        <w:t xml:space="preserve">These costs </w:t>
      </w:r>
      <w:r w:rsidR="005D7BAB" w:rsidRPr="00244D65">
        <w:rPr>
          <w:noProof/>
          <w:lang w:eastAsia="en-GB"/>
        </w:rPr>
        <w:t>would</w:t>
      </w:r>
      <w:r w:rsidR="00C52BCD" w:rsidRPr="00244D65">
        <w:rPr>
          <w:noProof/>
          <w:lang w:eastAsia="en-GB"/>
        </w:rPr>
        <w:t xml:space="preserve"> cover the development, maintenance, and operation of the Registry, IT infrastructure, users’ support</w:t>
      </w:r>
      <w:r w:rsidR="005D7BAB" w:rsidRPr="00244D65">
        <w:rPr>
          <w:noProof/>
          <w:lang w:eastAsia="en-GB"/>
        </w:rPr>
        <w:t>,</w:t>
      </w:r>
      <w:r w:rsidR="00C52BCD" w:rsidRPr="00244D65">
        <w:rPr>
          <w:noProof/>
          <w:lang w:eastAsia="en-GB"/>
        </w:rPr>
        <w:t xml:space="preserve"> as well as IT security, audit capacity, </w:t>
      </w:r>
      <w:r w:rsidR="3EF1B00E" w:rsidRPr="00244D65">
        <w:rPr>
          <w:noProof/>
          <w:lang w:eastAsia="en-GB"/>
        </w:rPr>
        <w:t>oversight,</w:t>
      </w:r>
      <w:r w:rsidR="00C52BCD" w:rsidRPr="00244D65">
        <w:rPr>
          <w:noProof/>
          <w:lang w:eastAsia="en-GB"/>
        </w:rPr>
        <w:t xml:space="preserve"> and other functions required to achieve better compliance with financial market frameworks.</w:t>
      </w:r>
      <w:r w:rsidR="009143A6" w:rsidRPr="00244D65">
        <w:rPr>
          <w:noProof/>
          <w:lang w:eastAsia="en-GB"/>
        </w:rPr>
        <w:t xml:space="preserve"> </w:t>
      </w:r>
      <w:r w:rsidR="00C53C58" w:rsidRPr="00244D65">
        <w:rPr>
          <w:noProof/>
          <w:lang w:eastAsia="en-GB"/>
        </w:rPr>
        <w:t xml:space="preserve">These costs </w:t>
      </w:r>
      <w:r w:rsidRPr="00244D65">
        <w:rPr>
          <w:noProof/>
          <w:lang w:eastAsia="en-GB"/>
        </w:rPr>
        <w:t>c</w:t>
      </w:r>
      <w:r w:rsidR="00C53C58" w:rsidRPr="00244D65">
        <w:rPr>
          <w:noProof/>
          <w:lang w:eastAsia="en-GB"/>
        </w:rPr>
        <w:t>ould also cover further tasks of the Central Administrator and related non-regulatory implementation tasks in the area of ETS.</w:t>
      </w:r>
      <w:r w:rsidR="000C653C" w:rsidRPr="00244D65">
        <w:rPr>
          <w:noProof/>
          <w:lang w:eastAsia="en-GB"/>
        </w:rPr>
        <w:t xml:space="preserve"> </w:t>
      </w:r>
    </w:p>
    <w:p w14:paraId="4F5603AA" w14:textId="09225734" w:rsidR="00F77B0A" w:rsidRPr="00244D65" w:rsidRDefault="00DF1A3F" w:rsidP="0085595C">
      <w:pPr>
        <w:pStyle w:val="Heading4"/>
        <w:rPr>
          <w:noProof/>
        </w:rPr>
      </w:pPr>
      <w:r w:rsidRPr="00244D65">
        <w:rPr>
          <w:noProof/>
        </w:rPr>
        <w:t xml:space="preserve"> </w:t>
      </w:r>
      <w:r w:rsidR="00DF18A0" w:rsidRPr="00244D65">
        <w:rPr>
          <w:noProof/>
        </w:rPr>
        <w:t>Carbon r</w:t>
      </w:r>
      <w:r w:rsidR="00F77B0A" w:rsidRPr="00244D65">
        <w:rPr>
          <w:noProof/>
        </w:rPr>
        <w:t>emovals</w:t>
      </w:r>
    </w:p>
    <w:p w14:paraId="1ED3FAA9" w14:textId="05781194" w:rsidR="00101C25" w:rsidRPr="00244D65" w:rsidRDefault="006228D2" w:rsidP="0085595C">
      <w:pPr>
        <w:rPr>
          <w:noProof/>
          <w:lang w:eastAsia="en-GB"/>
        </w:rPr>
      </w:pPr>
      <w:r w:rsidRPr="00244D65">
        <w:rPr>
          <w:noProof/>
          <w:lang w:eastAsia="en-GB"/>
        </w:rPr>
        <w:t>T</w:t>
      </w:r>
      <w:r w:rsidR="005D798B" w:rsidRPr="00244D65">
        <w:rPr>
          <w:noProof/>
          <w:lang w:eastAsia="en-GB"/>
        </w:rPr>
        <w:t xml:space="preserve">he fundamental, overall cost of achieving EU climate targets </w:t>
      </w:r>
      <w:r w:rsidR="0009679B" w:rsidRPr="00244D65">
        <w:rPr>
          <w:noProof/>
          <w:lang w:eastAsia="en-GB"/>
        </w:rPr>
        <w:t>in terms of gross and net emissions</w:t>
      </w:r>
      <w:r w:rsidR="005D798B" w:rsidRPr="00244D65">
        <w:rPr>
          <w:noProof/>
          <w:lang w:eastAsia="en-GB"/>
        </w:rPr>
        <w:t xml:space="preserve"> </w:t>
      </w:r>
      <w:r w:rsidR="00DF6BC3" w:rsidRPr="00244D65">
        <w:rPr>
          <w:noProof/>
          <w:lang w:eastAsia="en-GB"/>
        </w:rPr>
        <w:t>objectives</w:t>
      </w:r>
      <w:r w:rsidR="005D798B" w:rsidRPr="00244D65">
        <w:rPr>
          <w:noProof/>
          <w:lang w:eastAsia="en-GB"/>
        </w:rPr>
        <w:t xml:space="preserve"> </w:t>
      </w:r>
      <w:r w:rsidR="0009679B" w:rsidRPr="00244D65">
        <w:rPr>
          <w:noProof/>
          <w:lang w:eastAsia="en-GB"/>
        </w:rPr>
        <w:t xml:space="preserve">is </w:t>
      </w:r>
      <w:r w:rsidR="005D798B" w:rsidRPr="00244D65">
        <w:rPr>
          <w:noProof/>
          <w:lang w:eastAsia="en-GB"/>
        </w:rPr>
        <w:t>not</w:t>
      </w:r>
      <w:r w:rsidR="0009679B" w:rsidRPr="00244D65">
        <w:rPr>
          <w:noProof/>
          <w:lang w:eastAsia="en-GB"/>
        </w:rPr>
        <w:t xml:space="preserve"> expected to</w:t>
      </w:r>
      <w:r w:rsidR="005D798B" w:rsidRPr="00244D65">
        <w:rPr>
          <w:noProof/>
          <w:lang w:eastAsia="en-GB"/>
        </w:rPr>
        <w:t xml:space="preserve"> change materially across the five CDR measures considered here. Similarly, the investment needed to support the development and deployment of CDR technologies does not a priori change materially across the measures assessed. Public disbursement can occur through the EU ETS </w:t>
      </w:r>
      <w:r w:rsidR="009F228C" w:rsidRPr="00244D65">
        <w:rPr>
          <w:noProof/>
          <w:lang w:eastAsia="en-GB"/>
        </w:rPr>
        <w:t>as in PO1</w:t>
      </w:r>
      <w:r w:rsidR="005D798B" w:rsidRPr="00244D65">
        <w:rPr>
          <w:noProof/>
          <w:lang w:eastAsia="en-GB"/>
        </w:rPr>
        <w:t xml:space="preserve"> and/or through other support policies (e.g. CCfDs or a public purchasing programme)</w:t>
      </w:r>
      <w:r w:rsidR="009F228C" w:rsidRPr="00244D65">
        <w:rPr>
          <w:noProof/>
          <w:lang w:eastAsia="en-GB"/>
        </w:rPr>
        <w:t xml:space="preserve"> that would complement PO2 or PO3</w:t>
      </w:r>
      <w:r w:rsidR="005D798B" w:rsidRPr="00244D65">
        <w:rPr>
          <w:noProof/>
          <w:lang w:eastAsia="en-GB"/>
        </w:rPr>
        <w:t xml:space="preserve">. </w:t>
      </w:r>
    </w:p>
    <w:p w14:paraId="2D270EBF" w14:textId="1A2DC5D1" w:rsidR="002608EC" w:rsidRPr="00244D65" w:rsidRDefault="005D798B" w:rsidP="0085595C">
      <w:pPr>
        <w:rPr>
          <w:noProof/>
          <w:lang w:eastAsia="en-GB"/>
        </w:rPr>
      </w:pPr>
      <w:r w:rsidRPr="00244D65">
        <w:rPr>
          <w:noProof/>
          <w:lang w:eastAsia="en-GB"/>
        </w:rPr>
        <w:t>In either case, total expenditure should be similar if the regulator has a clear commitment towards procuring enough CDR that guarantees the extra gross emissions headroom for operators (CR1) or to deliver the net emissions outcome (CR3)</w:t>
      </w:r>
      <w:r w:rsidR="006E438E" w:rsidRPr="00244D65">
        <w:rPr>
          <w:noProof/>
          <w:lang w:eastAsia="en-GB"/>
        </w:rPr>
        <w:t>,</w:t>
      </w:r>
      <w:r w:rsidR="002D37FE" w:rsidRPr="00244D65">
        <w:rPr>
          <w:noProof/>
          <w:lang w:eastAsia="en-GB"/>
        </w:rPr>
        <w:t xml:space="preserve"> </w:t>
      </w:r>
      <w:r w:rsidR="008B6B6B" w:rsidRPr="00244D65">
        <w:rPr>
          <w:noProof/>
          <w:lang w:eastAsia="en-GB"/>
        </w:rPr>
        <w:t>as</w:t>
      </w:r>
      <w:r w:rsidR="002D37FE" w:rsidRPr="00244D65">
        <w:rPr>
          <w:noProof/>
          <w:lang w:eastAsia="en-GB"/>
        </w:rPr>
        <w:t xml:space="preserve"> </w:t>
      </w:r>
      <w:r w:rsidR="006E438E" w:rsidRPr="00244D65">
        <w:rPr>
          <w:noProof/>
          <w:lang w:eastAsia="en-GB"/>
        </w:rPr>
        <w:t>the public purchasing programme</w:t>
      </w:r>
      <w:r w:rsidR="002D37FE" w:rsidRPr="00244D65">
        <w:rPr>
          <w:noProof/>
          <w:lang w:eastAsia="en-GB"/>
        </w:rPr>
        <w:t xml:space="preserve"> guarantees in PO1</w:t>
      </w:r>
      <w:r w:rsidRPr="00244D65">
        <w:rPr>
          <w:noProof/>
          <w:lang w:eastAsia="en-GB"/>
        </w:rPr>
        <w:t xml:space="preserve">. </w:t>
      </w:r>
      <w:r w:rsidR="00C277C9" w:rsidRPr="00244D65">
        <w:rPr>
          <w:noProof/>
          <w:lang w:eastAsia="en-GB"/>
        </w:rPr>
        <w:t>In PO1, the public authority would pay the full price of each CDR credit upfront but then recover the price difference with EUAs when the removal-backed EUAs are auctioned, covering only the price difference in the end</w:t>
      </w:r>
      <w:r w:rsidR="00101C25" w:rsidRPr="00244D65">
        <w:rPr>
          <w:noProof/>
          <w:lang w:eastAsia="en-GB"/>
        </w:rPr>
        <w:t>, comparable to CCfD support in PO2 and PO3</w:t>
      </w:r>
      <w:r w:rsidR="006F133E" w:rsidRPr="00244D65">
        <w:rPr>
          <w:noProof/>
          <w:lang w:eastAsia="en-GB"/>
        </w:rPr>
        <w:t xml:space="preserve"> (</w:t>
      </w:r>
      <w:r w:rsidR="006E438E" w:rsidRPr="00244D65">
        <w:rPr>
          <w:rStyle w:val="FootnoteReference"/>
          <w:noProof/>
          <w:lang w:eastAsia="en-GB"/>
        </w:rPr>
        <w:footnoteReference w:id="92"/>
      </w:r>
      <w:r w:rsidR="006F133E" w:rsidRPr="00244D65">
        <w:rPr>
          <w:noProof/>
          <w:lang w:eastAsia="en-GB"/>
        </w:rPr>
        <w:t>)</w:t>
      </w:r>
      <w:r w:rsidR="00101C25" w:rsidRPr="00244D65">
        <w:rPr>
          <w:noProof/>
          <w:lang w:eastAsia="en-GB"/>
        </w:rPr>
        <w:t xml:space="preserve">. </w:t>
      </w:r>
      <w:r w:rsidRPr="00244D65">
        <w:rPr>
          <w:noProof/>
          <w:lang w:eastAsia="en-GB"/>
        </w:rPr>
        <w:t xml:space="preserve">That said, the measures do vary </w:t>
      </w:r>
      <w:bookmarkStart w:id="248" w:name="_Int_teMYI01k"/>
      <w:r w:rsidRPr="00244D65">
        <w:rPr>
          <w:noProof/>
          <w:lang w:eastAsia="en-GB"/>
        </w:rPr>
        <w:t>considerably in</w:t>
      </w:r>
      <w:bookmarkEnd w:id="248"/>
      <w:r w:rsidRPr="00244D65">
        <w:rPr>
          <w:noProof/>
          <w:lang w:eastAsia="en-GB"/>
        </w:rPr>
        <w:t xml:space="preserve"> terms of risk distribution and upfront finance for CDR development and deployment</w:t>
      </w:r>
      <w:r w:rsidR="00D277B8" w:rsidRPr="00244D65">
        <w:rPr>
          <w:noProof/>
          <w:lang w:eastAsia="en-GB"/>
        </w:rPr>
        <w:t>.</w:t>
      </w:r>
      <w:r w:rsidRPr="00244D65">
        <w:rPr>
          <w:noProof/>
          <w:lang w:eastAsia="en-GB"/>
        </w:rPr>
        <w:t xml:space="preserve"> </w:t>
      </w:r>
    </w:p>
    <w:p w14:paraId="28300AF3" w14:textId="169BF859" w:rsidR="001B578E" w:rsidRPr="00244D65" w:rsidRDefault="00260DBD" w:rsidP="0085595C">
      <w:pPr>
        <w:rPr>
          <w:noProof/>
          <w:lang w:eastAsia="en-GB"/>
        </w:rPr>
      </w:pPr>
      <w:r w:rsidRPr="00244D65">
        <w:rPr>
          <w:noProof/>
          <w:lang w:eastAsia="en-GB"/>
        </w:rPr>
        <w:t xml:space="preserve">PO1 would see the regulator purchase removal units even if they are not cost competitive vis à vis the allowance price. Thus, CR4 would likely entail significant administrative costs for the regulator in e.g. the procurement of removal units, although it seems possible that procurement methods such as reverse auctions could yield lower overall transaction costs than if purchases were done by individual regulated entities in the primary CDR market, and would need to be compared with the administrative cost of complementary support measures needed under </w:t>
      </w:r>
      <w:r w:rsidR="00FB4CDE" w:rsidRPr="00244D65">
        <w:rPr>
          <w:noProof/>
          <w:lang w:eastAsia="en-GB"/>
        </w:rPr>
        <w:t>the other policy options</w:t>
      </w:r>
      <w:r w:rsidRPr="00244D65">
        <w:rPr>
          <w:noProof/>
          <w:lang w:eastAsia="en-GB"/>
        </w:rPr>
        <w:t xml:space="preserve"> (e.g. CCfDs). </w:t>
      </w:r>
      <w:r w:rsidR="00C277C9" w:rsidRPr="00244D65">
        <w:rPr>
          <w:noProof/>
          <w:lang w:eastAsia="en-GB"/>
        </w:rPr>
        <w:t xml:space="preserve">Annex 8 </w:t>
      </w:r>
      <w:r w:rsidR="002C6B5F" w:rsidRPr="00244D65">
        <w:rPr>
          <w:noProof/>
          <w:lang w:eastAsia="en-GB"/>
        </w:rPr>
        <w:t>provides an illustrative assessment of</w:t>
      </w:r>
      <w:r w:rsidR="00C277C9" w:rsidRPr="00244D65">
        <w:rPr>
          <w:noProof/>
          <w:lang w:eastAsia="en-GB"/>
        </w:rPr>
        <w:t xml:space="preserve"> the investment needs in CR4, </w:t>
      </w:r>
      <w:r w:rsidR="002448C0" w:rsidRPr="00244D65">
        <w:rPr>
          <w:noProof/>
          <w:lang w:eastAsia="en-GB"/>
        </w:rPr>
        <w:t>the measure</w:t>
      </w:r>
      <w:r w:rsidR="00C277C9" w:rsidRPr="00244D65">
        <w:rPr>
          <w:noProof/>
          <w:lang w:eastAsia="en-GB"/>
        </w:rPr>
        <w:t xml:space="preserve"> included in PO1. </w:t>
      </w:r>
      <w:r w:rsidR="008E6F8D" w:rsidRPr="00244D65">
        <w:rPr>
          <w:noProof/>
          <w:lang w:eastAsia="en-GB"/>
        </w:rPr>
        <w:t>It</w:t>
      </w:r>
      <w:r w:rsidR="005907C7" w:rsidRPr="00244D65">
        <w:rPr>
          <w:noProof/>
          <w:lang w:eastAsia="en-GB"/>
        </w:rPr>
        <w:t xml:space="preserve"> </w:t>
      </w:r>
      <w:r w:rsidR="00C277C9" w:rsidRPr="00244D65">
        <w:rPr>
          <w:noProof/>
          <w:lang w:eastAsia="en-GB"/>
        </w:rPr>
        <w:t>estimate</w:t>
      </w:r>
      <w:r w:rsidR="008E6F8D" w:rsidRPr="00244D65">
        <w:rPr>
          <w:noProof/>
          <w:lang w:eastAsia="en-GB"/>
        </w:rPr>
        <w:t>s the</w:t>
      </w:r>
      <w:r w:rsidR="00C277C9" w:rsidRPr="00244D65">
        <w:rPr>
          <w:noProof/>
          <w:lang w:eastAsia="en-GB"/>
        </w:rPr>
        <w:t xml:space="preserve"> total investment requirements </w:t>
      </w:r>
      <w:r w:rsidR="005907C7" w:rsidRPr="00244D65">
        <w:rPr>
          <w:noProof/>
          <w:lang w:eastAsia="en-GB"/>
        </w:rPr>
        <w:t xml:space="preserve">for </w:t>
      </w:r>
      <w:r w:rsidR="00C277C9" w:rsidRPr="00244D65">
        <w:rPr>
          <w:noProof/>
          <w:lang w:eastAsia="en-GB"/>
        </w:rPr>
        <w:t>achieving net emissions reduction target</w:t>
      </w:r>
      <w:r w:rsidR="00B21304" w:rsidRPr="00244D65">
        <w:rPr>
          <w:noProof/>
          <w:lang w:eastAsia="en-GB"/>
        </w:rPr>
        <w:t xml:space="preserve"> of </w:t>
      </w:r>
      <w:r>
        <w:rPr>
          <w:noProof/>
          <w:lang w:eastAsia="en-GB"/>
        </w:rPr>
        <w:t>85%</w:t>
      </w:r>
      <w:r w:rsidR="00B21304" w:rsidRPr="00244D65">
        <w:rPr>
          <w:noProof/>
          <w:lang w:eastAsia="en-GB"/>
        </w:rPr>
        <w:t xml:space="preserve"> with the ETS integrati</w:t>
      </w:r>
      <w:r w:rsidR="00567A24" w:rsidRPr="00244D65">
        <w:rPr>
          <w:noProof/>
          <w:lang w:eastAsia="en-GB"/>
        </w:rPr>
        <w:t>o</w:t>
      </w:r>
      <w:r w:rsidR="00B21304" w:rsidRPr="00244D65">
        <w:rPr>
          <w:noProof/>
          <w:lang w:eastAsia="en-GB"/>
        </w:rPr>
        <w:t xml:space="preserve">n </w:t>
      </w:r>
      <w:r w:rsidR="00011E0D" w:rsidRPr="00244D65">
        <w:rPr>
          <w:noProof/>
        </w:rPr>
        <w:t xml:space="preserve">of </w:t>
      </w:r>
      <w:r>
        <w:rPr>
          <w:noProof/>
          <w:lang w:eastAsia="en-GB"/>
        </w:rPr>
        <w:t>173</w:t>
      </w:r>
      <w:r w:rsidR="00011E0D" w:rsidRPr="00244D65">
        <w:rPr>
          <w:noProof/>
          <w:lang w:eastAsia="en-GB"/>
        </w:rPr>
        <w:t xml:space="preserve"> Mt</w:t>
      </w:r>
      <w:r w:rsidR="008F4685" w:rsidRPr="00244D65">
        <w:rPr>
          <w:noProof/>
          <w:lang w:eastAsia="en-GB"/>
        </w:rPr>
        <w:t xml:space="preserve"> </w:t>
      </w:r>
      <w:r w:rsidR="008E6F8D" w:rsidRPr="00244D65">
        <w:rPr>
          <w:noProof/>
          <w:lang w:eastAsia="en-GB"/>
        </w:rPr>
        <w:t xml:space="preserve">of BioCCS and DACCS </w:t>
      </w:r>
      <w:r w:rsidR="00662A0A" w:rsidRPr="00244D65">
        <w:rPr>
          <w:noProof/>
          <w:lang w:eastAsia="en-GB"/>
        </w:rPr>
        <w:t>(PRIMES modelling result)</w:t>
      </w:r>
      <w:r w:rsidR="008E6F8D" w:rsidRPr="00244D65">
        <w:rPr>
          <w:noProof/>
          <w:lang w:eastAsia="en-GB"/>
        </w:rPr>
        <w:t xml:space="preserve"> </w:t>
      </w:r>
      <w:r w:rsidR="00C277C9" w:rsidRPr="00244D65">
        <w:rPr>
          <w:noProof/>
          <w:lang w:eastAsia="en-GB"/>
        </w:rPr>
        <w:t>by 2040</w:t>
      </w:r>
      <w:r w:rsidR="008E6F8D" w:rsidRPr="00244D65">
        <w:rPr>
          <w:noProof/>
          <w:lang w:eastAsia="en-GB"/>
        </w:rPr>
        <w:t xml:space="preserve"> at </w:t>
      </w:r>
      <w:r w:rsidR="006F133E" w:rsidRPr="00244D65">
        <w:rPr>
          <w:noProof/>
          <w:lang w:eastAsia="en-GB"/>
        </w:rPr>
        <w:t xml:space="preserve">EUR </w:t>
      </w:r>
      <w:r w:rsidR="008E6F8D" w:rsidRPr="00244D65">
        <w:rPr>
          <w:noProof/>
          <w:lang w:eastAsia="en-GB"/>
        </w:rPr>
        <w:t>35.7</w:t>
      </w:r>
      <w:r w:rsidR="006F133E" w:rsidRPr="00244D65">
        <w:rPr>
          <w:noProof/>
          <w:lang w:eastAsia="en-GB"/>
        </w:rPr>
        <w:t xml:space="preserve"> </w:t>
      </w:r>
      <w:r>
        <w:rPr>
          <w:noProof/>
          <w:lang w:eastAsia="en-GB"/>
        </w:rPr>
        <w:t>billion</w:t>
      </w:r>
      <w:r w:rsidR="00A82806" w:rsidRPr="00244D65">
        <w:rPr>
          <w:noProof/>
          <w:lang w:eastAsia="en-GB"/>
        </w:rPr>
        <w:t xml:space="preserve"> based on </w:t>
      </w:r>
      <w:r w:rsidR="00C278A0" w:rsidRPr="00244D65">
        <w:rPr>
          <w:noProof/>
          <w:lang w:eastAsia="en-GB"/>
        </w:rPr>
        <w:t>the mid-point technology costs</w:t>
      </w:r>
      <w:r w:rsidR="002554E4" w:rsidRPr="00244D65">
        <w:rPr>
          <w:rStyle w:val="FootnoteReference"/>
          <w:noProof/>
          <w:lang w:eastAsia="en-GB"/>
        </w:rPr>
        <w:footnoteReference w:id="93"/>
      </w:r>
      <w:r w:rsidR="00C278A0" w:rsidRPr="00244D65">
        <w:rPr>
          <w:noProof/>
          <w:lang w:eastAsia="en-GB"/>
        </w:rPr>
        <w:t xml:space="preserve">. </w:t>
      </w:r>
      <w:r w:rsidR="00A82806" w:rsidRPr="00244D65">
        <w:rPr>
          <w:noProof/>
          <w:lang w:eastAsia="en-GB"/>
        </w:rPr>
        <w:t xml:space="preserve">Considering different technological costs, between </w:t>
      </w:r>
      <w:r>
        <w:rPr>
          <w:noProof/>
          <w:lang w:eastAsia="en-GB"/>
        </w:rPr>
        <w:t>EUR 29 billion</w:t>
      </w:r>
      <w:r w:rsidR="00A82806" w:rsidRPr="00244D65">
        <w:rPr>
          <w:noProof/>
          <w:lang w:eastAsia="en-GB"/>
        </w:rPr>
        <w:t xml:space="preserve"> and </w:t>
      </w:r>
      <w:r>
        <w:rPr>
          <w:noProof/>
          <w:lang w:eastAsia="en-GB"/>
        </w:rPr>
        <w:t>EUR 43 billion</w:t>
      </w:r>
      <w:r w:rsidR="00A82806" w:rsidRPr="00244D65">
        <w:rPr>
          <w:noProof/>
          <w:lang w:eastAsia="en-GB"/>
        </w:rPr>
        <w:t xml:space="preserve"> (lower to upper bounds</w:t>
      </w:r>
      <w:r w:rsidR="00C278A0" w:rsidRPr="00244D65">
        <w:rPr>
          <w:noProof/>
          <w:lang w:eastAsia="en-GB"/>
        </w:rPr>
        <w:t xml:space="preserve">) </w:t>
      </w:r>
      <w:r w:rsidR="00EB41A6" w:rsidRPr="00244D65">
        <w:rPr>
          <w:noProof/>
          <w:lang w:eastAsia="en-GB"/>
        </w:rPr>
        <w:t xml:space="preserve">are required as </w:t>
      </w:r>
      <w:r w:rsidR="00C278A0" w:rsidRPr="00244D65">
        <w:rPr>
          <w:noProof/>
          <w:lang w:eastAsia="en-GB"/>
        </w:rPr>
        <w:t>upfront investment</w:t>
      </w:r>
      <w:r w:rsidR="00A82806" w:rsidRPr="00244D65">
        <w:rPr>
          <w:noProof/>
          <w:lang w:eastAsia="en-GB"/>
        </w:rPr>
        <w:t xml:space="preserve">. </w:t>
      </w:r>
      <w:r w:rsidR="002554E4" w:rsidRPr="00244D65">
        <w:rPr>
          <w:noProof/>
          <w:lang w:eastAsia="en-GB"/>
        </w:rPr>
        <w:t>However</w:t>
      </w:r>
      <w:r w:rsidR="008A3F2A" w:rsidRPr="00244D65">
        <w:rPr>
          <w:noProof/>
          <w:lang w:eastAsia="en-GB"/>
        </w:rPr>
        <w:t xml:space="preserve">, the purchasing programme would have a final fiscal cost of </w:t>
      </w:r>
      <w:r w:rsidR="006F133E" w:rsidRPr="00244D65">
        <w:rPr>
          <w:noProof/>
          <w:lang w:eastAsia="en-GB"/>
        </w:rPr>
        <w:t>EUR</w:t>
      </w:r>
      <w:r w:rsidR="008A3F2A" w:rsidRPr="00244D65">
        <w:rPr>
          <w:noProof/>
          <w:lang w:eastAsia="en-GB"/>
        </w:rPr>
        <w:t xml:space="preserve"> </w:t>
      </w:r>
      <w:r>
        <w:rPr>
          <w:noProof/>
          <w:lang w:eastAsia="en-GB"/>
        </w:rPr>
        <w:t>3 billion</w:t>
      </w:r>
      <w:r w:rsidR="002554E4" w:rsidRPr="00244D65">
        <w:rPr>
          <w:noProof/>
          <w:lang w:eastAsia="en-GB"/>
        </w:rPr>
        <w:t xml:space="preserve"> (based on the mid-point technology costs)</w:t>
      </w:r>
      <w:r w:rsidR="00D27973" w:rsidRPr="00244D65">
        <w:rPr>
          <w:noProof/>
          <w:lang w:eastAsia="en-GB"/>
        </w:rPr>
        <w:t>, when</w:t>
      </w:r>
      <w:r w:rsidR="00B21304" w:rsidRPr="00244D65">
        <w:rPr>
          <w:noProof/>
          <w:lang w:eastAsia="en-GB"/>
        </w:rPr>
        <w:t xml:space="preserve"> </w:t>
      </w:r>
      <w:r w:rsidR="00B536AF" w:rsidRPr="00244D65">
        <w:rPr>
          <w:noProof/>
          <w:lang w:eastAsia="en-GB"/>
        </w:rPr>
        <w:t>the revenues generated from the removal-backed allowances is deducted from the upfront costs</w:t>
      </w:r>
      <w:r w:rsidR="00B536AF" w:rsidRPr="00244D65">
        <w:rPr>
          <w:rStyle w:val="FootnoteReference"/>
          <w:noProof/>
          <w:lang w:eastAsia="en-GB"/>
        </w:rPr>
        <w:footnoteReference w:id="94"/>
      </w:r>
      <w:r w:rsidR="00B536AF" w:rsidRPr="00244D65">
        <w:rPr>
          <w:rStyle w:val="FootnoteReference"/>
          <w:noProof/>
          <w:lang w:eastAsia="en-GB"/>
        </w:rPr>
        <w:footnoteReference w:id="95"/>
      </w:r>
      <w:r w:rsidR="00C277C9" w:rsidRPr="00244D65">
        <w:rPr>
          <w:noProof/>
          <w:lang w:eastAsia="en-GB"/>
        </w:rPr>
        <w:t>.</w:t>
      </w:r>
      <w:r w:rsidR="000C653C" w:rsidRPr="00244D65">
        <w:rPr>
          <w:noProof/>
          <w:lang w:eastAsia="en-GB"/>
        </w:rPr>
        <w:t xml:space="preserve"> </w:t>
      </w:r>
      <w:r w:rsidR="00DB016F" w:rsidRPr="00244D65">
        <w:rPr>
          <w:noProof/>
          <w:lang w:eastAsia="en-GB"/>
        </w:rPr>
        <w:t>These are illustrative results, as investment requirements and final fiscal cost for a potential removal integration as per CR4, strongly depend on the final ambition level set out, the corresponding ETS prices, total volume of removals to be purchased, the ratio of BioCCS to DACCS in the portfolio, and timing of the purchase of the removals compared to the sale of the allowances. They nevertheless</w:t>
      </w:r>
      <w:r w:rsidR="002C6B5F" w:rsidRPr="00244D65">
        <w:rPr>
          <w:noProof/>
          <w:lang w:eastAsia="en-GB"/>
        </w:rPr>
        <w:t xml:space="preserve"> suggest that the sale of removals into the EU ETS could potentially </w:t>
      </w:r>
      <w:r w:rsidR="00DB016F" w:rsidRPr="00244D65">
        <w:rPr>
          <w:noProof/>
          <w:lang w:eastAsia="en-GB"/>
        </w:rPr>
        <w:t xml:space="preserve">be close to </w:t>
      </w:r>
      <w:r w:rsidR="002C6B5F" w:rsidRPr="00244D65">
        <w:rPr>
          <w:noProof/>
          <w:lang w:eastAsia="en-GB"/>
        </w:rPr>
        <w:t>cover</w:t>
      </w:r>
      <w:r w:rsidR="00DB016F" w:rsidRPr="00244D65">
        <w:rPr>
          <w:noProof/>
          <w:lang w:eastAsia="en-GB"/>
        </w:rPr>
        <w:t>ing</w:t>
      </w:r>
      <w:r w:rsidR="002C6B5F" w:rsidRPr="00244D65">
        <w:rPr>
          <w:noProof/>
          <w:lang w:eastAsia="en-GB"/>
        </w:rPr>
        <w:t xml:space="preserve"> the full cost of the purchasing programme</w:t>
      </w:r>
      <w:r w:rsidR="00665884" w:rsidRPr="00244D65">
        <w:rPr>
          <w:noProof/>
          <w:lang w:eastAsia="en-GB"/>
        </w:rPr>
        <w:t>, i</w:t>
      </w:r>
      <w:r w:rsidR="00B16C4C" w:rsidRPr="00244D65">
        <w:rPr>
          <w:noProof/>
          <w:lang w:eastAsia="en-GB"/>
        </w:rPr>
        <w:t>f</w:t>
      </w:r>
      <w:r w:rsidR="00DB016F" w:rsidRPr="00244D65">
        <w:rPr>
          <w:noProof/>
          <w:lang w:eastAsia="en-GB"/>
        </w:rPr>
        <w:t xml:space="preserve"> the timing of the purchase of the removals compared to the sale of the allowances </w:t>
      </w:r>
      <w:r w:rsidR="00B16C4C" w:rsidRPr="00244D65">
        <w:rPr>
          <w:noProof/>
          <w:lang w:eastAsia="en-GB"/>
        </w:rPr>
        <w:t>could</w:t>
      </w:r>
      <w:r w:rsidR="00DB016F" w:rsidRPr="00244D65">
        <w:rPr>
          <w:noProof/>
          <w:lang w:eastAsia="en-GB"/>
        </w:rPr>
        <w:t xml:space="preserve"> be fully optimised (e.g. delay in the sale of allowances to a time when ETS prices are highest and purchase of removals when the removal prices have decreased)</w:t>
      </w:r>
      <w:r w:rsidR="00B16C4C" w:rsidRPr="00244D65">
        <w:rPr>
          <w:noProof/>
          <w:lang w:eastAsia="en-GB"/>
        </w:rPr>
        <w:t>. However, as this is unlikely due to the need to kick start the market, budgetary rules requiring the availability of revenues at the start of a procurement process and the uncertainty in ETS and removal prices, a conservative approach to the calculation of the fiscal cost would be advisable, potentially considering average ETS prices during the phase.</w:t>
      </w:r>
      <w:r w:rsidR="00DB016F" w:rsidRPr="00244D65">
        <w:rPr>
          <w:noProof/>
          <w:lang w:eastAsia="en-GB"/>
        </w:rPr>
        <w:t xml:space="preserve"> </w:t>
      </w:r>
    </w:p>
    <w:p w14:paraId="6145CAF3" w14:textId="299283D7" w:rsidR="002554E4" w:rsidRPr="00244D65" w:rsidRDefault="00260DBD" w:rsidP="0085595C">
      <w:pPr>
        <w:rPr>
          <w:noProof/>
          <w:lang w:eastAsia="en-GB"/>
        </w:rPr>
      </w:pPr>
      <w:r w:rsidRPr="00244D65">
        <w:rPr>
          <w:noProof/>
          <w:lang w:eastAsia="en-GB"/>
        </w:rPr>
        <w:t>PO2</w:t>
      </w:r>
      <w:r w:rsidR="005D798B" w:rsidRPr="00244D65">
        <w:rPr>
          <w:noProof/>
          <w:lang w:eastAsia="en-GB"/>
        </w:rPr>
        <w:t xml:space="preserve">, in theory, would entail lower direct EU ETS costs for the regulator as compared to </w:t>
      </w:r>
      <w:r w:rsidR="009356E3" w:rsidRPr="00244D65">
        <w:rPr>
          <w:noProof/>
          <w:lang w:eastAsia="en-GB"/>
        </w:rPr>
        <w:t>PO1</w:t>
      </w:r>
      <w:r w:rsidR="002554E4" w:rsidRPr="00244D65">
        <w:rPr>
          <w:noProof/>
          <w:lang w:eastAsia="en-GB"/>
        </w:rPr>
        <w:t xml:space="preserve">. There </w:t>
      </w:r>
      <w:r w:rsidR="44684BF5" w:rsidRPr="00244D65">
        <w:rPr>
          <w:noProof/>
          <w:lang w:eastAsia="en-GB"/>
        </w:rPr>
        <w:t>would not</w:t>
      </w:r>
      <w:r w:rsidR="002554E4" w:rsidRPr="00244D65">
        <w:rPr>
          <w:noProof/>
          <w:lang w:eastAsia="en-GB"/>
        </w:rPr>
        <w:t xml:space="preserve"> be an upfront increase in the cap that would lower ETS prices and with it</w:t>
      </w:r>
      <w:r w:rsidR="66AF477E" w:rsidRPr="00244D65">
        <w:rPr>
          <w:noProof/>
          <w:lang w:eastAsia="en-GB"/>
        </w:rPr>
        <w:t>, it would also</w:t>
      </w:r>
      <w:r w:rsidR="002554E4" w:rsidRPr="00244D65">
        <w:rPr>
          <w:noProof/>
          <w:lang w:eastAsia="en-GB"/>
        </w:rPr>
        <w:t xml:space="preserve"> lower auction revenues for Member States, and no public purchasing would be needed. However, </w:t>
      </w:r>
      <w:r w:rsidR="005D798B" w:rsidRPr="00244D65">
        <w:rPr>
          <w:noProof/>
          <w:lang w:eastAsia="en-GB"/>
        </w:rPr>
        <w:t>in the absence of public investments in CDR through other policies,</w:t>
      </w:r>
      <w:r w:rsidR="002554E4" w:rsidRPr="00244D65">
        <w:rPr>
          <w:noProof/>
          <w:lang w:eastAsia="en-GB"/>
        </w:rPr>
        <w:t xml:space="preserve"> PO2</w:t>
      </w:r>
      <w:r w:rsidR="005D798B" w:rsidRPr="00244D65">
        <w:rPr>
          <w:noProof/>
          <w:lang w:eastAsia="en-GB"/>
        </w:rPr>
        <w:t xml:space="preserve"> risks that the CDR development and deployment </w:t>
      </w:r>
      <w:r w:rsidR="007F2BEA" w:rsidRPr="00244D65">
        <w:rPr>
          <w:noProof/>
          <w:lang w:eastAsia="en-GB"/>
        </w:rPr>
        <w:t>does not take</w:t>
      </w:r>
      <w:r w:rsidR="005D798B" w:rsidRPr="00244D65">
        <w:rPr>
          <w:noProof/>
          <w:lang w:eastAsia="en-GB"/>
        </w:rPr>
        <w:t xml:space="preserve"> place in time for the CDR scale</w:t>
      </w:r>
      <w:r w:rsidR="007F2BEA" w:rsidRPr="00244D65">
        <w:rPr>
          <w:noProof/>
          <w:lang w:eastAsia="en-GB"/>
        </w:rPr>
        <w:t>-</w:t>
      </w:r>
      <w:r w:rsidR="005D798B" w:rsidRPr="00244D65">
        <w:rPr>
          <w:noProof/>
          <w:lang w:eastAsia="en-GB"/>
        </w:rPr>
        <w:t>up required and that the extra ‘space’ for residual emissions inside the ETS therefore not materialize</w:t>
      </w:r>
      <w:r w:rsidR="002554E4" w:rsidRPr="00244D65">
        <w:rPr>
          <w:noProof/>
          <w:lang w:eastAsia="en-GB"/>
        </w:rPr>
        <w:t>, leading to higher costs for the regulator later on.</w:t>
      </w:r>
    </w:p>
    <w:p w14:paraId="11982CDF" w14:textId="1599FEDF" w:rsidR="00196665" w:rsidRPr="00244D65" w:rsidRDefault="00260DBD" w:rsidP="0085595C">
      <w:pPr>
        <w:rPr>
          <w:noProof/>
          <w:lang w:eastAsia="en-GB"/>
        </w:rPr>
      </w:pPr>
      <w:r w:rsidRPr="00244D65">
        <w:rPr>
          <w:noProof/>
          <w:lang w:eastAsia="en-GB"/>
        </w:rPr>
        <w:t>PO3</w:t>
      </w:r>
      <w:r w:rsidR="00E03AAC" w:rsidRPr="00244D65">
        <w:rPr>
          <w:noProof/>
          <w:lang w:eastAsia="en-GB"/>
        </w:rPr>
        <w:t>, which applies a gross cap,</w:t>
      </w:r>
      <w:r w:rsidR="005D798B" w:rsidRPr="00244D65">
        <w:rPr>
          <w:noProof/>
          <w:lang w:eastAsia="en-GB"/>
        </w:rPr>
        <w:t xml:space="preserve"> would see a similar effect in</w:t>
      </w:r>
      <w:r w:rsidR="002554E4" w:rsidRPr="00244D65">
        <w:rPr>
          <w:noProof/>
          <w:lang w:eastAsia="en-GB"/>
        </w:rPr>
        <w:t xml:space="preserve"> apparent cost savings due to</w:t>
      </w:r>
      <w:r w:rsidR="005D798B" w:rsidRPr="00244D65">
        <w:rPr>
          <w:noProof/>
          <w:lang w:eastAsia="en-GB"/>
        </w:rPr>
        <w:t xml:space="preserve"> lower direct </w:t>
      </w:r>
      <w:r w:rsidR="00F909E3" w:rsidRPr="00244D65">
        <w:rPr>
          <w:noProof/>
          <w:lang w:eastAsia="en-GB"/>
        </w:rPr>
        <w:t>EU ETS</w:t>
      </w:r>
      <w:r w:rsidR="005D798B" w:rsidRPr="00244D65">
        <w:rPr>
          <w:noProof/>
          <w:lang w:eastAsia="en-GB"/>
        </w:rPr>
        <w:t xml:space="preserve"> costs for the regulator, again with the need for further support policies to ensure that CDR development and deployment take place in time for the CDR scaleup required. This is aggravated by the initial reduction in scarcity, which could reduce incentives for abatement and investment in removal by regulated entities – thus potentially requiring further investments in abatement and removal by the regulator outside the ETS. Effects are also expected on auction revenues. Under CR3, Member States would see an increase in the number of allowances for auction, but it is unclear whether this would entail higher revenues as the increase in the allowance volume may be offset by a price drop due to the reduced scarcity. Moreover, the one-in-one out mechanics would entail a reduction in auction volumes later in the phase, when prices are expected to be higher.</w:t>
      </w:r>
    </w:p>
    <w:p w14:paraId="5A119ACC" w14:textId="5D136740" w:rsidR="004B3105" w:rsidRPr="00244D65" w:rsidRDefault="00B37B9C" w:rsidP="0085595C">
      <w:pPr>
        <w:rPr>
          <w:noProof/>
        </w:rPr>
      </w:pPr>
      <w:r w:rsidRPr="00244D65">
        <w:rPr>
          <w:noProof/>
        </w:rPr>
        <w:t xml:space="preserve">Beyond </w:t>
      </w:r>
      <w:r w:rsidR="00753821" w:rsidRPr="00244D65">
        <w:rPr>
          <w:noProof/>
        </w:rPr>
        <w:t>direct</w:t>
      </w:r>
      <w:r w:rsidRPr="00244D65">
        <w:rPr>
          <w:noProof/>
        </w:rPr>
        <w:t xml:space="preserve"> costs, it should be noted that funding from ETS revenues provided to support the integration of removals - in particular in PO1 which is design</w:t>
      </w:r>
      <w:r w:rsidR="0041608A" w:rsidRPr="00244D65">
        <w:rPr>
          <w:noProof/>
        </w:rPr>
        <w:t>ed</w:t>
      </w:r>
      <w:r w:rsidRPr="00244D65">
        <w:rPr>
          <w:noProof/>
        </w:rPr>
        <w:t xml:space="preserve"> with the funding as essential element - necessarily reallocates scarce fiscal resources away from other uses</w:t>
      </w:r>
      <w:r w:rsidR="004B3105" w:rsidRPr="00244D65">
        <w:rPr>
          <w:noProof/>
        </w:rPr>
        <w:t>,</w:t>
      </w:r>
      <w:r w:rsidRPr="00244D65">
        <w:rPr>
          <w:noProof/>
        </w:rPr>
        <w:t xml:space="preserve"> </w:t>
      </w:r>
      <w:r w:rsidR="004359CC" w:rsidRPr="00244D65">
        <w:rPr>
          <w:noProof/>
        </w:rPr>
        <w:t>which could potentially</w:t>
      </w:r>
      <w:r w:rsidR="004B3105" w:rsidRPr="00244D65">
        <w:rPr>
          <w:noProof/>
        </w:rPr>
        <w:t xml:space="preserve"> lead</w:t>
      </w:r>
      <w:r w:rsidRPr="00244D65">
        <w:rPr>
          <w:noProof/>
        </w:rPr>
        <w:t xml:space="preserve"> to crowding out cheaper emission reductions today and potentially increasing the overall cost of achieving EU targets.</w:t>
      </w:r>
      <w:r w:rsidR="00196665" w:rsidRPr="00244D65">
        <w:rPr>
          <w:noProof/>
        </w:rPr>
        <w:t xml:space="preserve"> </w:t>
      </w:r>
    </w:p>
    <w:p w14:paraId="76E1CBC5" w14:textId="5E7F713A" w:rsidR="005D798B" w:rsidRPr="00244D65" w:rsidRDefault="00196665" w:rsidP="0085595C">
      <w:pPr>
        <w:rPr>
          <w:noProof/>
          <w:lang w:eastAsia="en-GB"/>
        </w:rPr>
      </w:pPr>
      <w:r w:rsidRPr="00244D65">
        <w:rPr>
          <w:noProof/>
          <w:lang w:eastAsia="en-GB"/>
        </w:rPr>
        <w:t>Finally, any the integration of CDR into the EU ETS would require regulation and oversight on CDR eligibility and market surveillance, thus resulting in administrative costs.</w:t>
      </w:r>
      <w:r w:rsidR="000C653C" w:rsidRPr="00244D65">
        <w:rPr>
          <w:noProof/>
          <w:lang w:eastAsia="en-GB"/>
        </w:rPr>
        <w:t xml:space="preserve"> </w:t>
      </w:r>
    </w:p>
    <w:p w14:paraId="3926FE29" w14:textId="4146CD8D" w:rsidR="00A82FDB" w:rsidRPr="00244D65" w:rsidRDefault="00DF1A3F" w:rsidP="0085595C">
      <w:pPr>
        <w:pStyle w:val="Heading4"/>
        <w:rPr>
          <w:noProof/>
        </w:rPr>
      </w:pPr>
      <w:r w:rsidRPr="00244D65">
        <w:rPr>
          <w:noProof/>
        </w:rPr>
        <w:t xml:space="preserve"> </w:t>
      </w:r>
      <w:r w:rsidR="312211EF" w:rsidRPr="00244D65">
        <w:rPr>
          <w:noProof/>
        </w:rPr>
        <w:t>Instruments to support investment</w:t>
      </w:r>
      <w:r w:rsidR="00A82FDB" w:rsidRPr="00244D65">
        <w:rPr>
          <w:noProof/>
        </w:rPr>
        <w:t>s</w:t>
      </w:r>
    </w:p>
    <w:p w14:paraId="55DA50DB" w14:textId="5B71AB3C" w:rsidR="001578B6" w:rsidRPr="00244D65" w:rsidRDefault="00735035" w:rsidP="0085595C">
      <w:pPr>
        <w:rPr>
          <w:noProof/>
          <w:lang w:eastAsia="en-GB"/>
        </w:rPr>
      </w:pPr>
      <w:r w:rsidRPr="00244D65">
        <w:rPr>
          <w:noProof/>
          <w:lang w:eastAsia="en-GB"/>
        </w:rPr>
        <w:t xml:space="preserve">The </w:t>
      </w:r>
      <w:r w:rsidR="00426A12" w:rsidRPr="00244D65">
        <w:rPr>
          <w:noProof/>
          <w:lang w:eastAsia="en-GB"/>
        </w:rPr>
        <w:t xml:space="preserve">IDB will be centrally managed on the EU-level </w:t>
      </w:r>
      <w:r w:rsidR="00D268FF" w:rsidRPr="00244D65">
        <w:rPr>
          <w:noProof/>
          <w:lang w:eastAsia="en-GB"/>
        </w:rPr>
        <w:t>except the option of the M</w:t>
      </w:r>
      <w:r w:rsidR="00880FEE" w:rsidRPr="00244D65">
        <w:rPr>
          <w:noProof/>
          <w:lang w:eastAsia="en-GB"/>
        </w:rPr>
        <w:t>ember States</w:t>
      </w:r>
      <w:r w:rsidR="00D268FF" w:rsidRPr="00244D65">
        <w:rPr>
          <w:noProof/>
          <w:lang w:eastAsia="en-GB"/>
        </w:rPr>
        <w:t xml:space="preserve"> proposing the short-list of projects (in terms of allocation mechanism)</w:t>
      </w:r>
      <w:r w:rsidR="00BD3129" w:rsidRPr="00244D65">
        <w:rPr>
          <w:noProof/>
          <w:lang w:eastAsia="en-GB"/>
        </w:rPr>
        <w:t>, not included in the main policy options 1-3</w:t>
      </w:r>
      <w:r w:rsidR="003B594A" w:rsidRPr="00244D65">
        <w:rPr>
          <w:noProof/>
          <w:lang w:eastAsia="en-GB"/>
        </w:rPr>
        <w:t>. M</w:t>
      </w:r>
      <w:r w:rsidR="00880FEE" w:rsidRPr="00244D65">
        <w:rPr>
          <w:noProof/>
          <w:lang w:eastAsia="en-GB"/>
        </w:rPr>
        <w:t xml:space="preserve">ember </w:t>
      </w:r>
      <w:r w:rsidR="003B594A" w:rsidRPr="00244D65">
        <w:rPr>
          <w:noProof/>
          <w:lang w:eastAsia="en-GB"/>
        </w:rPr>
        <w:t>S</w:t>
      </w:r>
      <w:r w:rsidR="00880FEE" w:rsidRPr="00244D65">
        <w:rPr>
          <w:noProof/>
          <w:lang w:eastAsia="en-GB"/>
        </w:rPr>
        <w:t>tates</w:t>
      </w:r>
      <w:r w:rsidR="003B594A" w:rsidRPr="00244D65">
        <w:rPr>
          <w:noProof/>
          <w:lang w:eastAsia="en-GB"/>
        </w:rPr>
        <w:t xml:space="preserve"> proposing shortlist would be a</w:t>
      </w:r>
      <w:r w:rsidR="00D268FF" w:rsidRPr="00244D65">
        <w:rPr>
          <w:noProof/>
          <w:lang w:eastAsia="en-GB"/>
        </w:rPr>
        <w:t xml:space="preserve"> single </w:t>
      </w:r>
      <w:r w:rsidR="00E96F80" w:rsidRPr="00244D65">
        <w:rPr>
          <w:noProof/>
          <w:lang w:eastAsia="en-GB"/>
        </w:rPr>
        <w:t xml:space="preserve">case </w:t>
      </w:r>
      <w:r w:rsidR="00D268FF" w:rsidRPr="00244D65">
        <w:rPr>
          <w:noProof/>
          <w:lang w:eastAsia="en-GB"/>
        </w:rPr>
        <w:t>that would generate administrative costs for M</w:t>
      </w:r>
      <w:r w:rsidR="00880FEE" w:rsidRPr="00244D65">
        <w:rPr>
          <w:noProof/>
          <w:lang w:eastAsia="en-GB"/>
        </w:rPr>
        <w:t xml:space="preserve">ember </w:t>
      </w:r>
      <w:r w:rsidR="00D268FF" w:rsidRPr="00244D65">
        <w:rPr>
          <w:noProof/>
          <w:lang w:eastAsia="en-GB"/>
        </w:rPr>
        <w:t>S</w:t>
      </w:r>
      <w:r w:rsidR="00880FEE" w:rsidRPr="00244D65">
        <w:rPr>
          <w:noProof/>
          <w:lang w:eastAsia="en-GB"/>
        </w:rPr>
        <w:t>tates</w:t>
      </w:r>
      <w:r w:rsidR="001578B6" w:rsidRPr="00244D65">
        <w:rPr>
          <w:noProof/>
          <w:lang w:eastAsia="en-GB"/>
        </w:rPr>
        <w:t xml:space="preserve">. The size of the cost was not estimated but would </w:t>
      </w:r>
      <w:bookmarkStart w:id="249" w:name="_Int_4EdOxlKH"/>
      <w:r w:rsidR="001578B6" w:rsidRPr="00244D65">
        <w:rPr>
          <w:noProof/>
          <w:lang w:eastAsia="en-GB"/>
        </w:rPr>
        <w:t>likely be</w:t>
      </w:r>
      <w:bookmarkEnd w:id="249"/>
      <w:r w:rsidR="001578B6" w:rsidRPr="00244D65">
        <w:rPr>
          <w:noProof/>
          <w:lang w:eastAsia="en-GB"/>
        </w:rPr>
        <w:t xml:space="preserve"> similar to estimation done for the Modernisation Fund, see below.</w:t>
      </w:r>
      <w:r w:rsidR="003B594A" w:rsidRPr="00244D65">
        <w:rPr>
          <w:noProof/>
          <w:lang w:eastAsia="en-GB"/>
        </w:rPr>
        <w:t xml:space="preserve"> </w:t>
      </w:r>
      <w:r w:rsidR="001578B6" w:rsidRPr="00244D65">
        <w:rPr>
          <w:noProof/>
          <w:lang w:eastAsia="en-GB"/>
        </w:rPr>
        <w:t xml:space="preserve">Otherwise, all IDB </w:t>
      </w:r>
      <w:r w:rsidR="00F968B3" w:rsidRPr="00244D65">
        <w:rPr>
          <w:noProof/>
          <w:lang w:eastAsia="en-GB"/>
        </w:rPr>
        <w:t xml:space="preserve">policy </w:t>
      </w:r>
      <w:r w:rsidR="001578B6" w:rsidRPr="00244D65">
        <w:rPr>
          <w:noProof/>
          <w:lang w:eastAsia="en-GB"/>
        </w:rPr>
        <w:t>options are centrally managed</w:t>
      </w:r>
      <w:r w:rsidR="002E7FAD" w:rsidRPr="00244D65">
        <w:rPr>
          <w:noProof/>
          <w:lang w:eastAsia="en-GB"/>
        </w:rPr>
        <w:t xml:space="preserve"> clearly offering to MS </w:t>
      </w:r>
      <w:r w:rsidR="00830A76" w:rsidRPr="00244D65">
        <w:rPr>
          <w:noProof/>
          <w:lang w:eastAsia="en-GB"/>
        </w:rPr>
        <w:t xml:space="preserve">the management of complete project cycle from the </w:t>
      </w:r>
      <w:r w:rsidR="002E7FAD" w:rsidRPr="00244D65">
        <w:rPr>
          <w:noProof/>
          <w:lang w:eastAsia="en-GB"/>
        </w:rPr>
        <w:t xml:space="preserve">allocation mechanism </w:t>
      </w:r>
      <w:r w:rsidR="00830A76" w:rsidRPr="00244D65">
        <w:rPr>
          <w:noProof/>
          <w:lang w:eastAsia="en-GB"/>
        </w:rPr>
        <w:t xml:space="preserve">to </w:t>
      </w:r>
      <w:r w:rsidR="002E7FAD" w:rsidRPr="00244D65">
        <w:rPr>
          <w:noProof/>
          <w:lang w:eastAsia="en-GB"/>
        </w:rPr>
        <w:t>monitoring</w:t>
      </w:r>
      <w:r w:rsidR="00830A76" w:rsidRPr="00244D65">
        <w:rPr>
          <w:noProof/>
          <w:lang w:eastAsia="en-GB"/>
        </w:rPr>
        <w:t>.</w:t>
      </w:r>
    </w:p>
    <w:p w14:paraId="4E395B97" w14:textId="174CBD7F" w:rsidR="00CF5CB3" w:rsidRPr="00244D65" w:rsidRDefault="00312285" w:rsidP="0085595C">
      <w:pPr>
        <w:rPr>
          <w:noProof/>
          <w:lang w:eastAsia="en-GB"/>
        </w:rPr>
      </w:pPr>
      <w:r w:rsidRPr="00244D65">
        <w:rPr>
          <w:noProof/>
          <w:lang w:eastAsia="en-GB"/>
        </w:rPr>
        <w:t xml:space="preserve">For the Modernisation Fund, </w:t>
      </w:r>
      <w:r w:rsidRPr="00244D65" w:rsidDel="009D0BE6">
        <w:rPr>
          <w:noProof/>
          <w:lang w:eastAsia="en-GB"/>
        </w:rPr>
        <w:t>a</w:t>
      </w:r>
      <w:r w:rsidR="00CF5CB3" w:rsidRPr="00244D65">
        <w:rPr>
          <w:noProof/>
          <w:lang w:eastAsia="en-GB"/>
        </w:rPr>
        <w:t xml:space="preserve">s </w:t>
      </w:r>
      <w:r w:rsidR="00123AC6" w:rsidRPr="00244D65">
        <w:rPr>
          <w:noProof/>
          <w:lang w:eastAsia="en-GB"/>
        </w:rPr>
        <w:t>shown in the evaluation,</w:t>
      </w:r>
      <w:r w:rsidR="00CF5CB3" w:rsidRPr="00244D65">
        <w:rPr>
          <w:noProof/>
          <w:lang w:eastAsia="en-GB"/>
        </w:rPr>
        <w:t xml:space="preserve"> Member States are primarily responsible for implement</w:t>
      </w:r>
      <w:r w:rsidRPr="00244D65">
        <w:rPr>
          <w:noProof/>
          <w:lang w:eastAsia="en-GB"/>
        </w:rPr>
        <w:t>ation</w:t>
      </w:r>
      <w:r w:rsidR="005F6DBC" w:rsidRPr="00244D65">
        <w:rPr>
          <w:noProof/>
          <w:lang w:eastAsia="en-GB"/>
        </w:rPr>
        <w:t>.</w:t>
      </w:r>
      <w:r w:rsidR="00CF5CB3" w:rsidRPr="00244D65">
        <w:rPr>
          <w:noProof/>
          <w:lang w:eastAsia="en-GB"/>
        </w:rPr>
        <w:t xml:space="preserve"> </w:t>
      </w:r>
      <w:r w:rsidR="001F5833" w:rsidRPr="00244D65">
        <w:rPr>
          <w:noProof/>
          <w:lang w:eastAsia="en-GB"/>
        </w:rPr>
        <w:t>Consequently</w:t>
      </w:r>
      <w:r w:rsidR="00FD22F5" w:rsidRPr="00244D65">
        <w:rPr>
          <w:noProof/>
          <w:lang w:eastAsia="en-GB"/>
        </w:rPr>
        <w:t xml:space="preserve">, </w:t>
      </w:r>
      <w:r w:rsidR="00CF5CB3" w:rsidRPr="00244D65">
        <w:rPr>
          <w:noProof/>
          <w:lang w:eastAsia="en-GB"/>
        </w:rPr>
        <w:t xml:space="preserve">there are some administrative costs attached to it which have been estimated at 0.13% of the total MF envelope under the current version of the </w:t>
      </w:r>
      <w:r w:rsidR="00F83E57" w:rsidRPr="00244D65">
        <w:rPr>
          <w:noProof/>
          <w:lang w:eastAsia="en-GB"/>
        </w:rPr>
        <w:t>ETS Directive</w:t>
      </w:r>
      <w:r w:rsidR="00CF5CB3" w:rsidRPr="00244D65">
        <w:rPr>
          <w:noProof/>
          <w:lang w:eastAsia="en-GB"/>
        </w:rPr>
        <w:t xml:space="preserve">. </w:t>
      </w:r>
    </w:p>
    <w:p w14:paraId="097B7F48" w14:textId="45424692" w:rsidR="00CF5CB3" w:rsidRPr="00244D65" w:rsidRDefault="00CF5CB3" w:rsidP="0085595C">
      <w:pPr>
        <w:rPr>
          <w:noProof/>
          <w:lang w:eastAsia="en-GB"/>
        </w:rPr>
      </w:pPr>
      <w:r w:rsidRPr="00244D65">
        <w:rPr>
          <w:noProof/>
          <w:lang w:eastAsia="en-GB"/>
        </w:rPr>
        <w:t xml:space="preserve">PO3 has the largest impact on administrative </w:t>
      </w:r>
      <w:r w:rsidR="007A5F33" w:rsidRPr="00244D65">
        <w:rPr>
          <w:noProof/>
          <w:lang w:eastAsia="en-GB"/>
        </w:rPr>
        <w:t>costs for public authorities</w:t>
      </w:r>
      <w:r w:rsidRPr="00244D65">
        <w:rPr>
          <w:noProof/>
          <w:lang w:eastAsia="en-GB"/>
        </w:rPr>
        <w:t>, most notably through introducing a vetting of all priority investments by the Investment Committe</w:t>
      </w:r>
      <w:r w:rsidR="007A5F33" w:rsidRPr="00244D65">
        <w:rPr>
          <w:noProof/>
          <w:lang w:eastAsia="en-GB"/>
        </w:rPr>
        <w:t>e. This</w:t>
      </w:r>
      <w:r w:rsidRPr="00244D65">
        <w:rPr>
          <w:noProof/>
          <w:lang w:eastAsia="en-GB"/>
        </w:rPr>
        <w:t xml:space="preserve"> would imply </w:t>
      </w:r>
      <w:r w:rsidR="007A5F33" w:rsidRPr="00244D65">
        <w:rPr>
          <w:noProof/>
          <w:lang w:eastAsia="en-GB"/>
        </w:rPr>
        <w:t xml:space="preserve">that </w:t>
      </w:r>
      <w:r w:rsidRPr="00244D65">
        <w:rPr>
          <w:noProof/>
          <w:lang w:eastAsia="en-GB"/>
        </w:rPr>
        <w:t xml:space="preserve">all beneficiary Member States and the three non-beneficiary Member States sitting at the Committee review all investments submitted under the Fund </w:t>
      </w:r>
      <w:r w:rsidR="007A5F33" w:rsidRPr="00244D65">
        <w:rPr>
          <w:noProof/>
          <w:lang w:eastAsia="en-GB"/>
        </w:rPr>
        <w:t xml:space="preserve">and </w:t>
      </w:r>
      <w:r w:rsidRPr="00244D65">
        <w:rPr>
          <w:noProof/>
          <w:lang w:eastAsia="en-GB"/>
        </w:rPr>
        <w:t xml:space="preserve">decide on their approval. At the same time, with the exclusion of gas and waste-to-energy from the scope of the MF as well as the exclusion of non-priority investments also entailed by this Policy Option, investments to be discussed at the Committee would be likely to be consensual. All investments submitted would indeed have to fall under the pre-defined list of activities supported as priority investments, with the European Investment Bank conducting a first screening. The reduction of the share of </w:t>
      </w:r>
      <w:r w:rsidR="007A5F33" w:rsidRPr="00244D65">
        <w:rPr>
          <w:noProof/>
          <w:lang w:eastAsia="en-GB"/>
        </w:rPr>
        <w:t>non-priority</w:t>
      </w:r>
      <w:r w:rsidRPr="00244D65">
        <w:rPr>
          <w:noProof/>
          <w:lang w:eastAsia="en-GB"/>
        </w:rPr>
        <w:t xml:space="preserve"> investments to 0 would also decrease administrative efforts related to applying to the Fund, as applications for these investments are more time-consuming. </w:t>
      </w:r>
    </w:p>
    <w:p w14:paraId="22C8CD70" w14:textId="61CEB54F" w:rsidR="00CF5CB3" w:rsidRPr="00244D65" w:rsidRDefault="00CF5CB3" w:rsidP="0085595C">
      <w:pPr>
        <w:rPr>
          <w:noProof/>
        </w:rPr>
      </w:pPr>
      <w:r w:rsidRPr="00244D65">
        <w:rPr>
          <w:noProof/>
          <w:lang w:eastAsia="en-GB"/>
        </w:rPr>
        <w:t>PO1 and PO2 would reduce the administrative costs related to applying to the Fund, as they both reduce the share of MF envelope that beneficiary Member States can dedicate to non-priority investments, which bring a notable higher burden.</w:t>
      </w:r>
    </w:p>
    <w:p w14:paraId="27F12AF6" w14:textId="0BFC35BF" w:rsidR="00A82FDB" w:rsidRPr="00244D65" w:rsidRDefault="00DF1A3F" w:rsidP="0085595C">
      <w:pPr>
        <w:pStyle w:val="Heading4"/>
        <w:rPr>
          <w:noProof/>
        </w:rPr>
      </w:pPr>
      <w:r w:rsidRPr="00244D65">
        <w:rPr>
          <w:noProof/>
        </w:rPr>
        <w:t xml:space="preserve"> </w:t>
      </w:r>
      <w:r w:rsidR="00A82FDB" w:rsidRPr="00244D65">
        <w:rPr>
          <w:noProof/>
        </w:rPr>
        <w:t>Aviation</w:t>
      </w:r>
    </w:p>
    <w:p w14:paraId="2A3BFBC1" w14:textId="2DA2486D" w:rsidR="000F0C2C" w:rsidRPr="00244D65" w:rsidRDefault="000F0C2C" w:rsidP="0085595C">
      <w:pPr>
        <w:rPr>
          <w:rFonts w:eastAsia="Times New Roman"/>
          <w:noProof/>
        </w:rPr>
      </w:pPr>
      <w:r w:rsidRPr="00244D65">
        <w:rPr>
          <w:rFonts w:eastAsia="Times New Roman"/>
          <w:noProof/>
        </w:rPr>
        <w:t xml:space="preserve">The continuation of the SAF mechanism would lead to fiscal costs for Member States if they </w:t>
      </w:r>
      <w:r w:rsidR="002D54C1" w:rsidRPr="00244D65">
        <w:rPr>
          <w:rFonts w:eastAsia="Times New Roman"/>
          <w:noProof/>
        </w:rPr>
        <w:t>were to</w:t>
      </w:r>
      <w:r w:rsidRPr="00244D65">
        <w:rPr>
          <w:rFonts w:eastAsia="Times New Roman"/>
          <w:noProof/>
        </w:rPr>
        <w:t xml:space="preserve"> use national budgets to replace the reduced ETS revenues allocated to them</w:t>
      </w:r>
      <w:r w:rsidR="00374457" w:rsidRPr="00244D65">
        <w:rPr>
          <w:rFonts w:eastAsia="Times New Roman"/>
          <w:noProof/>
        </w:rPr>
        <w:t>, or i</w:t>
      </w:r>
      <w:r w:rsidR="00E00BFD" w:rsidRPr="00244D65">
        <w:rPr>
          <w:rFonts w:eastAsia="Times New Roman"/>
          <w:noProof/>
        </w:rPr>
        <w:t xml:space="preserve">n any case would reduce </w:t>
      </w:r>
      <w:r w:rsidR="00447B82" w:rsidRPr="00244D65">
        <w:rPr>
          <w:rFonts w:eastAsia="Times New Roman"/>
          <w:noProof/>
        </w:rPr>
        <w:t>Member State revenues</w:t>
      </w:r>
      <w:r w:rsidRPr="00244D65">
        <w:rPr>
          <w:rFonts w:eastAsia="Times New Roman"/>
          <w:noProof/>
        </w:rPr>
        <w:t>.</w:t>
      </w:r>
      <w:r w:rsidR="00E756E4" w:rsidRPr="00244D65">
        <w:rPr>
          <w:rFonts w:eastAsia="Times New Roman"/>
          <w:noProof/>
        </w:rPr>
        <w:t xml:space="preserve"> See Annex 10</w:t>
      </w:r>
      <w:r w:rsidR="00414713" w:rsidRPr="00244D65">
        <w:rPr>
          <w:rFonts w:eastAsia="Times New Roman"/>
          <w:noProof/>
        </w:rPr>
        <w:t xml:space="preserve">, Table </w:t>
      </w:r>
      <w:r w:rsidR="005E4623" w:rsidRPr="00244D65">
        <w:rPr>
          <w:rFonts w:eastAsia="Times New Roman"/>
          <w:noProof/>
        </w:rPr>
        <w:t>27</w:t>
      </w:r>
      <w:r w:rsidR="004918E4" w:rsidRPr="00244D65">
        <w:rPr>
          <w:rFonts w:eastAsia="Times New Roman"/>
          <w:noProof/>
        </w:rPr>
        <w:t>,</w:t>
      </w:r>
      <w:r w:rsidR="00E756E4" w:rsidRPr="00244D65">
        <w:rPr>
          <w:rFonts w:eastAsia="Times New Roman"/>
          <w:noProof/>
        </w:rPr>
        <w:t xml:space="preserve"> for </w:t>
      </w:r>
      <w:r w:rsidR="00332926" w:rsidRPr="00244D65">
        <w:rPr>
          <w:rFonts w:eastAsia="Times New Roman"/>
          <w:noProof/>
        </w:rPr>
        <w:t xml:space="preserve">figures on the </w:t>
      </w:r>
      <w:bookmarkStart w:id="250" w:name="_Int_bro6ufWu"/>
      <w:r w:rsidR="00332926" w:rsidRPr="00244D65">
        <w:rPr>
          <w:rFonts w:eastAsia="Times New Roman"/>
          <w:noProof/>
        </w:rPr>
        <w:t>amount</w:t>
      </w:r>
      <w:bookmarkEnd w:id="250"/>
      <w:r w:rsidR="00332926" w:rsidRPr="00244D65">
        <w:rPr>
          <w:rFonts w:eastAsia="Times New Roman"/>
          <w:noProof/>
        </w:rPr>
        <w:t xml:space="preserve"> of allowances set aside for </w:t>
      </w:r>
      <w:r w:rsidR="00E8132C" w:rsidRPr="00244D65">
        <w:rPr>
          <w:rFonts w:eastAsia="Times New Roman"/>
          <w:noProof/>
        </w:rPr>
        <w:t>ETS-financed SAF support</w:t>
      </w:r>
      <w:r w:rsidRPr="00244D65">
        <w:rPr>
          <w:rFonts w:eastAsia="Times New Roman"/>
          <w:noProof/>
        </w:rPr>
        <w:t>.</w:t>
      </w:r>
    </w:p>
    <w:p w14:paraId="25A9D50A" w14:textId="1BBC794E" w:rsidR="00B6595A" w:rsidRPr="00244D65" w:rsidRDefault="002B1CD0" w:rsidP="0085595C">
      <w:pPr>
        <w:rPr>
          <w:noProof/>
          <w:lang w:eastAsia="en-GB"/>
        </w:rPr>
      </w:pPr>
      <w:r w:rsidRPr="00244D65">
        <w:rPr>
          <w:noProof/>
          <w:lang w:eastAsia="en-GB"/>
        </w:rPr>
        <w:t>Other e</w:t>
      </w:r>
      <w:r w:rsidR="00442AE6" w:rsidRPr="00244D65">
        <w:rPr>
          <w:noProof/>
          <w:lang w:eastAsia="en-GB"/>
        </w:rPr>
        <w:t xml:space="preserve">conomic impacts on public authorities are covered in the section on administrative </w:t>
      </w:r>
      <w:r w:rsidR="00B15DAF" w:rsidRPr="00244D65">
        <w:rPr>
          <w:noProof/>
          <w:lang w:eastAsia="en-GB"/>
        </w:rPr>
        <w:t xml:space="preserve">effort in section 6.2.2 </w:t>
      </w:r>
      <w:bookmarkStart w:id="251" w:name="_Int_wwFxelMG"/>
      <w:r w:rsidR="00B15DAF" w:rsidRPr="00244D65">
        <w:rPr>
          <w:noProof/>
          <w:lang w:eastAsia="en-GB"/>
        </w:rPr>
        <w:t>above</w:t>
      </w:r>
      <w:r w:rsidR="001B2487" w:rsidRPr="00244D65">
        <w:rPr>
          <w:noProof/>
          <w:lang w:eastAsia="en-GB"/>
        </w:rPr>
        <w:t>, since</w:t>
      </w:r>
      <w:bookmarkEnd w:id="251"/>
      <w:r w:rsidR="001B2487" w:rsidRPr="00244D65">
        <w:rPr>
          <w:noProof/>
          <w:lang w:eastAsia="en-GB"/>
        </w:rPr>
        <w:t xml:space="preserve"> there are </w:t>
      </w:r>
      <w:r w:rsidR="00AE6F06" w:rsidRPr="00244D65">
        <w:rPr>
          <w:noProof/>
          <w:lang w:eastAsia="en-GB"/>
        </w:rPr>
        <w:t>no significant changes</w:t>
      </w:r>
      <w:r w:rsidR="0006695E" w:rsidRPr="00244D65">
        <w:rPr>
          <w:noProof/>
          <w:lang w:eastAsia="en-GB"/>
        </w:rPr>
        <w:t xml:space="preserve"> specifically for public authorities.</w:t>
      </w:r>
    </w:p>
    <w:p w14:paraId="6A09DE74" w14:textId="68CD198D" w:rsidR="00A82FDB" w:rsidRPr="00244D65" w:rsidRDefault="00DF1A3F" w:rsidP="0085595C">
      <w:pPr>
        <w:pStyle w:val="Heading4"/>
        <w:rPr>
          <w:noProof/>
        </w:rPr>
      </w:pPr>
      <w:r w:rsidRPr="00244D65">
        <w:rPr>
          <w:noProof/>
        </w:rPr>
        <w:t xml:space="preserve"> </w:t>
      </w:r>
      <w:r w:rsidR="00A82FDB" w:rsidRPr="00244D65">
        <w:rPr>
          <w:noProof/>
        </w:rPr>
        <w:t>Maritime</w:t>
      </w:r>
    </w:p>
    <w:p w14:paraId="467E718A" w14:textId="6341EE15" w:rsidR="00E85DA3" w:rsidRPr="00244D65" w:rsidRDefault="00E85DA3" w:rsidP="0085595C">
      <w:pPr>
        <w:rPr>
          <w:rFonts w:eastAsia="Times New Roman"/>
          <w:noProof/>
        </w:rPr>
      </w:pPr>
      <w:r w:rsidRPr="00244D65">
        <w:rPr>
          <w:rFonts w:eastAsia="Times New Roman"/>
          <w:noProof/>
        </w:rPr>
        <w:t xml:space="preserve">The SMAP </w:t>
      </w:r>
      <w:r w:rsidR="001F4DFE" w:rsidRPr="00244D65">
        <w:rPr>
          <w:rFonts w:eastAsia="Times New Roman"/>
          <w:noProof/>
        </w:rPr>
        <w:t>mechanism</w:t>
      </w:r>
      <w:r w:rsidRPr="00244D65">
        <w:rPr>
          <w:rFonts w:eastAsia="Times New Roman"/>
          <w:noProof/>
        </w:rPr>
        <w:t xml:space="preserve"> w</w:t>
      </w:r>
      <w:r w:rsidR="002F3951" w:rsidRPr="00244D65">
        <w:rPr>
          <w:rFonts w:eastAsia="Times New Roman"/>
          <w:noProof/>
        </w:rPr>
        <w:t>ould</w:t>
      </w:r>
      <w:r w:rsidRPr="00244D65">
        <w:rPr>
          <w:rFonts w:eastAsia="Times New Roman"/>
          <w:noProof/>
        </w:rPr>
        <w:t xml:space="preserve"> lead to fiscal costs for Member States if they would use national budgets to replace the reduced ETS revenues allocated to them</w:t>
      </w:r>
      <w:r w:rsidR="00883BCC" w:rsidRPr="00244D65">
        <w:rPr>
          <w:rFonts w:eastAsia="Times New Roman"/>
          <w:noProof/>
        </w:rPr>
        <w:t>.</w:t>
      </w:r>
    </w:p>
    <w:p w14:paraId="019A452B" w14:textId="3D2922C0" w:rsidR="70B791A3" w:rsidRPr="00244D65" w:rsidRDefault="70B791A3" w:rsidP="0085595C">
      <w:pPr>
        <w:rPr>
          <w:rFonts w:eastAsia="Times New Roman"/>
          <w:noProof/>
        </w:rPr>
      </w:pPr>
      <w:r w:rsidRPr="00244D65">
        <w:rPr>
          <w:rFonts w:eastAsia="Times New Roman"/>
          <w:noProof/>
        </w:rPr>
        <w:t>The extension of the EU ETS to smaller vessels under PO2</w:t>
      </w:r>
      <w:r w:rsidR="00911AD3" w:rsidRPr="00244D65">
        <w:rPr>
          <w:rFonts w:eastAsia="Times New Roman"/>
          <w:noProof/>
        </w:rPr>
        <w:t xml:space="preserve"> and PO3</w:t>
      </w:r>
      <w:r w:rsidRPr="00244D65">
        <w:rPr>
          <w:rFonts w:eastAsia="Times New Roman"/>
          <w:noProof/>
        </w:rPr>
        <w:t xml:space="preserve"> is expected to increase the workload for public authorities responsible for MRV and ETS administration.</w:t>
      </w:r>
      <w:r w:rsidR="000C653C" w:rsidRPr="00244D65">
        <w:rPr>
          <w:rFonts w:eastAsia="Times New Roman"/>
          <w:noProof/>
        </w:rPr>
        <w:t xml:space="preserve"> </w:t>
      </w:r>
      <w:r w:rsidRPr="00244D65">
        <w:rPr>
          <w:rFonts w:eastAsia="Times New Roman"/>
          <w:noProof/>
        </w:rPr>
        <w:t>This may require additional resources and staff training, to ensure accurate reporting, effective compliance monitoring, and timely implementation of the system.</w:t>
      </w:r>
      <w:r w:rsidR="00AE686B" w:rsidRPr="00244D65">
        <w:rPr>
          <w:rFonts w:eastAsia="Times New Roman"/>
          <w:noProof/>
        </w:rPr>
        <w:t xml:space="preserve"> Total additional recurrent administrative</w:t>
      </w:r>
      <w:r w:rsidR="00BA0E61" w:rsidRPr="00244D65">
        <w:rPr>
          <w:rFonts w:eastAsia="Times New Roman"/>
          <w:noProof/>
        </w:rPr>
        <w:t xml:space="preserve"> costs are estimated </w:t>
      </w:r>
      <w:r w:rsidR="00F248DE" w:rsidRPr="00244D65">
        <w:rPr>
          <w:rFonts w:eastAsia="Times New Roman"/>
          <w:noProof/>
        </w:rPr>
        <w:t>at</w:t>
      </w:r>
      <w:r w:rsidR="00BA0E61" w:rsidRPr="00244D65">
        <w:rPr>
          <w:rFonts w:eastAsia="Times New Roman"/>
          <w:noProof/>
        </w:rPr>
        <w:t xml:space="preserve"> </w:t>
      </w:r>
      <w:r w:rsidR="00F248DE" w:rsidRPr="00244D65">
        <w:rPr>
          <w:rFonts w:eastAsia="Times New Roman"/>
          <w:noProof/>
        </w:rPr>
        <w:t xml:space="preserve">EUR </w:t>
      </w:r>
      <w:r w:rsidR="00BA0E61" w:rsidRPr="00244D65">
        <w:rPr>
          <w:rFonts w:eastAsia="Times New Roman"/>
          <w:noProof/>
        </w:rPr>
        <w:t>0</w:t>
      </w:r>
      <w:r w:rsidR="003F7D3A" w:rsidRPr="00244D65">
        <w:rPr>
          <w:rFonts w:eastAsia="Times New Roman"/>
          <w:noProof/>
        </w:rPr>
        <w:t>.</w:t>
      </w:r>
      <w:r w:rsidR="00BA0E61" w:rsidRPr="00244D65">
        <w:rPr>
          <w:rFonts w:eastAsia="Times New Roman"/>
          <w:noProof/>
        </w:rPr>
        <w:t>74</w:t>
      </w:r>
      <w:r w:rsidR="00F248DE" w:rsidRPr="00244D65">
        <w:rPr>
          <w:rFonts w:eastAsia="Times New Roman"/>
          <w:noProof/>
        </w:rPr>
        <w:t xml:space="preserve"> million</w:t>
      </w:r>
      <w:r w:rsidR="00CB6308" w:rsidRPr="00244D65">
        <w:rPr>
          <w:rFonts w:eastAsia="Times New Roman"/>
          <w:noProof/>
        </w:rPr>
        <w:t xml:space="preserve"> per year</w:t>
      </w:r>
      <w:r w:rsidR="00F248DE" w:rsidRPr="00244D65">
        <w:rPr>
          <w:rFonts w:eastAsia="Times New Roman"/>
          <w:noProof/>
        </w:rPr>
        <w:t xml:space="preserve"> for P</w:t>
      </w:r>
      <w:r w:rsidR="00CB6308" w:rsidRPr="00244D65">
        <w:rPr>
          <w:rFonts w:eastAsia="Times New Roman"/>
          <w:noProof/>
        </w:rPr>
        <w:t xml:space="preserve">O2 and </w:t>
      </w:r>
      <w:r w:rsidR="00223198" w:rsidRPr="00244D65">
        <w:rPr>
          <w:rFonts w:eastAsia="Times New Roman"/>
          <w:noProof/>
        </w:rPr>
        <w:t xml:space="preserve">EUR </w:t>
      </w:r>
      <w:r w:rsidR="00BA0E61" w:rsidRPr="00244D65">
        <w:rPr>
          <w:rFonts w:eastAsia="Times New Roman"/>
          <w:noProof/>
        </w:rPr>
        <w:t>1</w:t>
      </w:r>
      <w:r w:rsidR="003F7D3A" w:rsidRPr="00244D65">
        <w:rPr>
          <w:rFonts w:eastAsia="Times New Roman"/>
          <w:noProof/>
        </w:rPr>
        <w:t>.</w:t>
      </w:r>
      <w:r w:rsidR="00BA0E61" w:rsidRPr="00244D65">
        <w:rPr>
          <w:rFonts w:eastAsia="Times New Roman"/>
          <w:noProof/>
        </w:rPr>
        <w:t>46</w:t>
      </w:r>
      <w:r w:rsidR="00F248DE" w:rsidRPr="00244D65">
        <w:rPr>
          <w:rFonts w:eastAsia="Times New Roman"/>
          <w:noProof/>
        </w:rPr>
        <w:t xml:space="preserve"> million per year</w:t>
      </w:r>
      <w:r w:rsidR="00CB6308" w:rsidRPr="00244D65">
        <w:rPr>
          <w:rFonts w:eastAsia="Times New Roman"/>
          <w:noProof/>
        </w:rPr>
        <w:t xml:space="preserve"> for PO3</w:t>
      </w:r>
      <w:r w:rsidR="00F248DE" w:rsidRPr="00244D65">
        <w:rPr>
          <w:rFonts w:eastAsia="Times New Roman"/>
          <w:noProof/>
        </w:rPr>
        <w:t>.</w:t>
      </w:r>
    </w:p>
    <w:p w14:paraId="17A80619" w14:textId="6777C751" w:rsidR="00A82FDB" w:rsidRPr="00244D65" w:rsidRDefault="00DF1A3F" w:rsidP="0085595C">
      <w:pPr>
        <w:pStyle w:val="Heading4"/>
        <w:rPr>
          <w:noProof/>
        </w:rPr>
      </w:pPr>
      <w:r w:rsidRPr="00244D65">
        <w:rPr>
          <w:noProof/>
        </w:rPr>
        <w:t xml:space="preserve"> </w:t>
      </w:r>
      <w:r w:rsidR="004C02EA" w:rsidRPr="00244D65">
        <w:rPr>
          <w:noProof/>
        </w:rPr>
        <w:t>Carbon leakage prevention</w:t>
      </w:r>
    </w:p>
    <w:p w14:paraId="1F1E778A" w14:textId="64393E0F" w:rsidR="005F586A" w:rsidRPr="00244D65" w:rsidRDefault="000C7B39" w:rsidP="0085595C">
      <w:pPr>
        <w:rPr>
          <w:noProof/>
        </w:rPr>
      </w:pPr>
      <w:r w:rsidRPr="00244D65">
        <w:rPr>
          <w:noProof/>
        </w:rPr>
        <w:t>The simplification measures included</w:t>
      </w:r>
      <w:r w:rsidR="00C36EAD" w:rsidRPr="00244D65">
        <w:rPr>
          <w:noProof/>
        </w:rPr>
        <w:t xml:space="preserve"> in all the policy measures on carbon leakage protection </w:t>
      </w:r>
      <w:r w:rsidR="003D2F20" w:rsidRPr="00244D65">
        <w:rPr>
          <w:noProof/>
        </w:rPr>
        <w:t xml:space="preserve">will </w:t>
      </w:r>
      <w:r w:rsidR="008906BB" w:rsidRPr="00244D65">
        <w:rPr>
          <w:noProof/>
        </w:rPr>
        <w:t xml:space="preserve">reduce administrative burden also for public authorities, </w:t>
      </w:r>
      <w:bookmarkStart w:id="252" w:name="_Int_1kjgfUVJ"/>
      <w:r w:rsidR="00E90C64" w:rsidRPr="00244D65">
        <w:rPr>
          <w:noProof/>
        </w:rPr>
        <w:t>in particular for</w:t>
      </w:r>
      <w:bookmarkEnd w:id="252"/>
      <w:r w:rsidR="00E90C64" w:rsidRPr="00244D65">
        <w:rPr>
          <w:noProof/>
        </w:rPr>
        <w:t xml:space="preserve"> ETS Competent Authorities. </w:t>
      </w:r>
    </w:p>
    <w:p w14:paraId="0A4ECACA" w14:textId="1F78F387" w:rsidR="00D915BB" w:rsidRPr="00244D65" w:rsidRDefault="00445CBB" w:rsidP="0085595C">
      <w:pPr>
        <w:rPr>
          <w:noProof/>
          <w:lang w:eastAsia="en-GB"/>
        </w:rPr>
      </w:pPr>
      <w:r w:rsidRPr="00244D65">
        <w:rPr>
          <w:noProof/>
        </w:rPr>
        <w:t xml:space="preserve">For ICC compensation, </w:t>
      </w:r>
      <w:r w:rsidR="00F50CC4" w:rsidRPr="00244D65">
        <w:rPr>
          <w:noProof/>
        </w:rPr>
        <w:t>in Option ICC1</w:t>
      </w:r>
      <w:r w:rsidR="005D5135" w:rsidRPr="00244D65">
        <w:rPr>
          <w:noProof/>
        </w:rPr>
        <w:t xml:space="preserve"> </w:t>
      </w:r>
      <w:r w:rsidR="009C5CAE" w:rsidRPr="00244D65">
        <w:rPr>
          <w:noProof/>
        </w:rPr>
        <w:t>each</w:t>
      </w:r>
      <w:r w:rsidR="005D5135" w:rsidRPr="00244D65">
        <w:rPr>
          <w:noProof/>
        </w:rPr>
        <w:t xml:space="preserve"> Member State would continue to have the option to use </w:t>
      </w:r>
      <w:r w:rsidR="009C5CAE" w:rsidRPr="00244D65">
        <w:rPr>
          <w:noProof/>
        </w:rPr>
        <w:t xml:space="preserve">some of its share of auction revenues to </w:t>
      </w:r>
      <w:r w:rsidR="000E1BDD" w:rsidRPr="00244D65">
        <w:rPr>
          <w:noProof/>
        </w:rPr>
        <w:t>fund an ICC</w:t>
      </w:r>
      <w:r w:rsidR="00F50CC4" w:rsidRPr="00244D65">
        <w:rPr>
          <w:noProof/>
        </w:rPr>
        <w:t xml:space="preserve"> </w:t>
      </w:r>
      <w:r w:rsidR="006A6BFA" w:rsidRPr="00244D65">
        <w:rPr>
          <w:noProof/>
        </w:rPr>
        <w:t xml:space="preserve">State aid </w:t>
      </w:r>
      <w:r w:rsidR="000E1BDD" w:rsidRPr="00244D65">
        <w:rPr>
          <w:noProof/>
        </w:rPr>
        <w:t>scheme, retaining the option</w:t>
      </w:r>
      <w:r w:rsidR="006A6BFA" w:rsidRPr="00244D65">
        <w:rPr>
          <w:noProof/>
        </w:rPr>
        <w:t xml:space="preserve"> to</w:t>
      </w:r>
      <w:r w:rsidR="00F50CC4" w:rsidRPr="00244D65">
        <w:rPr>
          <w:noProof/>
        </w:rPr>
        <w:t xml:space="preserve"> balance the importance of providing this </w:t>
      </w:r>
      <w:r w:rsidR="008E7566" w:rsidRPr="00244D65">
        <w:rPr>
          <w:noProof/>
        </w:rPr>
        <w:t>aid</w:t>
      </w:r>
      <w:r w:rsidR="00F50CC4" w:rsidRPr="00244D65">
        <w:rPr>
          <w:noProof/>
        </w:rPr>
        <w:t xml:space="preserve"> against other revenue uses.</w:t>
      </w:r>
      <w:r w:rsidR="000E1BDD" w:rsidRPr="00244D65">
        <w:rPr>
          <w:noProof/>
        </w:rPr>
        <w:t xml:space="preserve"> </w:t>
      </w:r>
    </w:p>
    <w:p w14:paraId="19098EA2" w14:textId="73E6A182" w:rsidR="007C6784" w:rsidRPr="00244D65" w:rsidRDefault="00445CBB" w:rsidP="0085595C">
      <w:pPr>
        <w:rPr>
          <w:noProof/>
        </w:rPr>
      </w:pPr>
      <w:r w:rsidRPr="00244D65">
        <w:rPr>
          <w:noProof/>
        </w:rPr>
        <w:t xml:space="preserve">Option ICC1 would </w:t>
      </w:r>
      <w:r w:rsidR="000A1651" w:rsidRPr="00244D65">
        <w:rPr>
          <w:noProof/>
        </w:rPr>
        <w:t>also</w:t>
      </w:r>
      <w:r w:rsidRPr="00244D65">
        <w:rPr>
          <w:noProof/>
        </w:rPr>
        <w:t xml:space="preserve"> ask Member States to provide additional information on how their ICC compensation measures contribute to decarbonisation. The additional burden from these requirement</w:t>
      </w:r>
      <w:r w:rsidR="00530DC1" w:rsidRPr="00244D65">
        <w:rPr>
          <w:noProof/>
        </w:rPr>
        <w:t>s</w:t>
      </w:r>
      <w:r w:rsidRPr="00244D65">
        <w:rPr>
          <w:noProof/>
        </w:rPr>
        <w:t xml:space="preserve"> is expected to be modest since it would amend an existing </w:t>
      </w:r>
      <w:r w:rsidR="00744ADF" w:rsidRPr="00244D65">
        <w:rPr>
          <w:noProof/>
        </w:rPr>
        <w:t>reporting requirement in the ETS Directive</w:t>
      </w:r>
      <w:r w:rsidRPr="00244D65">
        <w:rPr>
          <w:noProof/>
        </w:rPr>
        <w:t xml:space="preserve"> rather than create a completely new one</w:t>
      </w:r>
      <w:r w:rsidR="00FC50BD" w:rsidRPr="00244D65">
        <w:rPr>
          <w:noProof/>
        </w:rPr>
        <w:t>.</w:t>
      </w:r>
      <w:r w:rsidRPr="00244D65">
        <w:rPr>
          <w:noProof/>
        </w:rPr>
        <w:t xml:space="preserve"> </w:t>
      </w:r>
      <w:r w:rsidR="00FC50BD" w:rsidRPr="00244D65">
        <w:rPr>
          <w:noProof/>
        </w:rPr>
        <w:t>Article 10</w:t>
      </w:r>
      <w:bookmarkStart w:id="253" w:name="_Int_8GtiTzyg"/>
      <w:r w:rsidR="00FC50BD" w:rsidRPr="00244D65">
        <w:rPr>
          <w:noProof/>
        </w:rPr>
        <w:t>a(</w:t>
      </w:r>
      <w:bookmarkEnd w:id="253"/>
      <w:r w:rsidR="00FC50BD" w:rsidRPr="00244D65">
        <w:rPr>
          <w:noProof/>
        </w:rPr>
        <w:t>6)</w:t>
      </w:r>
      <w:r w:rsidR="007C6784" w:rsidRPr="00244D65">
        <w:rPr>
          <w:noProof/>
        </w:rPr>
        <w:t xml:space="preserve"> </w:t>
      </w:r>
      <w:r w:rsidRPr="00244D65">
        <w:rPr>
          <w:noProof/>
        </w:rPr>
        <w:t>already require</w:t>
      </w:r>
      <w:r w:rsidR="007C6784" w:rsidRPr="00244D65">
        <w:rPr>
          <w:noProof/>
        </w:rPr>
        <w:t xml:space="preserve">s </w:t>
      </w:r>
      <w:r w:rsidRPr="00244D65">
        <w:rPr>
          <w:noProof/>
        </w:rPr>
        <w:t xml:space="preserve">Member States to make information on ICC compensation publicly available. </w:t>
      </w:r>
    </w:p>
    <w:p w14:paraId="035F73D6" w14:textId="46405C83" w:rsidR="00445CBB" w:rsidRPr="00244D65" w:rsidRDefault="00445CBB" w:rsidP="0085595C">
      <w:pPr>
        <w:rPr>
          <w:noProof/>
        </w:rPr>
      </w:pPr>
      <w:r w:rsidRPr="00244D65">
        <w:rPr>
          <w:noProof/>
        </w:rPr>
        <w:t xml:space="preserve">Option ICC2 would create an additional administrative burden </w:t>
      </w:r>
      <w:r w:rsidR="000A1651" w:rsidRPr="00244D65">
        <w:rPr>
          <w:noProof/>
        </w:rPr>
        <w:t xml:space="preserve">for public authorities </w:t>
      </w:r>
      <w:r w:rsidR="006F443C" w:rsidRPr="00244D65">
        <w:rPr>
          <w:noProof/>
        </w:rPr>
        <w:t>at both national and EU levels</w:t>
      </w:r>
      <w:r w:rsidR="00B116BC" w:rsidRPr="00244D65">
        <w:rPr>
          <w:noProof/>
        </w:rPr>
        <w:t xml:space="preserve"> due to the need to establish and administer an additional </w:t>
      </w:r>
      <w:r w:rsidR="00C44A2C" w:rsidRPr="00244D65">
        <w:rPr>
          <w:noProof/>
        </w:rPr>
        <w:t>fund</w:t>
      </w:r>
      <w:r w:rsidRPr="00244D65">
        <w:rPr>
          <w:noProof/>
        </w:rPr>
        <w:t xml:space="preserve">. </w:t>
      </w:r>
    </w:p>
    <w:p w14:paraId="23FEAD86" w14:textId="16A5D61E" w:rsidR="00A82FDB" w:rsidRPr="00244D65" w:rsidRDefault="00DF1A3F" w:rsidP="0085595C">
      <w:pPr>
        <w:pStyle w:val="Heading4"/>
        <w:rPr>
          <w:noProof/>
        </w:rPr>
      </w:pPr>
      <w:r w:rsidRPr="00244D65">
        <w:rPr>
          <w:noProof/>
        </w:rPr>
        <w:t xml:space="preserve"> </w:t>
      </w:r>
      <w:r w:rsidR="00A82FDB" w:rsidRPr="00244D65">
        <w:rPr>
          <w:noProof/>
        </w:rPr>
        <w:t>Waste</w:t>
      </w:r>
    </w:p>
    <w:p w14:paraId="7F127A64" w14:textId="78932AB9" w:rsidR="00E4474B" w:rsidRPr="00244D65" w:rsidRDefault="004168A0" w:rsidP="0085595C">
      <w:pPr>
        <w:rPr>
          <w:noProof/>
          <w:lang w:eastAsia="en-GB"/>
        </w:rPr>
      </w:pPr>
      <w:r w:rsidRPr="00244D65">
        <w:rPr>
          <w:noProof/>
          <w:lang w:eastAsia="en-GB"/>
        </w:rPr>
        <w:t xml:space="preserve">Under </w:t>
      </w:r>
      <w:r w:rsidR="009A65D0" w:rsidRPr="00244D65">
        <w:rPr>
          <w:noProof/>
          <w:lang w:eastAsia="en-GB"/>
        </w:rPr>
        <w:t xml:space="preserve">both PO2 and PO3, the carbon price is expected to be at least partially passed through </w:t>
      </w:r>
      <w:r w:rsidR="00ED6EAE" w:rsidRPr="00244D65">
        <w:rPr>
          <w:noProof/>
          <w:lang w:eastAsia="en-GB"/>
        </w:rPr>
        <w:t xml:space="preserve">up </w:t>
      </w:r>
      <w:r w:rsidR="009A65D0" w:rsidRPr="00244D65">
        <w:rPr>
          <w:noProof/>
          <w:lang w:eastAsia="en-GB"/>
        </w:rPr>
        <w:t>the waste value chain, extending the price signal to local waste collection and disposal authorities and contributing to incentivise</w:t>
      </w:r>
      <w:r w:rsidR="00C4618A" w:rsidRPr="00244D65">
        <w:rPr>
          <w:noProof/>
          <w:lang w:eastAsia="en-GB"/>
        </w:rPr>
        <w:t xml:space="preserve"> improved</w:t>
      </w:r>
      <w:r w:rsidR="009A65D0" w:rsidRPr="00244D65">
        <w:rPr>
          <w:noProof/>
          <w:lang w:eastAsia="en-GB"/>
        </w:rPr>
        <w:t xml:space="preserve"> waste prevention, </w:t>
      </w:r>
      <w:r w:rsidR="1AC05456" w:rsidRPr="00244D65">
        <w:rPr>
          <w:noProof/>
          <w:lang w:eastAsia="en-GB"/>
        </w:rPr>
        <w:t>reduction,</w:t>
      </w:r>
      <w:r w:rsidR="009A65D0" w:rsidRPr="00244D65">
        <w:rPr>
          <w:noProof/>
          <w:lang w:eastAsia="en-GB"/>
        </w:rPr>
        <w:t xml:space="preserve"> </w:t>
      </w:r>
      <w:r w:rsidR="009B0BDC" w:rsidRPr="00244D65">
        <w:rPr>
          <w:noProof/>
          <w:lang w:eastAsia="en-GB"/>
        </w:rPr>
        <w:t xml:space="preserve">collection </w:t>
      </w:r>
      <w:r w:rsidR="009A65D0" w:rsidRPr="00244D65">
        <w:rPr>
          <w:noProof/>
          <w:lang w:eastAsia="en-GB"/>
        </w:rPr>
        <w:t>and sorting at source</w:t>
      </w:r>
      <w:r w:rsidR="009B0BDC" w:rsidRPr="00244D65">
        <w:rPr>
          <w:noProof/>
          <w:lang w:eastAsia="en-GB"/>
        </w:rPr>
        <w:t xml:space="preserve">. </w:t>
      </w:r>
      <w:r w:rsidR="009A65D0" w:rsidRPr="00244D65">
        <w:rPr>
          <w:noProof/>
          <w:lang w:eastAsia="en-GB"/>
        </w:rPr>
        <w:t>Around one fifth of stakeholders in the public consultation expressed concern</w:t>
      </w:r>
      <w:r w:rsidR="00A32F26" w:rsidRPr="00244D65">
        <w:rPr>
          <w:noProof/>
          <w:lang w:eastAsia="en-GB"/>
        </w:rPr>
        <w:t>s</w:t>
      </w:r>
      <w:r w:rsidR="009A65D0" w:rsidRPr="00244D65">
        <w:rPr>
          <w:noProof/>
          <w:lang w:eastAsia="en-GB"/>
        </w:rPr>
        <w:t xml:space="preserve"> on the need to balance potential price impacts for households through waste collection fees or local taxation. Evidence from Member States already applying carbon pricing on municipal waste incineration </w:t>
      </w:r>
      <w:r w:rsidR="001D74D3" w:rsidRPr="00244D65">
        <w:rPr>
          <w:noProof/>
          <w:lang w:eastAsia="en-GB"/>
        </w:rPr>
        <w:t xml:space="preserve">indicates </w:t>
      </w:r>
      <w:r w:rsidR="00251FA6" w:rsidRPr="00244D65">
        <w:rPr>
          <w:noProof/>
          <w:lang w:eastAsia="en-GB"/>
        </w:rPr>
        <w:t xml:space="preserve">the impact on households is manageable, with </w:t>
      </w:r>
      <w:r w:rsidR="009A65D0" w:rsidRPr="00244D65">
        <w:rPr>
          <w:noProof/>
          <w:lang w:eastAsia="en-GB"/>
        </w:rPr>
        <w:t xml:space="preserve">average household waste management fees </w:t>
      </w:r>
      <w:r w:rsidR="00251FA6" w:rsidRPr="00244D65">
        <w:rPr>
          <w:noProof/>
          <w:lang w:eastAsia="en-GB"/>
        </w:rPr>
        <w:t xml:space="preserve">increases </w:t>
      </w:r>
      <w:r w:rsidR="00DA13F9" w:rsidRPr="00244D65">
        <w:rPr>
          <w:noProof/>
          <w:lang w:eastAsia="en-GB"/>
        </w:rPr>
        <w:t>in the order of EUR 10-1</w:t>
      </w:r>
      <w:r w:rsidR="2BFCC312" w:rsidRPr="00244D65">
        <w:rPr>
          <w:noProof/>
          <w:lang w:eastAsia="en-GB"/>
        </w:rPr>
        <w:t>5</w:t>
      </w:r>
      <w:r w:rsidR="00DA13F9" w:rsidRPr="00244D65">
        <w:rPr>
          <w:noProof/>
          <w:lang w:eastAsia="en-GB"/>
        </w:rPr>
        <w:t xml:space="preserve"> on annual basis</w:t>
      </w:r>
      <w:r w:rsidRPr="00244D65">
        <w:rPr>
          <w:noProof/>
          <w:vertAlign w:val="superscript"/>
          <w:lang w:eastAsia="en-GB"/>
        </w:rPr>
        <w:footnoteReference w:id="96"/>
      </w:r>
      <w:r w:rsidR="009A65D0" w:rsidRPr="00244D65">
        <w:rPr>
          <w:noProof/>
          <w:lang w:eastAsia="en-GB"/>
        </w:rPr>
        <w:t xml:space="preserve">. </w:t>
      </w:r>
      <w:r w:rsidR="0062440B" w:rsidRPr="00244D65">
        <w:rPr>
          <w:noProof/>
          <w:lang w:eastAsia="en-GB"/>
        </w:rPr>
        <w:t>A</w:t>
      </w:r>
      <w:r w:rsidR="009A65D0" w:rsidRPr="00244D65">
        <w:rPr>
          <w:noProof/>
          <w:lang w:eastAsia="en-GB"/>
        </w:rPr>
        <w:t xml:space="preserve"> substantial share of </w:t>
      </w:r>
      <w:r w:rsidR="00EB21AD" w:rsidRPr="00244D65">
        <w:rPr>
          <w:noProof/>
          <w:lang w:eastAsia="en-GB"/>
        </w:rPr>
        <w:t xml:space="preserve">the </w:t>
      </w:r>
      <w:r w:rsidR="009A65D0" w:rsidRPr="00244D65">
        <w:rPr>
          <w:noProof/>
          <w:lang w:eastAsia="en-GB"/>
        </w:rPr>
        <w:t xml:space="preserve">impact can further be </w:t>
      </w:r>
      <w:r w:rsidR="0062440B" w:rsidRPr="00244D65">
        <w:rPr>
          <w:noProof/>
          <w:lang w:eastAsia="en-GB"/>
        </w:rPr>
        <w:t xml:space="preserve">mitigated </w:t>
      </w:r>
      <w:r w:rsidR="009A65D0" w:rsidRPr="00244D65">
        <w:rPr>
          <w:noProof/>
          <w:lang w:eastAsia="en-GB"/>
        </w:rPr>
        <w:t>through improved waste prevention, reduction</w:t>
      </w:r>
      <w:r w:rsidR="00811BFF" w:rsidRPr="00244D65">
        <w:rPr>
          <w:noProof/>
          <w:lang w:eastAsia="en-GB"/>
        </w:rPr>
        <w:t>, collection</w:t>
      </w:r>
      <w:r w:rsidR="009A65D0" w:rsidRPr="00244D65">
        <w:rPr>
          <w:noProof/>
          <w:lang w:eastAsia="en-GB"/>
        </w:rPr>
        <w:t xml:space="preserve"> and sorting </w:t>
      </w:r>
      <w:r w:rsidR="00567A84" w:rsidRPr="00244D65">
        <w:rPr>
          <w:noProof/>
          <w:lang w:eastAsia="en-GB"/>
        </w:rPr>
        <w:t>measures by local waste disposal authorities</w:t>
      </w:r>
      <w:r w:rsidR="00811BFF" w:rsidRPr="00244D65">
        <w:rPr>
          <w:noProof/>
        </w:rPr>
        <w:t xml:space="preserve">. </w:t>
      </w:r>
      <w:r w:rsidR="00EC6775" w:rsidRPr="00244D65">
        <w:rPr>
          <w:noProof/>
        </w:rPr>
        <w:t xml:space="preserve">For this, it is essential that </w:t>
      </w:r>
      <w:r w:rsidR="00A67F2A" w:rsidRPr="00244D65">
        <w:rPr>
          <w:noProof/>
        </w:rPr>
        <w:t>local authorities channel the incentive</w:t>
      </w:r>
      <w:r w:rsidR="00EC6775" w:rsidRPr="00244D65">
        <w:rPr>
          <w:noProof/>
          <w:lang w:eastAsia="en-GB"/>
        </w:rPr>
        <w:t xml:space="preserve"> </w:t>
      </w:r>
      <w:r w:rsidR="00811BFF" w:rsidRPr="00244D65">
        <w:rPr>
          <w:noProof/>
          <w:lang w:eastAsia="en-GB"/>
        </w:rPr>
        <w:t>through targeted and proven waste measures and policies with a positive steering effect</w:t>
      </w:r>
      <w:r w:rsidR="005B363B" w:rsidRPr="00244D65">
        <w:rPr>
          <w:noProof/>
          <w:lang w:eastAsia="en-GB"/>
        </w:rPr>
        <w:t xml:space="preserve"> offering households a choice to avoid the additional cost of mixed waste disposal</w:t>
      </w:r>
      <w:r w:rsidR="00250E7C" w:rsidRPr="00244D65">
        <w:rPr>
          <w:noProof/>
          <w:lang w:eastAsia="en-GB"/>
        </w:rPr>
        <w:t xml:space="preserve"> (see Annex 13, Section 1.3.1.). C</w:t>
      </w:r>
      <w:r w:rsidR="00296B76" w:rsidRPr="00244D65">
        <w:rPr>
          <w:noProof/>
          <w:lang w:eastAsia="en-GB"/>
        </w:rPr>
        <w:t xml:space="preserve">omplementary </w:t>
      </w:r>
      <w:r w:rsidR="00250E7C" w:rsidRPr="00244D65">
        <w:rPr>
          <w:noProof/>
          <w:lang w:eastAsia="en-GB"/>
        </w:rPr>
        <w:t xml:space="preserve">circular economy policies </w:t>
      </w:r>
      <w:r w:rsidR="00296B76" w:rsidRPr="00244D65">
        <w:rPr>
          <w:noProof/>
          <w:lang w:eastAsia="en-GB"/>
        </w:rPr>
        <w:t xml:space="preserve">and financial </w:t>
      </w:r>
      <w:r w:rsidR="009115C1" w:rsidRPr="00244D65">
        <w:rPr>
          <w:noProof/>
          <w:lang w:eastAsia="en-GB"/>
        </w:rPr>
        <w:t>instruments</w:t>
      </w:r>
      <w:r w:rsidR="00314510" w:rsidRPr="00244D65">
        <w:rPr>
          <w:noProof/>
          <w:lang w:eastAsia="en-GB"/>
        </w:rPr>
        <w:t xml:space="preserve"> </w:t>
      </w:r>
      <w:r w:rsidR="00250E7C" w:rsidRPr="00244D65">
        <w:rPr>
          <w:noProof/>
          <w:lang w:eastAsia="en-GB"/>
        </w:rPr>
        <w:t>can</w:t>
      </w:r>
      <w:r w:rsidR="00FF396A" w:rsidRPr="00244D65">
        <w:rPr>
          <w:noProof/>
          <w:lang w:eastAsia="en-GB"/>
        </w:rPr>
        <w:t xml:space="preserve"> support </w:t>
      </w:r>
      <w:r w:rsidR="009A65D0" w:rsidRPr="00244D65">
        <w:rPr>
          <w:noProof/>
          <w:lang w:eastAsia="en-GB"/>
        </w:rPr>
        <w:t xml:space="preserve">local authorities </w:t>
      </w:r>
      <w:r w:rsidR="00250E7C" w:rsidRPr="00244D65">
        <w:rPr>
          <w:noProof/>
          <w:lang w:eastAsia="en-GB"/>
        </w:rPr>
        <w:t xml:space="preserve">to implement those circular economy measures steering waste disposal in line with the waste hierarchy and helping households to manage </w:t>
      </w:r>
      <w:r w:rsidR="253282EA" w:rsidRPr="00244D65">
        <w:rPr>
          <w:noProof/>
          <w:lang w:eastAsia="en-GB"/>
        </w:rPr>
        <w:t>impacts.</w:t>
      </w:r>
      <w:r w:rsidR="009A65D0" w:rsidRPr="00244D65">
        <w:rPr>
          <w:noProof/>
          <w:lang w:eastAsia="en-GB"/>
        </w:rPr>
        <w:t xml:space="preserve"> </w:t>
      </w:r>
    </w:p>
    <w:p w14:paraId="602C1DC6" w14:textId="40DAE47B" w:rsidR="009F7EE9" w:rsidRPr="00244D65" w:rsidRDefault="3B65F6E6" w:rsidP="005E4778">
      <w:pPr>
        <w:spacing w:line="259" w:lineRule="auto"/>
        <w:rPr>
          <w:noProof/>
        </w:rPr>
      </w:pPr>
      <w:r w:rsidRPr="00244D65">
        <w:rPr>
          <w:noProof/>
          <w:lang w:eastAsia="en-GB"/>
        </w:rPr>
        <w:t xml:space="preserve">ETS revenues from inclusion of waste disposal activities are projected to be significant and </w:t>
      </w:r>
      <w:r w:rsidR="62FE1F73" w:rsidRPr="00244D65">
        <w:rPr>
          <w:noProof/>
          <w:lang w:eastAsia="en-GB"/>
        </w:rPr>
        <w:t xml:space="preserve">in the </w:t>
      </w:r>
      <w:r w:rsidRPr="00244D65">
        <w:rPr>
          <w:noProof/>
          <w:lang w:eastAsia="en-GB"/>
        </w:rPr>
        <w:t xml:space="preserve">range </w:t>
      </w:r>
      <w:r w:rsidR="5E641167" w:rsidRPr="00244D65">
        <w:rPr>
          <w:noProof/>
          <w:lang w:eastAsia="en-GB"/>
        </w:rPr>
        <w:t xml:space="preserve">of </w:t>
      </w:r>
      <w:r w:rsidRPr="00244D65">
        <w:rPr>
          <w:noProof/>
          <w:lang w:eastAsia="en-GB"/>
        </w:rPr>
        <w:t xml:space="preserve">EUR </w:t>
      </w:r>
      <w:r>
        <w:rPr>
          <w:noProof/>
          <w:lang w:eastAsia="en-GB"/>
        </w:rPr>
        <w:t>4.75</w:t>
      </w:r>
      <w:r w:rsidRPr="00244D65">
        <w:rPr>
          <w:noProof/>
          <w:lang w:eastAsia="en-GB"/>
        </w:rPr>
        <w:t xml:space="preserve"> billion annually on average over 2031-2040 in case of an extension of the cap to municipal waste incineration and double to triple this amount in case of a full extension to all waste incineration and landfilling. </w:t>
      </w:r>
      <w:r w:rsidR="59714C62" w:rsidRPr="00244D65">
        <w:rPr>
          <w:noProof/>
          <w:lang w:eastAsia="en-GB"/>
        </w:rPr>
        <w:t xml:space="preserve">Existing, proven measures and policies </w:t>
      </w:r>
      <w:r w:rsidR="71B2B749" w:rsidRPr="00244D65">
        <w:rPr>
          <w:noProof/>
          <w:lang w:eastAsia="en-GB"/>
        </w:rPr>
        <w:t xml:space="preserve">such as </w:t>
      </w:r>
      <w:r w:rsidR="59714C62" w:rsidRPr="00244D65">
        <w:rPr>
          <w:noProof/>
          <w:lang w:eastAsia="en-GB"/>
        </w:rPr>
        <w:t>improved separate, weight-based and Pay-As-You-Throw collection schemes and strengthened</w:t>
      </w:r>
      <w:r w:rsidR="6D638F10" w:rsidRPr="00244D65">
        <w:rPr>
          <w:noProof/>
          <w:lang w:eastAsia="en-GB"/>
        </w:rPr>
        <w:t xml:space="preserve"> </w:t>
      </w:r>
      <w:r w:rsidR="59714C62" w:rsidRPr="00244D65">
        <w:rPr>
          <w:noProof/>
          <w:lang w:eastAsia="en-GB"/>
        </w:rPr>
        <w:t xml:space="preserve"> Extended Producer Responsibility schemes can </w:t>
      </w:r>
      <w:r w:rsidR="6D638F10" w:rsidRPr="00244D65">
        <w:rPr>
          <w:noProof/>
          <w:lang w:eastAsia="en-GB"/>
        </w:rPr>
        <w:t xml:space="preserve">support </w:t>
      </w:r>
      <w:r w:rsidR="59714C62" w:rsidRPr="00244D65">
        <w:rPr>
          <w:noProof/>
          <w:lang w:eastAsia="en-GB"/>
        </w:rPr>
        <w:t xml:space="preserve">cost-effective </w:t>
      </w:r>
      <w:r w:rsidR="6D638F10" w:rsidRPr="00244D65">
        <w:rPr>
          <w:noProof/>
          <w:lang w:eastAsia="en-GB"/>
        </w:rPr>
        <w:t xml:space="preserve">mitigation of </w:t>
      </w:r>
      <w:r w:rsidR="59714C62" w:rsidRPr="00244D65">
        <w:rPr>
          <w:noProof/>
          <w:lang w:eastAsia="en-GB"/>
        </w:rPr>
        <w:t xml:space="preserve">emissions and carbon costs throughout the waste value chain and play an important role to manage the impacts on local waste collection and disposal authorities and ensure a smooth transition for the waste sector, balancing environmental benefits and circularity with the social impacts of waste management as a public service, as explored in detail in Annex 13, </w:t>
      </w:r>
      <w:r w:rsidR="37DCE81F" w:rsidRPr="00244D65">
        <w:rPr>
          <w:noProof/>
          <w:lang w:eastAsia="en-GB"/>
        </w:rPr>
        <w:t>S</w:t>
      </w:r>
      <w:r w:rsidR="64061151" w:rsidRPr="00244D65">
        <w:rPr>
          <w:noProof/>
          <w:lang w:eastAsia="en-GB"/>
        </w:rPr>
        <w:t>ection</w:t>
      </w:r>
      <w:r w:rsidR="59714C62" w:rsidRPr="00244D65">
        <w:rPr>
          <w:noProof/>
          <w:lang w:eastAsia="en-GB"/>
        </w:rPr>
        <w:t xml:space="preserve"> 1.3</w:t>
      </w:r>
      <w:r w:rsidR="512B3896" w:rsidRPr="00244D65">
        <w:rPr>
          <w:rFonts w:eastAsia="Arial"/>
          <w:noProof/>
        </w:rPr>
        <w:t>.</w:t>
      </w:r>
    </w:p>
    <w:p w14:paraId="768B148D" w14:textId="753941B0" w:rsidR="002009C1" w:rsidRPr="00244D65" w:rsidRDefault="002009C1" w:rsidP="0085595C">
      <w:pPr>
        <w:pStyle w:val="Heading3"/>
        <w:rPr>
          <w:noProof/>
        </w:rPr>
      </w:pPr>
      <w:bookmarkStart w:id="254" w:name="_Toc212594974"/>
      <w:bookmarkStart w:id="255" w:name="_Toc234949752"/>
      <w:bookmarkStart w:id="256" w:name="_Toc232752508"/>
      <w:r w:rsidRPr="00244D65">
        <w:rPr>
          <w:noProof/>
        </w:rPr>
        <w:t>Impacts on the functioning of the internal market</w:t>
      </w:r>
      <w:bookmarkEnd w:id="254"/>
      <w:bookmarkEnd w:id="255"/>
      <w:bookmarkEnd w:id="256"/>
    </w:p>
    <w:p w14:paraId="53BFF628" w14:textId="62496917" w:rsidR="00FD3966" w:rsidRPr="00244D65" w:rsidRDefault="00DF1A3F" w:rsidP="0085595C">
      <w:pPr>
        <w:pStyle w:val="Heading4"/>
        <w:rPr>
          <w:noProof/>
        </w:rPr>
      </w:pPr>
      <w:r w:rsidRPr="00244D65">
        <w:rPr>
          <w:noProof/>
        </w:rPr>
        <w:t xml:space="preserve"> </w:t>
      </w:r>
      <w:r w:rsidR="22059110" w:rsidRPr="00244D65">
        <w:rPr>
          <w:noProof/>
        </w:rPr>
        <w:t>Instruments to support investment</w:t>
      </w:r>
      <w:r w:rsidR="00F77B0A" w:rsidRPr="00244D65">
        <w:rPr>
          <w:noProof/>
        </w:rPr>
        <w:t>s</w:t>
      </w:r>
    </w:p>
    <w:p w14:paraId="77691E2D" w14:textId="32C307B8" w:rsidR="00BB6577" w:rsidRPr="00244D65" w:rsidRDefault="002F7EDA" w:rsidP="0085595C">
      <w:pPr>
        <w:rPr>
          <w:noProof/>
        </w:rPr>
      </w:pPr>
      <w:r w:rsidRPr="00244D65">
        <w:rPr>
          <w:noProof/>
        </w:rPr>
        <w:t xml:space="preserve">For </w:t>
      </w:r>
      <w:r w:rsidR="00312285" w:rsidRPr="00244D65">
        <w:rPr>
          <w:noProof/>
        </w:rPr>
        <w:t>the</w:t>
      </w:r>
      <w:r w:rsidRPr="00244D65">
        <w:rPr>
          <w:noProof/>
        </w:rPr>
        <w:t xml:space="preserve"> IDB, the options </w:t>
      </w:r>
      <w:r w:rsidR="00BB6577" w:rsidRPr="00244D65">
        <w:rPr>
          <w:noProof/>
        </w:rPr>
        <w:t xml:space="preserve">on ensuring geographical balance would be those that also have the most </w:t>
      </w:r>
      <w:r w:rsidR="0016405B" w:rsidRPr="00244D65">
        <w:rPr>
          <w:noProof/>
        </w:rPr>
        <w:t>tangible</w:t>
      </w:r>
      <w:r w:rsidR="00BB6577" w:rsidRPr="00244D65">
        <w:rPr>
          <w:noProof/>
        </w:rPr>
        <w:t xml:space="preserve"> impact on the internal market. </w:t>
      </w:r>
      <w:r w:rsidR="00625CA8" w:rsidRPr="00244D65">
        <w:rPr>
          <w:noProof/>
        </w:rPr>
        <w:t>Most likely</w:t>
      </w:r>
      <w:r w:rsidR="00C745F6" w:rsidRPr="00244D65">
        <w:rPr>
          <w:noProof/>
        </w:rPr>
        <w:t xml:space="preserve"> and at least in the short term</w:t>
      </w:r>
      <w:r w:rsidR="00625CA8" w:rsidRPr="00244D65">
        <w:rPr>
          <w:noProof/>
        </w:rPr>
        <w:t>,</w:t>
      </w:r>
      <w:r w:rsidR="00BB6577" w:rsidRPr="00244D65">
        <w:rPr>
          <w:noProof/>
        </w:rPr>
        <w:t xml:space="preserve"> the best efficiency</w:t>
      </w:r>
      <w:r w:rsidR="003A4A59" w:rsidRPr="00244D65">
        <w:rPr>
          <w:noProof/>
        </w:rPr>
        <w:t xml:space="preserve"> and the best outcome for the internal market</w:t>
      </w:r>
      <w:r w:rsidR="00290D38" w:rsidRPr="00244D65">
        <w:rPr>
          <w:noProof/>
        </w:rPr>
        <w:t xml:space="preserve"> from</w:t>
      </w:r>
      <w:r w:rsidR="00BB6577" w:rsidRPr="00244D65">
        <w:rPr>
          <w:noProof/>
        </w:rPr>
        <w:t xml:space="preserve"> the IDB would be achieved</w:t>
      </w:r>
      <w:r w:rsidR="00107056" w:rsidRPr="00244D65">
        <w:rPr>
          <w:noProof/>
        </w:rPr>
        <w:t xml:space="preserve"> through the pure</w:t>
      </w:r>
      <w:r w:rsidR="00BB6577" w:rsidRPr="00244D65">
        <w:rPr>
          <w:noProof/>
        </w:rPr>
        <w:t xml:space="preserve"> EU-level competitions that favours the most mature projects, with the best locations, benefiting from the </w:t>
      </w:r>
      <w:r w:rsidR="009319DB" w:rsidRPr="00244D65">
        <w:rPr>
          <w:noProof/>
        </w:rPr>
        <w:t xml:space="preserve">most </w:t>
      </w:r>
      <w:r w:rsidR="00BB6577" w:rsidRPr="00244D65">
        <w:rPr>
          <w:noProof/>
        </w:rPr>
        <w:t>favourable nat</w:t>
      </w:r>
      <w:r w:rsidR="00AD15E5" w:rsidRPr="00244D65">
        <w:rPr>
          <w:noProof/>
        </w:rPr>
        <w:t>ural</w:t>
      </w:r>
      <w:r w:rsidR="00BB6577" w:rsidRPr="00244D65">
        <w:rPr>
          <w:noProof/>
        </w:rPr>
        <w:t xml:space="preserve"> </w:t>
      </w:r>
      <w:r w:rsidR="009319DB" w:rsidRPr="00244D65">
        <w:rPr>
          <w:noProof/>
        </w:rPr>
        <w:t>endowment</w:t>
      </w:r>
      <w:r w:rsidR="00AD15E5" w:rsidRPr="00244D65">
        <w:rPr>
          <w:noProof/>
        </w:rPr>
        <w:t xml:space="preserve"> (</w:t>
      </w:r>
      <w:r w:rsidR="006C5550" w:rsidRPr="00244D65">
        <w:rPr>
          <w:noProof/>
        </w:rPr>
        <w:t xml:space="preserve">in terms of </w:t>
      </w:r>
      <w:r w:rsidR="00AD15E5" w:rsidRPr="00244D65">
        <w:rPr>
          <w:noProof/>
        </w:rPr>
        <w:t>renewables potentials)</w:t>
      </w:r>
      <w:r w:rsidR="009319DB" w:rsidRPr="00244D65">
        <w:rPr>
          <w:noProof/>
        </w:rPr>
        <w:t>,</w:t>
      </w:r>
      <w:r w:rsidR="00BB6577" w:rsidRPr="00244D65">
        <w:rPr>
          <w:noProof/>
        </w:rPr>
        <w:t xml:space="preserve"> industrial structures</w:t>
      </w:r>
      <w:r w:rsidR="00150C7C" w:rsidRPr="00244D65">
        <w:rPr>
          <w:noProof/>
        </w:rPr>
        <w:t>, infrastructure</w:t>
      </w:r>
      <w:r w:rsidR="009319DB" w:rsidRPr="00244D65">
        <w:rPr>
          <w:noProof/>
        </w:rPr>
        <w:t xml:space="preserve"> </w:t>
      </w:r>
      <w:r w:rsidR="00BB6577" w:rsidRPr="00244D65">
        <w:rPr>
          <w:noProof/>
        </w:rPr>
        <w:t xml:space="preserve">and </w:t>
      </w:r>
      <w:r w:rsidR="009319DB" w:rsidRPr="00244D65">
        <w:rPr>
          <w:noProof/>
        </w:rPr>
        <w:t>ecosystems</w:t>
      </w:r>
      <w:r w:rsidR="00BB6577" w:rsidRPr="00244D65">
        <w:rPr>
          <w:noProof/>
        </w:rPr>
        <w:t xml:space="preserve"> and </w:t>
      </w:r>
      <w:r w:rsidR="009319DB" w:rsidRPr="00244D65">
        <w:rPr>
          <w:noProof/>
        </w:rPr>
        <w:t xml:space="preserve">supportive </w:t>
      </w:r>
      <w:r w:rsidR="00BB6577" w:rsidRPr="00244D65">
        <w:rPr>
          <w:noProof/>
        </w:rPr>
        <w:t>national policies.</w:t>
      </w:r>
    </w:p>
    <w:p w14:paraId="25E5DF1F" w14:textId="38ECF7F4" w:rsidR="00D87890" w:rsidRPr="00244D65" w:rsidRDefault="00BB6577" w:rsidP="0085595C">
      <w:pPr>
        <w:pStyle w:val="BodyText"/>
        <w:spacing w:line="240" w:lineRule="auto"/>
        <w:rPr>
          <w:rFonts w:ascii="Times New Roman" w:hAnsi="Times New Roman" w:cs="Times New Roman"/>
          <w:noProof/>
          <w:color w:val="auto"/>
          <w:sz w:val="24"/>
          <w:szCs w:val="24"/>
        </w:rPr>
      </w:pPr>
      <w:r w:rsidRPr="00244D65">
        <w:rPr>
          <w:rFonts w:ascii="Times New Roman" w:hAnsi="Times New Roman" w:cs="Times New Roman"/>
          <w:noProof/>
          <w:color w:val="auto"/>
          <w:sz w:val="24"/>
          <w:szCs w:val="24"/>
        </w:rPr>
        <w:t xml:space="preserve">In the long term, </w:t>
      </w:r>
      <w:r w:rsidR="003E03A2" w:rsidRPr="00244D65">
        <w:rPr>
          <w:rFonts w:ascii="Times New Roman" w:hAnsi="Times New Roman" w:cs="Times New Roman"/>
          <w:noProof/>
          <w:color w:val="auto"/>
          <w:sz w:val="24"/>
          <w:szCs w:val="24"/>
        </w:rPr>
        <w:t>however,</w:t>
      </w:r>
      <w:r w:rsidRPr="00244D65">
        <w:rPr>
          <w:rFonts w:ascii="Times New Roman" w:hAnsi="Times New Roman" w:cs="Times New Roman"/>
          <w:noProof/>
          <w:color w:val="auto"/>
          <w:sz w:val="24"/>
          <w:szCs w:val="24"/>
        </w:rPr>
        <w:t xml:space="preserve"> this option can lead to missing some opportunities in countries/regions that are hampered by lack of administrative capacity/lack of innovation ecosystem </w:t>
      </w:r>
      <w:r w:rsidR="00150C7C" w:rsidRPr="00244D65">
        <w:rPr>
          <w:rFonts w:ascii="Times New Roman" w:hAnsi="Times New Roman" w:cs="Times New Roman"/>
          <w:noProof/>
          <w:color w:val="auto"/>
          <w:sz w:val="24"/>
          <w:szCs w:val="24"/>
        </w:rPr>
        <w:t>or infrastructure</w:t>
      </w:r>
      <w:r w:rsidRPr="00244D65">
        <w:rPr>
          <w:rFonts w:ascii="Times New Roman" w:hAnsi="Times New Roman" w:cs="Times New Roman"/>
          <w:noProof/>
          <w:color w:val="auto"/>
          <w:sz w:val="24"/>
          <w:szCs w:val="24"/>
        </w:rPr>
        <w:t xml:space="preserve"> rather than structural factors of their industry/economy.</w:t>
      </w:r>
      <w:r w:rsidR="00013D9B" w:rsidRPr="00244D65">
        <w:rPr>
          <w:rFonts w:ascii="Times New Roman" w:hAnsi="Times New Roman" w:cs="Times New Roman"/>
          <w:noProof/>
          <w:color w:val="auto"/>
          <w:sz w:val="24"/>
          <w:szCs w:val="24"/>
        </w:rPr>
        <w:t xml:space="preserve"> </w:t>
      </w:r>
      <w:r w:rsidR="00191E42" w:rsidRPr="00244D65">
        <w:rPr>
          <w:rFonts w:ascii="Times New Roman" w:hAnsi="Times New Roman" w:cs="Times New Roman"/>
          <w:noProof/>
          <w:color w:val="auto"/>
          <w:sz w:val="24"/>
          <w:szCs w:val="24"/>
        </w:rPr>
        <w:t>This option</w:t>
      </w:r>
      <w:r w:rsidR="00C745F6" w:rsidRPr="00244D65">
        <w:rPr>
          <w:rFonts w:ascii="Times New Roman" w:hAnsi="Times New Roman" w:cs="Times New Roman"/>
          <w:noProof/>
          <w:color w:val="auto"/>
          <w:sz w:val="24"/>
          <w:szCs w:val="24"/>
        </w:rPr>
        <w:t xml:space="preserve"> would also mean that the </w:t>
      </w:r>
      <w:r w:rsidR="00C0535B" w:rsidRPr="00244D65">
        <w:rPr>
          <w:rFonts w:ascii="Times New Roman" w:hAnsi="Times New Roman" w:cs="Times New Roman"/>
          <w:noProof/>
          <w:color w:val="auto"/>
          <w:sz w:val="24"/>
          <w:szCs w:val="24"/>
        </w:rPr>
        <w:t>leverage and spillover effects due to the IDB is concentrated in some of the regions.</w:t>
      </w:r>
    </w:p>
    <w:p w14:paraId="030BA50A" w14:textId="745D20AC" w:rsidR="00150C7C" w:rsidRPr="00244D65" w:rsidRDefault="00BA5E5C" w:rsidP="0085595C">
      <w:pPr>
        <w:pStyle w:val="BodyText"/>
        <w:spacing w:line="240" w:lineRule="auto"/>
        <w:rPr>
          <w:rFonts w:ascii="Times New Roman" w:hAnsi="Times New Roman" w:cs="Times New Roman"/>
          <w:noProof/>
          <w:color w:val="auto"/>
          <w:sz w:val="24"/>
          <w:szCs w:val="24"/>
        </w:rPr>
      </w:pPr>
      <w:r w:rsidRPr="00244D65">
        <w:rPr>
          <w:rFonts w:ascii="Times New Roman" w:hAnsi="Times New Roman" w:cs="Times New Roman"/>
          <w:noProof/>
          <w:color w:val="auto"/>
          <w:sz w:val="24"/>
          <w:szCs w:val="24"/>
        </w:rPr>
        <w:t xml:space="preserve">To sum up, </w:t>
      </w:r>
      <w:r w:rsidR="00150C7C" w:rsidRPr="00244D65">
        <w:rPr>
          <w:rFonts w:ascii="Times New Roman" w:hAnsi="Times New Roman" w:cs="Times New Roman"/>
          <w:noProof/>
          <w:color w:val="auto"/>
          <w:sz w:val="24"/>
          <w:szCs w:val="24"/>
        </w:rPr>
        <w:t>s</w:t>
      </w:r>
      <w:r w:rsidR="00816EF8" w:rsidRPr="00244D65">
        <w:rPr>
          <w:rFonts w:ascii="Times New Roman" w:hAnsi="Times New Roman" w:cs="Times New Roman"/>
          <w:noProof/>
          <w:color w:val="auto"/>
          <w:sz w:val="24"/>
          <w:szCs w:val="24"/>
        </w:rPr>
        <w:t xml:space="preserve">trict national </w:t>
      </w:r>
      <w:r w:rsidR="006D5B4B" w:rsidRPr="00244D65">
        <w:rPr>
          <w:rFonts w:ascii="Times New Roman" w:hAnsi="Times New Roman" w:cs="Times New Roman"/>
          <w:noProof/>
          <w:color w:val="auto"/>
          <w:sz w:val="24"/>
          <w:szCs w:val="24"/>
        </w:rPr>
        <w:t xml:space="preserve">allocations </w:t>
      </w:r>
      <w:r w:rsidR="00072510" w:rsidRPr="00244D65">
        <w:rPr>
          <w:rFonts w:ascii="Times New Roman" w:hAnsi="Times New Roman" w:cs="Times New Roman"/>
          <w:noProof/>
          <w:color w:val="auto"/>
          <w:sz w:val="24"/>
          <w:szCs w:val="24"/>
        </w:rPr>
        <w:t xml:space="preserve">(that can also take the form of ‘as a service’ or right of the first use – see </w:t>
      </w:r>
      <w:r w:rsidR="00064578" w:rsidRPr="00244D65">
        <w:rPr>
          <w:rFonts w:ascii="Times New Roman" w:hAnsi="Times New Roman" w:cs="Times New Roman"/>
          <w:noProof/>
          <w:color w:val="auto"/>
          <w:sz w:val="24"/>
          <w:szCs w:val="24"/>
        </w:rPr>
        <w:t>A</w:t>
      </w:r>
      <w:r w:rsidR="00072510" w:rsidRPr="00244D65">
        <w:rPr>
          <w:rFonts w:ascii="Times New Roman" w:hAnsi="Times New Roman" w:cs="Times New Roman"/>
          <w:noProof/>
          <w:color w:val="auto"/>
          <w:sz w:val="24"/>
          <w:szCs w:val="24"/>
        </w:rPr>
        <w:t xml:space="preserve">nnex 9) </w:t>
      </w:r>
      <w:r w:rsidR="00150C7C" w:rsidRPr="00244D65">
        <w:rPr>
          <w:rFonts w:ascii="Times New Roman" w:hAnsi="Times New Roman" w:cs="Times New Roman"/>
          <w:noProof/>
          <w:color w:val="auto"/>
          <w:sz w:val="24"/>
          <w:szCs w:val="24"/>
        </w:rPr>
        <w:t>can be perceived as</w:t>
      </w:r>
      <w:r w:rsidR="004804C8" w:rsidRPr="00244D65">
        <w:rPr>
          <w:rFonts w:ascii="Times New Roman" w:hAnsi="Times New Roman" w:cs="Times New Roman"/>
          <w:noProof/>
          <w:color w:val="auto"/>
          <w:sz w:val="24"/>
          <w:szCs w:val="24"/>
        </w:rPr>
        <w:t xml:space="preserve"> the least efficient option because they </w:t>
      </w:r>
      <w:r w:rsidR="006D5B4B" w:rsidRPr="00244D65">
        <w:rPr>
          <w:rFonts w:ascii="Times New Roman" w:hAnsi="Times New Roman" w:cs="Times New Roman"/>
          <w:noProof/>
          <w:color w:val="auto"/>
          <w:sz w:val="24"/>
          <w:szCs w:val="24"/>
        </w:rPr>
        <w:t xml:space="preserve">limit </w:t>
      </w:r>
      <w:r w:rsidR="00150C7C" w:rsidRPr="00244D65">
        <w:rPr>
          <w:rFonts w:ascii="Times New Roman" w:hAnsi="Times New Roman" w:cs="Times New Roman"/>
          <w:noProof/>
          <w:color w:val="auto"/>
          <w:sz w:val="24"/>
          <w:szCs w:val="24"/>
        </w:rPr>
        <w:t xml:space="preserve">the benefits of </w:t>
      </w:r>
      <w:r w:rsidR="004804C8" w:rsidRPr="00244D65">
        <w:rPr>
          <w:rFonts w:ascii="Times New Roman" w:hAnsi="Times New Roman" w:cs="Times New Roman"/>
          <w:noProof/>
          <w:color w:val="auto"/>
          <w:sz w:val="24"/>
          <w:szCs w:val="24"/>
        </w:rPr>
        <w:t>the EU-level competition</w:t>
      </w:r>
      <w:r w:rsidR="00290D38" w:rsidRPr="00244D65">
        <w:rPr>
          <w:rFonts w:ascii="Times New Roman" w:hAnsi="Times New Roman" w:cs="Times New Roman"/>
          <w:noProof/>
          <w:color w:val="auto"/>
          <w:sz w:val="24"/>
          <w:szCs w:val="24"/>
        </w:rPr>
        <w:t xml:space="preserve">. In the longer term, </w:t>
      </w:r>
      <w:r w:rsidR="00EA4172" w:rsidRPr="00244D65">
        <w:rPr>
          <w:rFonts w:ascii="Times New Roman" w:hAnsi="Times New Roman" w:cs="Times New Roman"/>
          <w:noProof/>
          <w:color w:val="auto"/>
          <w:sz w:val="24"/>
          <w:szCs w:val="24"/>
        </w:rPr>
        <w:t xml:space="preserve">however, </w:t>
      </w:r>
      <w:r w:rsidR="00150C7C" w:rsidRPr="00244D65">
        <w:rPr>
          <w:rFonts w:ascii="Times New Roman" w:hAnsi="Times New Roman" w:cs="Times New Roman"/>
          <w:noProof/>
          <w:color w:val="auto"/>
          <w:sz w:val="24"/>
          <w:szCs w:val="24"/>
        </w:rPr>
        <w:t>such approach</w:t>
      </w:r>
      <w:r w:rsidR="00290D38" w:rsidRPr="00244D65">
        <w:rPr>
          <w:rFonts w:ascii="Times New Roman" w:hAnsi="Times New Roman" w:cs="Times New Roman"/>
          <w:noProof/>
          <w:color w:val="auto"/>
          <w:sz w:val="24"/>
          <w:szCs w:val="24"/>
        </w:rPr>
        <w:t xml:space="preserve"> might </w:t>
      </w:r>
      <w:r w:rsidR="00F26A22" w:rsidRPr="00244D65">
        <w:rPr>
          <w:rFonts w:ascii="Times New Roman" w:hAnsi="Times New Roman" w:cs="Times New Roman"/>
          <w:noProof/>
          <w:color w:val="auto"/>
          <w:sz w:val="24"/>
          <w:szCs w:val="24"/>
        </w:rPr>
        <w:t xml:space="preserve">help to address some structural problems in </w:t>
      </w:r>
      <w:r w:rsidR="00150C7C" w:rsidRPr="00244D65">
        <w:rPr>
          <w:rFonts w:ascii="Times New Roman" w:hAnsi="Times New Roman" w:cs="Times New Roman"/>
          <w:noProof/>
          <w:color w:val="auto"/>
          <w:sz w:val="24"/>
          <w:szCs w:val="24"/>
        </w:rPr>
        <w:t>certain regions</w:t>
      </w:r>
      <w:r w:rsidR="00F26A22" w:rsidRPr="00244D65">
        <w:rPr>
          <w:rFonts w:ascii="Times New Roman" w:hAnsi="Times New Roman" w:cs="Times New Roman"/>
          <w:noProof/>
          <w:color w:val="auto"/>
          <w:sz w:val="24"/>
          <w:szCs w:val="24"/>
        </w:rPr>
        <w:t xml:space="preserve"> (e.g. </w:t>
      </w:r>
      <w:r w:rsidR="00EA4172" w:rsidRPr="00244D65">
        <w:rPr>
          <w:rFonts w:ascii="Times New Roman" w:hAnsi="Times New Roman" w:cs="Times New Roman"/>
          <w:noProof/>
          <w:color w:val="auto"/>
          <w:sz w:val="24"/>
          <w:szCs w:val="24"/>
        </w:rPr>
        <w:t xml:space="preserve">if funded activities </w:t>
      </w:r>
      <w:r w:rsidR="00F26A22" w:rsidRPr="00244D65">
        <w:rPr>
          <w:rFonts w:ascii="Times New Roman" w:hAnsi="Times New Roman" w:cs="Times New Roman"/>
          <w:noProof/>
          <w:color w:val="auto"/>
          <w:sz w:val="24"/>
          <w:szCs w:val="24"/>
        </w:rPr>
        <w:t>create sufficient demand for new infrastructure</w:t>
      </w:r>
      <w:r w:rsidR="00EA4172" w:rsidRPr="00244D65">
        <w:rPr>
          <w:rFonts w:ascii="Times New Roman" w:hAnsi="Times New Roman" w:cs="Times New Roman"/>
          <w:noProof/>
          <w:color w:val="auto"/>
          <w:sz w:val="24"/>
          <w:szCs w:val="24"/>
        </w:rPr>
        <w:t xml:space="preserve"> or lead to creation of new</w:t>
      </w:r>
      <w:r w:rsidR="001A32C8" w:rsidRPr="00244D65">
        <w:rPr>
          <w:rFonts w:ascii="Times New Roman" w:hAnsi="Times New Roman" w:cs="Times New Roman"/>
          <w:noProof/>
          <w:color w:val="auto"/>
          <w:sz w:val="24"/>
          <w:szCs w:val="24"/>
        </w:rPr>
        <w:t xml:space="preserve"> </w:t>
      </w:r>
      <w:r w:rsidR="00EA4172" w:rsidRPr="00244D65">
        <w:rPr>
          <w:rFonts w:ascii="Times New Roman" w:hAnsi="Times New Roman" w:cs="Times New Roman"/>
          <w:noProof/>
          <w:color w:val="auto"/>
          <w:sz w:val="24"/>
          <w:szCs w:val="24"/>
        </w:rPr>
        <w:t>industrial structures</w:t>
      </w:r>
      <w:r w:rsidR="00F26A22" w:rsidRPr="00244D65">
        <w:rPr>
          <w:rFonts w:ascii="Times New Roman" w:hAnsi="Times New Roman" w:cs="Times New Roman"/>
          <w:noProof/>
          <w:color w:val="auto"/>
          <w:sz w:val="24"/>
          <w:szCs w:val="24"/>
        </w:rPr>
        <w:t>).</w:t>
      </w:r>
      <w:r w:rsidR="00A31B07" w:rsidRPr="00244D65">
        <w:rPr>
          <w:rFonts w:ascii="Times New Roman" w:hAnsi="Times New Roman" w:cs="Times New Roman"/>
          <w:noProof/>
          <w:color w:val="auto"/>
          <w:sz w:val="24"/>
          <w:szCs w:val="24"/>
        </w:rPr>
        <w:t xml:space="preserve"> </w:t>
      </w:r>
    </w:p>
    <w:p w14:paraId="37D6EE9E" w14:textId="77777777" w:rsidR="0053083F" w:rsidRPr="00244D65" w:rsidRDefault="00A31B07" w:rsidP="0085595C">
      <w:pPr>
        <w:pStyle w:val="BodyText"/>
        <w:spacing w:line="240" w:lineRule="auto"/>
        <w:rPr>
          <w:rFonts w:ascii="Times New Roman" w:hAnsi="Times New Roman" w:cs="Times New Roman"/>
          <w:noProof/>
          <w:color w:val="auto"/>
          <w:sz w:val="24"/>
          <w:szCs w:val="24"/>
        </w:rPr>
      </w:pPr>
      <w:r w:rsidRPr="00244D65">
        <w:rPr>
          <w:rFonts w:ascii="Times New Roman" w:hAnsi="Times New Roman" w:cs="Times New Roman"/>
          <w:noProof/>
          <w:color w:val="auto"/>
          <w:sz w:val="24"/>
          <w:szCs w:val="24"/>
        </w:rPr>
        <w:t xml:space="preserve">The best balance </w:t>
      </w:r>
      <w:r w:rsidR="00150C7C" w:rsidRPr="00244D65">
        <w:rPr>
          <w:rFonts w:ascii="Times New Roman" w:hAnsi="Times New Roman" w:cs="Times New Roman"/>
          <w:noProof/>
          <w:color w:val="auto"/>
          <w:sz w:val="24"/>
          <w:szCs w:val="24"/>
        </w:rPr>
        <w:t>would be most likely</w:t>
      </w:r>
      <w:r w:rsidRPr="00244D65">
        <w:rPr>
          <w:rFonts w:ascii="Times New Roman" w:hAnsi="Times New Roman" w:cs="Times New Roman"/>
          <w:noProof/>
          <w:color w:val="auto"/>
          <w:sz w:val="24"/>
          <w:szCs w:val="24"/>
        </w:rPr>
        <w:t xml:space="preserve"> achieved by a mix between the EU level competition and national </w:t>
      </w:r>
      <w:r w:rsidR="00EA4172" w:rsidRPr="00244D65">
        <w:rPr>
          <w:rFonts w:ascii="Times New Roman" w:hAnsi="Times New Roman" w:cs="Times New Roman"/>
          <w:noProof/>
          <w:color w:val="auto"/>
          <w:sz w:val="24"/>
          <w:szCs w:val="24"/>
        </w:rPr>
        <w:t xml:space="preserve">allocations </w:t>
      </w:r>
      <w:r w:rsidRPr="00244D65">
        <w:rPr>
          <w:rFonts w:ascii="Times New Roman" w:hAnsi="Times New Roman" w:cs="Times New Roman"/>
          <w:noProof/>
          <w:color w:val="auto"/>
          <w:sz w:val="24"/>
          <w:szCs w:val="24"/>
        </w:rPr>
        <w:t>as it draws to large extent the benefits of the EU-level competitions and yet safeguards part of funding for national project</w:t>
      </w:r>
      <w:r w:rsidR="00150C7C" w:rsidRPr="00244D65">
        <w:rPr>
          <w:rFonts w:ascii="Times New Roman" w:hAnsi="Times New Roman" w:cs="Times New Roman"/>
          <w:noProof/>
          <w:color w:val="auto"/>
          <w:sz w:val="24"/>
          <w:szCs w:val="24"/>
        </w:rPr>
        <w:t>s with all positive leverage and spillover effects that</w:t>
      </w:r>
      <w:r w:rsidRPr="00244D65">
        <w:rPr>
          <w:rFonts w:ascii="Times New Roman" w:hAnsi="Times New Roman" w:cs="Times New Roman"/>
          <w:noProof/>
          <w:color w:val="auto"/>
          <w:sz w:val="24"/>
          <w:szCs w:val="24"/>
        </w:rPr>
        <w:t xml:space="preserve"> it </w:t>
      </w:r>
      <w:r w:rsidR="007D4738" w:rsidRPr="00244D65">
        <w:rPr>
          <w:rFonts w:ascii="Times New Roman" w:hAnsi="Times New Roman" w:cs="Times New Roman"/>
          <w:noProof/>
          <w:color w:val="auto"/>
          <w:sz w:val="24"/>
          <w:szCs w:val="24"/>
        </w:rPr>
        <w:t>will bring</w:t>
      </w:r>
      <w:r w:rsidRPr="00244D65">
        <w:rPr>
          <w:rFonts w:ascii="Times New Roman" w:hAnsi="Times New Roman" w:cs="Times New Roman"/>
          <w:noProof/>
          <w:color w:val="auto"/>
          <w:sz w:val="24"/>
          <w:szCs w:val="24"/>
        </w:rPr>
        <w:t xml:space="preserve">. </w:t>
      </w:r>
      <w:r w:rsidR="00150C7C" w:rsidRPr="00244D65">
        <w:rPr>
          <w:rFonts w:ascii="Times New Roman" w:hAnsi="Times New Roman" w:cs="Times New Roman"/>
          <w:noProof/>
          <w:color w:val="auto"/>
          <w:sz w:val="24"/>
          <w:szCs w:val="24"/>
        </w:rPr>
        <w:t>This approach would avoid</w:t>
      </w:r>
      <w:r w:rsidR="007D4738" w:rsidRPr="00244D65">
        <w:rPr>
          <w:rFonts w:ascii="Times New Roman" w:hAnsi="Times New Roman" w:cs="Times New Roman"/>
          <w:noProof/>
          <w:color w:val="auto"/>
          <w:sz w:val="24"/>
          <w:szCs w:val="24"/>
        </w:rPr>
        <w:t xml:space="preserve">, in the </w:t>
      </w:r>
      <w:r w:rsidR="008F4685" w:rsidRPr="00244D65">
        <w:rPr>
          <w:rFonts w:ascii="Times New Roman" w:hAnsi="Times New Roman" w:cs="Times New Roman"/>
          <w:noProof/>
          <w:color w:val="auto"/>
          <w:sz w:val="24"/>
          <w:szCs w:val="24"/>
        </w:rPr>
        <w:t>longer-term</w:t>
      </w:r>
      <w:r w:rsidR="007D4738" w:rsidRPr="00244D65">
        <w:rPr>
          <w:rFonts w:ascii="Times New Roman" w:hAnsi="Times New Roman" w:cs="Times New Roman"/>
          <w:noProof/>
          <w:color w:val="auto"/>
          <w:sz w:val="24"/>
          <w:szCs w:val="24"/>
        </w:rPr>
        <w:t>, missing</w:t>
      </w:r>
      <w:r w:rsidR="00EC698C" w:rsidRPr="00244D65">
        <w:rPr>
          <w:rFonts w:ascii="Times New Roman" w:hAnsi="Times New Roman" w:cs="Times New Roman"/>
          <w:noProof/>
          <w:color w:val="auto"/>
          <w:sz w:val="24"/>
          <w:szCs w:val="24"/>
        </w:rPr>
        <w:t xml:space="preserve"> </w:t>
      </w:r>
      <w:r w:rsidRPr="00244D65">
        <w:rPr>
          <w:rFonts w:ascii="Times New Roman" w:hAnsi="Times New Roman" w:cs="Times New Roman"/>
          <w:noProof/>
          <w:color w:val="auto"/>
          <w:sz w:val="24"/>
          <w:szCs w:val="24"/>
        </w:rPr>
        <w:t>opportunities in terms of unlocking the potential of all EU M</w:t>
      </w:r>
      <w:r w:rsidR="00880FEE" w:rsidRPr="00244D65">
        <w:rPr>
          <w:rFonts w:ascii="Times New Roman" w:hAnsi="Times New Roman" w:cs="Times New Roman"/>
          <w:noProof/>
          <w:color w:val="auto"/>
          <w:sz w:val="24"/>
          <w:szCs w:val="24"/>
        </w:rPr>
        <w:t xml:space="preserve">ember </w:t>
      </w:r>
      <w:r w:rsidRPr="00244D65">
        <w:rPr>
          <w:rFonts w:ascii="Times New Roman" w:hAnsi="Times New Roman" w:cs="Times New Roman"/>
          <w:noProof/>
          <w:color w:val="auto"/>
          <w:sz w:val="24"/>
          <w:szCs w:val="24"/>
        </w:rPr>
        <w:t>S</w:t>
      </w:r>
      <w:r w:rsidR="006F421D" w:rsidRPr="00244D65">
        <w:rPr>
          <w:rFonts w:ascii="Times New Roman" w:hAnsi="Times New Roman" w:cs="Times New Roman"/>
          <w:noProof/>
          <w:color w:val="auto"/>
          <w:sz w:val="24"/>
          <w:szCs w:val="24"/>
        </w:rPr>
        <w:t>tates</w:t>
      </w:r>
      <w:r w:rsidRPr="00244D65">
        <w:rPr>
          <w:rFonts w:ascii="Times New Roman" w:hAnsi="Times New Roman" w:cs="Times New Roman"/>
          <w:noProof/>
          <w:color w:val="auto"/>
          <w:sz w:val="24"/>
          <w:szCs w:val="24"/>
        </w:rPr>
        <w:t xml:space="preserve"> in terms of industrial decarbonisation.</w:t>
      </w:r>
      <w:r w:rsidR="00F26A22" w:rsidRPr="00244D65">
        <w:rPr>
          <w:rFonts w:ascii="Times New Roman" w:hAnsi="Times New Roman" w:cs="Times New Roman"/>
          <w:noProof/>
          <w:color w:val="auto"/>
          <w:sz w:val="24"/>
          <w:szCs w:val="24"/>
        </w:rPr>
        <w:t xml:space="preserve"> </w:t>
      </w:r>
    </w:p>
    <w:p w14:paraId="5CE4254F" w14:textId="04151518" w:rsidR="00F26A22" w:rsidRPr="00244D65" w:rsidRDefault="00D953C5" w:rsidP="0085595C">
      <w:pPr>
        <w:pStyle w:val="BodyText"/>
        <w:spacing w:line="240" w:lineRule="auto"/>
        <w:rPr>
          <w:noProof/>
          <w:szCs w:val="24"/>
        </w:rPr>
      </w:pPr>
      <w:r w:rsidRPr="00244D65">
        <w:rPr>
          <w:rFonts w:ascii="Times New Roman" w:hAnsi="Times New Roman" w:cs="Times New Roman"/>
          <w:noProof/>
          <w:color w:val="auto"/>
          <w:sz w:val="24"/>
          <w:szCs w:val="24"/>
        </w:rPr>
        <w:t>Continuation of t</w:t>
      </w:r>
      <w:r w:rsidR="006D1959" w:rsidRPr="00244D65">
        <w:rPr>
          <w:rFonts w:ascii="Times New Roman" w:hAnsi="Times New Roman" w:cs="Times New Roman"/>
          <w:noProof/>
          <w:color w:val="auto"/>
          <w:sz w:val="24"/>
          <w:szCs w:val="24"/>
        </w:rPr>
        <w:t>he Modernisation Fund</w:t>
      </w:r>
      <w:r w:rsidRPr="00244D65">
        <w:rPr>
          <w:rFonts w:ascii="Times New Roman" w:hAnsi="Times New Roman" w:cs="Times New Roman"/>
          <w:noProof/>
          <w:color w:val="auto"/>
          <w:sz w:val="24"/>
          <w:szCs w:val="24"/>
        </w:rPr>
        <w:t xml:space="preserve"> will </w:t>
      </w:r>
      <w:r w:rsidR="00CA5910" w:rsidRPr="00244D65">
        <w:rPr>
          <w:rFonts w:ascii="Times New Roman" w:hAnsi="Times New Roman" w:cs="Times New Roman"/>
          <w:noProof/>
          <w:color w:val="auto"/>
          <w:sz w:val="24"/>
          <w:szCs w:val="24"/>
        </w:rPr>
        <w:t>further support</w:t>
      </w:r>
      <w:r w:rsidR="00CB13ED" w:rsidRPr="00244D65">
        <w:rPr>
          <w:rFonts w:ascii="Times New Roman" w:hAnsi="Times New Roman" w:cs="Times New Roman"/>
          <w:noProof/>
          <w:color w:val="auto"/>
          <w:sz w:val="24"/>
          <w:szCs w:val="24"/>
        </w:rPr>
        <w:t xml:space="preserve"> lower-income Member States</w:t>
      </w:r>
      <w:r w:rsidR="009A32E5" w:rsidRPr="00244D65">
        <w:rPr>
          <w:rFonts w:ascii="Times New Roman" w:hAnsi="Times New Roman" w:cs="Times New Roman"/>
          <w:noProof/>
          <w:color w:val="auto"/>
          <w:sz w:val="24"/>
          <w:szCs w:val="24"/>
        </w:rPr>
        <w:t>’</w:t>
      </w:r>
      <w:r w:rsidR="00CB13ED" w:rsidRPr="00244D65">
        <w:rPr>
          <w:rFonts w:ascii="Times New Roman" w:hAnsi="Times New Roman" w:cs="Times New Roman"/>
          <w:noProof/>
          <w:color w:val="auto"/>
          <w:sz w:val="24"/>
          <w:szCs w:val="24"/>
        </w:rPr>
        <w:t xml:space="preserve"> catch</w:t>
      </w:r>
      <w:r w:rsidR="009A32E5" w:rsidRPr="00244D65">
        <w:rPr>
          <w:rFonts w:ascii="Times New Roman" w:hAnsi="Times New Roman" w:cs="Times New Roman"/>
          <w:noProof/>
          <w:color w:val="auto"/>
          <w:sz w:val="24"/>
          <w:szCs w:val="24"/>
        </w:rPr>
        <w:t>ing-</w:t>
      </w:r>
      <w:r w:rsidR="00CB13ED" w:rsidRPr="00244D65">
        <w:rPr>
          <w:rFonts w:ascii="Times New Roman" w:hAnsi="Times New Roman" w:cs="Times New Roman"/>
          <w:noProof/>
          <w:color w:val="auto"/>
          <w:sz w:val="24"/>
          <w:szCs w:val="24"/>
        </w:rPr>
        <w:t>up</w:t>
      </w:r>
      <w:r w:rsidR="009A32E5" w:rsidRPr="00244D65">
        <w:rPr>
          <w:rFonts w:ascii="Times New Roman" w:hAnsi="Times New Roman" w:cs="Times New Roman"/>
          <w:noProof/>
          <w:color w:val="auto"/>
          <w:sz w:val="24"/>
          <w:szCs w:val="24"/>
        </w:rPr>
        <w:t xml:space="preserve"> process relative to</w:t>
      </w:r>
      <w:r w:rsidR="00CB13ED" w:rsidRPr="00244D65">
        <w:rPr>
          <w:rFonts w:ascii="Times New Roman" w:hAnsi="Times New Roman" w:cs="Times New Roman"/>
          <w:noProof/>
          <w:color w:val="auto"/>
          <w:sz w:val="24"/>
          <w:szCs w:val="24"/>
        </w:rPr>
        <w:t xml:space="preserve"> </w:t>
      </w:r>
      <w:r w:rsidR="00573036" w:rsidRPr="00244D65">
        <w:rPr>
          <w:rFonts w:ascii="Times New Roman" w:hAnsi="Times New Roman" w:cs="Times New Roman"/>
          <w:noProof/>
          <w:color w:val="auto"/>
          <w:sz w:val="24"/>
          <w:szCs w:val="24"/>
        </w:rPr>
        <w:t xml:space="preserve">higher income ones in terms of </w:t>
      </w:r>
      <w:r w:rsidR="00D801B6" w:rsidRPr="00244D65">
        <w:rPr>
          <w:rFonts w:ascii="Times New Roman" w:hAnsi="Times New Roman" w:cs="Times New Roman"/>
          <w:noProof/>
          <w:color w:val="auto"/>
          <w:sz w:val="24"/>
          <w:szCs w:val="24"/>
        </w:rPr>
        <w:t xml:space="preserve">modernisation of energy systems and carbon intensity of the economy. </w:t>
      </w:r>
      <w:r w:rsidR="00C71445" w:rsidRPr="00244D65">
        <w:rPr>
          <w:rFonts w:ascii="Times New Roman" w:hAnsi="Times New Roman" w:cs="Times New Roman"/>
          <w:noProof/>
          <w:color w:val="auto"/>
          <w:sz w:val="24"/>
          <w:szCs w:val="24"/>
        </w:rPr>
        <w:t xml:space="preserve">Thanks to investments supported by the Fund, beneficiary Member States can develop </w:t>
      </w:r>
      <w:r w:rsidR="009B4A28" w:rsidRPr="00244D65">
        <w:rPr>
          <w:rFonts w:ascii="Times New Roman" w:hAnsi="Times New Roman" w:cs="Times New Roman"/>
          <w:noProof/>
          <w:color w:val="auto"/>
          <w:sz w:val="24"/>
          <w:szCs w:val="24"/>
        </w:rPr>
        <w:t>the needed infrastructure</w:t>
      </w:r>
      <w:r w:rsidR="00327220" w:rsidRPr="00244D65">
        <w:rPr>
          <w:rFonts w:ascii="Times New Roman" w:hAnsi="Times New Roman" w:cs="Times New Roman"/>
          <w:noProof/>
          <w:color w:val="auto"/>
          <w:sz w:val="24"/>
          <w:szCs w:val="24"/>
        </w:rPr>
        <w:t xml:space="preserve"> for the clean energy transition </w:t>
      </w:r>
      <w:r w:rsidR="004A4A3F" w:rsidRPr="00244D65">
        <w:rPr>
          <w:rFonts w:ascii="Times New Roman" w:hAnsi="Times New Roman" w:cs="Times New Roman"/>
          <w:noProof/>
          <w:color w:val="auto"/>
          <w:sz w:val="24"/>
          <w:szCs w:val="24"/>
        </w:rPr>
        <w:t>(e.g. stable and modern grids, storage capacity, sizeable renewable energy capacity</w:t>
      </w:r>
      <w:r w:rsidR="001C41D6" w:rsidRPr="00244D65">
        <w:rPr>
          <w:rFonts w:ascii="Times New Roman" w:hAnsi="Times New Roman" w:cs="Times New Roman"/>
          <w:noProof/>
          <w:color w:val="auto"/>
          <w:sz w:val="24"/>
          <w:szCs w:val="24"/>
        </w:rPr>
        <w:t>, EV charging infrastructure</w:t>
      </w:r>
      <w:r w:rsidR="004A4A3F" w:rsidRPr="00244D65">
        <w:rPr>
          <w:rFonts w:ascii="Times New Roman" w:hAnsi="Times New Roman" w:cs="Times New Roman"/>
          <w:noProof/>
          <w:color w:val="auto"/>
          <w:sz w:val="24"/>
          <w:szCs w:val="24"/>
        </w:rPr>
        <w:t xml:space="preserve">) </w:t>
      </w:r>
      <w:r w:rsidR="00327220" w:rsidRPr="00244D65">
        <w:rPr>
          <w:rFonts w:ascii="Times New Roman" w:hAnsi="Times New Roman" w:cs="Times New Roman"/>
          <w:noProof/>
          <w:color w:val="auto"/>
          <w:sz w:val="24"/>
          <w:szCs w:val="24"/>
        </w:rPr>
        <w:t xml:space="preserve">and attract more private investments. </w:t>
      </w:r>
      <w:r w:rsidR="00D801B6" w:rsidRPr="00244D65">
        <w:rPr>
          <w:rFonts w:ascii="Times New Roman" w:hAnsi="Times New Roman" w:cs="Times New Roman"/>
          <w:noProof/>
          <w:color w:val="auto"/>
          <w:sz w:val="24"/>
          <w:szCs w:val="24"/>
        </w:rPr>
        <w:t>This is therefo</w:t>
      </w:r>
      <w:r w:rsidR="00B6249E" w:rsidRPr="00244D65">
        <w:rPr>
          <w:rFonts w:ascii="Times New Roman" w:hAnsi="Times New Roman" w:cs="Times New Roman"/>
          <w:noProof/>
          <w:color w:val="auto"/>
          <w:sz w:val="24"/>
          <w:szCs w:val="24"/>
        </w:rPr>
        <w:t>re conducive to creating a level-playing field among Member States</w:t>
      </w:r>
      <w:r w:rsidR="001C41D6" w:rsidRPr="00244D65">
        <w:rPr>
          <w:rFonts w:ascii="Times New Roman" w:hAnsi="Times New Roman" w:cs="Times New Roman"/>
          <w:noProof/>
          <w:color w:val="auto"/>
          <w:sz w:val="24"/>
          <w:szCs w:val="24"/>
        </w:rPr>
        <w:t xml:space="preserve"> and alleviating some barriers to the single market.</w:t>
      </w:r>
    </w:p>
    <w:p w14:paraId="64717CBC" w14:textId="6667129E" w:rsidR="00F77B0A" w:rsidRPr="00244D65" w:rsidRDefault="00DF1A3F" w:rsidP="0085595C">
      <w:pPr>
        <w:pStyle w:val="Heading4"/>
        <w:rPr>
          <w:noProof/>
        </w:rPr>
      </w:pPr>
      <w:r w:rsidRPr="00244D65">
        <w:rPr>
          <w:noProof/>
        </w:rPr>
        <w:t xml:space="preserve"> </w:t>
      </w:r>
      <w:r w:rsidR="002B1507" w:rsidRPr="00244D65">
        <w:rPr>
          <w:noProof/>
        </w:rPr>
        <w:t xml:space="preserve">Carbon leakage </w:t>
      </w:r>
      <w:r w:rsidR="00250F42" w:rsidRPr="00244D65">
        <w:rPr>
          <w:noProof/>
        </w:rPr>
        <w:t>prevention</w:t>
      </w:r>
    </w:p>
    <w:p w14:paraId="62D0E02D" w14:textId="57DDEEC6" w:rsidR="00D82289" w:rsidRPr="00244D65" w:rsidRDefault="006D382A" w:rsidP="0085595C">
      <w:pPr>
        <w:rPr>
          <w:noProof/>
        </w:rPr>
      </w:pPr>
      <w:r w:rsidRPr="00244D65">
        <w:rPr>
          <w:noProof/>
        </w:rPr>
        <w:t>For direct emissions, continuation of free allocation</w:t>
      </w:r>
      <w:r w:rsidR="00083ECD" w:rsidRPr="00244D65">
        <w:rPr>
          <w:noProof/>
        </w:rPr>
        <w:t xml:space="preserve"> is compatible with the internal market, since eligibility for free allocation is harmonised at EU-level in all options considered.</w:t>
      </w:r>
      <w:r w:rsidR="000C653C" w:rsidRPr="00244D65">
        <w:rPr>
          <w:noProof/>
        </w:rPr>
        <w:t xml:space="preserve"> </w:t>
      </w:r>
      <w:r w:rsidR="00B33FB5" w:rsidRPr="00244D65">
        <w:rPr>
          <w:noProof/>
        </w:rPr>
        <w:t xml:space="preserve">For ICC, </w:t>
      </w:r>
      <w:r w:rsidR="00D82289" w:rsidRPr="00244D65">
        <w:rPr>
          <w:noProof/>
        </w:rPr>
        <w:t>Option ICC1 would continue the current policy</w:t>
      </w:r>
      <w:r w:rsidR="000E0BB3" w:rsidRPr="00244D65">
        <w:rPr>
          <w:noProof/>
        </w:rPr>
        <w:t>, which</w:t>
      </w:r>
      <w:r w:rsidR="00D82289" w:rsidRPr="00244D65">
        <w:rPr>
          <w:noProof/>
        </w:rPr>
        <w:t xml:space="preserve"> allow</w:t>
      </w:r>
      <w:r w:rsidR="000E0BB3" w:rsidRPr="00244D65">
        <w:rPr>
          <w:noProof/>
        </w:rPr>
        <w:t>s</w:t>
      </w:r>
      <w:r w:rsidR="00D82289" w:rsidRPr="00244D65">
        <w:rPr>
          <w:noProof/>
        </w:rPr>
        <w:t xml:space="preserve"> Member States to decide </w:t>
      </w:r>
      <w:r w:rsidR="000E0BB3" w:rsidRPr="00244D65">
        <w:rPr>
          <w:noProof/>
        </w:rPr>
        <w:t xml:space="preserve">whether to offer ICC compensation or not. </w:t>
      </w:r>
      <w:r w:rsidR="008460D3" w:rsidRPr="00244D65">
        <w:rPr>
          <w:noProof/>
        </w:rPr>
        <w:t>T</w:t>
      </w:r>
      <w:r w:rsidR="000331F4" w:rsidRPr="00244D65">
        <w:rPr>
          <w:noProof/>
        </w:rPr>
        <w:t xml:space="preserve">his system </w:t>
      </w:r>
      <w:r w:rsidR="008460D3" w:rsidRPr="00244D65">
        <w:rPr>
          <w:noProof/>
        </w:rPr>
        <w:t xml:space="preserve">results in a </w:t>
      </w:r>
      <w:bookmarkStart w:id="257" w:name="_Int_6Nuzp97C"/>
      <w:r w:rsidR="008460D3" w:rsidRPr="00244D65">
        <w:rPr>
          <w:noProof/>
        </w:rPr>
        <w:t>somewhat fragmented</w:t>
      </w:r>
      <w:bookmarkEnd w:id="257"/>
      <w:r w:rsidR="008460D3" w:rsidRPr="00244D65">
        <w:rPr>
          <w:noProof/>
        </w:rPr>
        <w:t xml:space="preserve"> system where </w:t>
      </w:r>
      <w:r w:rsidR="00A40335" w:rsidRPr="00244D65">
        <w:rPr>
          <w:noProof/>
        </w:rPr>
        <w:t>15 Member States currently offer compensation</w:t>
      </w:r>
      <w:r w:rsidR="000331F4" w:rsidRPr="00244D65">
        <w:rPr>
          <w:noProof/>
        </w:rPr>
        <w:t xml:space="preserve"> </w:t>
      </w:r>
      <w:r w:rsidR="00E95B16" w:rsidRPr="00244D65">
        <w:rPr>
          <w:noProof/>
        </w:rPr>
        <w:t>via separate national schemes</w:t>
      </w:r>
      <w:r w:rsidR="00E95B16" w:rsidRPr="00244D65">
        <w:rPr>
          <w:rStyle w:val="FootnoteReference"/>
          <w:noProof/>
        </w:rPr>
        <w:footnoteReference w:id="97"/>
      </w:r>
      <w:r w:rsidR="00E95B16" w:rsidRPr="00244D65">
        <w:rPr>
          <w:noProof/>
        </w:rPr>
        <w:t>.</w:t>
      </w:r>
      <w:r w:rsidR="008460D3" w:rsidRPr="00244D65">
        <w:rPr>
          <w:noProof/>
        </w:rPr>
        <w:t xml:space="preserve"> </w:t>
      </w:r>
    </w:p>
    <w:p w14:paraId="4E03A54F" w14:textId="249DA586" w:rsidR="00410FB4" w:rsidRPr="00244D65" w:rsidRDefault="0038547F" w:rsidP="0085595C">
      <w:pPr>
        <w:rPr>
          <w:noProof/>
        </w:rPr>
      </w:pPr>
      <w:r w:rsidRPr="00244D65">
        <w:rPr>
          <w:noProof/>
        </w:rPr>
        <w:t xml:space="preserve">The </w:t>
      </w:r>
      <w:r w:rsidR="004D11D5" w:rsidRPr="00244D65">
        <w:rPr>
          <w:noProof/>
        </w:rPr>
        <w:t xml:space="preserve">partial </w:t>
      </w:r>
      <w:r w:rsidRPr="00244D65">
        <w:rPr>
          <w:noProof/>
        </w:rPr>
        <w:t xml:space="preserve">harmonisation of </w:t>
      </w:r>
      <w:r w:rsidR="004D11D5" w:rsidRPr="00244D65">
        <w:rPr>
          <w:noProof/>
        </w:rPr>
        <w:t>ICC</w:t>
      </w:r>
      <w:r w:rsidRPr="00244D65">
        <w:rPr>
          <w:noProof/>
        </w:rPr>
        <w:t xml:space="preserve"> compensation under </w:t>
      </w:r>
      <w:r w:rsidR="008E293A" w:rsidRPr="00244D65">
        <w:rPr>
          <w:noProof/>
        </w:rPr>
        <w:t>option ICC2</w:t>
      </w:r>
      <w:r w:rsidRPr="00244D65">
        <w:rPr>
          <w:noProof/>
        </w:rPr>
        <w:t xml:space="preserve"> would </w:t>
      </w:r>
      <w:r w:rsidR="00D54A9F" w:rsidRPr="00244D65">
        <w:rPr>
          <w:noProof/>
        </w:rPr>
        <w:t xml:space="preserve">reduce </w:t>
      </w:r>
      <w:r w:rsidRPr="00244D65">
        <w:rPr>
          <w:noProof/>
        </w:rPr>
        <w:t>th</w:t>
      </w:r>
      <w:r w:rsidR="004925F9" w:rsidRPr="00244D65">
        <w:rPr>
          <w:noProof/>
        </w:rPr>
        <w:t>is</w:t>
      </w:r>
      <w:r w:rsidRPr="00244D65">
        <w:rPr>
          <w:noProof/>
        </w:rPr>
        <w:t xml:space="preserve"> fragment</w:t>
      </w:r>
      <w:r w:rsidR="004925F9" w:rsidRPr="00244D65">
        <w:rPr>
          <w:noProof/>
        </w:rPr>
        <w:t>ation</w:t>
      </w:r>
      <w:r w:rsidR="00600313" w:rsidRPr="00244D65">
        <w:rPr>
          <w:noProof/>
        </w:rPr>
        <w:t xml:space="preserve"> by offering </w:t>
      </w:r>
      <w:r w:rsidR="003B7178" w:rsidRPr="00244D65">
        <w:rPr>
          <w:noProof/>
        </w:rPr>
        <w:t>some compensation on a harmonised basis at EU-level.</w:t>
      </w:r>
      <w:r w:rsidRPr="00244D65">
        <w:rPr>
          <w:noProof/>
        </w:rPr>
        <w:t xml:space="preserve"> </w:t>
      </w:r>
      <w:r w:rsidR="005E1967" w:rsidRPr="00244D65">
        <w:rPr>
          <w:noProof/>
        </w:rPr>
        <w:t>T</w:t>
      </w:r>
      <w:r w:rsidR="00AB1CF0" w:rsidRPr="00244D65">
        <w:rPr>
          <w:noProof/>
        </w:rPr>
        <w:t>his</w:t>
      </w:r>
      <w:r w:rsidR="00AA66EE" w:rsidRPr="00244D65">
        <w:rPr>
          <w:noProof/>
        </w:rPr>
        <w:t xml:space="preserve"> </w:t>
      </w:r>
      <w:r w:rsidR="007F0C8B" w:rsidRPr="00244D65">
        <w:rPr>
          <w:noProof/>
        </w:rPr>
        <w:t xml:space="preserve">would </w:t>
      </w:r>
      <w:r w:rsidR="00AA66EE" w:rsidRPr="00244D65">
        <w:rPr>
          <w:noProof/>
        </w:rPr>
        <w:t>reduce internal market fragmentation to a limited extent</w:t>
      </w:r>
      <w:r w:rsidR="00DF2E35" w:rsidRPr="00244D65">
        <w:rPr>
          <w:noProof/>
        </w:rPr>
        <w:t xml:space="preserve"> </w:t>
      </w:r>
      <w:r w:rsidR="005E1967" w:rsidRPr="00244D65">
        <w:rPr>
          <w:noProof/>
        </w:rPr>
        <w:t>by</w:t>
      </w:r>
      <w:r w:rsidR="00DF2E35" w:rsidRPr="00244D65">
        <w:rPr>
          <w:noProof/>
        </w:rPr>
        <w:t xml:space="preserve"> compensat</w:t>
      </w:r>
      <w:r w:rsidR="005E1967" w:rsidRPr="00244D65">
        <w:rPr>
          <w:noProof/>
        </w:rPr>
        <w:t>ing</w:t>
      </w:r>
      <w:r w:rsidR="00DF2E35" w:rsidRPr="00244D65">
        <w:rPr>
          <w:noProof/>
        </w:rPr>
        <w:t xml:space="preserve"> a fraction of the potential </w:t>
      </w:r>
      <w:r w:rsidR="00355A15" w:rsidRPr="00244D65">
        <w:rPr>
          <w:noProof/>
        </w:rPr>
        <w:t>indirect cost through a harmonised fund.</w:t>
      </w:r>
      <w:r w:rsidR="00DF2E35" w:rsidRPr="00244D65">
        <w:rPr>
          <w:noProof/>
        </w:rPr>
        <w:t xml:space="preserve"> </w:t>
      </w:r>
      <w:r w:rsidR="00CB23D1" w:rsidRPr="00244D65">
        <w:rPr>
          <w:noProof/>
        </w:rPr>
        <w:t>Funding equivalent to 5</w:t>
      </w:r>
      <w:r w:rsidR="0082729D" w:rsidRPr="00244D65">
        <w:rPr>
          <w:noProof/>
        </w:rPr>
        <w:t xml:space="preserve">% of 2030-2040 auction revenues </w:t>
      </w:r>
      <w:r w:rsidR="009F313A" w:rsidRPr="00244D65">
        <w:rPr>
          <w:noProof/>
        </w:rPr>
        <w:t xml:space="preserve">is level is suggested based on striking a balance between the benefits of </w:t>
      </w:r>
      <w:r w:rsidR="007D7785" w:rsidRPr="00244D65">
        <w:rPr>
          <w:noProof/>
        </w:rPr>
        <w:t>ICC</w:t>
      </w:r>
      <w:r w:rsidR="009F313A" w:rsidRPr="00244D65">
        <w:rPr>
          <w:noProof/>
        </w:rPr>
        <w:t xml:space="preserve"> harmonisation</w:t>
      </w:r>
      <w:r w:rsidR="007D7785" w:rsidRPr="00244D65">
        <w:rPr>
          <w:noProof/>
        </w:rPr>
        <w:t>, compared to other uses of ETS revenues</w:t>
      </w:r>
      <w:r w:rsidR="00AB438A" w:rsidRPr="00244D65">
        <w:rPr>
          <w:noProof/>
        </w:rPr>
        <w:t>.</w:t>
      </w:r>
    </w:p>
    <w:p w14:paraId="250AB23D" w14:textId="05B95CAC" w:rsidR="00663AD7" w:rsidRPr="00244D65" w:rsidRDefault="0038547F" w:rsidP="0085595C">
      <w:pPr>
        <w:rPr>
          <w:noProof/>
          <w:lang w:eastAsia="en-GB"/>
        </w:rPr>
      </w:pPr>
      <w:r w:rsidRPr="00244D65">
        <w:rPr>
          <w:noProof/>
        </w:rPr>
        <w:t xml:space="preserve">The issue of indirect carbon costs was often raised by industry </w:t>
      </w:r>
      <w:r w:rsidR="00410FB4" w:rsidRPr="00244D65">
        <w:rPr>
          <w:noProof/>
        </w:rPr>
        <w:t>stakeholders</w:t>
      </w:r>
      <w:r w:rsidRPr="00244D65">
        <w:rPr>
          <w:noProof/>
        </w:rPr>
        <w:t xml:space="preserve"> as this is often a cost that they have no direct control over</w:t>
      </w:r>
      <w:r w:rsidR="00A84221" w:rsidRPr="00244D65">
        <w:rPr>
          <w:noProof/>
        </w:rPr>
        <w:t xml:space="preserve">. It is addressed </w:t>
      </w:r>
      <w:bookmarkStart w:id="258" w:name="_Int_prn5JJ4c"/>
      <w:r w:rsidR="00A84221" w:rsidRPr="00244D65">
        <w:rPr>
          <w:noProof/>
        </w:rPr>
        <w:t>to some extent by</w:t>
      </w:r>
      <w:bookmarkEnd w:id="258"/>
      <w:r w:rsidR="00A84221" w:rsidRPr="00244D65">
        <w:rPr>
          <w:noProof/>
        </w:rPr>
        <w:t xml:space="preserve"> national decisions on whether to offer ICC compensation</w:t>
      </w:r>
      <w:r w:rsidR="006B00A8" w:rsidRPr="00244D65">
        <w:rPr>
          <w:noProof/>
        </w:rPr>
        <w:t xml:space="preserve">. However, the question of how to reduce industrial electricity prices is </w:t>
      </w:r>
      <w:r w:rsidR="326C99F2" w:rsidRPr="00244D65">
        <w:rPr>
          <w:noProof/>
        </w:rPr>
        <w:t>broader and</w:t>
      </w:r>
      <w:r w:rsidR="00616D5E" w:rsidRPr="00244D65">
        <w:rPr>
          <w:noProof/>
        </w:rPr>
        <w:t xml:space="preserve"> depends on national and European efforts to decarbonise </w:t>
      </w:r>
      <w:r w:rsidR="00EE0C33" w:rsidRPr="00244D65">
        <w:rPr>
          <w:noProof/>
        </w:rPr>
        <w:t>electricity</w:t>
      </w:r>
      <w:r w:rsidR="00616D5E" w:rsidRPr="00244D65">
        <w:rPr>
          <w:noProof/>
        </w:rPr>
        <w:t xml:space="preserve"> </w:t>
      </w:r>
      <w:r w:rsidR="00C576EB" w:rsidRPr="00244D65">
        <w:rPr>
          <w:noProof/>
        </w:rPr>
        <w:t xml:space="preserve">supply and modernise </w:t>
      </w:r>
      <w:r w:rsidRPr="00244D65">
        <w:rPr>
          <w:noProof/>
        </w:rPr>
        <w:t xml:space="preserve">the electricity grid in a way that also ensures the price of electricity does not become excessively high in comparison to industrial competitors. </w:t>
      </w:r>
    </w:p>
    <w:p w14:paraId="37316E7A" w14:textId="055240D1" w:rsidR="0038547F" w:rsidRPr="00244D65" w:rsidRDefault="0038547F" w:rsidP="0085595C">
      <w:pPr>
        <w:rPr>
          <w:noProof/>
        </w:rPr>
      </w:pPr>
      <w:r w:rsidRPr="00244D65">
        <w:rPr>
          <w:noProof/>
        </w:rPr>
        <w:t xml:space="preserve">The continuation of indirect cost compensation was consistently supported (with 74% of respondents in favour) by industrial stakeholders during the open public consultation. </w:t>
      </w:r>
      <w:r w:rsidR="43F3754C" w:rsidRPr="00244D65">
        <w:rPr>
          <w:noProof/>
        </w:rPr>
        <w:t>Overall,</w:t>
      </w:r>
      <w:r w:rsidR="2EFD4715" w:rsidRPr="00244D65">
        <w:rPr>
          <w:noProof/>
        </w:rPr>
        <w:t xml:space="preserve"> harmonisation was supported by</w:t>
      </w:r>
      <w:r w:rsidR="43F3754C" w:rsidRPr="00244D65">
        <w:rPr>
          <w:noProof/>
        </w:rPr>
        <w:t xml:space="preserve"> 39% of </w:t>
      </w:r>
      <w:r w:rsidR="6489E938" w:rsidRPr="00244D65">
        <w:rPr>
          <w:noProof/>
        </w:rPr>
        <w:t>stakeholders who responded</w:t>
      </w:r>
      <w:r w:rsidR="43F3754C" w:rsidRPr="00244D65">
        <w:rPr>
          <w:noProof/>
        </w:rPr>
        <w:t xml:space="preserve"> to the question </w:t>
      </w:r>
      <w:r w:rsidR="2EFD4715" w:rsidRPr="00244D65">
        <w:rPr>
          <w:noProof/>
        </w:rPr>
        <w:t>of whether</w:t>
      </w:r>
      <w:r w:rsidR="43F3754C" w:rsidRPr="00244D65">
        <w:rPr>
          <w:noProof/>
        </w:rPr>
        <w:t xml:space="preserve"> indirect cost compensation will remain necessary after 2030 to address the risk of carbon leakage from </w:t>
      </w:r>
      <w:r w:rsidR="58196FC9" w:rsidRPr="00244D65">
        <w:rPr>
          <w:noProof/>
        </w:rPr>
        <w:t xml:space="preserve">indirect </w:t>
      </w:r>
      <w:r w:rsidR="43F3754C" w:rsidRPr="00244D65">
        <w:rPr>
          <w:noProof/>
        </w:rPr>
        <w:t>carbon costs</w:t>
      </w:r>
      <w:r w:rsidR="58196FC9" w:rsidRPr="00244D65">
        <w:rPr>
          <w:noProof/>
        </w:rPr>
        <w:t xml:space="preserve"> not covered by other measures (such as CBAM)</w:t>
      </w:r>
      <w:r w:rsidR="00923A32" w:rsidRPr="00244D65">
        <w:rPr>
          <w:noProof/>
        </w:rPr>
        <w:t xml:space="preserve">. </w:t>
      </w:r>
      <w:r w:rsidR="00C70F6B" w:rsidRPr="00244D65">
        <w:rPr>
          <w:noProof/>
        </w:rPr>
        <w:t>Several respondents in favour of harmonisation, indicated th</w:t>
      </w:r>
      <w:r w:rsidR="00EA750A" w:rsidRPr="00244D65">
        <w:rPr>
          <w:noProof/>
        </w:rPr>
        <w:t>e need to re-visit different sectors’ eligibility for ICC compensation</w:t>
      </w:r>
      <w:r w:rsidR="00E43A1A" w:rsidRPr="00244D65">
        <w:rPr>
          <w:noProof/>
        </w:rPr>
        <w:t>, which is outside the scope of this review</w:t>
      </w:r>
      <w:r w:rsidR="00EA750A" w:rsidRPr="00244D65">
        <w:rPr>
          <w:noProof/>
        </w:rPr>
        <w:t xml:space="preserve">. </w:t>
      </w:r>
    </w:p>
    <w:p w14:paraId="70CB12CF" w14:textId="25FDE5E3" w:rsidR="00F77B0A" w:rsidRPr="00244D65" w:rsidRDefault="00DF1A3F" w:rsidP="0085595C">
      <w:pPr>
        <w:pStyle w:val="Heading4"/>
        <w:rPr>
          <w:noProof/>
        </w:rPr>
      </w:pPr>
      <w:r w:rsidRPr="00244D65">
        <w:rPr>
          <w:noProof/>
        </w:rPr>
        <w:t xml:space="preserve"> </w:t>
      </w:r>
      <w:r w:rsidR="00F77B0A" w:rsidRPr="00244D65">
        <w:rPr>
          <w:noProof/>
        </w:rPr>
        <w:t>Waste</w:t>
      </w:r>
    </w:p>
    <w:p w14:paraId="66E15E34" w14:textId="7BC9C8C6" w:rsidR="006D3F78" w:rsidRPr="00244D65" w:rsidRDefault="00882A2D" w:rsidP="0085595C">
      <w:pPr>
        <w:rPr>
          <w:noProof/>
          <w:lang w:eastAsia="en-GB"/>
        </w:rPr>
      </w:pPr>
      <w:r w:rsidRPr="00244D65">
        <w:rPr>
          <w:noProof/>
          <w:lang w:eastAsia="en-GB"/>
        </w:rPr>
        <w:t xml:space="preserve">PO1 does not increase the scope of the EU ETS </w:t>
      </w:r>
      <w:r w:rsidR="000C6CD7" w:rsidRPr="00244D65">
        <w:rPr>
          <w:noProof/>
          <w:lang w:eastAsia="en-GB"/>
        </w:rPr>
        <w:t>compared to the baseline</w:t>
      </w:r>
      <w:r w:rsidRPr="00244D65">
        <w:rPr>
          <w:noProof/>
          <w:lang w:eastAsia="en-GB"/>
        </w:rPr>
        <w:t xml:space="preserve">, consequently no change from the baseline is expected in terms of the functioning of the internal market. </w:t>
      </w:r>
      <w:r w:rsidR="00201FD0" w:rsidRPr="00244D65">
        <w:rPr>
          <w:noProof/>
          <w:lang w:eastAsia="en-GB"/>
        </w:rPr>
        <w:t xml:space="preserve">The current situation is characterised by </w:t>
      </w:r>
      <w:r w:rsidR="0084105E" w:rsidRPr="00244D65">
        <w:rPr>
          <w:noProof/>
          <w:lang w:eastAsia="en-GB"/>
        </w:rPr>
        <w:t>the</w:t>
      </w:r>
      <w:r w:rsidR="00052A58" w:rsidRPr="00244D65">
        <w:rPr>
          <w:noProof/>
          <w:lang w:eastAsia="en-GB"/>
        </w:rPr>
        <w:t xml:space="preserve"> heterogeneous application of </w:t>
      </w:r>
      <w:r w:rsidR="002D7417" w:rsidRPr="00244D65">
        <w:rPr>
          <w:noProof/>
          <w:lang w:eastAsia="en-GB"/>
        </w:rPr>
        <w:t>carbon pricing</w:t>
      </w:r>
      <w:r w:rsidR="00252CBC" w:rsidRPr="00244D65">
        <w:rPr>
          <w:noProof/>
          <w:lang w:eastAsia="en-GB"/>
        </w:rPr>
        <w:t xml:space="preserve"> to waste </w:t>
      </w:r>
      <w:r w:rsidR="009561E7" w:rsidRPr="00244D65">
        <w:rPr>
          <w:noProof/>
          <w:lang w:eastAsia="en-GB"/>
        </w:rPr>
        <w:t>disposal</w:t>
      </w:r>
      <w:r w:rsidR="00916837" w:rsidRPr="00244D65">
        <w:rPr>
          <w:noProof/>
          <w:lang w:eastAsia="en-GB"/>
        </w:rPr>
        <w:t>.</w:t>
      </w:r>
      <w:r w:rsidR="009561E7" w:rsidRPr="00244D65">
        <w:rPr>
          <w:noProof/>
          <w:lang w:eastAsia="en-GB"/>
        </w:rPr>
        <w:t xml:space="preserve"> </w:t>
      </w:r>
      <w:r w:rsidR="00916837" w:rsidRPr="00244D65">
        <w:rPr>
          <w:noProof/>
          <w:lang w:eastAsia="en-GB"/>
        </w:rPr>
        <w:t xml:space="preserve">This unlevel playing field contributes to competitive distortions </w:t>
      </w:r>
      <w:r w:rsidR="00B000B3" w:rsidRPr="00244D65">
        <w:rPr>
          <w:noProof/>
          <w:lang w:eastAsia="en-GB"/>
        </w:rPr>
        <w:t>within the waste management sector, between Member States</w:t>
      </w:r>
      <w:r w:rsidR="00422E89" w:rsidRPr="00244D65">
        <w:rPr>
          <w:noProof/>
          <w:lang w:eastAsia="en-GB"/>
        </w:rPr>
        <w:t>, and between sectors</w:t>
      </w:r>
      <w:r w:rsidR="00916837" w:rsidRPr="00244D65">
        <w:rPr>
          <w:noProof/>
          <w:lang w:eastAsia="en-GB"/>
        </w:rPr>
        <w:t xml:space="preserve">. </w:t>
      </w:r>
      <w:r w:rsidR="00E17E71" w:rsidRPr="00244D65">
        <w:rPr>
          <w:noProof/>
          <w:lang w:eastAsia="en-GB"/>
        </w:rPr>
        <w:t>First, t</w:t>
      </w:r>
      <w:r w:rsidR="00916837" w:rsidRPr="00244D65">
        <w:rPr>
          <w:noProof/>
          <w:lang w:eastAsia="en-GB"/>
        </w:rPr>
        <w:t xml:space="preserve">he co-incineration of municipal waste in industrial installations is subject to </w:t>
      </w:r>
      <w:r w:rsidR="00E17E71" w:rsidRPr="00244D65">
        <w:rPr>
          <w:noProof/>
          <w:lang w:eastAsia="en-GB"/>
        </w:rPr>
        <w:t>the ETS</w:t>
      </w:r>
      <w:r w:rsidR="00916837" w:rsidRPr="00244D65">
        <w:rPr>
          <w:noProof/>
          <w:lang w:eastAsia="en-GB"/>
        </w:rPr>
        <w:t xml:space="preserve"> carbon price</w:t>
      </w:r>
      <w:r w:rsidR="00FB0A4E" w:rsidRPr="00244D65">
        <w:rPr>
          <w:noProof/>
          <w:lang w:eastAsia="en-GB"/>
        </w:rPr>
        <w:t xml:space="preserve">, while municipal waste incineration is </w:t>
      </w:r>
      <w:r w:rsidR="00E17E71" w:rsidRPr="00244D65">
        <w:rPr>
          <w:noProof/>
          <w:lang w:eastAsia="en-GB"/>
        </w:rPr>
        <w:t xml:space="preserve">generally </w:t>
      </w:r>
      <w:r w:rsidR="00FB0A4E" w:rsidRPr="00244D65">
        <w:rPr>
          <w:noProof/>
          <w:lang w:eastAsia="en-GB"/>
        </w:rPr>
        <w:t>not</w:t>
      </w:r>
      <w:r w:rsidR="00E17E71" w:rsidRPr="00244D65">
        <w:rPr>
          <w:noProof/>
          <w:lang w:eastAsia="en-GB"/>
        </w:rPr>
        <w:t xml:space="preserve"> – </w:t>
      </w:r>
      <w:r w:rsidR="00FB0A4E" w:rsidRPr="00244D65">
        <w:rPr>
          <w:noProof/>
          <w:lang w:eastAsia="en-GB"/>
        </w:rPr>
        <w:t>except in selected Member States</w:t>
      </w:r>
      <w:r w:rsidR="00E17E71" w:rsidRPr="00244D65">
        <w:rPr>
          <w:noProof/>
          <w:lang w:eastAsia="en-GB"/>
        </w:rPr>
        <w:t>,</w:t>
      </w:r>
      <w:r w:rsidR="00FB0A4E" w:rsidRPr="00244D65">
        <w:rPr>
          <w:noProof/>
          <w:lang w:eastAsia="en-GB"/>
        </w:rPr>
        <w:t xml:space="preserve"> at different levels</w:t>
      </w:r>
      <w:r w:rsidR="00916837" w:rsidRPr="00244D65">
        <w:rPr>
          <w:noProof/>
          <w:lang w:eastAsia="en-GB"/>
        </w:rPr>
        <w:t xml:space="preserve">. </w:t>
      </w:r>
      <w:r w:rsidR="4B92EA86" w:rsidRPr="00244D65">
        <w:rPr>
          <w:noProof/>
          <w:lang w:eastAsia="en-GB"/>
        </w:rPr>
        <w:t xml:space="preserve">Second, under the current climate framework (Effort Sharing Regulation), Member States apply different price signals and instruments, while a majority apply no dedicated </w:t>
      </w:r>
      <w:r w:rsidR="29A31E24" w:rsidRPr="00244D65">
        <w:rPr>
          <w:noProof/>
          <w:lang w:eastAsia="en-GB"/>
        </w:rPr>
        <w:t xml:space="preserve">carbon price signal or instrument for the sector, leading to competitive distortion on the internal market for waste. </w:t>
      </w:r>
      <w:r w:rsidR="4B92EA86" w:rsidRPr="00244D65">
        <w:rPr>
          <w:noProof/>
          <w:lang w:eastAsia="en-GB"/>
        </w:rPr>
        <w:t>Third</w:t>
      </w:r>
      <w:r w:rsidR="00E17E71" w:rsidRPr="00244D65">
        <w:rPr>
          <w:noProof/>
          <w:lang w:eastAsia="en-GB"/>
        </w:rPr>
        <w:t xml:space="preserve">, </w:t>
      </w:r>
      <w:r w:rsidR="006B383F" w:rsidRPr="00244D65">
        <w:rPr>
          <w:noProof/>
          <w:lang w:eastAsia="en-GB"/>
        </w:rPr>
        <w:t xml:space="preserve">while power generation installations are covered by the EU ETS, </w:t>
      </w:r>
      <w:r w:rsidR="00021969" w:rsidRPr="00244D65">
        <w:rPr>
          <w:noProof/>
          <w:lang w:eastAsia="en-GB"/>
        </w:rPr>
        <w:t xml:space="preserve">waste-to-energy installations are </w:t>
      </w:r>
      <w:r w:rsidR="006B383F" w:rsidRPr="00244D65">
        <w:rPr>
          <w:noProof/>
          <w:lang w:eastAsia="en-GB"/>
        </w:rPr>
        <w:t xml:space="preserve">generally not, contributing to an unlevel playing field </w:t>
      </w:r>
      <w:r w:rsidR="00422E89" w:rsidRPr="00244D65">
        <w:rPr>
          <w:noProof/>
          <w:lang w:eastAsia="en-GB"/>
        </w:rPr>
        <w:t>with</w:t>
      </w:r>
      <w:r w:rsidR="006B383F" w:rsidRPr="00244D65">
        <w:rPr>
          <w:noProof/>
          <w:lang w:eastAsia="en-GB"/>
        </w:rPr>
        <w:t xml:space="preserve"> renewable energy </w:t>
      </w:r>
      <w:r w:rsidR="5469D213" w:rsidRPr="00244D65">
        <w:rPr>
          <w:noProof/>
          <w:lang w:eastAsia="en-GB"/>
        </w:rPr>
        <w:t>production. Extending</w:t>
      </w:r>
      <w:r w:rsidR="00D10514" w:rsidRPr="00244D65">
        <w:rPr>
          <w:noProof/>
          <w:lang w:eastAsia="en-GB"/>
        </w:rPr>
        <w:t xml:space="preserve"> the EU ETS to</w:t>
      </w:r>
      <w:r w:rsidR="002D3E9A" w:rsidRPr="00244D65">
        <w:rPr>
          <w:noProof/>
          <w:lang w:eastAsia="en-GB"/>
        </w:rPr>
        <w:t xml:space="preserve"> </w:t>
      </w:r>
      <w:r w:rsidR="00F21A61" w:rsidRPr="00244D65">
        <w:rPr>
          <w:noProof/>
          <w:lang w:eastAsia="en-GB"/>
        </w:rPr>
        <w:t xml:space="preserve">municipal </w:t>
      </w:r>
      <w:r w:rsidR="00D10514" w:rsidRPr="00244D65">
        <w:rPr>
          <w:noProof/>
          <w:lang w:eastAsia="en-GB"/>
        </w:rPr>
        <w:t xml:space="preserve">waste incineration installations under PO2 would contribute to </w:t>
      </w:r>
      <w:r w:rsidR="002D3E9A" w:rsidRPr="00244D65">
        <w:rPr>
          <w:noProof/>
          <w:lang w:eastAsia="en-GB"/>
        </w:rPr>
        <w:t xml:space="preserve">harmonise coverage of waste incineration under the EU ETS, </w:t>
      </w:r>
      <w:r w:rsidR="00D10514" w:rsidRPr="00244D65">
        <w:rPr>
          <w:noProof/>
          <w:lang w:eastAsia="en-GB"/>
        </w:rPr>
        <w:t>ensur</w:t>
      </w:r>
      <w:r w:rsidR="002D3E9A" w:rsidRPr="00244D65">
        <w:rPr>
          <w:noProof/>
          <w:lang w:eastAsia="en-GB"/>
        </w:rPr>
        <w:t>ing</w:t>
      </w:r>
      <w:r w:rsidR="00D10514" w:rsidRPr="00244D65">
        <w:rPr>
          <w:noProof/>
          <w:lang w:eastAsia="en-GB"/>
        </w:rPr>
        <w:t xml:space="preserve"> a level playing field and address</w:t>
      </w:r>
      <w:r w:rsidR="002D3E9A" w:rsidRPr="00244D65">
        <w:rPr>
          <w:noProof/>
          <w:lang w:eastAsia="en-GB"/>
        </w:rPr>
        <w:t>ing</w:t>
      </w:r>
      <w:r w:rsidR="00D10514" w:rsidRPr="00244D65">
        <w:rPr>
          <w:noProof/>
          <w:lang w:eastAsia="en-GB"/>
        </w:rPr>
        <w:t xml:space="preserve"> competitive distortions </w:t>
      </w:r>
      <w:r w:rsidR="006D3F78" w:rsidRPr="00244D65">
        <w:rPr>
          <w:noProof/>
          <w:lang w:eastAsia="en-GB"/>
        </w:rPr>
        <w:t>within the waste sector, between sectors and between Member States.</w:t>
      </w:r>
      <w:r w:rsidR="005B10FE" w:rsidRPr="00244D65">
        <w:rPr>
          <w:noProof/>
          <w:lang w:eastAsia="en-GB"/>
        </w:rPr>
        <w:t xml:space="preserve"> First, extending the </w:t>
      </w:r>
      <w:r w:rsidR="00F909E3" w:rsidRPr="00244D65">
        <w:rPr>
          <w:noProof/>
          <w:lang w:eastAsia="en-GB"/>
        </w:rPr>
        <w:t>EU ETS</w:t>
      </w:r>
      <w:r w:rsidR="005B10FE" w:rsidRPr="00244D65">
        <w:rPr>
          <w:noProof/>
          <w:lang w:eastAsia="en-GB"/>
        </w:rPr>
        <w:t xml:space="preserve"> to </w:t>
      </w:r>
      <w:r w:rsidR="00330E14" w:rsidRPr="00244D65">
        <w:rPr>
          <w:noProof/>
          <w:lang w:eastAsia="en-GB"/>
        </w:rPr>
        <w:t xml:space="preserve">all </w:t>
      </w:r>
      <w:r w:rsidR="005B10FE" w:rsidRPr="00244D65">
        <w:rPr>
          <w:noProof/>
          <w:lang w:eastAsia="en-GB"/>
        </w:rPr>
        <w:t xml:space="preserve">non-hazardous waste incineration installations would harmonise the application of the polluter-pays principle within the waste incineration sector, addressing the current heterogeneous coverage of emissions from waste incineration depending on the waste type and Member States’ classification of installations. Second, an extension would harmonise the application of the polluter-pays </w:t>
      </w:r>
      <w:r w:rsidR="00CD41D0" w:rsidRPr="00244D65">
        <w:rPr>
          <w:noProof/>
          <w:lang w:eastAsia="en-GB"/>
        </w:rPr>
        <w:t>principle</w:t>
      </w:r>
      <w:r w:rsidR="00A07246" w:rsidRPr="00244D65">
        <w:rPr>
          <w:noProof/>
          <w:lang w:eastAsia="en-GB"/>
        </w:rPr>
        <w:t xml:space="preserve"> between waste incineration and the co-incineration of waste in industrial installations, such as cement kilns, and </w:t>
      </w:r>
      <w:r w:rsidR="005B10FE" w:rsidRPr="00244D65">
        <w:rPr>
          <w:noProof/>
          <w:lang w:eastAsia="en-GB"/>
        </w:rPr>
        <w:t xml:space="preserve">between energy produced from different sources, ensuring a level playing field between waste-to-energy and power generation installations that are connected to a common grid or district heating system. Third, an extension would also harmonise the application of the polluter-pays principle between Member States, addressing competitive distortions resulting from the current differentiated coverage of waste-to-energy installations in the </w:t>
      </w:r>
      <w:r w:rsidR="00F909E3" w:rsidRPr="00244D65">
        <w:rPr>
          <w:noProof/>
          <w:lang w:eastAsia="en-GB"/>
        </w:rPr>
        <w:t>EU ETS</w:t>
      </w:r>
      <w:r w:rsidR="005B10FE" w:rsidRPr="00244D65">
        <w:rPr>
          <w:noProof/>
          <w:lang w:eastAsia="en-GB"/>
        </w:rPr>
        <w:t xml:space="preserve"> in selected Member States</w:t>
      </w:r>
      <w:r w:rsidR="001A0AE2" w:rsidRPr="00244D65">
        <w:rPr>
          <w:noProof/>
          <w:lang w:eastAsia="en-GB"/>
        </w:rPr>
        <w:t>.</w:t>
      </w:r>
    </w:p>
    <w:p w14:paraId="623ECFB2" w14:textId="39498700" w:rsidR="00FA455B" w:rsidRPr="00244D65" w:rsidRDefault="000D046C" w:rsidP="0085595C">
      <w:pPr>
        <w:rPr>
          <w:rFonts w:eastAsia="Times New Roman"/>
          <w:b/>
          <w:noProof/>
          <w:szCs w:val="20"/>
        </w:rPr>
      </w:pPr>
      <w:r w:rsidRPr="00244D65">
        <w:rPr>
          <w:noProof/>
          <w:lang w:eastAsia="en-GB"/>
        </w:rPr>
        <w:t xml:space="preserve">The additional extension of carbon pricing to hazardous waste incineration and landfilling under PO3 would further contribute to </w:t>
      </w:r>
      <w:r w:rsidR="00BD4928" w:rsidRPr="00244D65">
        <w:rPr>
          <w:noProof/>
          <w:lang w:eastAsia="en-GB"/>
        </w:rPr>
        <w:t xml:space="preserve">harmonising the application of the polluter-pays principle within the waste disposal sector, in addition to </w:t>
      </w:r>
      <w:r w:rsidRPr="00244D65">
        <w:rPr>
          <w:noProof/>
          <w:lang w:eastAsia="en-GB"/>
        </w:rPr>
        <w:t xml:space="preserve">addressing </w:t>
      </w:r>
      <w:r w:rsidR="00031814" w:rsidRPr="00244D65">
        <w:rPr>
          <w:noProof/>
          <w:lang w:eastAsia="en-GB"/>
        </w:rPr>
        <w:t xml:space="preserve">potential </w:t>
      </w:r>
      <w:r w:rsidRPr="00244D65">
        <w:rPr>
          <w:noProof/>
          <w:lang w:eastAsia="en-GB"/>
        </w:rPr>
        <w:t xml:space="preserve">competitive distortions </w:t>
      </w:r>
      <w:r w:rsidR="00F5391F" w:rsidRPr="00244D65">
        <w:rPr>
          <w:noProof/>
          <w:lang w:eastAsia="en-GB"/>
        </w:rPr>
        <w:t xml:space="preserve">between waste incineration and landfilling </w:t>
      </w:r>
      <w:r w:rsidR="00031814" w:rsidRPr="00244D65">
        <w:rPr>
          <w:noProof/>
          <w:lang w:eastAsia="en-GB"/>
        </w:rPr>
        <w:t>for residual waste</w:t>
      </w:r>
      <w:r w:rsidR="00834A3E" w:rsidRPr="00244D65">
        <w:rPr>
          <w:noProof/>
          <w:lang w:eastAsia="en-GB"/>
        </w:rPr>
        <w:t xml:space="preserve"> resulting from different price signals</w:t>
      </w:r>
      <w:r w:rsidR="00E645BD" w:rsidRPr="00244D65">
        <w:rPr>
          <w:noProof/>
          <w:lang w:eastAsia="en-GB"/>
        </w:rPr>
        <w:t xml:space="preserve">, </w:t>
      </w:r>
      <w:r w:rsidR="00BD4928" w:rsidRPr="00244D65">
        <w:rPr>
          <w:noProof/>
          <w:lang w:eastAsia="en-GB"/>
        </w:rPr>
        <w:t xml:space="preserve">where dedicated fiscal and </w:t>
      </w:r>
      <w:r w:rsidR="00E645BD" w:rsidRPr="00244D65">
        <w:rPr>
          <w:noProof/>
          <w:lang w:eastAsia="en-GB"/>
        </w:rPr>
        <w:t>regulatory policies on landfilling (including bans on</w:t>
      </w:r>
      <w:r w:rsidR="002F52D3" w:rsidRPr="00244D65">
        <w:rPr>
          <w:noProof/>
          <w:lang w:eastAsia="en-GB"/>
        </w:rPr>
        <w:t xml:space="preserve"> landfilling of specific residual waste streams and taxes) are </w:t>
      </w:r>
      <w:r w:rsidR="00D27608" w:rsidRPr="00244D65">
        <w:rPr>
          <w:noProof/>
          <w:lang w:eastAsia="en-GB"/>
        </w:rPr>
        <w:t xml:space="preserve">not </w:t>
      </w:r>
      <w:r w:rsidR="002F52D3" w:rsidRPr="00244D65">
        <w:rPr>
          <w:noProof/>
          <w:lang w:eastAsia="en-GB"/>
        </w:rPr>
        <w:t xml:space="preserve">already sufficiently prohibitive to avoid such </w:t>
      </w:r>
      <w:r w:rsidR="00B04DFA" w:rsidRPr="00244D65">
        <w:rPr>
          <w:noProof/>
          <w:lang w:eastAsia="en-GB"/>
        </w:rPr>
        <w:t>competitive disadvantages.</w:t>
      </w:r>
      <w:r w:rsidR="00D27608" w:rsidRPr="00244D65">
        <w:rPr>
          <w:noProof/>
          <w:lang w:eastAsia="en-GB"/>
        </w:rPr>
        <w:t xml:space="preserve"> However, </w:t>
      </w:r>
      <w:r w:rsidR="00F375BD" w:rsidRPr="00244D65">
        <w:rPr>
          <w:noProof/>
          <w:lang w:eastAsia="en-GB"/>
        </w:rPr>
        <w:t xml:space="preserve">depending on how the </w:t>
      </w:r>
      <w:r w:rsidR="00175D87" w:rsidRPr="00244D65">
        <w:rPr>
          <w:noProof/>
          <w:lang w:eastAsia="en-GB"/>
        </w:rPr>
        <w:t xml:space="preserve">EU </w:t>
      </w:r>
      <w:r w:rsidR="00F375BD" w:rsidRPr="00244D65">
        <w:rPr>
          <w:noProof/>
          <w:lang w:eastAsia="en-GB"/>
        </w:rPr>
        <w:t>ETS price is translated to gate fees for landfilling,</w:t>
      </w:r>
      <w:r w:rsidR="00D27608" w:rsidRPr="00244D65">
        <w:rPr>
          <w:noProof/>
          <w:lang w:eastAsia="en-GB"/>
        </w:rPr>
        <w:t xml:space="preserve"> </w:t>
      </w:r>
      <w:r w:rsidR="00175D87" w:rsidRPr="00244D65">
        <w:rPr>
          <w:noProof/>
          <w:lang w:eastAsia="en-GB"/>
        </w:rPr>
        <w:t xml:space="preserve">the price gap closing </w:t>
      </w:r>
      <w:r w:rsidR="00D27608" w:rsidRPr="00244D65">
        <w:rPr>
          <w:noProof/>
          <w:lang w:eastAsia="en-GB"/>
        </w:rPr>
        <w:t xml:space="preserve">effect </w:t>
      </w:r>
      <w:r w:rsidR="005E6B47" w:rsidRPr="00244D65">
        <w:rPr>
          <w:noProof/>
          <w:lang w:eastAsia="en-GB"/>
        </w:rPr>
        <w:t>could vary</w:t>
      </w:r>
      <w:r w:rsidR="00D27608" w:rsidRPr="00244D65">
        <w:rPr>
          <w:noProof/>
          <w:lang w:eastAsia="en-GB"/>
        </w:rPr>
        <w:t xml:space="preserve"> per waste stream, </w:t>
      </w:r>
      <w:r w:rsidR="005E6B47" w:rsidRPr="00244D65">
        <w:rPr>
          <w:noProof/>
          <w:lang w:eastAsia="en-GB"/>
        </w:rPr>
        <w:t>as PO3 would predominantly price methane emissions from biogenic waste rather than emissions from fossil waste streams such as plastics.</w:t>
      </w:r>
    </w:p>
    <w:p w14:paraId="02825286" w14:textId="4CA4DD20" w:rsidR="00926B04" w:rsidRPr="00244D65" w:rsidRDefault="0056622E" w:rsidP="0085595C">
      <w:pPr>
        <w:pStyle w:val="Heading2"/>
        <w:rPr>
          <w:noProof/>
        </w:rPr>
      </w:pPr>
      <w:bookmarkStart w:id="259" w:name="_Toc234949753"/>
      <w:bookmarkStart w:id="260" w:name="_Toc232752509"/>
      <w:r w:rsidRPr="00244D65">
        <w:rPr>
          <w:noProof/>
        </w:rPr>
        <w:t>Social impacts</w:t>
      </w:r>
      <w:bookmarkEnd w:id="259"/>
      <w:bookmarkEnd w:id="260"/>
    </w:p>
    <w:p w14:paraId="3EA5E43D" w14:textId="35C9A593" w:rsidR="0037469C" w:rsidRPr="00244D65" w:rsidRDefault="0037469C" w:rsidP="0085595C">
      <w:pPr>
        <w:pStyle w:val="Heading3"/>
        <w:rPr>
          <w:noProof/>
        </w:rPr>
      </w:pPr>
      <w:bookmarkStart w:id="261" w:name="_Toc212594977"/>
      <w:bookmarkStart w:id="262" w:name="_Toc234949754"/>
      <w:bookmarkStart w:id="263" w:name="_Toc232752510"/>
      <w:r w:rsidRPr="00244D65">
        <w:rPr>
          <w:noProof/>
        </w:rPr>
        <w:t>Impacts on employment and skills</w:t>
      </w:r>
      <w:bookmarkEnd w:id="261"/>
      <w:bookmarkEnd w:id="262"/>
      <w:bookmarkEnd w:id="263"/>
    </w:p>
    <w:p w14:paraId="0E28A924" w14:textId="0A97815A" w:rsidR="00F77B0A" w:rsidRPr="00244D65" w:rsidRDefault="00DF1A3F" w:rsidP="0085595C">
      <w:pPr>
        <w:pStyle w:val="Heading4"/>
        <w:rPr>
          <w:noProof/>
        </w:rPr>
      </w:pPr>
      <w:r w:rsidRPr="00244D65">
        <w:rPr>
          <w:noProof/>
        </w:rPr>
        <w:t xml:space="preserve"> </w:t>
      </w:r>
      <w:r w:rsidR="00F77B0A" w:rsidRPr="00244D65">
        <w:rPr>
          <w:noProof/>
        </w:rPr>
        <w:t xml:space="preserve">Cap </w:t>
      </w:r>
    </w:p>
    <w:p w14:paraId="621CAC13" w14:textId="2C95F92B" w:rsidR="00FD18DA" w:rsidRPr="00244D65" w:rsidRDefault="00FD18DA" w:rsidP="0085595C">
      <w:pPr>
        <w:rPr>
          <w:noProof/>
        </w:rPr>
      </w:pPr>
      <w:r w:rsidRPr="00244D65">
        <w:rPr>
          <w:noProof/>
          <w:lang w:eastAsia="en-GB"/>
        </w:rPr>
        <w:t>The emp</w:t>
      </w:r>
      <w:r w:rsidR="00D51804" w:rsidRPr="00244D65">
        <w:rPr>
          <w:noProof/>
          <w:lang w:eastAsia="en-GB"/>
        </w:rPr>
        <w:t>loyment impacts of the ambition level and cap scenarios are explained below in the section on carbon leakage. They were assessed with the GEM-E3 model.</w:t>
      </w:r>
    </w:p>
    <w:p w14:paraId="48ED87E5" w14:textId="25EE2791" w:rsidR="00DC132D" w:rsidRPr="00244D65" w:rsidRDefault="00DF1A3F" w:rsidP="0085595C">
      <w:pPr>
        <w:pStyle w:val="Heading4"/>
        <w:rPr>
          <w:noProof/>
        </w:rPr>
      </w:pPr>
      <w:r w:rsidRPr="00244D65">
        <w:rPr>
          <w:noProof/>
        </w:rPr>
        <w:t xml:space="preserve"> </w:t>
      </w:r>
      <w:r w:rsidR="00DF18A0" w:rsidRPr="00244D65">
        <w:rPr>
          <w:noProof/>
        </w:rPr>
        <w:t>Carbon r</w:t>
      </w:r>
      <w:r w:rsidR="00F77B0A" w:rsidRPr="00244D65">
        <w:rPr>
          <w:noProof/>
        </w:rPr>
        <w:t>emoval</w:t>
      </w:r>
      <w:r w:rsidR="00DC132D" w:rsidRPr="00244D65">
        <w:rPr>
          <w:noProof/>
        </w:rPr>
        <w:t>s</w:t>
      </w:r>
    </w:p>
    <w:p w14:paraId="3260E951" w14:textId="51067F63" w:rsidR="00C07C25" w:rsidRPr="00244D65" w:rsidRDefault="00DC132D" w:rsidP="0085595C">
      <w:pPr>
        <w:rPr>
          <w:noProof/>
        </w:rPr>
      </w:pPr>
      <w:r w:rsidRPr="00244D65">
        <w:rPr>
          <w:noProof/>
        </w:rPr>
        <w:t xml:space="preserve">Removal integration into the EU ETS can influence employment </w:t>
      </w:r>
      <w:bookmarkStart w:id="264" w:name="_Int_RJNELa4T"/>
      <w:r w:rsidRPr="00244D65">
        <w:rPr>
          <w:noProof/>
        </w:rPr>
        <w:t>mainly through</w:t>
      </w:r>
      <w:bookmarkEnd w:id="264"/>
      <w:r w:rsidRPr="00244D65">
        <w:rPr>
          <w:noProof/>
        </w:rPr>
        <w:t xml:space="preserve"> its impact on the pace and predictability of domestic removal deployment and associated supply chains. Measures that provide predictable demand and bankable revenue streams for removals (</w:t>
      </w:r>
      <w:r w:rsidR="00FC20B9" w:rsidRPr="00244D65">
        <w:rPr>
          <w:noProof/>
        </w:rPr>
        <w:t>PO</w:t>
      </w:r>
      <w:r w:rsidR="00696A3F" w:rsidRPr="00244D65">
        <w:rPr>
          <w:noProof/>
        </w:rPr>
        <w:t>1</w:t>
      </w:r>
      <w:r w:rsidRPr="00244D65">
        <w:rPr>
          <w:noProof/>
        </w:rPr>
        <w:t>) are more likely to catalyse near‑term investment and job creation in the European removal industry. Operator‑integration measures (</w:t>
      </w:r>
      <w:r w:rsidR="00696A3F" w:rsidRPr="00244D65">
        <w:rPr>
          <w:noProof/>
        </w:rPr>
        <w:t>PO2-3</w:t>
      </w:r>
      <w:r w:rsidRPr="00244D65">
        <w:rPr>
          <w:noProof/>
        </w:rPr>
        <w:t>) can deliver similar employment benefits if complemented by removal policy support outside the ETS. If such support is absent however, the weaker visibility of demand may delay investment decisions and temper job growth. Some jobs in the removal industry may represent a shift rather than net‑increase (e.g., if cheaper removals displace abatement action in certain sectors).</w:t>
      </w:r>
    </w:p>
    <w:p w14:paraId="7CC7939D" w14:textId="35BF6FCA" w:rsidR="00DC132D" w:rsidRPr="00244D65" w:rsidRDefault="5398A2AC" w:rsidP="0085595C">
      <w:pPr>
        <w:rPr>
          <w:noProof/>
        </w:rPr>
      </w:pPr>
      <w:r w:rsidRPr="00244D65">
        <w:rPr>
          <w:noProof/>
        </w:rPr>
        <w:t xml:space="preserve">Estimates from </w:t>
      </w:r>
      <w:r w:rsidR="6A3B2ACA" w:rsidRPr="00244D65">
        <w:rPr>
          <w:noProof/>
        </w:rPr>
        <w:t>Boston Consult</w:t>
      </w:r>
      <w:r w:rsidR="4E9ABD82" w:rsidRPr="00244D65">
        <w:rPr>
          <w:noProof/>
        </w:rPr>
        <w:t>ing</w:t>
      </w:r>
      <w:r w:rsidR="6A3B2ACA" w:rsidRPr="00244D65">
        <w:rPr>
          <w:noProof/>
        </w:rPr>
        <w:t xml:space="preserve"> Group conclude that the development of the CDR industry could not only bring substantial economic growth but also significant job creation. The</w:t>
      </w:r>
      <w:r w:rsidR="7F129AAF" w:rsidRPr="00244D65">
        <w:rPr>
          <w:noProof/>
        </w:rPr>
        <w:t>y conclude that b</w:t>
      </w:r>
      <w:r w:rsidR="6A3B2ACA" w:rsidRPr="00244D65">
        <w:rPr>
          <w:noProof/>
        </w:rPr>
        <w:t>y 2050, the CDR sector in Europe could support up to 670,000 jobs. This growth trajectory indicates substantial employment opportunities across various sectors involved in CDR, including engineering &amp; manufacturing, energy, and (digital) services</w:t>
      </w:r>
      <w:r w:rsidR="00C07C25" w:rsidRPr="00244D65">
        <w:rPr>
          <w:rStyle w:val="FootnoteReference"/>
          <w:noProof/>
        </w:rPr>
        <w:footnoteReference w:id="98"/>
      </w:r>
      <w:r w:rsidR="00337152" w:rsidRPr="00244D65">
        <w:rPr>
          <w:noProof/>
        </w:rPr>
        <w:t>.</w:t>
      </w:r>
      <w:r w:rsidR="000C653C" w:rsidRPr="00244D65">
        <w:rPr>
          <w:noProof/>
        </w:rPr>
        <w:t xml:space="preserve"> </w:t>
      </w:r>
    </w:p>
    <w:p w14:paraId="64AF7952" w14:textId="287C2477" w:rsidR="0093634C" w:rsidRPr="00244D65" w:rsidRDefault="00DE03A7" w:rsidP="0085595C">
      <w:pPr>
        <w:rPr>
          <w:noProof/>
        </w:rPr>
      </w:pPr>
      <w:r w:rsidRPr="00244D65">
        <w:rPr>
          <w:noProof/>
        </w:rPr>
        <w:t>Concretely, i</w:t>
      </w:r>
      <w:r w:rsidR="00F142AB" w:rsidRPr="00244D65">
        <w:rPr>
          <w:noProof/>
        </w:rPr>
        <w:t>f CDR develops as modelled in the 1.5°C- and 2°C-compatible scenarios, the job potential in the CDR industry is expected to increase gradually</w:t>
      </w:r>
      <w:r w:rsidR="00336C8E" w:rsidRPr="00244D65">
        <w:rPr>
          <w:noProof/>
        </w:rPr>
        <w:t xml:space="preserve">, with a </w:t>
      </w:r>
      <w:bookmarkStart w:id="265" w:name="_Int_WG3ryYxZ"/>
      <w:r w:rsidR="00336C8E" w:rsidRPr="00244D65">
        <w:rPr>
          <w:noProof/>
        </w:rPr>
        <w:t>relatively modest</w:t>
      </w:r>
      <w:bookmarkEnd w:id="265"/>
      <w:r w:rsidR="00336C8E" w:rsidRPr="00244D65">
        <w:rPr>
          <w:noProof/>
        </w:rPr>
        <w:t xml:space="preserve"> growth in the next years</w:t>
      </w:r>
      <w:r w:rsidR="00F142AB" w:rsidRPr="00244D65">
        <w:rPr>
          <w:noProof/>
        </w:rPr>
        <w:t>. By 2035, however, the sector could already support 125,000-180,000 jobs in broader Europe</w:t>
      </w:r>
      <w:r w:rsidR="00336C8E" w:rsidRPr="00244D65">
        <w:rPr>
          <w:noProof/>
        </w:rPr>
        <w:t xml:space="preserve">. </w:t>
      </w:r>
      <w:r w:rsidR="004E23EF" w:rsidRPr="00244D65">
        <w:rPr>
          <w:noProof/>
        </w:rPr>
        <w:t xml:space="preserve">The job potential is estimated based on current sector ratios of jobs per </w:t>
      </w:r>
      <w:r>
        <w:rPr>
          <w:noProof/>
        </w:rPr>
        <w:t xml:space="preserve">EUR </w:t>
      </w:r>
      <w:r w:rsidR="004E23EF" w:rsidRPr="00244D65">
        <w:rPr>
          <w:noProof/>
        </w:rPr>
        <w:t>1 million value added.</w:t>
      </w:r>
    </w:p>
    <w:p w14:paraId="52E50C47" w14:textId="7BAB2840" w:rsidR="00F77B0A" w:rsidRPr="00244D65" w:rsidRDefault="00DF1A3F" w:rsidP="0085595C">
      <w:pPr>
        <w:pStyle w:val="Heading4"/>
        <w:rPr>
          <w:noProof/>
        </w:rPr>
      </w:pPr>
      <w:r w:rsidRPr="00244D65">
        <w:rPr>
          <w:noProof/>
        </w:rPr>
        <w:t xml:space="preserve"> </w:t>
      </w:r>
      <w:r w:rsidR="56AD2344" w:rsidRPr="00244D65">
        <w:rPr>
          <w:noProof/>
        </w:rPr>
        <w:t>Instruments to support investment</w:t>
      </w:r>
      <w:r w:rsidR="00F77B0A" w:rsidRPr="00244D65">
        <w:rPr>
          <w:noProof/>
        </w:rPr>
        <w:t>s</w:t>
      </w:r>
    </w:p>
    <w:p w14:paraId="78993A50" w14:textId="3444339C" w:rsidR="0033374D" w:rsidRPr="00244D65" w:rsidRDefault="0033374D" w:rsidP="0085595C">
      <w:pPr>
        <w:rPr>
          <w:noProof/>
        </w:rPr>
      </w:pPr>
      <w:r w:rsidRPr="00244D65">
        <w:rPr>
          <w:noProof/>
        </w:rPr>
        <w:t xml:space="preserve">IDB </w:t>
      </w:r>
      <w:r w:rsidR="005F0B65" w:rsidRPr="00244D65">
        <w:rPr>
          <w:noProof/>
        </w:rPr>
        <w:t xml:space="preserve">is proposed to be one of the key elements of the enabling framework that will be essential to achieve 2040 climate target. 2040 climate target </w:t>
      </w:r>
      <w:r w:rsidR="007A33FD" w:rsidRPr="00244D65">
        <w:rPr>
          <w:noProof/>
        </w:rPr>
        <w:t xml:space="preserve">as confirmed in the modelling exercise underpinning the 2040 climate target proposal </w:t>
      </w:r>
      <w:r w:rsidR="005E0447" w:rsidRPr="00244D65">
        <w:rPr>
          <w:noProof/>
        </w:rPr>
        <w:t>is unlikely to be a major driver of GDP growth and employment levels in and of its own. The transition will nevertheless imply transformations in production and consumption patterns</w:t>
      </w:r>
      <w:r w:rsidR="00B3349F" w:rsidRPr="00244D65">
        <w:rPr>
          <w:noProof/>
        </w:rPr>
        <w:t>.</w:t>
      </w:r>
    </w:p>
    <w:p w14:paraId="78EF1713" w14:textId="6BC40029" w:rsidR="00D57917" w:rsidRPr="00244D65" w:rsidRDefault="00D929BD" w:rsidP="0085595C">
      <w:pPr>
        <w:rPr>
          <w:noProof/>
        </w:rPr>
      </w:pPr>
      <w:r w:rsidRPr="00244D65">
        <w:rPr>
          <w:noProof/>
        </w:rPr>
        <w:t xml:space="preserve">IDB can bring positive </w:t>
      </w:r>
      <w:r w:rsidR="00DC7B6F" w:rsidRPr="00244D65">
        <w:rPr>
          <w:noProof/>
        </w:rPr>
        <w:t>employment</w:t>
      </w:r>
      <w:r w:rsidRPr="00244D65">
        <w:rPr>
          <w:noProof/>
        </w:rPr>
        <w:t xml:space="preserve"> impacts </w:t>
      </w:r>
      <w:r w:rsidR="00401757" w:rsidRPr="00244D65">
        <w:rPr>
          <w:noProof/>
        </w:rPr>
        <w:t>in</w:t>
      </w:r>
      <w:r w:rsidR="000C653C" w:rsidRPr="00244D65">
        <w:rPr>
          <w:noProof/>
        </w:rPr>
        <w:t xml:space="preserve"> </w:t>
      </w:r>
      <w:r w:rsidR="00E94546" w:rsidRPr="00244D65">
        <w:rPr>
          <w:noProof/>
        </w:rPr>
        <w:t xml:space="preserve">all sectors of </w:t>
      </w:r>
      <w:r w:rsidR="00DE3923" w:rsidRPr="00244D65">
        <w:rPr>
          <w:noProof/>
        </w:rPr>
        <w:t>economy.</w:t>
      </w:r>
      <w:r w:rsidR="00237ADA" w:rsidRPr="00244D65">
        <w:rPr>
          <w:noProof/>
        </w:rPr>
        <w:t xml:space="preserve"> All economic sectors </w:t>
      </w:r>
      <w:r w:rsidR="00D57917" w:rsidRPr="00244D65">
        <w:rPr>
          <w:noProof/>
        </w:rPr>
        <w:t xml:space="preserve">(not only industry) </w:t>
      </w:r>
      <w:r w:rsidR="00237ADA" w:rsidRPr="00244D65">
        <w:rPr>
          <w:noProof/>
        </w:rPr>
        <w:t xml:space="preserve">will be affected by the IDB because they all consume products of industry (e.g. fertilisers needed for agriculture are produced by chemical industry, </w:t>
      </w:r>
      <w:bookmarkStart w:id="266" w:name="_Int_q0wEkWzu"/>
      <w:r w:rsidR="00237ADA" w:rsidRPr="00244D65">
        <w:rPr>
          <w:noProof/>
        </w:rPr>
        <w:t>services</w:t>
      </w:r>
      <w:bookmarkEnd w:id="266"/>
      <w:r w:rsidR="00237ADA" w:rsidRPr="00244D65">
        <w:rPr>
          <w:noProof/>
        </w:rPr>
        <w:t xml:space="preserve"> rely on electricity that together with industry is in the ETS). </w:t>
      </w:r>
    </w:p>
    <w:p w14:paraId="57E304CC" w14:textId="40E3138B" w:rsidR="07F861EB" w:rsidRPr="00244D65" w:rsidRDefault="00D57917" w:rsidP="0085595C">
      <w:pPr>
        <w:rPr>
          <w:noProof/>
        </w:rPr>
      </w:pPr>
      <w:r w:rsidRPr="00244D65">
        <w:rPr>
          <w:noProof/>
        </w:rPr>
        <w:t>More broadly</w:t>
      </w:r>
      <w:r w:rsidR="00237ADA" w:rsidRPr="00244D65">
        <w:rPr>
          <w:noProof/>
        </w:rPr>
        <w:t xml:space="preserve">, society </w:t>
      </w:r>
      <w:bookmarkStart w:id="267" w:name="_Int_w8vfeBB5"/>
      <w:r w:rsidR="00237ADA" w:rsidRPr="00244D65">
        <w:rPr>
          <w:noProof/>
        </w:rPr>
        <w:t xml:space="preserve">as a whole </w:t>
      </w:r>
      <w:r w:rsidRPr="00244D65">
        <w:rPr>
          <w:noProof/>
        </w:rPr>
        <w:t>will</w:t>
      </w:r>
      <w:bookmarkEnd w:id="267"/>
      <w:r w:rsidRPr="00244D65">
        <w:rPr>
          <w:noProof/>
        </w:rPr>
        <w:t xml:space="preserve"> be</w:t>
      </w:r>
      <w:r w:rsidR="00237ADA" w:rsidRPr="00244D65">
        <w:rPr>
          <w:noProof/>
        </w:rPr>
        <w:t xml:space="preserve"> affected (as all society actors will consume products of industry, some will work in the industry, some will have part of their pensions linked to performance of industrial stocks</w:t>
      </w:r>
      <w:r w:rsidRPr="00244D65">
        <w:rPr>
          <w:noProof/>
        </w:rPr>
        <w:t>)</w:t>
      </w:r>
      <w:r w:rsidR="00E14216" w:rsidRPr="00244D65">
        <w:rPr>
          <w:noProof/>
        </w:rPr>
        <w:t>.</w:t>
      </w:r>
    </w:p>
    <w:p w14:paraId="37C6C762" w14:textId="03C29272" w:rsidR="00F77B0A" w:rsidRPr="00244D65" w:rsidRDefault="00DF1A3F" w:rsidP="0085595C">
      <w:pPr>
        <w:pStyle w:val="Heading4"/>
        <w:rPr>
          <w:noProof/>
        </w:rPr>
      </w:pPr>
      <w:r w:rsidRPr="00244D65">
        <w:rPr>
          <w:noProof/>
        </w:rPr>
        <w:t xml:space="preserve"> </w:t>
      </w:r>
      <w:r w:rsidR="00F77B0A" w:rsidRPr="00244D65">
        <w:rPr>
          <w:noProof/>
        </w:rPr>
        <w:t>Aviation</w:t>
      </w:r>
    </w:p>
    <w:p w14:paraId="3F5E50BC" w14:textId="6879E9E7" w:rsidR="00A236F9" w:rsidRPr="00244D65" w:rsidRDefault="002D1858" w:rsidP="0085595C">
      <w:pPr>
        <w:rPr>
          <w:noProof/>
        </w:rPr>
      </w:pPr>
      <w:r w:rsidRPr="00244D65">
        <w:rPr>
          <w:noProof/>
        </w:rPr>
        <w:t xml:space="preserve">The impact on </w:t>
      </w:r>
      <w:r w:rsidRPr="00244D65">
        <w:rPr>
          <w:b/>
          <w:bCs/>
          <w:noProof/>
        </w:rPr>
        <w:t>employment</w:t>
      </w:r>
      <w:r w:rsidRPr="00244D65">
        <w:rPr>
          <w:noProof/>
        </w:rPr>
        <w:t xml:space="preserve"> of EEA aircraft operators </w:t>
      </w:r>
      <w:r w:rsidR="00C86F9F" w:rsidRPr="00244D65">
        <w:rPr>
          <w:noProof/>
        </w:rPr>
        <w:t xml:space="preserve">is </w:t>
      </w:r>
      <w:bookmarkStart w:id="268" w:name="_Int_gsgDFQBn"/>
      <w:r w:rsidR="00C86F9F" w:rsidRPr="00244D65">
        <w:rPr>
          <w:noProof/>
        </w:rPr>
        <w:t>mainly dependent</w:t>
      </w:r>
      <w:bookmarkEnd w:id="268"/>
      <w:r w:rsidR="00C86F9F" w:rsidRPr="00244D65">
        <w:rPr>
          <w:noProof/>
        </w:rPr>
        <w:t xml:space="preserve"> on demand.</w:t>
      </w:r>
      <w:r w:rsidR="009C0AFB" w:rsidRPr="00244D65">
        <w:rPr>
          <w:noProof/>
        </w:rPr>
        <w:t xml:space="preserve"> </w:t>
      </w:r>
      <w:r w:rsidR="00A875A7" w:rsidRPr="00244D65">
        <w:rPr>
          <w:noProof/>
        </w:rPr>
        <w:t>D</w:t>
      </w:r>
      <w:r w:rsidR="004147D9" w:rsidRPr="00244D65">
        <w:rPr>
          <w:noProof/>
        </w:rPr>
        <w:t xml:space="preserve">emand </w:t>
      </w:r>
      <w:r w:rsidR="00A875A7" w:rsidRPr="00244D65">
        <w:rPr>
          <w:noProof/>
        </w:rPr>
        <w:t xml:space="preserve">is projected to </w:t>
      </w:r>
      <w:r w:rsidR="004147D9" w:rsidRPr="00244D65">
        <w:rPr>
          <w:noProof/>
        </w:rPr>
        <w:t>grow</w:t>
      </w:r>
      <w:r w:rsidR="00A875A7" w:rsidRPr="00244D65">
        <w:rPr>
          <w:noProof/>
        </w:rPr>
        <w:t xml:space="preserve"> </w:t>
      </w:r>
      <w:r w:rsidR="004147D9" w:rsidRPr="00244D65">
        <w:rPr>
          <w:noProof/>
        </w:rPr>
        <w:t>in the baseline</w:t>
      </w:r>
      <w:r w:rsidR="00A20948" w:rsidRPr="00244D65">
        <w:rPr>
          <w:noProof/>
        </w:rPr>
        <w:t xml:space="preserve"> and all options</w:t>
      </w:r>
      <w:r w:rsidR="004147D9" w:rsidRPr="00244D65">
        <w:rPr>
          <w:noProof/>
        </w:rPr>
        <w:t xml:space="preserve">, </w:t>
      </w:r>
      <w:r w:rsidR="00701B32" w:rsidRPr="00244D65">
        <w:rPr>
          <w:noProof/>
        </w:rPr>
        <w:t xml:space="preserve">with greatest growth </w:t>
      </w:r>
      <w:r w:rsidR="004740B1" w:rsidRPr="00244D65">
        <w:rPr>
          <w:noProof/>
        </w:rPr>
        <w:t>outside Europe (see 6.1.1.5)</w:t>
      </w:r>
      <w:r w:rsidR="00A20948" w:rsidRPr="00244D65">
        <w:rPr>
          <w:noProof/>
        </w:rPr>
        <w:t xml:space="preserve"> in areas which are mainly serviced by non-European airlines.</w:t>
      </w:r>
      <w:r w:rsidR="00555A17" w:rsidRPr="00244D65">
        <w:rPr>
          <w:noProof/>
        </w:rPr>
        <w:t xml:space="preserve"> </w:t>
      </w:r>
      <w:r w:rsidR="00D35EBA" w:rsidRPr="00244D65">
        <w:rPr>
          <w:noProof/>
        </w:rPr>
        <w:t>Nevertheless, employment is also projected to grow f</w:t>
      </w:r>
      <w:r w:rsidR="006D6C9F" w:rsidRPr="00244D65">
        <w:rPr>
          <w:noProof/>
        </w:rPr>
        <w:t>or EEA airline</w:t>
      </w:r>
      <w:r w:rsidR="00D35EBA" w:rsidRPr="00244D65">
        <w:rPr>
          <w:noProof/>
        </w:rPr>
        <w:t>s</w:t>
      </w:r>
      <w:r w:rsidR="005D4848" w:rsidRPr="00244D65">
        <w:rPr>
          <w:noProof/>
        </w:rPr>
        <w:t xml:space="preserve">, </w:t>
      </w:r>
      <w:r w:rsidR="00555A17" w:rsidRPr="00244D65">
        <w:rPr>
          <w:noProof/>
        </w:rPr>
        <w:t>with limited differences between the options (2.3% difference maximum from the baseline</w:t>
      </w:r>
      <w:r w:rsidR="008927D8" w:rsidRPr="00244D65">
        <w:rPr>
          <w:noProof/>
        </w:rPr>
        <w:t xml:space="preserve">, in </w:t>
      </w:r>
      <w:r w:rsidR="001054EF" w:rsidRPr="00244D65">
        <w:rPr>
          <w:noProof/>
        </w:rPr>
        <w:t xml:space="preserve">PO1 in </w:t>
      </w:r>
      <w:r w:rsidR="008927D8" w:rsidRPr="00244D65">
        <w:rPr>
          <w:noProof/>
        </w:rPr>
        <w:t>2040</w:t>
      </w:r>
      <w:r w:rsidR="00555A17" w:rsidRPr="00244D65">
        <w:rPr>
          <w:noProof/>
        </w:rPr>
        <w:t>).</w:t>
      </w:r>
      <w:r w:rsidR="00477F93" w:rsidRPr="00244D65">
        <w:rPr>
          <w:noProof/>
        </w:rPr>
        <w:t xml:space="preserve"> </w:t>
      </w:r>
      <w:r w:rsidR="00B7651F" w:rsidRPr="00244D65">
        <w:rPr>
          <w:noProof/>
        </w:rPr>
        <w:t xml:space="preserve">By 2040, </w:t>
      </w:r>
      <w:r w:rsidR="0075363C" w:rsidRPr="00244D65">
        <w:rPr>
          <w:noProof/>
        </w:rPr>
        <w:t xml:space="preserve">compared to 2024, employment is modelled to grow </w:t>
      </w:r>
      <w:r w:rsidR="00E64BDC" w:rsidRPr="00244D65">
        <w:rPr>
          <w:noProof/>
        </w:rPr>
        <w:t xml:space="preserve">by 28% in PO1, and by 26% in PO2/3. </w:t>
      </w:r>
      <w:r w:rsidR="00477F93" w:rsidRPr="00244D65">
        <w:rPr>
          <w:noProof/>
        </w:rPr>
        <w:t xml:space="preserve">This suggests that </w:t>
      </w:r>
      <w:r w:rsidR="00B51ACC" w:rsidRPr="00244D65">
        <w:rPr>
          <w:noProof/>
        </w:rPr>
        <w:t>the ETS policy options do not lead to materially different employment trajectories</w:t>
      </w:r>
      <w:r w:rsidR="00C50663" w:rsidRPr="00244D65">
        <w:rPr>
          <w:noProof/>
        </w:rPr>
        <w:t xml:space="preserve">. </w:t>
      </w:r>
    </w:p>
    <w:p w14:paraId="0628F556" w14:textId="7A854CD5" w:rsidR="002D1858" w:rsidRPr="00244D65" w:rsidRDefault="71A859F9" w:rsidP="0085595C">
      <w:pPr>
        <w:rPr>
          <w:noProof/>
        </w:rPr>
      </w:pPr>
      <w:r w:rsidRPr="00244D65">
        <w:rPr>
          <w:noProof/>
        </w:rPr>
        <w:t xml:space="preserve">The SAF industry offers a route for jobs in the refining sector to shift toward green economy, while simultaneously leveraging the industry’s experience and existing infrastructure. In </w:t>
      </w:r>
      <w:r w:rsidRPr="00244D65">
        <w:rPr>
          <w:b/>
          <w:bCs/>
          <w:noProof/>
        </w:rPr>
        <w:t>PO1</w:t>
      </w:r>
      <w:r w:rsidRPr="00244D65">
        <w:rPr>
          <w:noProof/>
        </w:rPr>
        <w:t>, SAF support would expire at the end of 2030. This option does not allow for an increase in employment in SAF industry and related supply chain compared to the baseline.</w:t>
      </w:r>
      <w:r w:rsidR="10CEA20E" w:rsidRPr="00244D65">
        <w:rPr>
          <w:noProof/>
        </w:rPr>
        <w:t xml:space="preserve"> </w:t>
      </w:r>
      <w:r w:rsidR="006F51EB" w:rsidRPr="00244D65">
        <w:rPr>
          <w:noProof/>
        </w:rPr>
        <w:t>SAF production mandated by ReFuelEU</w:t>
      </w:r>
      <w:r w:rsidR="006F51EB" w:rsidRPr="00244D65">
        <w:rPr>
          <w:rStyle w:val="FootnoteReference"/>
          <w:noProof/>
        </w:rPr>
        <w:footnoteReference w:id="99"/>
      </w:r>
      <w:r w:rsidR="006F51EB" w:rsidRPr="00244D65">
        <w:rPr>
          <w:noProof/>
        </w:rPr>
        <w:t xml:space="preserve"> is </w:t>
      </w:r>
      <w:r w:rsidR="00DE438F" w:rsidRPr="00244D65">
        <w:rPr>
          <w:noProof/>
        </w:rPr>
        <w:t xml:space="preserve">already </w:t>
      </w:r>
      <w:r w:rsidR="006F51EB" w:rsidRPr="00244D65">
        <w:rPr>
          <w:noProof/>
        </w:rPr>
        <w:t>included in the baseline.</w:t>
      </w:r>
      <w:r w:rsidR="10CEA20E" w:rsidRPr="00244D65">
        <w:rPr>
          <w:noProof/>
        </w:rPr>
        <w:t xml:space="preserve"> </w:t>
      </w:r>
      <w:r w:rsidR="6D5CD48C" w:rsidRPr="00244D65">
        <w:rPr>
          <w:noProof/>
        </w:rPr>
        <w:t xml:space="preserve">Additional SAF support under </w:t>
      </w:r>
      <w:r w:rsidR="6D5CD48C" w:rsidRPr="00244D65">
        <w:rPr>
          <w:b/>
          <w:bCs/>
          <w:noProof/>
        </w:rPr>
        <w:t>PO2</w:t>
      </w:r>
      <w:r w:rsidR="6D5CD48C" w:rsidRPr="00244D65">
        <w:rPr>
          <w:noProof/>
        </w:rPr>
        <w:t xml:space="preserve"> and </w:t>
      </w:r>
      <w:r w:rsidR="6D5CD48C" w:rsidRPr="00244D65">
        <w:rPr>
          <w:b/>
          <w:bCs/>
          <w:noProof/>
        </w:rPr>
        <w:t>PO3</w:t>
      </w:r>
      <w:r w:rsidR="6D5CD48C" w:rsidRPr="00244D65">
        <w:rPr>
          <w:noProof/>
        </w:rPr>
        <w:t xml:space="preserve"> compared to the baseline </w:t>
      </w:r>
      <w:r w:rsidR="26C44847" w:rsidRPr="00244D65">
        <w:rPr>
          <w:noProof/>
        </w:rPr>
        <w:t xml:space="preserve">could trigger more investment in the SAF sector and increase employment. </w:t>
      </w:r>
      <w:r w:rsidR="006F51EB" w:rsidRPr="00244D65">
        <w:rPr>
          <w:noProof/>
        </w:rPr>
        <w:t xml:space="preserve">This is not </w:t>
      </w:r>
      <w:r w:rsidR="00D97018" w:rsidRPr="00244D65">
        <w:rPr>
          <w:noProof/>
        </w:rPr>
        <w:t>specifically modelled</w:t>
      </w:r>
      <w:r w:rsidR="00B32EF9" w:rsidRPr="00244D65">
        <w:rPr>
          <w:noProof/>
        </w:rPr>
        <w:t xml:space="preserve">, because it is uncertain </w:t>
      </w:r>
      <w:r w:rsidR="00C2684F" w:rsidRPr="00244D65">
        <w:rPr>
          <w:noProof/>
        </w:rPr>
        <w:t>how much, if any, additional SAF will be available (beyond mandated levels) and where it will be produced</w:t>
      </w:r>
      <w:r w:rsidR="009F2482" w:rsidRPr="00244D65">
        <w:rPr>
          <w:noProof/>
        </w:rPr>
        <w:t xml:space="preserve"> (in Europe our elsewhere)</w:t>
      </w:r>
      <w:r w:rsidR="00C2684F" w:rsidRPr="00244D65">
        <w:rPr>
          <w:noProof/>
        </w:rPr>
        <w:t>.</w:t>
      </w:r>
      <w:r w:rsidR="26C44847" w:rsidRPr="00244D65">
        <w:rPr>
          <w:noProof/>
        </w:rPr>
        <w:t xml:space="preserve"> </w:t>
      </w:r>
      <w:r w:rsidR="050C6E31" w:rsidRPr="00244D65">
        <w:rPr>
          <w:noProof/>
        </w:rPr>
        <w:t>F</w:t>
      </w:r>
      <w:r w:rsidR="00EB6EFB" w:rsidRPr="00244D65">
        <w:rPr>
          <w:noProof/>
        </w:rPr>
        <w:t>o</w:t>
      </w:r>
      <w:r w:rsidR="050C6E31" w:rsidRPr="00244D65">
        <w:rPr>
          <w:noProof/>
        </w:rPr>
        <w:t xml:space="preserve">r </w:t>
      </w:r>
      <w:r w:rsidR="00DE3923" w:rsidRPr="00244D65">
        <w:rPr>
          <w:noProof/>
        </w:rPr>
        <w:t>example,</w:t>
      </w:r>
      <w:r w:rsidR="00F06201" w:rsidRPr="00244D65">
        <w:rPr>
          <w:noProof/>
        </w:rPr>
        <w:t xml:space="preserve"> plants in Europe</w:t>
      </w:r>
      <w:r w:rsidR="050C6E31" w:rsidRPr="00244D65">
        <w:rPr>
          <w:noProof/>
        </w:rPr>
        <w:t xml:space="preserve"> (FR</w:t>
      </w:r>
      <w:r w:rsidR="007E7A99" w:rsidRPr="00244D65">
        <w:rPr>
          <w:rStyle w:val="FootnoteReference"/>
          <w:noProof/>
        </w:rPr>
        <w:footnoteReference w:id="100"/>
      </w:r>
      <w:r w:rsidR="050C6E31" w:rsidRPr="00244D65">
        <w:rPr>
          <w:noProof/>
        </w:rPr>
        <w:t>, UK</w:t>
      </w:r>
      <w:r w:rsidR="007E7A99" w:rsidRPr="00244D65">
        <w:rPr>
          <w:rStyle w:val="FootnoteReference"/>
          <w:noProof/>
        </w:rPr>
        <w:footnoteReference w:id="101"/>
      </w:r>
      <w:r w:rsidR="008A1009" w:rsidRPr="00244D65">
        <w:rPr>
          <w:noProof/>
        </w:rPr>
        <w:t xml:space="preserve">, </w:t>
      </w:r>
      <w:r w:rsidR="004622F7" w:rsidRPr="00244D65">
        <w:rPr>
          <w:noProof/>
        </w:rPr>
        <w:t>DE</w:t>
      </w:r>
      <w:r w:rsidR="004622F7" w:rsidRPr="00244D65">
        <w:rPr>
          <w:rStyle w:val="FootnoteReference"/>
          <w:noProof/>
        </w:rPr>
        <w:footnoteReference w:id="102"/>
      </w:r>
      <w:r w:rsidR="050C6E31" w:rsidRPr="00244D65">
        <w:rPr>
          <w:noProof/>
        </w:rPr>
        <w:t xml:space="preserve">), </w:t>
      </w:r>
      <w:r w:rsidR="00ED4BAC" w:rsidRPr="00244D65">
        <w:rPr>
          <w:noProof/>
        </w:rPr>
        <w:t>are expected to create</w:t>
      </w:r>
      <w:r w:rsidR="050C6E31" w:rsidRPr="00244D65">
        <w:rPr>
          <w:noProof/>
        </w:rPr>
        <w:t xml:space="preserve"> 0</w:t>
      </w:r>
      <w:r w:rsidR="00337152" w:rsidRPr="00244D65">
        <w:rPr>
          <w:noProof/>
        </w:rPr>
        <w:t>.</w:t>
      </w:r>
      <w:r w:rsidR="050C6E31" w:rsidRPr="00244D65">
        <w:rPr>
          <w:noProof/>
        </w:rPr>
        <w:t xml:space="preserve">2 to </w:t>
      </w:r>
      <w:r w:rsidR="00523FED" w:rsidRPr="00244D65">
        <w:rPr>
          <w:noProof/>
        </w:rPr>
        <w:t>1</w:t>
      </w:r>
      <w:r w:rsidR="00337152" w:rsidRPr="00244D65">
        <w:rPr>
          <w:noProof/>
        </w:rPr>
        <w:t>.</w:t>
      </w:r>
      <w:r w:rsidR="050C6E31" w:rsidRPr="00244D65">
        <w:rPr>
          <w:noProof/>
        </w:rPr>
        <w:t>8 jobs for 100 tonnes of SAF produced per year, depending on type of SAF, type of jobs (high/low skilled), inside/outside sector, and the pace of development of the SAF production.</w:t>
      </w:r>
    </w:p>
    <w:p w14:paraId="6C589F49" w14:textId="3C1168E0" w:rsidR="002D1858" w:rsidRPr="00244D65" w:rsidRDefault="002D1858" w:rsidP="0085595C">
      <w:pPr>
        <w:rPr>
          <w:noProof/>
        </w:rPr>
      </w:pPr>
      <w:r w:rsidRPr="00244D65">
        <w:rPr>
          <w:b/>
          <w:noProof/>
        </w:rPr>
        <w:t>Impact on households</w:t>
      </w:r>
    </w:p>
    <w:p w14:paraId="1B764B61" w14:textId="28B382F3" w:rsidR="002D1858" w:rsidRPr="00244D65" w:rsidRDefault="05E62BE4" w:rsidP="0085595C">
      <w:pPr>
        <w:rPr>
          <w:noProof/>
        </w:rPr>
      </w:pPr>
      <w:r w:rsidRPr="00244D65">
        <w:rPr>
          <w:noProof/>
        </w:rPr>
        <w:t>C</w:t>
      </w:r>
      <w:r w:rsidR="1F57C4CA" w:rsidRPr="00244D65">
        <w:rPr>
          <w:noProof/>
        </w:rPr>
        <w:t xml:space="preserve">arbon pricing on air travel promotes fairness relative to other, taxed transport modes (such as road and rail). </w:t>
      </w:r>
      <w:r w:rsidR="393FB6CF" w:rsidRPr="00244D65">
        <w:rPr>
          <w:noProof/>
        </w:rPr>
        <w:t>From the consumer perspective</w:t>
      </w:r>
      <w:r w:rsidR="422176BE" w:rsidRPr="00244D65">
        <w:rPr>
          <w:noProof/>
        </w:rPr>
        <w:t xml:space="preserve"> </w:t>
      </w:r>
      <w:r w:rsidR="393FB6CF" w:rsidRPr="00244D65">
        <w:rPr>
          <w:noProof/>
        </w:rPr>
        <w:t xml:space="preserve">ticket price–to–income ratios remain broadly stable over time across all route types and passenger segments, and passenger travel demand continues to grow across all route types </w:t>
      </w:r>
      <w:r w:rsidR="6BD329CB" w:rsidRPr="00244D65">
        <w:rPr>
          <w:noProof/>
        </w:rPr>
        <w:t>in</w:t>
      </w:r>
      <w:r w:rsidR="393FB6CF" w:rsidRPr="00244D65">
        <w:rPr>
          <w:noProof/>
        </w:rPr>
        <w:t xml:space="preserve"> all policy options.</w:t>
      </w:r>
      <w:r w:rsidR="7E62EA81" w:rsidRPr="00244D65">
        <w:rPr>
          <w:noProof/>
        </w:rPr>
        <w:t xml:space="preserve"> </w:t>
      </w:r>
      <w:r w:rsidR="01ADB3BD" w:rsidRPr="00244D65">
        <w:rPr>
          <w:noProof/>
        </w:rPr>
        <w:t>Highest and lowest income households are least likely to respond to carbon price incentives</w:t>
      </w:r>
      <w:r w:rsidR="70CA2236" w:rsidRPr="00244D65">
        <w:rPr>
          <w:noProof/>
        </w:rPr>
        <w:t xml:space="preserve">. Those who can afford the most expensive tickets </w:t>
      </w:r>
      <w:r w:rsidR="087BABC5" w:rsidRPr="00244D65">
        <w:rPr>
          <w:noProof/>
        </w:rPr>
        <w:t>are least sensitive to price increases</w:t>
      </w:r>
      <w:r w:rsidR="0B6A47E4" w:rsidRPr="00244D65">
        <w:rPr>
          <w:noProof/>
        </w:rPr>
        <w:t xml:space="preserve"> (see 6.2.1.4 above)</w:t>
      </w:r>
      <w:r w:rsidR="087BABC5" w:rsidRPr="00244D65">
        <w:rPr>
          <w:noProof/>
        </w:rPr>
        <w:t xml:space="preserve">. Those who cannot afford the cheapest tickets now, </w:t>
      </w:r>
      <w:r w:rsidR="0B6A47E4" w:rsidRPr="00244D65">
        <w:rPr>
          <w:noProof/>
        </w:rPr>
        <w:t>would continue to face similar barriers without carbon pricing.</w:t>
      </w:r>
      <w:r w:rsidR="70CA2236" w:rsidRPr="00244D65">
        <w:rPr>
          <w:noProof/>
        </w:rPr>
        <w:t xml:space="preserve"> </w:t>
      </w:r>
      <w:r w:rsidR="58082DC5" w:rsidRPr="00244D65">
        <w:rPr>
          <w:noProof/>
        </w:rPr>
        <w:t xml:space="preserve">Economy- and low-cost passenger demand is more sensitive to price increases than </w:t>
      </w:r>
      <w:r w:rsidR="6465223D" w:rsidRPr="00244D65">
        <w:rPr>
          <w:noProof/>
        </w:rPr>
        <w:t xml:space="preserve">business/ first class </w:t>
      </w:r>
      <w:r w:rsidR="58082DC5" w:rsidRPr="00244D65">
        <w:rPr>
          <w:noProof/>
        </w:rPr>
        <w:t>(see Annex 10</w:t>
      </w:r>
      <w:r w:rsidR="10D94029" w:rsidRPr="00244D65">
        <w:rPr>
          <w:noProof/>
        </w:rPr>
        <w:t xml:space="preserve">, </w:t>
      </w:r>
      <w:r w:rsidR="0A187BC9" w:rsidRPr="00244D65">
        <w:rPr>
          <w:noProof/>
        </w:rPr>
        <w:t>section</w:t>
      </w:r>
      <w:r w:rsidR="10D94029" w:rsidRPr="00244D65">
        <w:rPr>
          <w:noProof/>
        </w:rPr>
        <w:t xml:space="preserve"> 4.1</w:t>
      </w:r>
      <w:r w:rsidR="58082DC5" w:rsidRPr="00244D65">
        <w:rPr>
          <w:noProof/>
        </w:rPr>
        <w:t>).</w:t>
      </w:r>
      <w:r w:rsidR="70CA2236" w:rsidRPr="00244D65">
        <w:rPr>
          <w:noProof/>
        </w:rPr>
        <w:t xml:space="preserve"> </w:t>
      </w:r>
    </w:p>
    <w:p w14:paraId="6473A576" w14:textId="54CCD6FA" w:rsidR="0064285A" w:rsidRPr="00244D65" w:rsidRDefault="002D1858" w:rsidP="0085595C">
      <w:pPr>
        <w:rPr>
          <w:noProof/>
        </w:rPr>
      </w:pPr>
      <w:r w:rsidRPr="00244D65">
        <w:rPr>
          <w:noProof/>
        </w:rPr>
        <w:t xml:space="preserve">In </w:t>
      </w:r>
      <w:r w:rsidRPr="00244D65">
        <w:rPr>
          <w:b/>
          <w:bCs/>
          <w:noProof/>
        </w:rPr>
        <w:t>PO1</w:t>
      </w:r>
      <w:r w:rsidRPr="00244D65">
        <w:rPr>
          <w:noProof/>
        </w:rPr>
        <w:t xml:space="preserve">, the impact on overall access to air travel across different income households is assessed to be minor and positive compared to the baseline. </w:t>
      </w:r>
      <w:r w:rsidR="00A94569" w:rsidRPr="00244D65">
        <w:rPr>
          <w:noProof/>
        </w:rPr>
        <w:t>D</w:t>
      </w:r>
      <w:r w:rsidRPr="00244D65">
        <w:rPr>
          <w:noProof/>
        </w:rPr>
        <w:t xml:space="preserve">emand is projected to increase across all </w:t>
      </w:r>
      <w:r w:rsidR="00A94569" w:rsidRPr="00244D65">
        <w:rPr>
          <w:noProof/>
        </w:rPr>
        <w:t>travel classes</w:t>
      </w:r>
      <w:r w:rsidRPr="00244D65">
        <w:rPr>
          <w:noProof/>
        </w:rPr>
        <w:t>, while average fares remain below the baseline levels</w:t>
      </w:r>
      <w:r w:rsidR="00627B6F" w:rsidRPr="00244D65">
        <w:rPr>
          <w:noProof/>
        </w:rPr>
        <w:t xml:space="preserve"> (see </w:t>
      </w:r>
      <w:r w:rsidR="00504B9F" w:rsidRPr="00244D65">
        <w:rPr>
          <w:noProof/>
        </w:rPr>
        <w:t>T</w:t>
      </w:r>
      <w:r w:rsidR="00FC6F52" w:rsidRPr="00244D65">
        <w:rPr>
          <w:noProof/>
        </w:rPr>
        <w:t xml:space="preserve">able 13 in </w:t>
      </w:r>
      <w:r w:rsidR="00627B6F" w:rsidRPr="00244D65">
        <w:rPr>
          <w:noProof/>
        </w:rPr>
        <w:t>Annex 10)</w:t>
      </w:r>
      <w:r w:rsidRPr="00244D65">
        <w:rPr>
          <w:noProof/>
        </w:rPr>
        <w:t>.</w:t>
      </w:r>
      <w:r w:rsidR="000E6786" w:rsidRPr="00244D65">
        <w:rPr>
          <w:noProof/>
        </w:rPr>
        <w:t xml:space="preserve"> </w:t>
      </w:r>
      <w:r w:rsidR="00DA6150" w:rsidRPr="00244D65">
        <w:rPr>
          <w:noProof/>
        </w:rPr>
        <w:t>Demand profiles differ between</w:t>
      </w:r>
      <w:r w:rsidR="008F10ED" w:rsidRPr="00244D65">
        <w:rPr>
          <w:noProof/>
        </w:rPr>
        <w:t xml:space="preserve"> travel categories</w:t>
      </w:r>
      <w:r w:rsidR="00DA6150" w:rsidRPr="00244D65">
        <w:rPr>
          <w:noProof/>
        </w:rPr>
        <w:t>,</w:t>
      </w:r>
      <w:r w:rsidR="00F82374" w:rsidRPr="00244D65">
        <w:rPr>
          <w:noProof/>
        </w:rPr>
        <w:t xml:space="preserve"> where Business/ First class </w:t>
      </w:r>
      <w:r w:rsidR="00602FD2" w:rsidRPr="00244D65">
        <w:rPr>
          <w:noProof/>
        </w:rPr>
        <w:t xml:space="preserve">extra-EEA </w:t>
      </w:r>
      <w:r w:rsidR="00F82374" w:rsidRPr="00244D65">
        <w:rPr>
          <w:noProof/>
        </w:rPr>
        <w:t xml:space="preserve">flights are on average </w:t>
      </w:r>
      <w:r w:rsidR="008C6A11" w:rsidRPr="00244D65">
        <w:rPr>
          <w:noProof/>
        </w:rPr>
        <w:t>5900</w:t>
      </w:r>
      <w:r w:rsidR="00257CFF" w:rsidRPr="00244D65">
        <w:rPr>
          <w:noProof/>
        </w:rPr>
        <w:t xml:space="preserve"> </w:t>
      </w:r>
      <w:r w:rsidR="008C6A11" w:rsidRPr="00244D65">
        <w:rPr>
          <w:noProof/>
        </w:rPr>
        <w:t>km</w:t>
      </w:r>
      <w:r w:rsidR="004A72BF" w:rsidRPr="00244D65">
        <w:rPr>
          <w:noProof/>
        </w:rPr>
        <w:t xml:space="preserve"> one way</w:t>
      </w:r>
      <w:r w:rsidR="00F15FD8" w:rsidRPr="00244D65">
        <w:rPr>
          <w:noProof/>
        </w:rPr>
        <w:t xml:space="preserve"> throughout 2035-2040</w:t>
      </w:r>
      <w:r w:rsidR="004A72BF" w:rsidRPr="00244D65">
        <w:rPr>
          <w:noProof/>
        </w:rPr>
        <w:t>, with less than 0.1</w:t>
      </w:r>
      <w:r w:rsidR="0190F498" w:rsidRPr="00244D65">
        <w:rPr>
          <w:noProof/>
        </w:rPr>
        <w:t>%</w:t>
      </w:r>
      <w:r w:rsidR="00266074" w:rsidRPr="00244D65">
        <w:rPr>
          <w:noProof/>
        </w:rPr>
        <w:t xml:space="preserve"> difference between the baseline and policy options</w:t>
      </w:r>
      <w:r w:rsidR="001064F2" w:rsidRPr="00244D65">
        <w:rPr>
          <w:noProof/>
        </w:rPr>
        <w:t xml:space="preserve">. </w:t>
      </w:r>
      <w:r w:rsidR="00FF052B" w:rsidRPr="00244D65">
        <w:rPr>
          <w:noProof/>
        </w:rPr>
        <w:t>E</w:t>
      </w:r>
      <w:r w:rsidR="001064F2" w:rsidRPr="00244D65">
        <w:rPr>
          <w:noProof/>
        </w:rPr>
        <w:t>conomy class</w:t>
      </w:r>
      <w:r w:rsidR="00602FD2" w:rsidRPr="00244D65">
        <w:rPr>
          <w:noProof/>
        </w:rPr>
        <w:t xml:space="preserve"> flights are shorter (~4900</w:t>
      </w:r>
      <w:r w:rsidR="00BC0220" w:rsidRPr="00244D65">
        <w:rPr>
          <w:noProof/>
        </w:rPr>
        <w:t xml:space="preserve"> </w:t>
      </w:r>
      <w:r w:rsidR="0077596F" w:rsidRPr="00244D65">
        <w:rPr>
          <w:noProof/>
        </w:rPr>
        <w:t xml:space="preserve">km) and show a slight </w:t>
      </w:r>
      <w:r w:rsidR="00216D3A" w:rsidRPr="00244D65">
        <w:rPr>
          <w:noProof/>
        </w:rPr>
        <w:t xml:space="preserve">variation between baseline and policy options (0.3% </w:t>
      </w:r>
      <w:r w:rsidR="007A61AE" w:rsidRPr="00244D65">
        <w:rPr>
          <w:noProof/>
        </w:rPr>
        <w:t xml:space="preserve">or less </w:t>
      </w:r>
      <w:r w:rsidR="00216D3A" w:rsidRPr="00244D65">
        <w:rPr>
          <w:noProof/>
        </w:rPr>
        <w:t>difference in 2040 compared to the baseline).</w:t>
      </w:r>
      <w:r w:rsidR="007F02EC" w:rsidRPr="00244D65">
        <w:rPr>
          <w:noProof/>
        </w:rPr>
        <w:t xml:space="preserve"> </w:t>
      </w:r>
      <w:r w:rsidR="002D32C4" w:rsidRPr="00244D65">
        <w:rPr>
          <w:noProof/>
        </w:rPr>
        <w:t xml:space="preserve">Low-cost </w:t>
      </w:r>
      <w:r w:rsidR="002C3879" w:rsidRPr="00244D65">
        <w:rPr>
          <w:noProof/>
        </w:rPr>
        <w:t>flights are shorter</w:t>
      </w:r>
      <w:r w:rsidR="002D32C4" w:rsidRPr="00244D65">
        <w:rPr>
          <w:noProof/>
        </w:rPr>
        <w:t xml:space="preserve"> at around </w:t>
      </w:r>
      <w:r w:rsidR="00BC0220" w:rsidRPr="00244D65">
        <w:rPr>
          <w:noProof/>
        </w:rPr>
        <w:t>2900</w:t>
      </w:r>
      <w:r w:rsidR="00D07A0C" w:rsidRPr="00244D65">
        <w:rPr>
          <w:noProof/>
        </w:rPr>
        <w:t xml:space="preserve"> </w:t>
      </w:r>
      <w:r w:rsidR="00BC0220" w:rsidRPr="00244D65">
        <w:rPr>
          <w:noProof/>
        </w:rPr>
        <w:t>km</w:t>
      </w:r>
      <w:r w:rsidR="006637D2" w:rsidRPr="00244D65">
        <w:rPr>
          <w:noProof/>
        </w:rPr>
        <w:t>, with a maximum variation of 1.2% compared to the baseline</w:t>
      </w:r>
      <w:r w:rsidR="005B43CE" w:rsidRPr="00244D65">
        <w:rPr>
          <w:noProof/>
        </w:rPr>
        <w:t xml:space="preserve"> in 2040</w:t>
      </w:r>
      <w:r w:rsidR="006637D2" w:rsidRPr="00244D65">
        <w:rPr>
          <w:noProof/>
        </w:rPr>
        <w:t>.</w:t>
      </w:r>
      <w:r w:rsidR="000E6786" w:rsidRPr="00244D65">
        <w:rPr>
          <w:noProof/>
        </w:rPr>
        <w:t xml:space="preserve"> </w:t>
      </w:r>
      <w:r w:rsidR="0064285A" w:rsidRPr="00244D65">
        <w:rPr>
          <w:noProof/>
        </w:rPr>
        <w:t xml:space="preserve">Similarly to PO1, </w:t>
      </w:r>
      <w:r w:rsidR="000E6786" w:rsidRPr="00244D65">
        <w:rPr>
          <w:b/>
          <w:bCs/>
          <w:noProof/>
        </w:rPr>
        <w:t>PO2</w:t>
      </w:r>
      <w:r w:rsidR="0064285A" w:rsidRPr="00244D65">
        <w:rPr>
          <w:noProof/>
        </w:rPr>
        <w:t xml:space="preserve"> </w:t>
      </w:r>
      <w:r w:rsidR="00520F21" w:rsidRPr="00244D65">
        <w:rPr>
          <w:b/>
          <w:bCs/>
          <w:noProof/>
        </w:rPr>
        <w:t>and PO3</w:t>
      </w:r>
      <w:r w:rsidR="0064285A" w:rsidRPr="00244D65">
        <w:rPr>
          <w:b/>
          <w:bCs/>
          <w:noProof/>
        </w:rPr>
        <w:t xml:space="preserve"> </w:t>
      </w:r>
      <w:r w:rsidR="0064285A" w:rsidRPr="00244D65">
        <w:rPr>
          <w:noProof/>
        </w:rPr>
        <w:t xml:space="preserve">would result in </w:t>
      </w:r>
      <w:bookmarkStart w:id="269" w:name="_Int_X5OOHZRC"/>
      <w:r w:rsidR="0064285A" w:rsidRPr="00244D65">
        <w:rPr>
          <w:noProof/>
        </w:rPr>
        <w:t>a very limited</w:t>
      </w:r>
      <w:bookmarkEnd w:id="269"/>
      <w:r w:rsidR="0064285A" w:rsidRPr="00244D65">
        <w:rPr>
          <w:noProof/>
        </w:rPr>
        <w:t xml:space="preserve"> increase of demand for air travel, in comparison to the baseline, while average fares remain below baseline levels.</w:t>
      </w:r>
      <w:r w:rsidR="007A311E" w:rsidRPr="00244D65">
        <w:rPr>
          <w:noProof/>
        </w:rPr>
        <w:t xml:space="preserve"> </w:t>
      </w:r>
    </w:p>
    <w:p w14:paraId="590E45AF" w14:textId="781DFE77" w:rsidR="0042624B" w:rsidRPr="00244D65" w:rsidRDefault="018C62FE" w:rsidP="0085595C">
      <w:pPr>
        <w:rPr>
          <w:noProof/>
        </w:rPr>
      </w:pPr>
      <w:r w:rsidRPr="00244D65">
        <w:rPr>
          <w:noProof/>
        </w:rPr>
        <w:t xml:space="preserve">For </w:t>
      </w:r>
      <w:r w:rsidRPr="00244D65">
        <w:rPr>
          <w:b/>
          <w:bCs/>
          <w:noProof/>
        </w:rPr>
        <w:t xml:space="preserve">outermost regions, islands and remote territories </w:t>
      </w:r>
      <w:r w:rsidRPr="00244D65">
        <w:rPr>
          <w:noProof/>
        </w:rPr>
        <w:t>(including Iceland), no ETS-driven socio-economic impacts due to connectivity changes are expected</w:t>
      </w:r>
      <w:r w:rsidRPr="00244D65">
        <w:rPr>
          <w:b/>
          <w:bCs/>
          <w:noProof/>
        </w:rPr>
        <w:t xml:space="preserve"> </w:t>
      </w:r>
      <w:r w:rsidRPr="00244D65">
        <w:rPr>
          <w:noProof/>
        </w:rPr>
        <w:t xml:space="preserve">under any policy option, compared to the baseline. In all cases, domestic flights to/from outermost regions are included in the EU ETS from 2031, with average ticket fares expected to remain the same for </w:t>
      </w:r>
      <w:r w:rsidRPr="00244D65">
        <w:rPr>
          <w:b/>
          <w:bCs/>
          <w:noProof/>
        </w:rPr>
        <w:t>PO1</w:t>
      </w:r>
      <w:r w:rsidRPr="00244D65">
        <w:rPr>
          <w:noProof/>
        </w:rPr>
        <w:t xml:space="preserve"> and the baseline. Thanks to the prolonged ETS support for SAF uptake in </w:t>
      </w:r>
      <w:r w:rsidRPr="00244D65">
        <w:rPr>
          <w:b/>
          <w:bCs/>
          <w:noProof/>
        </w:rPr>
        <w:t xml:space="preserve">PO2 </w:t>
      </w:r>
      <w:r w:rsidRPr="00244D65">
        <w:rPr>
          <w:noProof/>
        </w:rPr>
        <w:t>– and to a greater extent in</w:t>
      </w:r>
      <w:r w:rsidRPr="00244D65">
        <w:rPr>
          <w:b/>
          <w:bCs/>
          <w:noProof/>
        </w:rPr>
        <w:t xml:space="preserve"> PO3</w:t>
      </w:r>
      <w:r w:rsidRPr="00244D65">
        <w:rPr>
          <w:noProof/>
        </w:rPr>
        <w:t xml:space="preserve">, the aviation support study expects average ticket fares for flights between outermost regions and their domestic mainland to be slightly lower relative to the baseline, depending on ticket type and destination in 2035 (e.g. 1.6% reduction in the ticket price for an economy class fare between Paris and Guadeloupe or for a low-cost carrier flight between Madrid and Gran Canaria in PO3). Similarly to the baseline, PO2 and PO3 would </w:t>
      </w:r>
      <w:bookmarkStart w:id="270" w:name="_Int_A6xonieo"/>
      <w:r w:rsidRPr="00244D65">
        <w:rPr>
          <w:noProof/>
        </w:rPr>
        <w:t>most likely only</w:t>
      </w:r>
      <w:bookmarkEnd w:id="270"/>
      <w:r w:rsidRPr="00244D65">
        <w:rPr>
          <w:noProof/>
        </w:rPr>
        <w:t xml:space="preserve"> impact flights between Ireland and North America, and Iceland and North America. However, the aviation support study determined the risk of carbon leakage, thus of social and economic impacts, at the Irish and Icelandic airports to be low.</w:t>
      </w:r>
    </w:p>
    <w:p w14:paraId="13300A8D" w14:textId="352D1C56" w:rsidR="00F77B0A" w:rsidRPr="00244D65" w:rsidRDefault="00DF1A3F" w:rsidP="0085595C">
      <w:pPr>
        <w:pStyle w:val="Heading4"/>
        <w:rPr>
          <w:noProof/>
        </w:rPr>
      </w:pPr>
      <w:r w:rsidRPr="00244D65">
        <w:rPr>
          <w:noProof/>
        </w:rPr>
        <w:t xml:space="preserve"> </w:t>
      </w:r>
      <w:r w:rsidR="00F77B0A" w:rsidRPr="00244D65">
        <w:rPr>
          <w:noProof/>
        </w:rPr>
        <w:t>Maritime</w:t>
      </w:r>
    </w:p>
    <w:p w14:paraId="0D491C0F" w14:textId="394F67F6" w:rsidR="008E1453" w:rsidRPr="00244D65" w:rsidRDefault="00370611" w:rsidP="0085595C">
      <w:pPr>
        <w:rPr>
          <w:rStyle w:val="eop"/>
          <w:noProof/>
        </w:rPr>
      </w:pPr>
      <w:r w:rsidRPr="00244D65">
        <w:rPr>
          <w:rStyle w:val="normaltextrun"/>
          <w:noProof/>
        </w:rPr>
        <w:t xml:space="preserve">Effects on </w:t>
      </w:r>
      <w:r w:rsidR="008E1453" w:rsidRPr="00244D65">
        <w:rPr>
          <w:rStyle w:val="normaltextrun"/>
          <w:noProof/>
        </w:rPr>
        <w:t>employment, compared to PO1, are expected to be marginal for most EU27</w:t>
      </w:r>
      <w:r w:rsidR="00F63B3F" w:rsidRPr="00244D65">
        <w:rPr>
          <w:rStyle w:val="normaltextrun"/>
          <w:noProof/>
        </w:rPr>
        <w:t xml:space="preserve">, </w:t>
      </w:r>
      <w:bookmarkStart w:id="271" w:name="_Int_4bhq2Zci"/>
      <w:r w:rsidR="00CE531A" w:rsidRPr="00244D65">
        <w:rPr>
          <w:rStyle w:val="normaltextrun"/>
          <w:noProof/>
        </w:rPr>
        <w:t>similar to</w:t>
      </w:r>
      <w:bookmarkEnd w:id="271"/>
      <w:r w:rsidR="00CE531A" w:rsidRPr="00244D65">
        <w:rPr>
          <w:rStyle w:val="normaltextrun"/>
          <w:noProof/>
        </w:rPr>
        <w:t xml:space="preserve"> the macroeconomic effects</w:t>
      </w:r>
      <w:r w:rsidR="008E1453" w:rsidRPr="00244D65">
        <w:rPr>
          <w:rStyle w:val="normaltextrun"/>
          <w:noProof/>
        </w:rPr>
        <w:t>. For countries most dependent on transport from smaller vessels, employment effects could be up to -0.0</w:t>
      </w:r>
      <w:r w:rsidR="00617E3E" w:rsidRPr="00244D65">
        <w:rPr>
          <w:rStyle w:val="normaltextrun"/>
          <w:noProof/>
        </w:rPr>
        <w:t>2</w:t>
      </w:r>
      <w:r w:rsidR="008E1453" w:rsidRPr="00244D65">
        <w:rPr>
          <w:rStyle w:val="normaltextrun"/>
          <w:noProof/>
        </w:rPr>
        <w:t>5% (F</w:t>
      </w:r>
      <w:r w:rsidR="00964BE5" w:rsidRPr="00244D65">
        <w:rPr>
          <w:rStyle w:val="normaltextrun"/>
          <w:noProof/>
        </w:rPr>
        <w:t>inland</w:t>
      </w:r>
      <w:r w:rsidR="008E1453" w:rsidRPr="00244D65">
        <w:rPr>
          <w:rStyle w:val="normaltextrun"/>
          <w:noProof/>
        </w:rPr>
        <w:t>). In third countries, employment effects are also expected to be negligible.</w:t>
      </w:r>
      <w:r w:rsidR="008E1453" w:rsidRPr="00244D65">
        <w:rPr>
          <w:rStyle w:val="eop"/>
          <w:noProof/>
        </w:rPr>
        <w:t> </w:t>
      </w:r>
    </w:p>
    <w:p w14:paraId="4EA8B76D" w14:textId="61155B85" w:rsidR="00CC488C" w:rsidRPr="00244D65" w:rsidRDefault="00CC488C" w:rsidP="0085595C">
      <w:pPr>
        <w:rPr>
          <w:rStyle w:val="normaltextrun"/>
          <w:noProof/>
        </w:rPr>
      </w:pPr>
      <w:r w:rsidRPr="00244D65">
        <w:rPr>
          <w:rStyle w:val="normaltextrun"/>
          <w:noProof/>
        </w:rPr>
        <w:t xml:space="preserve">Due to the possibility to </w:t>
      </w:r>
      <w:r w:rsidR="00A3546F" w:rsidRPr="00244D65">
        <w:rPr>
          <w:rStyle w:val="normaltextrun"/>
          <w:noProof/>
        </w:rPr>
        <w:t xml:space="preserve">further </w:t>
      </w:r>
      <w:r w:rsidRPr="00244D65">
        <w:rPr>
          <w:rStyle w:val="normaltextrun"/>
          <w:b/>
          <w:bCs/>
          <w:noProof/>
        </w:rPr>
        <w:t>mitigate the transhipment relocation risks</w:t>
      </w:r>
      <w:r w:rsidRPr="00244D65">
        <w:rPr>
          <w:rStyle w:val="normaltextrun"/>
          <w:noProof/>
        </w:rPr>
        <w:t xml:space="preserve"> in PO2 and PO3, the wider social impacts of</w:t>
      </w:r>
      <w:r w:rsidR="002424BF" w:rsidRPr="00244D65">
        <w:rPr>
          <w:rStyle w:val="normaltextrun"/>
          <w:noProof/>
        </w:rPr>
        <w:t xml:space="preserve"> </w:t>
      </w:r>
      <w:bookmarkStart w:id="272" w:name="_Int_5jNg3WyV"/>
      <w:r w:rsidR="002424BF" w:rsidRPr="00244D65">
        <w:rPr>
          <w:rStyle w:val="normaltextrun"/>
          <w:noProof/>
        </w:rPr>
        <w:t>possible</w:t>
      </w:r>
      <w:r w:rsidRPr="00244D65">
        <w:rPr>
          <w:rStyle w:val="normaltextrun"/>
          <w:noProof/>
        </w:rPr>
        <w:t xml:space="preserve"> transhipment</w:t>
      </w:r>
      <w:bookmarkEnd w:id="272"/>
      <w:r w:rsidRPr="00244D65">
        <w:rPr>
          <w:rStyle w:val="normaltextrun"/>
          <w:noProof/>
        </w:rPr>
        <w:t xml:space="preserve"> relocation for EU ports and their hinterlands </w:t>
      </w:r>
      <w:r w:rsidR="00897335" w:rsidRPr="00244D65">
        <w:rPr>
          <w:rStyle w:val="normaltextrun"/>
          <w:noProof/>
        </w:rPr>
        <w:t>are likely to</w:t>
      </w:r>
      <w:r w:rsidRPr="00244D65">
        <w:rPr>
          <w:rStyle w:val="normaltextrun"/>
          <w:noProof/>
        </w:rPr>
        <w:t xml:space="preserve"> be reduced. </w:t>
      </w:r>
    </w:p>
    <w:p w14:paraId="439EFF5F" w14:textId="34DA2355" w:rsidR="00507523" w:rsidRPr="00244D65" w:rsidRDefault="008E1453" w:rsidP="0085595C">
      <w:pPr>
        <w:rPr>
          <w:rStyle w:val="normaltextrun"/>
          <w:noProof/>
        </w:rPr>
      </w:pPr>
      <w:r w:rsidRPr="00244D65">
        <w:rPr>
          <w:rStyle w:val="normaltextrun"/>
          <w:noProof/>
        </w:rPr>
        <w:t xml:space="preserve">The </w:t>
      </w:r>
      <w:r w:rsidRPr="00244D65">
        <w:rPr>
          <w:rStyle w:val="normaltextrun"/>
          <w:b/>
          <w:bCs/>
          <w:noProof/>
        </w:rPr>
        <w:t xml:space="preserve">expansion of the EU ETS to smaller vessels under PO2 </w:t>
      </w:r>
      <w:r w:rsidR="00D71130" w:rsidRPr="00244D65">
        <w:rPr>
          <w:rStyle w:val="normaltextrun"/>
          <w:b/>
          <w:bCs/>
          <w:noProof/>
        </w:rPr>
        <w:t>and even more PO3</w:t>
      </w:r>
      <w:r w:rsidRPr="00244D65">
        <w:rPr>
          <w:rStyle w:val="normaltextrun"/>
          <w:b/>
          <w:bCs/>
          <w:noProof/>
        </w:rPr>
        <w:t xml:space="preserve"> </w:t>
      </w:r>
      <w:r w:rsidRPr="00244D65">
        <w:rPr>
          <w:rStyle w:val="normaltextrun"/>
          <w:noProof/>
        </w:rPr>
        <w:t xml:space="preserve">could affect the connectivity of essential shipping services, particularly those serving islands and remote coastal areas, by increasing shipping costs. These services, often provided by ferries, are vital for social and economic integration, and cost pressures may lead to reduced service frequency, route consolidation, or fare increases. </w:t>
      </w:r>
    </w:p>
    <w:p w14:paraId="4EC4DBC3" w14:textId="78949B0C" w:rsidR="00D6047E" w:rsidRPr="00244D65" w:rsidRDefault="004D062B" w:rsidP="0085595C">
      <w:pPr>
        <w:rPr>
          <w:rStyle w:val="normaltextrun"/>
          <w:noProof/>
        </w:rPr>
      </w:pPr>
      <w:r w:rsidRPr="00244D65">
        <w:rPr>
          <w:rStyle w:val="normaltextrun"/>
          <w:noProof/>
        </w:rPr>
        <w:t xml:space="preserve">Around 58% of ferries calling at EU ports were estimated to be between 400 and 5000 GT, which means that </w:t>
      </w:r>
      <w:bookmarkStart w:id="273" w:name="_Int_HaCv0pre"/>
      <w:r w:rsidRPr="00244D65">
        <w:rPr>
          <w:rStyle w:val="normaltextrun"/>
          <w:noProof/>
        </w:rPr>
        <w:t>a large proportion</w:t>
      </w:r>
      <w:bookmarkEnd w:id="273"/>
      <w:r w:rsidRPr="00244D65">
        <w:rPr>
          <w:rStyle w:val="normaltextrun"/>
          <w:noProof/>
        </w:rPr>
        <w:t xml:space="preserve"> of ferry services are likely to be affected by the extension of EU ETS to smaller vessels. </w:t>
      </w:r>
      <w:r w:rsidR="00D6047E" w:rsidRPr="00244D65">
        <w:rPr>
          <w:rStyle w:val="normaltextrun"/>
          <w:noProof/>
        </w:rPr>
        <w:t>Tourism-based economies could feel th</w:t>
      </w:r>
      <w:r w:rsidR="001F5CA4" w:rsidRPr="00244D65">
        <w:rPr>
          <w:rStyle w:val="normaltextrun"/>
          <w:noProof/>
        </w:rPr>
        <w:t>is</w:t>
      </w:r>
      <w:r w:rsidR="00D6047E" w:rsidRPr="00244D65">
        <w:rPr>
          <w:rStyle w:val="normaltextrun"/>
          <w:noProof/>
        </w:rPr>
        <w:t xml:space="preserve"> impact. </w:t>
      </w:r>
    </w:p>
    <w:p w14:paraId="224D0DAF" w14:textId="4FCA172B" w:rsidR="00792F3B" w:rsidRPr="00244D65" w:rsidRDefault="008E1453" w:rsidP="0085595C">
      <w:pPr>
        <w:rPr>
          <w:rStyle w:val="normaltextrun"/>
          <w:noProof/>
        </w:rPr>
      </w:pPr>
      <w:r w:rsidRPr="00244D65">
        <w:rPr>
          <w:rStyle w:val="normaltextrun"/>
          <w:noProof/>
        </w:rPr>
        <w:t>However, public service obligations and contracts (PSO/PSC), which regulate pricing and service levels, already help protect these routes, and EU ETS derogations for PSO/PSC-covered services</w:t>
      </w:r>
      <w:r w:rsidR="00D6458F" w:rsidRPr="00244D65">
        <w:rPr>
          <w:rStyle w:val="normaltextrun"/>
          <w:noProof/>
        </w:rPr>
        <w:t>, small islands and outermost regions</w:t>
      </w:r>
      <w:r w:rsidRPr="00244D65">
        <w:rPr>
          <w:rStyle w:val="normaltextrun"/>
          <w:noProof/>
        </w:rPr>
        <w:t xml:space="preserve"> could further mitigate negative impacts.</w:t>
      </w:r>
      <w:r w:rsidR="00992714" w:rsidRPr="00244D65">
        <w:rPr>
          <w:rStyle w:val="normaltextrun"/>
          <w:noProof/>
        </w:rPr>
        <w:t xml:space="preserve"> </w:t>
      </w:r>
    </w:p>
    <w:p w14:paraId="77E50B9D" w14:textId="70D126C3" w:rsidR="00792F3B" w:rsidRPr="00244D65" w:rsidRDefault="00636C0A" w:rsidP="0085595C">
      <w:pPr>
        <w:rPr>
          <w:rStyle w:val="normaltextrun"/>
          <w:noProof/>
        </w:rPr>
      </w:pPr>
      <w:r w:rsidRPr="00244D65">
        <w:rPr>
          <w:rStyle w:val="normaltextrun"/>
          <w:noProof/>
        </w:rPr>
        <w:t xml:space="preserve">The </w:t>
      </w:r>
      <w:r w:rsidR="007F25C8" w:rsidRPr="00244D65">
        <w:rPr>
          <w:rStyle w:val="normaltextrun"/>
          <w:noProof/>
        </w:rPr>
        <w:t>o</w:t>
      </w:r>
      <w:r w:rsidR="00792F3B" w:rsidRPr="00244D65">
        <w:rPr>
          <w:rStyle w:val="normaltextrun"/>
          <w:noProof/>
        </w:rPr>
        <w:t xml:space="preserve">utermost regions and small islands </w:t>
      </w:r>
      <w:r w:rsidR="00B43805" w:rsidRPr="00244D65">
        <w:rPr>
          <w:rStyle w:val="normaltextrun"/>
          <w:noProof/>
        </w:rPr>
        <w:t xml:space="preserve">require a special attention in this regard. </w:t>
      </w:r>
      <w:r w:rsidR="00792F3B" w:rsidRPr="00244D65">
        <w:rPr>
          <w:rStyle w:val="normaltextrun"/>
          <w:noProof/>
        </w:rPr>
        <w:t>The carbon price would represent a proportion of total voyage cost, though in most case</w:t>
      </w:r>
      <w:r w:rsidR="006C2D5D" w:rsidRPr="00244D65">
        <w:rPr>
          <w:rStyle w:val="normaltextrun"/>
          <w:noProof/>
        </w:rPr>
        <w:t>s</w:t>
      </w:r>
      <w:r w:rsidR="00792F3B" w:rsidRPr="00244D65">
        <w:rPr>
          <w:rStyle w:val="normaltextrun"/>
          <w:noProof/>
        </w:rPr>
        <w:t xml:space="preserve"> not exceeding the cost impact of regular fuel price volatility. Still, removing </w:t>
      </w:r>
      <w:r w:rsidR="00792F3B" w:rsidRPr="00244D65">
        <w:rPr>
          <w:rStyle w:val="normaltextrun"/>
          <w:b/>
          <w:noProof/>
        </w:rPr>
        <w:t>derogations</w:t>
      </w:r>
      <w:r w:rsidR="00792F3B" w:rsidRPr="00244D65">
        <w:rPr>
          <w:rStyle w:val="normaltextrun"/>
          <w:noProof/>
        </w:rPr>
        <w:t xml:space="preserve"> would mean that sudden increases in fuel or carbon prices could pose a risk to stable, predictable maritime connectivity for these EU regions.</w:t>
      </w:r>
      <w:r w:rsidR="00A124A1" w:rsidRPr="00244D65">
        <w:rPr>
          <w:rStyle w:val="normaltextrun"/>
          <w:noProof/>
        </w:rPr>
        <w:t xml:space="preserve"> </w:t>
      </w:r>
      <w:r w:rsidR="00792F3B" w:rsidRPr="00244D65">
        <w:rPr>
          <w:rStyle w:val="normaltextrun"/>
          <w:noProof/>
        </w:rPr>
        <w:t>Since ensuring connections is essential for small islands and outermost regions, some of the transport services are conducted under public service obligations</w:t>
      </w:r>
      <w:r w:rsidR="0034751B" w:rsidRPr="00244D65">
        <w:rPr>
          <w:rStyle w:val="normaltextrun"/>
          <w:noProof/>
        </w:rPr>
        <w:t xml:space="preserve">. </w:t>
      </w:r>
      <w:r w:rsidR="00792F3B" w:rsidRPr="00244D65">
        <w:rPr>
          <w:rStyle w:val="normaltextrun"/>
          <w:noProof/>
        </w:rPr>
        <w:t xml:space="preserve">In these cases, ending derogations would not induce increased ticket prices but require larger budgets from public funding. </w:t>
      </w:r>
    </w:p>
    <w:p w14:paraId="53512FCE" w14:textId="3F813695" w:rsidR="00792F3B" w:rsidRPr="00244D65" w:rsidRDefault="00C4502B" w:rsidP="0085595C">
      <w:pPr>
        <w:rPr>
          <w:rStyle w:val="normaltextrun"/>
          <w:noProof/>
        </w:rPr>
      </w:pPr>
      <w:r w:rsidRPr="00244D65">
        <w:rPr>
          <w:rStyle w:val="normaltextrun"/>
          <w:noProof/>
        </w:rPr>
        <w:t xml:space="preserve">In the </w:t>
      </w:r>
      <w:bookmarkStart w:id="274" w:name="_Int_zptbsSRf"/>
      <w:r w:rsidRPr="00244D65">
        <w:rPr>
          <w:rStyle w:val="normaltextrun"/>
          <w:noProof/>
        </w:rPr>
        <w:t>particular case</w:t>
      </w:r>
      <w:bookmarkEnd w:id="274"/>
      <w:r w:rsidRPr="00244D65">
        <w:rPr>
          <w:rStyle w:val="normaltextrun"/>
          <w:noProof/>
        </w:rPr>
        <w:t xml:space="preserve"> of i</w:t>
      </w:r>
      <w:r w:rsidR="00792F3B" w:rsidRPr="00244D65">
        <w:rPr>
          <w:rStyle w:val="normaltextrun"/>
          <w:noProof/>
        </w:rPr>
        <w:t xml:space="preserve">ce class ships </w:t>
      </w:r>
      <w:r w:rsidR="00496B8A" w:rsidRPr="00244D65">
        <w:rPr>
          <w:rStyle w:val="normaltextrun"/>
          <w:noProof/>
        </w:rPr>
        <w:t xml:space="preserve">(ICS) </w:t>
      </w:r>
      <w:r w:rsidRPr="00244D65">
        <w:rPr>
          <w:rStyle w:val="normaltextrun"/>
          <w:noProof/>
        </w:rPr>
        <w:t>di</w:t>
      </w:r>
      <w:r w:rsidR="00496B8A" w:rsidRPr="00244D65">
        <w:rPr>
          <w:rStyle w:val="normaltextrun"/>
          <w:noProof/>
        </w:rPr>
        <w:t>s</w:t>
      </w:r>
      <w:r w:rsidR="00792F3B" w:rsidRPr="00244D65">
        <w:rPr>
          <w:rStyle w:val="normaltextrun"/>
          <w:noProof/>
        </w:rPr>
        <w:t xml:space="preserve">continuing </w:t>
      </w:r>
      <w:r w:rsidR="00496B8A" w:rsidRPr="00244D65">
        <w:rPr>
          <w:rStyle w:val="normaltextrun"/>
          <w:noProof/>
        </w:rPr>
        <w:t xml:space="preserve">of </w:t>
      </w:r>
      <w:r w:rsidR="00792F3B" w:rsidRPr="00244D65">
        <w:rPr>
          <w:rStyle w:val="normaltextrun"/>
          <w:noProof/>
        </w:rPr>
        <w:t>ICS derogations could be a challenge for maintaining critical logistics and regular services when ice conditions would otherwise prevent conventional vessels from reaching these locations</w:t>
      </w:r>
      <w:r w:rsidR="00E60326" w:rsidRPr="00244D65">
        <w:rPr>
          <w:rStyle w:val="FootnoteReference"/>
          <w:noProof/>
        </w:rPr>
        <w:footnoteReference w:id="103"/>
      </w:r>
      <w:r w:rsidR="00792F3B" w:rsidRPr="00244D65">
        <w:rPr>
          <w:rStyle w:val="normaltextrun"/>
          <w:noProof/>
        </w:rPr>
        <w:t xml:space="preserve">. </w:t>
      </w:r>
    </w:p>
    <w:p w14:paraId="35118A8E" w14:textId="63ECFE56" w:rsidR="00F77B0A" w:rsidRPr="00244D65" w:rsidRDefault="00DF1A3F" w:rsidP="0085595C">
      <w:pPr>
        <w:pStyle w:val="Heading4"/>
        <w:rPr>
          <w:noProof/>
        </w:rPr>
      </w:pPr>
      <w:r w:rsidRPr="00244D65">
        <w:rPr>
          <w:noProof/>
        </w:rPr>
        <w:t xml:space="preserve"> </w:t>
      </w:r>
      <w:r w:rsidR="005D49A2" w:rsidRPr="00244D65">
        <w:rPr>
          <w:noProof/>
        </w:rPr>
        <w:t xml:space="preserve">Carbon leakage </w:t>
      </w:r>
      <w:r w:rsidR="00456E8F" w:rsidRPr="00244D65">
        <w:rPr>
          <w:noProof/>
        </w:rPr>
        <w:t>prevention</w:t>
      </w:r>
    </w:p>
    <w:p w14:paraId="22A4E977" w14:textId="3C4A61F7" w:rsidR="00B114BF" w:rsidRPr="00244D65" w:rsidRDefault="00401357" w:rsidP="0085595C">
      <w:pPr>
        <w:rPr>
          <w:rFonts w:eastAsia="Arial" w:cs="Arial"/>
          <w:noProof/>
          <w:lang w:eastAsia="en-GB"/>
        </w:rPr>
      </w:pPr>
      <w:r w:rsidRPr="00244D65">
        <w:rPr>
          <w:rFonts w:eastAsia="Arial" w:cs="Arial"/>
          <w:noProof/>
        </w:rPr>
        <w:t>The GEM-E3 model was used to estimate the impact of the implementation of policy measures on employment levels. The largest employment gains occur in chemicals and non-metallic minerals sector, which also records the highest production increase by 2040. Across sectors and policy measures, the overall employment impact ranges from -0.56% to 1.76</w:t>
      </w:r>
      <w:r w:rsidR="2342A617" w:rsidRPr="00244D65">
        <w:rPr>
          <w:rFonts w:eastAsia="Arial" w:cs="Arial"/>
          <w:noProof/>
        </w:rPr>
        <w:t>%</w:t>
      </w:r>
      <w:r w:rsidRPr="00244D65">
        <w:rPr>
          <w:rFonts w:eastAsia="Arial" w:cs="Arial"/>
          <w:noProof/>
        </w:rPr>
        <w:t>.</w:t>
      </w:r>
      <w:r w:rsidRPr="00244D65">
        <w:rPr>
          <w:rFonts w:eastAsia="Arial" w:cs="Arial"/>
          <w:noProof/>
          <w:lang w:eastAsia="en-GB"/>
        </w:rPr>
        <w:t xml:space="preserve"> Among the scenarios, PO1R shows the highest employment increase, driven by the volume of free allowances provided along with the alternate revenue recycling option, whereas PO3 records the lowest due to the complete phase-out of free allowances after 2034 and </w:t>
      </w:r>
      <w:r w:rsidRPr="00244D65">
        <w:rPr>
          <w:rFonts w:eastAsia="Arial" w:cs="Arial"/>
          <w:noProof/>
        </w:rPr>
        <w:t>due to the lower production in market services</w:t>
      </w:r>
      <w:r w:rsidRPr="00244D65">
        <w:rPr>
          <w:rFonts w:eastAsia="Arial" w:cs="Arial"/>
          <w:noProof/>
          <w:lang w:eastAsia="en-GB"/>
        </w:rPr>
        <w:t xml:space="preserve">. </w:t>
      </w:r>
    </w:p>
    <w:p w14:paraId="41DBC3ED" w14:textId="1F1D8869" w:rsidR="0067286C" w:rsidRPr="00244D65" w:rsidRDefault="00114737" w:rsidP="0085595C">
      <w:pPr>
        <w:rPr>
          <w:noProof/>
        </w:rPr>
      </w:pPr>
      <w:r w:rsidRPr="00244D65">
        <w:rPr>
          <w:rFonts w:eastAsia="Arial"/>
          <w:noProof/>
          <w:lang w:eastAsia="en-GB"/>
        </w:rPr>
        <w:t xml:space="preserve">The issue of employment is </w:t>
      </w:r>
      <w:r w:rsidR="00B114BF" w:rsidRPr="00244D65">
        <w:rPr>
          <w:rFonts w:eastAsia="Arial"/>
          <w:noProof/>
          <w:lang w:eastAsia="en-GB"/>
        </w:rPr>
        <w:t>also</w:t>
      </w:r>
      <w:r w:rsidRPr="00244D65">
        <w:rPr>
          <w:rFonts w:eastAsia="Arial"/>
          <w:noProof/>
          <w:lang w:eastAsia="en-GB"/>
        </w:rPr>
        <w:t xml:space="preserve"> </w:t>
      </w:r>
      <w:bookmarkStart w:id="275" w:name="_Int_nd3WFy0A"/>
      <w:r w:rsidRPr="00244D65">
        <w:rPr>
          <w:rFonts w:eastAsia="Arial"/>
          <w:noProof/>
          <w:lang w:eastAsia="en-GB"/>
        </w:rPr>
        <w:t>directly linked</w:t>
      </w:r>
      <w:bookmarkEnd w:id="275"/>
      <w:r w:rsidRPr="00244D65">
        <w:rPr>
          <w:rFonts w:eastAsia="Arial"/>
          <w:noProof/>
          <w:lang w:eastAsia="en-GB"/>
        </w:rPr>
        <w:t xml:space="preserve"> to the long-term viability of industrial production in Europe. </w:t>
      </w:r>
      <w:r w:rsidR="0067286C" w:rsidRPr="00244D65">
        <w:rPr>
          <w:rFonts w:eastAsia="Arial"/>
          <w:noProof/>
          <w:lang w:eastAsia="en-GB"/>
        </w:rPr>
        <w:t xml:space="preserve">During the stakeholder engagement (and further supported by OPC inputs), industrial associations and businesses consistently argued that the competitiveness of EU producers would be undermined without the continuation of free allocation and </w:t>
      </w:r>
      <w:r w:rsidR="00B114BF" w:rsidRPr="00244D65">
        <w:rPr>
          <w:rFonts w:eastAsia="Arial"/>
          <w:noProof/>
          <w:lang w:eastAsia="en-GB"/>
        </w:rPr>
        <w:t xml:space="preserve">if not </w:t>
      </w:r>
      <w:r w:rsidR="0067286C" w:rsidRPr="00244D65">
        <w:rPr>
          <w:rFonts w:eastAsia="Arial"/>
          <w:noProof/>
          <w:lang w:eastAsia="en-GB"/>
        </w:rPr>
        <w:t xml:space="preserve">ensuring that the necessary enabling conditions are in place </w:t>
      </w:r>
      <w:r w:rsidR="00B114BF" w:rsidRPr="00244D65">
        <w:rPr>
          <w:rFonts w:eastAsia="Arial"/>
          <w:noProof/>
          <w:lang w:eastAsia="en-GB"/>
        </w:rPr>
        <w:t>for</w:t>
      </w:r>
      <w:r w:rsidR="0067286C" w:rsidRPr="00244D65">
        <w:rPr>
          <w:rFonts w:eastAsia="Arial"/>
          <w:noProof/>
          <w:lang w:eastAsia="en-GB"/>
        </w:rPr>
        <w:t xml:space="preserve"> decarbonisation rather than deindustrialisation </w:t>
      </w:r>
      <w:r w:rsidR="0067286C" w:rsidRPr="00244D65">
        <w:rPr>
          <w:noProof/>
          <w:lang w:eastAsia="en-GB"/>
        </w:rPr>
        <w:t>was frequently</w:t>
      </w:r>
      <w:r w:rsidR="0067286C" w:rsidRPr="00244D65">
        <w:rPr>
          <w:rFonts w:eastAsia="Arial"/>
          <w:noProof/>
          <w:lang w:eastAsia="en-GB"/>
        </w:rPr>
        <w:t xml:space="preserve"> cited by stakeholders.</w:t>
      </w:r>
      <w:r w:rsidR="00B114BF" w:rsidRPr="00244D65">
        <w:rPr>
          <w:rFonts w:eastAsia="Arial"/>
          <w:noProof/>
          <w:lang w:eastAsia="en-GB"/>
        </w:rPr>
        <w:t xml:space="preserve"> </w:t>
      </w:r>
    </w:p>
    <w:p w14:paraId="447FD5DC" w14:textId="5C8A5360" w:rsidR="002237A2" w:rsidRPr="00244D65" w:rsidRDefault="002237A2" w:rsidP="0085595C">
      <w:pPr>
        <w:rPr>
          <w:noProof/>
        </w:rPr>
      </w:pPr>
      <w:r w:rsidRPr="00244D65">
        <w:rPr>
          <w:noProof/>
        </w:rPr>
        <w:t xml:space="preserve">Continuation of </w:t>
      </w:r>
      <w:r w:rsidRPr="00244D65">
        <w:rPr>
          <w:b/>
          <w:bCs/>
          <w:noProof/>
        </w:rPr>
        <w:t>ICC</w:t>
      </w:r>
      <w:r w:rsidRPr="00244D65">
        <w:rPr>
          <w:noProof/>
        </w:rPr>
        <w:t xml:space="preserve"> compensation</w:t>
      </w:r>
      <w:r w:rsidR="008F667C" w:rsidRPr="00244D65">
        <w:rPr>
          <w:noProof/>
        </w:rPr>
        <w:t xml:space="preserve"> (whether State aid or harmonised) is expected to have </w:t>
      </w:r>
      <w:r w:rsidR="007840C5" w:rsidRPr="00244D65">
        <w:rPr>
          <w:noProof/>
        </w:rPr>
        <w:t xml:space="preserve">a positive impact on employment </w:t>
      </w:r>
      <w:r w:rsidR="00253BF7" w:rsidRPr="00244D65">
        <w:rPr>
          <w:noProof/>
        </w:rPr>
        <w:t>by protecting against carbon leakage and supporting the business case for electrification of industrial processes</w:t>
      </w:r>
      <w:r w:rsidR="00D879CE" w:rsidRPr="00244D65">
        <w:rPr>
          <w:noProof/>
        </w:rPr>
        <w:t xml:space="preserve">. </w:t>
      </w:r>
      <w:bookmarkStart w:id="276" w:name="_Int_zUKIqIAH"/>
      <w:r w:rsidR="00D879CE" w:rsidRPr="00244D65">
        <w:rPr>
          <w:noProof/>
        </w:rPr>
        <w:t>In particular, it</w:t>
      </w:r>
      <w:bookmarkEnd w:id="276"/>
      <w:r w:rsidR="00D879CE" w:rsidRPr="00244D65">
        <w:rPr>
          <w:noProof/>
        </w:rPr>
        <w:t xml:space="preserve"> strengthens the </w:t>
      </w:r>
      <w:r w:rsidR="001C10BA" w:rsidRPr="00244D65">
        <w:rPr>
          <w:noProof/>
        </w:rPr>
        <w:t xml:space="preserve">business </w:t>
      </w:r>
      <w:r w:rsidR="00D879CE" w:rsidRPr="00244D65">
        <w:rPr>
          <w:noProof/>
        </w:rPr>
        <w:t>case</w:t>
      </w:r>
      <w:r w:rsidR="001C10BA" w:rsidRPr="00244D65">
        <w:rPr>
          <w:noProof/>
        </w:rPr>
        <w:t xml:space="preserve"> f</w:t>
      </w:r>
      <w:r w:rsidR="00510184" w:rsidRPr="00244D65">
        <w:rPr>
          <w:noProof/>
        </w:rPr>
        <w:t>or electrification investments</w:t>
      </w:r>
      <w:r w:rsidR="001C10BA" w:rsidRPr="00244D65">
        <w:rPr>
          <w:noProof/>
        </w:rPr>
        <w:t xml:space="preserve"> </w:t>
      </w:r>
      <w:r w:rsidR="0014243C" w:rsidRPr="00244D65">
        <w:rPr>
          <w:noProof/>
        </w:rPr>
        <w:t xml:space="preserve">by ensuring beneficiaries will not be disadvantaged </w:t>
      </w:r>
      <w:r w:rsidR="00794B95" w:rsidRPr="00244D65">
        <w:rPr>
          <w:noProof/>
        </w:rPr>
        <w:t>by</w:t>
      </w:r>
      <w:r w:rsidR="0014243C" w:rsidRPr="00244D65">
        <w:rPr>
          <w:noProof/>
        </w:rPr>
        <w:t xml:space="preserve"> indirect carbon cost</w:t>
      </w:r>
      <w:r w:rsidR="00794B95" w:rsidRPr="00244D65">
        <w:rPr>
          <w:noProof/>
        </w:rPr>
        <w:t>s</w:t>
      </w:r>
      <w:r w:rsidR="0014243C" w:rsidRPr="00244D65">
        <w:rPr>
          <w:noProof/>
        </w:rPr>
        <w:t>.</w:t>
      </w:r>
      <w:r w:rsidR="00D879CE" w:rsidRPr="00244D65">
        <w:rPr>
          <w:noProof/>
        </w:rPr>
        <w:t xml:space="preserve"> </w:t>
      </w:r>
    </w:p>
    <w:p w14:paraId="2CA54D2C" w14:textId="60EA13FB" w:rsidR="00662B99" w:rsidRPr="00244D65" w:rsidRDefault="00DF1A3F" w:rsidP="0085595C">
      <w:pPr>
        <w:pStyle w:val="Heading4"/>
        <w:rPr>
          <w:noProof/>
        </w:rPr>
      </w:pPr>
      <w:r w:rsidRPr="00244D65">
        <w:rPr>
          <w:noProof/>
        </w:rPr>
        <w:t xml:space="preserve"> </w:t>
      </w:r>
      <w:r w:rsidR="00F77B0A" w:rsidRPr="00244D65">
        <w:rPr>
          <w:noProof/>
        </w:rPr>
        <w:t>Waste</w:t>
      </w:r>
      <w:bookmarkStart w:id="277" w:name="_Hlk213159303"/>
    </w:p>
    <w:p w14:paraId="1D9A7C40" w14:textId="3EEDAFB6" w:rsidR="00755A0F" w:rsidRPr="00244D65" w:rsidDel="007969B6" w:rsidRDefault="001662CF" w:rsidP="0085595C">
      <w:pPr>
        <w:pStyle w:val="BodyText"/>
        <w:spacing w:line="240" w:lineRule="auto"/>
        <w:rPr>
          <w:noProof/>
        </w:rPr>
      </w:pPr>
      <w:r w:rsidRPr="00244D65">
        <w:rPr>
          <w:rFonts w:ascii="Times New Roman" w:hAnsi="Times New Roman" w:cs="Times New Roman"/>
          <w:noProof/>
          <w:color w:val="auto"/>
          <w:sz w:val="24"/>
          <w:szCs w:val="24"/>
        </w:rPr>
        <w:t xml:space="preserve">The </w:t>
      </w:r>
      <w:r w:rsidR="00985FE8" w:rsidRPr="00244D65">
        <w:rPr>
          <w:rFonts w:ascii="Times New Roman" w:hAnsi="Times New Roman" w:cs="Times New Roman"/>
          <w:noProof/>
          <w:color w:val="auto"/>
          <w:sz w:val="24"/>
          <w:szCs w:val="24"/>
        </w:rPr>
        <w:t xml:space="preserve">application of the </w:t>
      </w:r>
      <w:r w:rsidRPr="00244D65">
        <w:rPr>
          <w:rFonts w:ascii="Times New Roman" w:hAnsi="Times New Roman" w:cs="Times New Roman"/>
          <w:noProof/>
          <w:color w:val="auto"/>
          <w:sz w:val="24"/>
          <w:szCs w:val="24"/>
        </w:rPr>
        <w:t xml:space="preserve">carbon price signal </w:t>
      </w:r>
      <w:r w:rsidR="00985FE8" w:rsidRPr="00244D65">
        <w:rPr>
          <w:rFonts w:ascii="Times New Roman" w:hAnsi="Times New Roman" w:cs="Times New Roman"/>
          <w:noProof/>
          <w:color w:val="auto"/>
          <w:sz w:val="24"/>
          <w:szCs w:val="24"/>
        </w:rPr>
        <w:t>to</w:t>
      </w:r>
      <w:r w:rsidR="394FBFF6" w:rsidRPr="00244D65">
        <w:rPr>
          <w:rFonts w:ascii="Times New Roman" w:hAnsi="Times New Roman" w:cs="Times New Roman"/>
          <w:noProof/>
          <w:color w:val="auto"/>
          <w:sz w:val="24"/>
          <w:szCs w:val="24"/>
        </w:rPr>
        <w:t xml:space="preserve"> </w:t>
      </w:r>
      <w:r w:rsidR="73B901B9" w:rsidRPr="00244D65">
        <w:rPr>
          <w:rFonts w:ascii="Times New Roman" w:hAnsi="Times New Roman" w:cs="Times New Roman"/>
          <w:noProof/>
          <w:color w:val="auto"/>
          <w:sz w:val="24"/>
          <w:szCs w:val="24"/>
        </w:rPr>
        <w:t xml:space="preserve">waste management activities </w:t>
      </w:r>
      <w:r w:rsidR="1523000F" w:rsidRPr="00244D65">
        <w:rPr>
          <w:rFonts w:ascii="Times New Roman" w:hAnsi="Times New Roman" w:cs="Times New Roman"/>
          <w:noProof/>
          <w:color w:val="auto"/>
          <w:sz w:val="24"/>
          <w:szCs w:val="24"/>
        </w:rPr>
        <w:t xml:space="preserve">(PO2 and PO3) </w:t>
      </w:r>
      <w:r w:rsidR="00D73111" w:rsidRPr="00244D65">
        <w:rPr>
          <w:rFonts w:ascii="Times New Roman" w:hAnsi="Times New Roman" w:cs="Times New Roman"/>
          <w:noProof/>
          <w:color w:val="auto"/>
          <w:sz w:val="24"/>
          <w:szCs w:val="24"/>
        </w:rPr>
        <w:t xml:space="preserve">is projected to </w:t>
      </w:r>
      <w:r w:rsidR="28AAB815" w:rsidRPr="00244D65">
        <w:rPr>
          <w:rFonts w:ascii="Times New Roman" w:hAnsi="Times New Roman" w:cs="Times New Roman"/>
          <w:noProof/>
          <w:color w:val="auto"/>
          <w:sz w:val="24"/>
          <w:szCs w:val="24"/>
        </w:rPr>
        <w:t>contribute to</w:t>
      </w:r>
      <w:r w:rsidR="00985FE8" w:rsidRPr="00244D65">
        <w:rPr>
          <w:rFonts w:ascii="Times New Roman" w:hAnsi="Times New Roman" w:cs="Times New Roman"/>
          <w:noProof/>
          <w:color w:val="auto"/>
          <w:sz w:val="24"/>
          <w:szCs w:val="24"/>
        </w:rPr>
        <w:t xml:space="preserve"> employment creation in the circular economy</w:t>
      </w:r>
      <w:r w:rsidR="00D73111" w:rsidRPr="00244D65">
        <w:rPr>
          <w:rFonts w:ascii="Times New Roman" w:hAnsi="Times New Roman" w:cs="Times New Roman"/>
          <w:noProof/>
          <w:color w:val="auto"/>
          <w:sz w:val="24"/>
          <w:szCs w:val="24"/>
        </w:rPr>
        <w:t xml:space="preserve"> by further incentivising sorting and recycling</w:t>
      </w:r>
      <w:r w:rsidR="00985FE8" w:rsidRPr="00244D65">
        <w:rPr>
          <w:rFonts w:ascii="Times New Roman" w:hAnsi="Times New Roman" w:cs="Times New Roman"/>
          <w:noProof/>
          <w:color w:val="auto"/>
          <w:sz w:val="24"/>
          <w:szCs w:val="24"/>
        </w:rPr>
        <w:t xml:space="preserve">. </w:t>
      </w:r>
      <w:r w:rsidR="00D73111" w:rsidRPr="00244D65">
        <w:rPr>
          <w:rFonts w:ascii="Times New Roman" w:hAnsi="Times New Roman" w:cs="Times New Roman"/>
          <w:noProof/>
          <w:color w:val="auto"/>
          <w:sz w:val="24"/>
          <w:szCs w:val="24"/>
        </w:rPr>
        <w:t>Circular economy activities already represent around 1-2% of EU GDP and 2.2% of employment, with the potential to create up to 2.5 million additional jobs by 2030</w:t>
      </w:r>
      <w:r w:rsidR="00D73111" w:rsidRPr="00244D65">
        <w:rPr>
          <w:rFonts w:ascii="Times New Roman" w:eastAsia="Arial" w:hAnsi="Times New Roman" w:cs="Times New Roman"/>
          <w:noProof/>
          <w:sz w:val="24"/>
          <w:szCs w:val="24"/>
          <w:vertAlign w:val="superscript"/>
        </w:rPr>
        <w:footnoteReference w:id="104"/>
      </w:r>
      <w:r>
        <w:rPr>
          <w:noProof/>
        </w:rPr>
        <w:t>.</w:t>
      </w:r>
      <w:r w:rsidR="00D73111" w:rsidRPr="00244D65">
        <w:rPr>
          <w:noProof/>
        </w:rPr>
        <w:t xml:space="preserve"> </w:t>
      </w:r>
      <w:r w:rsidRPr="00244D65">
        <w:rPr>
          <w:rFonts w:ascii="Times New Roman" w:hAnsi="Times New Roman" w:cs="Times New Roman"/>
          <w:noProof/>
          <w:color w:val="auto"/>
          <w:sz w:val="24"/>
          <w:szCs w:val="24"/>
        </w:rPr>
        <w:t xml:space="preserve">As recycling activities are more labour-intensive than </w:t>
      </w:r>
      <w:r w:rsidR="28DAAE0B" w:rsidRPr="00244D65">
        <w:rPr>
          <w:rFonts w:ascii="Times New Roman" w:hAnsi="Times New Roman" w:cs="Times New Roman"/>
          <w:noProof/>
          <w:color w:val="auto"/>
          <w:sz w:val="24"/>
          <w:szCs w:val="24"/>
        </w:rPr>
        <w:t xml:space="preserve">incineration </w:t>
      </w:r>
      <w:r w:rsidRPr="00244D65">
        <w:rPr>
          <w:rFonts w:ascii="Times New Roman" w:hAnsi="Times New Roman" w:cs="Times New Roman"/>
          <w:noProof/>
          <w:color w:val="auto"/>
          <w:sz w:val="24"/>
          <w:szCs w:val="24"/>
        </w:rPr>
        <w:t xml:space="preserve">of waste </w:t>
      </w:r>
      <w:r w:rsidR="28DAAE0B" w:rsidRPr="00244D65">
        <w:rPr>
          <w:rFonts w:ascii="Times New Roman" w:hAnsi="Times New Roman" w:cs="Times New Roman"/>
          <w:noProof/>
          <w:color w:val="auto"/>
          <w:sz w:val="24"/>
          <w:szCs w:val="24"/>
        </w:rPr>
        <w:t>or landfilling</w:t>
      </w:r>
      <w:r w:rsidRPr="00244D65">
        <w:rPr>
          <w:rFonts w:ascii="Times New Roman" w:hAnsi="Times New Roman" w:cs="Times New Roman"/>
          <w:noProof/>
          <w:color w:val="auto"/>
          <w:sz w:val="24"/>
          <w:szCs w:val="24"/>
        </w:rPr>
        <w:t xml:space="preserve">, </w:t>
      </w:r>
      <w:r w:rsidR="00985FE8" w:rsidRPr="00244D65">
        <w:rPr>
          <w:rFonts w:ascii="Times New Roman" w:hAnsi="Times New Roman" w:cs="Times New Roman"/>
          <w:noProof/>
          <w:color w:val="auto"/>
          <w:sz w:val="24"/>
          <w:szCs w:val="24"/>
        </w:rPr>
        <w:t xml:space="preserve">the integration of waste </w:t>
      </w:r>
      <w:r w:rsidR="00D73111" w:rsidRPr="00244D65">
        <w:rPr>
          <w:rFonts w:ascii="Times New Roman" w:hAnsi="Times New Roman" w:cs="Times New Roman"/>
          <w:noProof/>
          <w:color w:val="auto"/>
          <w:sz w:val="24"/>
          <w:szCs w:val="24"/>
        </w:rPr>
        <w:t xml:space="preserve">disposal </w:t>
      </w:r>
      <w:r w:rsidR="00985FE8" w:rsidRPr="00244D65">
        <w:rPr>
          <w:rFonts w:ascii="Times New Roman" w:hAnsi="Times New Roman" w:cs="Times New Roman"/>
          <w:noProof/>
          <w:color w:val="auto"/>
          <w:sz w:val="24"/>
          <w:szCs w:val="24"/>
        </w:rPr>
        <w:t>activities</w:t>
      </w:r>
      <w:r w:rsidRPr="00244D65">
        <w:rPr>
          <w:rFonts w:ascii="Times New Roman" w:hAnsi="Times New Roman" w:cs="Times New Roman"/>
          <w:noProof/>
          <w:color w:val="auto"/>
          <w:sz w:val="24"/>
          <w:szCs w:val="24"/>
        </w:rPr>
        <w:t xml:space="preserve"> in EU ETS </w:t>
      </w:r>
      <w:r w:rsidR="00D73111" w:rsidRPr="00244D65">
        <w:rPr>
          <w:rFonts w:ascii="Times New Roman" w:hAnsi="Times New Roman" w:cs="Times New Roman"/>
          <w:noProof/>
          <w:color w:val="auto"/>
          <w:sz w:val="24"/>
          <w:szCs w:val="24"/>
        </w:rPr>
        <w:t xml:space="preserve">is </w:t>
      </w:r>
      <w:r w:rsidR="00985FE8" w:rsidRPr="00244D65">
        <w:rPr>
          <w:rFonts w:ascii="Times New Roman" w:hAnsi="Times New Roman" w:cs="Times New Roman"/>
          <w:noProof/>
          <w:color w:val="auto"/>
          <w:sz w:val="24"/>
          <w:szCs w:val="24"/>
        </w:rPr>
        <w:t xml:space="preserve">projected to </w:t>
      </w:r>
      <w:r w:rsidRPr="00244D65">
        <w:rPr>
          <w:rFonts w:ascii="Times New Roman" w:hAnsi="Times New Roman" w:cs="Times New Roman"/>
          <w:noProof/>
          <w:color w:val="auto"/>
          <w:sz w:val="24"/>
          <w:szCs w:val="24"/>
        </w:rPr>
        <w:t xml:space="preserve">result in </w:t>
      </w:r>
      <w:r w:rsidR="00985FE8" w:rsidRPr="00244D65">
        <w:rPr>
          <w:rFonts w:ascii="Times New Roman" w:hAnsi="Times New Roman" w:cs="Times New Roman"/>
          <w:noProof/>
          <w:color w:val="auto"/>
          <w:sz w:val="24"/>
          <w:szCs w:val="24"/>
        </w:rPr>
        <w:t>additional employment.</w:t>
      </w:r>
      <w:r w:rsidR="0B5C5CAA" w:rsidRPr="00244D65">
        <w:rPr>
          <w:rFonts w:ascii="Times New Roman" w:hAnsi="Times New Roman" w:cs="Times New Roman"/>
          <w:noProof/>
          <w:color w:val="auto"/>
          <w:sz w:val="24"/>
          <w:szCs w:val="24"/>
        </w:rPr>
        <w:t xml:space="preserve"> </w:t>
      </w:r>
    </w:p>
    <w:p w14:paraId="161DFAEE" w14:textId="77777777" w:rsidR="0037469C" w:rsidRPr="00244D65" w:rsidRDefault="0037469C" w:rsidP="0085595C">
      <w:pPr>
        <w:pStyle w:val="Heading3"/>
        <w:rPr>
          <w:noProof/>
        </w:rPr>
      </w:pPr>
      <w:bookmarkStart w:id="278" w:name="_Toc212594978"/>
      <w:bookmarkStart w:id="279" w:name="_Toc234949755"/>
      <w:bookmarkStart w:id="280" w:name="_Toc232752511"/>
      <w:bookmarkEnd w:id="277"/>
      <w:r w:rsidRPr="00244D65">
        <w:rPr>
          <w:noProof/>
        </w:rPr>
        <w:t>Impacts on fundamental rights</w:t>
      </w:r>
      <w:bookmarkEnd w:id="278"/>
      <w:bookmarkEnd w:id="279"/>
      <w:bookmarkEnd w:id="280"/>
      <w:r w:rsidRPr="00244D65">
        <w:rPr>
          <w:noProof/>
        </w:rPr>
        <w:t xml:space="preserve"> </w:t>
      </w:r>
    </w:p>
    <w:p w14:paraId="3B2CC5C8" w14:textId="2DAFD774" w:rsidR="00F77B0A" w:rsidRPr="00244D65" w:rsidRDefault="000C47D4" w:rsidP="0085595C">
      <w:pPr>
        <w:rPr>
          <w:noProof/>
        </w:rPr>
      </w:pPr>
      <w:r w:rsidRPr="00244D65">
        <w:rPr>
          <w:noProof/>
        </w:rPr>
        <w:t>In accordance with the Better Regulation Guidelines, the policy options were assessed to understand if there is impact on the fundamental rights endorsed by the EU Charter of Fundamental Rights. Following a screening of the fundamental rights, the judgement was taken that the policy measures do not have a negative impact and are likely to have a positive impact on the fundamental right with regards to environmental protection under Article 37.</w:t>
      </w:r>
    </w:p>
    <w:p w14:paraId="52F826AF" w14:textId="56BE1529" w:rsidR="006B087E" w:rsidRPr="00244D65" w:rsidRDefault="006B087E" w:rsidP="0085595C">
      <w:pPr>
        <w:pStyle w:val="Heading1"/>
        <w:spacing w:before="120" w:after="120"/>
        <w:jc w:val="left"/>
        <w:rPr>
          <w:bCs/>
          <w:noProof/>
        </w:rPr>
      </w:pPr>
      <w:bookmarkStart w:id="281" w:name="_Toc211963270"/>
      <w:bookmarkStart w:id="282" w:name="_Toc234949756"/>
      <w:bookmarkStart w:id="283" w:name="_Toc232752512"/>
      <w:r w:rsidRPr="00244D65">
        <w:rPr>
          <w:noProof/>
        </w:rPr>
        <w:t>How do the options compare?</w:t>
      </w:r>
      <w:bookmarkEnd w:id="281"/>
      <w:bookmarkEnd w:id="282"/>
      <w:bookmarkEnd w:id="283"/>
    </w:p>
    <w:p w14:paraId="49AE056B" w14:textId="70299341" w:rsidR="00E0650B" w:rsidRPr="00244D65" w:rsidRDefault="00E0650B" w:rsidP="0085595C">
      <w:pPr>
        <w:rPr>
          <w:noProof/>
        </w:rPr>
      </w:pPr>
      <w:r w:rsidRPr="00244D65">
        <w:rPr>
          <w:noProof/>
        </w:rPr>
        <w:t xml:space="preserve">Following the assessment of the economic, </w:t>
      </w:r>
      <w:r w:rsidR="3A251258" w:rsidRPr="00244D65">
        <w:rPr>
          <w:noProof/>
        </w:rPr>
        <w:t>social,</w:t>
      </w:r>
      <w:r w:rsidRPr="00244D65">
        <w:rPr>
          <w:noProof/>
        </w:rPr>
        <w:t xml:space="preserve"> and environmental impacts, as well as </w:t>
      </w:r>
      <w:r w:rsidR="00DA248D" w:rsidRPr="00244D65">
        <w:rPr>
          <w:noProof/>
        </w:rPr>
        <w:t xml:space="preserve">their </w:t>
      </w:r>
      <w:r w:rsidRPr="00244D65">
        <w:rPr>
          <w:noProof/>
        </w:rPr>
        <w:t xml:space="preserve">distribution across stakeholders, the following section compares the different policy options with regard to their effectiveness, </w:t>
      </w:r>
      <w:r w:rsidR="5F611FA9" w:rsidRPr="00244D65">
        <w:rPr>
          <w:noProof/>
        </w:rPr>
        <w:t>efficiency,</w:t>
      </w:r>
      <w:r w:rsidRPr="00244D65">
        <w:rPr>
          <w:noProof/>
        </w:rPr>
        <w:t xml:space="preserve"> and coherence. </w:t>
      </w:r>
    </w:p>
    <w:p w14:paraId="110E80DE" w14:textId="0FF8A65E" w:rsidR="00233FE2" w:rsidRPr="00244D65" w:rsidRDefault="00FF21C0" w:rsidP="0085595C">
      <w:pPr>
        <w:pStyle w:val="Heading2"/>
        <w:rPr>
          <w:noProof/>
        </w:rPr>
      </w:pPr>
      <w:bookmarkStart w:id="284" w:name="_Toc234949757"/>
      <w:bookmarkStart w:id="285" w:name="_Toc232752513"/>
      <w:bookmarkStart w:id="286" w:name="_Toc211963271"/>
      <w:r w:rsidRPr="00244D65">
        <w:rPr>
          <w:noProof/>
        </w:rPr>
        <w:t>Effectiveness</w:t>
      </w:r>
      <w:bookmarkEnd w:id="284"/>
      <w:bookmarkEnd w:id="285"/>
    </w:p>
    <w:p w14:paraId="13B5810F" w14:textId="78E3AB18" w:rsidR="00805961" w:rsidRPr="00244D65" w:rsidRDefault="00805961" w:rsidP="0085595C">
      <w:pPr>
        <w:rPr>
          <w:noProof/>
        </w:rPr>
      </w:pPr>
      <w:r w:rsidRPr="00244D65">
        <w:rPr>
          <w:noProof/>
        </w:rPr>
        <w:t xml:space="preserve">To compare the effectiveness of each of the policy options it is necessary to assess the extent to which each policy option addresses the general and specific objectives that were originally set in the problem tree diagram. </w:t>
      </w:r>
    </w:p>
    <w:p w14:paraId="01F9F72C" w14:textId="592387FA" w:rsidR="00166184" w:rsidRPr="00244D65" w:rsidRDefault="00166184" w:rsidP="0085595C">
      <w:pPr>
        <w:rPr>
          <w:noProof/>
        </w:rPr>
      </w:pPr>
      <w:r w:rsidRPr="00244D65">
        <w:rPr>
          <w:noProof/>
        </w:rPr>
        <w:t>The matrix is colour</w:t>
      </w:r>
      <w:r w:rsidR="00A21FFC" w:rsidRPr="00244D65">
        <w:rPr>
          <w:noProof/>
        </w:rPr>
        <w:t>-</w:t>
      </w:r>
      <w:r w:rsidRPr="00244D65">
        <w:rPr>
          <w:noProof/>
        </w:rPr>
        <w:t>coded as follows</w:t>
      </w:r>
    </w:p>
    <w:tbl>
      <w:tblPr>
        <w:tblpPr w:leftFromText="180" w:rightFromText="180" w:vertAnchor="text" w:horzAnchor="margin" w:tblpY="51"/>
        <w:tblW w:w="0" w:type="auto"/>
        <w:tblLayout w:type="fixed"/>
        <w:tblLook w:val="04A0" w:firstRow="1" w:lastRow="0" w:firstColumn="1" w:lastColumn="0" w:noHBand="0" w:noVBand="1"/>
      </w:tblPr>
      <w:tblGrid>
        <w:gridCol w:w="1775"/>
        <w:gridCol w:w="1701"/>
        <w:gridCol w:w="876"/>
        <w:gridCol w:w="1652"/>
        <w:gridCol w:w="1726"/>
      </w:tblGrid>
      <w:tr w:rsidR="00293CAE" w:rsidRPr="00244D65" w14:paraId="567DB316" w14:textId="77777777" w:rsidTr="000C653C">
        <w:trPr>
          <w:trHeight w:val="558"/>
        </w:trPr>
        <w:tc>
          <w:tcPr>
            <w:tcW w:w="1775" w:type="dxa"/>
            <w:tcBorders>
              <w:top w:val="single" w:sz="4" w:space="0" w:color="auto"/>
              <w:left w:val="single" w:sz="4" w:space="0" w:color="auto"/>
              <w:bottom w:val="single" w:sz="4" w:space="0" w:color="auto"/>
              <w:right w:val="single" w:sz="4" w:space="0" w:color="auto"/>
            </w:tcBorders>
            <w:shd w:val="clear" w:color="auto" w:fill="FF0000"/>
          </w:tcPr>
          <w:p w14:paraId="5E113B02" w14:textId="77777777" w:rsidR="00293CAE" w:rsidRPr="00244D65" w:rsidRDefault="32826278" w:rsidP="0085595C">
            <w:pPr>
              <w:pStyle w:val="BodyText"/>
              <w:spacing w:line="240" w:lineRule="auto"/>
              <w:rPr>
                <w:rFonts w:ascii="Times New Roman" w:eastAsia="Times New Roman" w:hAnsi="Times New Roman" w:cs="Times New Roman"/>
                <w:noProof/>
                <w:sz w:val="22"/>
                <w:szCs w:val="22"/>
                <w:lang w:eastAsia="en-GB"/>
              </w:rPr>
            </w:pPr>
            <w:r w:rsidRPr="00244D65">
              <w:rPr>
                <w:rFonts w:ascii="Times New Roman" w:eastAsia="Times New Roman" w:hAnsi="Times New Roman" w:cs="Times New Roman"/>
                <w:noProof/>
                <w:sz w:val="22"/>
                <w:szCs w:val="22"/>
                <w:lang w:eastAsia="en-GB"/>
              </w:rPr>
              <w:t>Strongly negative</w:t>
            </w:r>
          </w:p>
        </w:tc>
        <w:tc>
          <w:tcPr>
            <w:tcW w:w="1701" w:type="dxa"/>
            <w:tcBorders>
              <w:top w:val="single" w:sz="4" w:space="0" w:color="auto"/>
              <w:left w:val="single" w:sz="4" w:space="0" w:color="auto"/>
              <w:bottom w:val="single" w:sz="4" w:space="0" w:color="auto"/>
              <w:right w:val="single" w:sz="4" w:space="0" w:color="auto"/>
            </w:tcBorders>
            <w:shd w:val="clear" w:color="auto" w:fill="FFC000"/>
          </w:tcPr>
          <w:p w14:paraId="5611AA78" w14:textId="77777777" w:rsidR="00293CAE" w:rsidRPr="00244D65" w:rsidRDefault="32826278" w:rsidP="00834409">
            <w:pPr>
              <w:pStyle w:val="BodyText"/>
              <w:spacing w:line="240" w:lineRule="auto"/>
              <w:rPr>
                <w:rFonts w:ascii="Times New Roman" w:eastAsia="Times New Roman" w:hAnsi="Times New Roman" w:cs="Times New Roman"/>
                <w:noProof/>
                <w:sz w:val="22"/>
                <w:szCs w:val="22"/>
                <w:lang w:eastAsia="en-GB"/>
              </w:rPr>
            </w:pPr>
            <w:r w:rsidRPr="00244D65">
              <w:rPr>
                <w:rFonts w:ascii="Times New Roman" w:eastAsia="Times New Roman" w:hAnsi="Times New Roman" w:cs="Times New Roman"/>
                <w:noProof/>
                <w:sz w:val="22"/>
                <w:szCs w:val="22"/>
                <w:lang w:eastAsia="en-GB"/>
              </w:rPr>
              <w:t>Weakly negative</w:t>
            </w:r>
          </w:p>
        </w:tc>
        <w:tc>
          <w:tcPr>
            <w:tcW w:w="876"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7EC5A943" w14:textId="24E6F58B" w:rsidR="00293CAE" w:rsidRPr="00244D65" w:rsidRDefault="00AD5A78" w:rsidP="0085595C">
            <w:pPr>
              <w:pStyle w:val="BodyText"/>
              <w:spacing w:line="240" w:lineRule="auto"/>
              <w:rPr>
                <w:rFonts w:ascii="Times New Roman" w:eastAsia="Times New Roman" w:hAnsi="Times New Roman" w:cs="Times New Roman"/>
                <w:noProof/>
                <w:sz w:val="22"/>
                <w:szCs w:val="22"/>
                <w:lang w:eastAsia="en-GB"/>
              </w:rPr>
            </w:pPr>
            <w:r w:rsidRPr="00244D65">
              <w:rPr>
                <w:rFonts w:ascii="Times New Roman" w:eastAsia="Times New Roman" w:hAnsi="Times New Roman" w:cs="Times New Roman"/>
                <w:noProof/>
                <w:sz w:val="22"/>
                <w:szCs w:val="22"/>
                <w:lang w:eastAsia="en-GB"/>
              </w:rPr>
              <w:t>Neutral</w:t>
            </w:r>
          </w:p>
        </w:tc>
        <w:tc>
          <w:tcPr>
            <w:tcW w:w="1652" w:type="dxa"/>
            <w:tcBorders>
              <w:top w:val="single" w:sz="4" w:space="0" w:color="auto"/>
              <w:left w:val="single" w:sz="4" w:space="0" w:color="auto"/>
              <w:bottom w:val="single" w:sz="4" w:space="0" w:color="auto"/>
              <w:right w:val="single" w:sz="4" w:space="0" w:color="auto"/>
            </w:tcBorders>
            <w:shd w:val="clear" w:color="auto" w:fill="92D050"/>
          </w:tcPr>
          <w:p w14:paraId="7FFB7037" w14:textId="77777777" w:rsidR="00293CAE" w:rsidRPr="00244D65" w:rsidRDefault="32826278" w:rsidP="0085595C">
            <w:pPr>
              <w:pStyle w:val="BodyText"/>
              <w:spacing w:line="240" w:lineRule="auto"/>
              <w:rPr>
                <w:rFonts w:ascii="Times New Roman" w:eastAsia="Times New Roman" w:hAnsi="Times New Roman" w:cs="Times New Roman"/>
                <w:noProof/>
                <w:sz w:val="22"/>
                <w:szCs w:val="22"/>
                <w:lang w:eastAsia="en-GB"/>
              </w:rPr>
            </w:pPr>
            <w:r w:rsidRPr="00244D65">
              <w:rPr>
                <w:rFonts w:ascii="Times New Roman" w:eastAsia="Times New Roman" w:hAnsi="Times New Roman" w:cs="Times New Roman"/>
                <w:noProof/>
                <w:sz w:val="22"/>
                <w:szCs w:val="22"/>
                <w:lang w:eastAsia="en-GB"/>
              </w:rPr>
              <w:t>Weakly positive</w:t>
            </w:r>
          </w:p>
        </w:tc>
        <w:tc>
          <w:tcPr>
            <w:tcW w:w="1726" w:type="dxa"/>
            <w:tcBorders>
              <w:top w:val="single" w:sz="4" w:space="0" w:color="auto"/>
              <w:left w:val="single" w:sz="4" w:space="0" w:color="auto"/>
              <w:bottom w:val="single" w:sz="4" w:space="0" w:color="auto"/>
              <w:right w:val="single" w:sz="4" w:space="0" w:color="auto"/>
            </w:tcBorders>
            <w:shd w:val="clear" w:color="auto" w:fill="00B050"/>
          </w:tcPr>
          <w:p w14:paraId="6C0CD800" w14:textId="3E078891" w:rsidR="00293CAE" w:rsidRPr="00244D65" w:rsidRDefault="32826278" w:rsidP="0085595C">
            <w:pPr>
              <w:pStyle w:val="BodyText"/>
              <w:spacing w:line="240" w:lineRule="auto"/>
              <w:rPr>
                <w:rFonts w:ascii="Times New Roman" w:eastAsia="Times New Roman" w:hAnsi="Times New Roman" w:cs="Times New Roman"/>
                <w:noProof/>
                <w:sz w:val="22"/>
                <w:szCs w:val="22"/>
                <w:lang w:eastAsia="en-GB"/>
              </w:rPr>
            </w:pPr>
            <w:r w:rsidRPr="00244D65">
              <w:rPr>
                <w:rFonts w:ascii="Times New Roman" w:eastAsia="Times New Roman" w:hAnsi="Times New Roman" w:cs="Times New Roman"/>
                <w:noProof/>
                <w:sz w:val="22"/>
                <w:szCs w:val="22"/>
                <w:lang w:eastAsia="en-GB"/>
              </w:rPr>
              <w:t>Strongly positive</w:t>
            </w:r>
          </w:p>
        </w:tc>
      </w:tr>
    </w:tbl>
    <w:p w14:paraId="31FAEFC3" w14:textId="77777777" w:rsidR="009C3243" w:rsidRPr="00244D65" w:rsidRDefault="009C3243" w:rsidP="0085595C">
      <w:pPr>
        <w:rPr>
          <w:noProof/>
        </w:rPr>
      </w:pPr>
      <w:bookmarkStart w:id="287" w:name="_Ref212155227"/>
    </w:p>
    <w:p w14:paraId="3D404083" w14:textId="77777777" w:rsidR="00C937C4" w:rsidRPr="00244D65" w:rsidRDefault="00C937C4" w:rsidP="0085595C">
      <w:pPr>
        <w:rPr>
          <w:noProof/>
        </w:rPr>
      </w:pPr>
    </w:p>
    <w:p w14:paraId="2059B78D" w14:textId="0CF88D64" w:rsidR="005E4778" w:rsidRDefault="00890D7D" w:rsidP="005E4778">
      <w:pPr>
        <w:pStyle w:val="Tabletitle"/>
        <w:rPr>
          <w:noProof/>
        </w:rPr>
        <w:sectPr w:rsidR="005E4778" w:rsidSect="007F7714">
          <w:headerReference w:type="default" r:id="rId29"/>
          <w:footerReference w:type="default" r:id="rId30"/>
          <w:headerReference w:type="first" r:id="rId31"/>
          <w:footerReference w:type="first" r:id="rId32"/>
          <w:pgSz w:w="11906" w:h="16838"/>
          <w:pgMar w:top="1440" w:right="1440" w:bottom="1440" w:left="1440" w:header="601" w:footer="1077" w:gutter="0"/>
          <w:pgNumType w:start="1"/>
          <w:cols w:space="720"/>
          <w:docGrid w:linePitch="326"/>
        </w:sectPr>
      </w:pPr>
      <w:bookmarkStart w:id="288" w:name="_Toc234496394"/>
      <w:bookmarkStart w:id="289" w:name="_Toc232754574"/>
      <w:r w:rsidRPr="00244D65">
        <w:rPr>
          <w:noProof/>
        </w:rPr>
        <w:t>Overview on the effectiveness of the measures</w:t>
      </w:r>
      <w:bookmarkEnd w:id="288"/>
      <w:bookmarkEnd w:id="289"/>
    </w:p>
    <w:tbl>
      <w:tblPr>
        <w:tblW w:w="5000" w:type="pct"/>
        <w:tblLook w:val="04A0" w:firstRow="1" w:lastRow="0" w:firstColumn="1" w:lastColumn="0" w:noHBand="0" w:noVBand="1"/>
      </w:tblPr>
      <w:tblGrid>
        <w:gridCol w:w="1268"/>
        <w:gridCol w:w="4336"/>
        <w:gridCol w:w="4875"/>
        <w:gridCol w:w="4307"/>
      </w:tblGrid>
      <w:tr w:rsidR="002F3F8E" w:rsidRPr="00244D65" w14:paraId="5199C07B" w14:textId="77777777" w:rsidTr="00C937C4">
        <w:trPr>
          <w:trHeight w:val="300"/>
          <w:tblHeader/>
        </w:trPr>
        <w:tc>
          <w:tcPr>
            <w:tcW w:w="412" w:type="pct"/>
            <w:tcBorders>
              <w:top w:val="single" w:sz="4" w:space="0" w:color="auto"/>
              <w:left w:val="single" w:sz="4" w:space="0" w:color="auto"/>
              <w:bottom w:val="single" w:sz="4" w:space="0" w:color="auto"/>
              <w:right w:val="single" w:sz="4" w:space="0" w:color="auto"/>
            </w:tcBorders>
          </w:tcPr>
          <w:p w14:paraId="160C2D7A" w14:textId="77777777" w:rsidR="002F3F8E" w:rsidRPr="00244D65" w:rsidRDefault="002F3F8E" w:rsidP="0085595C">
            <w:pPr>
              <w:pStyle w:val="BodyText"/>
              <w:spacing w:line="240" w:lineRule="auto"/>
              <w:rPr>
                <w:rFonts w:ascii="Times New Roman" w:eastAsia="MS Mincho" w:hAnsi="Times New Roman" w:cs="Times New Roman"/>
                <w:noProof/>
                <w:sz w:val="22"/>
                <w:szCs w:val="22"/>
                <w:lang w:eastAsia="en-GB"/>
              </w:rPr>
            </w:pPr>
          </w:p>
        </w:tc>
        <w:tc>
          <w:tcPr>
            <w:tcW w:w="1472" w:type="pct"/>
            <w:tcBorders>
              <w:top w:val="single" w:sz="4" w:space="0" w:color="auto"/>
              <w:left w:val="single" w:sz="4" w:space="0" w:color="auto"/>
              <w:bottom w:val="single" w:sz="4" w:space="0" w:color="auto"/>
              <w:right w:val="single" w:sz="4" w:space="0" w:color="auto"/>
            </w:tcBorders>
          </w:tcPr>
          <w:p w14:paraId="6C395A1D" w14:textId="0C54677D" w:rsidR="002F3F8E" w:rsidRPr="00244D65" w:rsidRDefault="004A4976" w:rsidP="0085595C">
            <w:pPr>
              <w:pStyle w:val="BodyText"/>
              <w:spacing w:line="240" w:lineRule="auto"/>
              <w:rPr>
                <w:rFonts w:ascii="Times New Roman" w:eastAsia="MS Mincho" w:hAnsi="Times New Roman" w:cs="Times New Roman"/>
                <w:noProof/>
                <w:sz w:val="22"/>
                <w:szCs w:val="22"/>
                <w:lang w:eastAsia="en-GB"/>
              </w:rPr>
            </w:pPr>
            <w:r w:rsidRPr="00244D65">
              <w:rPr>
                <w:rFonts w:ascii="Times New Roman" w:eastAsia="MS Mincho" w:hAnsi="Times New Roman" w:cs="Times New Roman"/>
                <w:b/>
                <w:noProof/>
                <w:sz w:val="22"/>
                <w:szCs w:val="22"/>
                <w:lang w:eastAsia="en-GB"/>
              </w:rPr>
              <w:t>PO1</w:t>
            </w:r>
          </w:p>
        </w:tc>
        <w:tc>
          <w:tcPr>
            <w:tcW w:w="1654" w:type="pct"/>
            <w:tcBorders>
              <w:top w:val="single" w:sz="4" w:space="0" w:color="auto"/>
              <w:left w:val="single" w:sz="4" w:space="0" w:color="auto"/>
              <w:bottom w:val="single" w:sz="4" w:space="0" w:color="auto"/>
              <w:right w:val="single" w:sz="4" w:space="0" w:color="auto"/>
            </w:tcBorders>
          </w:tcPr>
          <w:p w14:paraId="6F42FE99" w14:textId="279EA609" w:rsidR="002F3F8E" w:rsidRPr="00244D65" w:rsidRDefault="004A4976" w:rsidP="0085595C">
            <w:pPr>
              <w:pStyle w:val="BodyText"/>
              <w:spacing w:line="240" w:lineRule="auto"/>
              <w:rPr>
                <w:rFonts w:ascii="Times New Roman" w:eastAsia="MS Mincho" w:hAnsi="Times New Roman" w:cs="Times New Roman"/>
                <w:noProof/>
                <w:sz w:val="22"/>
                <w:szCs w:val="22"/>
                <w:lang w:eastAsia="en-GB"/>
              </w:rPr>
            </w:pPr>
            <w:r w:rsidRPr="00244D65">
              <w:rPr>
                <w:rFonts w:ascii="Times New Roman" w:eastAsia="MS Mincho" w:hAnsi="Times New Roman" w:cs="Times New Roman"/>
                <w:b/>
                <w:noProof/>
                <w:sz w:val="22"/>
                <w:szCs w:val="22"/>
                <w:lang w:eastAsia="en-GB"/>
              </w:rPr>
              <w:t>PO2</w:t>
            </w:r>
          </w:p>
        </w:tc>
        <w:tc>
          <w:tcPr>
            <w:tcW w:w="1461" w:type="pct"/>
            <w:tcBorders>
              <w:top w:val="single" w:sz="4" w:space="0" w:color="auto"/>
              <w:left w:val="single" w:sz="4" w:space="0" w:color="auto"/>
              <w:bottom w:val="single" w:sz="4" w:space="0" w:color="auto"/>
              <w:right w:val="single" w:sz="4" w:space="0" w:color="auto"/>
            </w:tcBorders>
          </w:tcPr>
          <w:p w14:paraId="1F566CD4" w14:textId="7646DBF9" w:rsidR="002F3F8E" w:rsidRPr="00244D65" w:rsidRDefault="002F3F8E" w:rsidP="0085595C">
            <w:pPr>
              <w:pStyle w:val="BodyText"/>
              <w:spacing w:line="240" w:lineRule="auto"/>
              <w:rPr>
                <w:rFonts w:ascii="Times New Roman" w:eastAsia="MS Mincho" w:hAnsi="Times New Roman" w:cs="Times New Roman"/>
                <w:noProof/>
                <w:sz w:val="22"/>
                <w:szCs w:val="22"/>
                <w:lang w:eastAsia="en-GB"/>
              </w:rPr>
            </w:pPr>
            <w:r w:rsidRPr="00244D65">
              <w:rPr>
                <w:rFonts w:ascii="Times New Roman" w:eastAsia="MS Mincho" w:hAnsi="Times New Roman" w:cs="Times New Roman"/>
                <w:b/>
                <w:noProof/>
                <w:sz w:val="22"/>
                <w:szCs w:val="22"/>
                <w:lang w:eastAsia="en-GB"/>
              </w:rPr>
              <w:t>PO3</w:t>
            </w:r>
          </w:p>
        </w:tc>
      </w:tr>
      <w:tr w:rsidR="00060373" w:rsidRPr="00244D65" w14:paraId="17262082" w14:textId="77777777" w:rsidTr="00C937C4">
        <w:trPr>
          <w:trHeight w:val="300"/>
        </w:trPr>
        <w:tc>
          <w:tcPr>
            <w:tcW w:w="5000" w:type="pct"/>
            <w:gridSpan w:val="4"/>
            <w:tcBorders>
              <w:top w:val="single" w:sz="4" w:space="0" w:color="auto"/>
              <w:left w:val="single" w:sz="4" w:space="0" w:color="auto"/>
              <w:bottom w:val="single" w:sz="4" w:space="0" w:color="auto"/>
              <w:right w:val="single" w:sz="4" w:space="0" w:color="auto"/>
            </w:tcBorders>
          </w:tcPr>
          <w:p w14:paraId="46110CD5" w14:textId="50DC0612" w:rsidR="00060373" w:rsidRPr="00244D65" w:rsidRDefault="618BB8EE" w:rsidP="0085595C">
            <w:pPr>
              <w:pStyle w:val="BodyText"/>
              <w:spacing w:line="240" w:lineRule="auto"/>
              <w:rPr>
                <w:rFonts w:ascii="Times New Roman" w:eastAsia="MS Mincho" w:hAnsi="Times New Roman" w:cs="Times New Roman"/>
                <w:noProof/>
                <w:sz w:val="22"/>
                <w:szCs w:val="22"/>
                <w:lang w:eastAsia="en-GB"/>
              </w:rPr>
            </w:pPr>
            <w:r w:rsidRPr="00244D65">
              <w:rPr>
                <w:rFonts w:ascii="Times New Roman" w:eastAsia="MS Mincho" w:hAnsi="Times New Roman" w:cs="Times New Roman"/>
                <w:noProof/>
                <w:sz w:val="22"/>
                <w:szCs w:val="22"/>
                <w:lang w:eastAsia="en-GB"/>
              </w:rPr>
              <w:t>General objective 1.1:</w:t>
            </w:r>
            <w:r w:rsidR="000C653C" w:rsidRPr="00244D65">
              <w:rPr>
                <w:rFonts w:ascii="Times New Roman" w:eastAsia="MS Mincho" w:hAnsi="Times New Roman" w:cs="Times New Roman"/>
                <w:noProof/>
                <w:sz w:val="22"/>
                <w:szCs w:val="22"/>
                <w:lang w:eastAsia="en-GB"/>
              </w:rPr>
              <w:t xml:space="preserve"> </w:t>
            </w:r>
            <w:r w:rsidRPr="00244D65">
              <w:rPr>
                <w:rFonts w:ascii="Times New Roman" w:eastAsia="MS Mincho" w:hAnsi="Times New Roman" w:cs="Times New Roman"/>
                <w:noProof/>
                <w:sz w:val="22"/>
                <w:szCs w:val="22"/>
                <w:lang w:eastAsia="en-GB"/>
              </w:rPr>
              <w:t>Incentivise further emission reductions</w:t>
            </w:r>
          </w:p>
        </w:tc>
      </w:tr>
      <w:tr w:rsidR="00A3415E" w:rsidRPr="00244D65" w14:paraId="60A69A9F" w14:textId="77777777" w:rsidTr="00C937C4">
        <w:trPr>
          <w:trHeight w:val="300"/>
        </w:trPr>
        <w:tc>
          <w:tcPr>
            <w:tcW w:w="412" w:type="pct"/>
            <w:tcBorders>
              <w:top w:val="single" w:sz="4" w:space="0" w:color="auto"/>
              <w:left w:val="single" w:sz="4" w:space="0" w:color="auto"/>
              <w:bottom w:val="single" w:sz="4" w:space="0" w:color="auto"/>
              <w:right w:val="single" w:sz="4" w:space="0" w:color="auto"/>
            </w:tcBorders>
          </w:tcPr>
          <w:p w14:paraId="29E92D2A" w14:textId="62F1541C" w:rsidR="00060373" w:rsidRPr="00244D65" w:rsidRDefault="00060373" w:rsidP="0085595C">
            <w:pPr>
              <w:pStyle w:val="BodyText"/>
              <w:spacing w:line="240" w:lineRule="auto"/>
              <w:rPr>
                <w:rFonts w:ascii="Times New Roman" w:eastAsia="MS Mincho" w:hAnsi="Times New Roman" w:cs="Times New Roman"/>
                <w:noProof/>
                <w:sz w:val="22"/>
                <w:szCs w:val="22"/>
                <w:lang w:eastAsia="en-GB"/>
              </w:rPr>
            </w:pPr>
            <w:r w:rsidRPr="00244D65">
              <w:rPr>
                <w:rFonts w:ascii="Times New Roman" w:eastAsia="MS Mincho" w:hAnsi="Times New Roman" w:cs="Times New Roman"/>
                <w:noProof/>
                <w:sz w:val="22"/>
                <w:szCs w:val="22"/>
                <w:lang w:eastAsia="en-GB"/>
              </w:rPr>
              <w:t>Enable investments</w:t>
            </w:r>
          </w:p>
          <w:p w14:paraId="79A5B62C" w14:textId="71765DA6" w:rsidR="00060373" w:rsidRPr="00244D65" w:rsidRDefault="00060373" w:rsidP="0085595C">
            <w:pPr>
              <w:pStyle w:val="BodyText"/>
              <w:spacing w:line="240" w:lineRule="auto"/>
              <w:rPr>
                <w:rFonts w:ascii="Times New Roman" w:eastAsia="MS Mincho" w:hAnsi="Times New Roman" w:cs="Times New Roman"/>
                <w:noProof/>
                <w:sz w:val="22"/>
                <w:szCs w:val="22"/>
                <w:lang w:eastAsia="en-GB"/>
              </w:rPr>
            </w:pPr>
            <w:r w:rsidRPr="00244D65">
              <w:rPr>
                <w:rFonts w:ascii="Times New Roman" w:eastAsia="MS Mincho" w:hAnsi="Times New Roman" w:cs="Times New Roman"/>
                <w:noProof/>
                <w:sz w:val="22"/>
                <w:szCs w:val="22"/>
                <w:lang w:eastAsia="en-GB"/>
              </w:rPr>
              <w:t>(SO.1.1.1)</w:t>
            </w:r>
          </w:p>
        </w:tc>
        <w:tc>
          <w:tcPr>
            <w:tcW w:w="1472"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0E8156A8" w14:textId="72D5AF92" w:rsidR="00060373" w:rsidRPr="00244D65" w:rsidRDefault="00ED3ABE" w:rsidP="0085595C">
            <w:pPr>
              <w:pStyle w:val="BodyText"/>
              <w:spacing w:line="240" w:lineRule="auto"/>
              <w:rPr>
                <w:rFonts w:ascii="Times New Roman" w:eastAsia="MS Mincho" w:hAnsi="Times New Roman" w:cs="Times New Roman"/>
                <w:noProof/>
                <w:sz w:val="22"/>
                <w:szCs w:val="22"/>
                <w:lang w:eastAsia="en-GB"/>
              </w:rPr>
            </w:pPr>
            <w:r w:rsidRPr="00244D65">
              <w:rPr>
                <w:rFonts w:ascii="Times New Roman" w:eastAsia="MS Mincho" w:hAnsi="Times New Roman" w:cs="Times New Roman"/>
                <w:noProof/>
                <w:sz w:val="22"/>
                <w:szCs w:val="22"/>
                <w:lang w:eastAsia="en-GB"/>
              </w:rPr>
              <w:t>Neutral as t</w:t>
            </w:r>
            <w:r w:rsidR="00060373" w:rsidRPr="00244D65">
              <w:rPr>
                <w:rFonts w:ascii="Times New Roman" w:eastAsia="MS Mincho" w:hAnsi="Times New Roman" w:cs="Times New Roman"/>
                <w:noProof/>
                <w:sz w:val="22"/>
                <w:szCs w:val="22"/>
                <w:lang w:eastAsia="en-GB"/>
              </w:rPr>
              <w:t>he continued carbon leakage protection, while providing additional space for companies, provides no additional incentives for investment</w:t>
            </w:r>
          </w:p>
          <w:p w14:paraId="12E625DA" w14:textId="0ABD6D34" w:rsidR="00060373" w:rsidRPr="00244D65" w:rsidRDefault="00ED3ABE" w:rsidP="0085595C">
            <w:pPr>
              <w:pStyle w:val="BodyText"/>
              <w:spacing w:line="240" w:lineRule="auto"/>
              <w:rPr>
                <w:rFonts w:ascii="Times New Roman" w:eastAsia="MS Mincho" w:hAnsi="Times New Roman" w:cs="Times New Roman"/>
                <w:noProof/>
                <w:sz w:val="22"/>
                <w:szCs w:val="22"/>
                <w:lang w:eastAsia="en-GB"/>
              </w:rPr>
            </w:pPr>
            <w:r w:rsidRPr="00244D65">
              <w:rPr>
                <w:rFonts w:ascii="Times New Roman" w:eastAsia="MS Mincho" w:hAnsi="Times New Roman" w:cs="Times New Roman"/>
                <w:noProof/>
                <w:sz w:val="22"/>
                <w:szCs w:val="22"/>
                <w:lang w:eastAsia="en-GB"/>
              </w:rPr>
              <w:t>Neutral as l</w:t>
            </w:r>
            <w:r w:rsidR="00060373" w:rsidRPr="00244D65">
              <w:rPr>
                <w:rFonts w:ascii="Times New Roman" w:eastAsia="MS Mincho" w:hAnsi="Times New Roman" w:cs="Times New Roman"/>
                <w:noProof/>
                <w:sz w:val="22"/>
                <w:szCs w:val="22"/>
                <w:lang w:eastAsia="en-GB"/>
              </w:rPr>
              <w:t xml:space="preserve">imited </w:t>
            </w:r>
            <w:r w:rsidRPr="00244D65">
              <w:rPr>
                <w:rFonts w:ascii="Times New Roman" w:eastAsia="MS Mincho" w:hAnsi="Times New Roman" w:cs="Times New Roman"/>
                <w:noProof/>
                <w:sz w:val="22"/>
                <w:szCs w:val="22"/>
                <w:lang w:eastAsia="en-GB"/>
              </w:rPr>
              <w:t>additional</w:t>
            </w:r>
            <w:r w:rsidR="00060373" w:rsidRPr="00244D65">
              <w:rPr>
                <w:rFonts w:ascii="Times New Roman" w:eastAsia="MS Mincho" w:hAnsi="Times New Roman" w:cs="Times New Roman"/>
                <w:noProof/>
                <w:sz w:val="22"/>
                <w:szCs w:val="22"/>
                <w:lang w:eastAsia="en-GB"/>
              </w:rPr>
              <w:t xml:space="preserve"> incentives to invest in carbon capture and the lack of level playing for CCU restricts investments</w:t>
            </w:r>
            <w:r w:rsidR="002A142F" w:rsidRPr="00244D65">
              <w:rPr>
                <w:rFonts w:ascii="Times New Roman" w:eastAsia="MS Mincho" w:hAnsi="Times New Roman" w:cs="Times New Roman"/>
                <w:noProof/>
                <w:sz w:val="22"/>
                <w:szCs w:val="22"/>
                <w:lang w:eastAsia="en-GB"/>
              </w:rPr>
              <w:t xml:space="preserve">. </w:t>
            </w:r>
          </w:p>
          <w:p w14:paraId="7F1462F5" w14:textId="39A77EE4" w:rsidR="36338CE4" w:rsidRPr="00244D65" w:rsidRDefault="00D327C4" w:rsidP="0085595C">
            <w:pPr>
              <w:pStyle w:val="BodyText"/>
              <w:spacing w:line="240" w:lineRule="auto"/>
              <w:rPr>
                <w:rFonts w:ascii="Times New Roman" w:eastAsia="MS Mincho" w:hAnsi="Times New Roman" w:cs="Times New Roman"/>
                <w:noProof/>
                <w:sz w:val="22"/>
                <w:szCs w:val="22"/>
                <w:lang w:eastAsia="en-GB"/>
              </w:rPr>
            </w:pPr>
            <w:r w:rsidRPr="00244D65">
              <w:rPr>
                <w:rFonts w:ascii="Times New Roman" w:eastAsia="MS Mincho" w:hAnsi="Times New Roman" w:cs="Times New Roman"/>
                <w:noProof/>
                <w:sz w:val="22"/>
                <w:szCs w:val="22"/>
                <w:lang w:eastAsia="en-GB"/>
              </w:rPr>
              <w:t>Weakly positive</w:t>
            </w:r>
            <w:r w:rsidR="60C081F2" w:rsidRPr="00244D65">
              <w:rPr>
                <w:rFonts w:ascii="Times New Roman" w:eastAsia="MS Mincho" w:hAnsi="Times New Roman" w:cs="Times New Roman"/>
                <w:noProof/>
                <w:sz w:val="22"/>
                <w:szCs w:val="22"/>
                <w:lang w:eastAsia="en-GB"/>
              </w:rPr>
              <w:t xml:space="preserve"> </w:t>
            </w:r>
            <w:r w:rsidR="0022186A" w:rsidRPr="00244D65">
              <w:rPr>
                <w:rFonts w:ascii="Times New Roman" w:eastAsia="MS Mincho" w:hAnsi="Times New Roman" w:cs="Times New Roman"/>
                <w:noProof/>
                <w:sz w:val="22"/>
                <w:szCs w:val="22"/>
                <w:lang w:eastAsia="en-GB"/>
              </w:rPr>
              <w:t>impact of</w:t>
            </w:r>
            <w:r w:rsidR="60C081F2" w:rsidRPr="00244D65">
              <w:rPr>
                <w:rFonts w:ascii="Times New Roman" w:eastAsia="MS Mincho" w:hAnsi="Times New Roman" w:cs="Times New Roman"/>
                <w:noProof/>
                <w:sz w:val="22"/>
                <w:szCs w:val="22"/>
                <w:lang w:eastAsia="en-GB"/>
              </w:rPr>
              <w:t xml:space="preserve"> IDB </w:t>
            </w:r>
            <w:r w:rsidR="00FA59C2" w:rsidRPr="00244D65">
              <w:rPr>
                <w:rFonts w:ascii="Times New Roman" w:eastAsia="MS Mincho" w:hAnsi="Times New Roman" w:cs="Times New Roman"/>
                <w:noProof/>
                <w:sz w:val="22"/>
                <w:szCs w:val="22"/>
                <w:lang w:eastAsia="en-GB"/>
              </w:rPr>
              <w:t>PO1</w:t>
            </w:r>
            <w:r w:rsidR="003A5AA7" w:rsidRPr="00244D65">
              <w:rPr>
                <w:rFonts w:ascii="Times New Roman" w:eastAsia="MS Mincho" w:hAnsi="Times New Roman" w:cs="Times New Roman"/>
                <w:noProof/>
                <w:sz w:val="22"/>
                <w:szCs w:val="22"/>
                <w:lang w:eastAsia="en-GB"/>
              </w:rPr>
              <w:t xml:space="preserve"> </w:t>
            </w:r>
            <w:r w:rsidR="00972E7A" w:rsidRPr="00244D65">
              <w:rPr>
                <w:rFonts w:ascii="Times New Roman" w:eastAsia="MS Mincho" w:hAnsi="Times New Roman" w:cs="Times New Roman"/>
                <w:noProof/>
                <w:sz w:val="22"/>
                <w:szCs w:val="22"/>
                <w:lang w:eastAsia="en-GB"/>
              </w:rPr>
              <w:t>that addresses well the</w:t>
            </w:r>
            <w:r w:rsidR="00FA59C2" w:rsidRPr="00244D65">
              <w:rPr>
                <w:rFonts w:ascii="Times New Roman" w:eastAsia="MS Mincho" w:hAnsi="Times New Roman" w:cs="Times New Roman"/>
                <w:noProof/>
                <w:sz w:val="22"/>
                <w:szCs w:val="22"/>
                <w:lang w:eastAsia="en-GB"/>
              </w:rPr>
              <w:t xml:space="preserve"> </w:t>
            </w:r>
            <w:r w:rsidR="04847E53" w:rsidRPr="00244D65">
              <w:rPr>
                <w:rFonts w:ascii="Times New Roman" w:eastAsia="MS Mincho" w:hAnsi="Times New Roman" w:cs="Times New Roman"/>
                <w:noProof/>
                <w:sz w:val="22"/>
                <w:szCs w:val="22"/>
                <w:lang w:eastAsia="en-GB"/>
              </w:rPr>
              <w:t>funding</w:t>
            </w:r>
            <w:r w:rsidR="60C081F2" w:rsidRPr="00244D65">
              <w:rPr>
                <w:rFonts w:ascii="Times New Roman" w:eastAsia="MS Mincho" w:hAnsi="Times New Roman" w:cs="Times New Roman"/>
                <w:noProof/>
                <w:sz w:val="22"/>
                <w:szCs w:val="22"/>
                <w:lang w:eastAsia="en-GB"/>
              </w:rPr>
              <w:t xml:space="preserve"> gap </w:t>
            </w:r>
            <w:r w:rsidR="00972E7A" w:rsidRPr="00244D65">
              <w:rPr>
                <w:rFonts w:ascii="Times New Roman" w:eastAsia="MS Mincho" w:hAnsi="Times New Roman" w:cs="Times New Roman"/>
                <w:noProof/>
                <w:sz w:val="22"/>
                <w:szCs w:val="22"/>
                <w:lang w:eastAsia="en-GB"/>
              </w:rPr>
              <w:t xml:space="preserve">of industrial decarbonisation projects </w:t>
            </w:r>
            <w:r w:rsidR="00CA40B2" w:rsidRPr="00244D65">
              <w:rPr>
                <w:rFonts w:ascii="Times New Roman" w:eastAsia="MS Mincho" w:hAnsi="Times New Roman" w:cs="Times New Roman"/>
                <w:noProof/>
                <w:sz w:val="22"/>
                <w:szCs w:val="22"/>
                <w:lang w:eastAsia="en-GB"/>
              </w:rPr>
              <w:t xml:space="preserve">but represents </w:t>
            </w:r>
            <w:r w:rsidR="522BE25A" w:rsidRPr="00244D65">
              <w:rPr>
                <w:rFonts w:ascii="Times New Roman" w:eastAsia="MS Mincho" w:hAnsi="Times New Roman" w:cs="Times New Roman"/>
                <w:noProof/>
                <w:sz w:val="22"/>
                <w:szCs w:val="22"/>
                <w:lang w:eastAsia="en-GB"/>
              </w:rPr>
              <w:t>operational complexity</w:t>
            </w:r>
            <w:r w:rsidR="00CA40B2" w:rsidRPr="00244D65">
              <w:rPr>
                <w:rFonts w:ascii="Times New Roman" w:eastAsia="MS Mincho" w:hAnsi="Times New Roman" w:cs="Times New Roman"/>
                <w:noProof/>
                <w:sz w:val="22"/>
                <w:szCs w:val="22"/>
                <w:lang w:eastAsia="en-GB"/>
              </w:rPr>
              <w:t xml:space="preserve">, risk of </w:t>
            </w:r>
            <w:r w:rsidR="007B4D60" w:rsidRPr="00244D65">
              <w:rPr>
                <w:rFonts w:ascii="Times New Roman" w:eastAsia="MS Mincho" w:hAnsi="Times New Roman" w:cs="Times New Roman"/>
                <w:noProof/>
                <w:sz w:val="22"/>
                <w:szCs w:val="22"/>
                <w:lang w:eastAsia="en-GB"/>
              </w:rPr>
              <w:t>projects’ dropout</w:t>
            </w:r>
            <w:r w:rsidR="00A36FA4" w:rsidRPr="00244D65">
              <w:rPr>
                <w:rFonts w:ascii="Times New Roman" w:eastAsia="MS Mincho" w:hAnsi="Times New Roman" w:cs="Times New Roman"/>
                <w:noProof/>
                <w:sz w:val="22"/>
                <w:szCs w:val="22"/>
                <w:lang w:eastAsia="en-GB"/>
              </w:rPr>
              <w:t>s,</w:t>
            </w:r>
            <w:r w:rsidR="522BE25A" w:rsidRPr="00244D65">
              <w:rPr>
                <w:rFonts w:ascii="Times New Roman" w:eastAsia="MS Mincho" w:hAnsi="Times New Roman" w:cs="Times New Roman"/>
                <w:noProof/>
                <w:sz w:val="22"/>
                <w:szCs w:val="22"/>
                <w:lang w:eastAsia="en-GB"/>
              </w:rPr>
              <w:t xml:space="preserve"> </w:t>
            </w:r>
            <w:r w:rsidR="00CA40B2" w:rsidRPr="00244D65">
              <w:rPr>
                <w:rFonts w:ascii="Times New Roman" w:eastAsia="MS Mincho" w:hAnsi="Times New Roman" w:cs="Times New Roman"/>
                <w:noProof/>
                <w:sz w:val="22"/>
                <w:szCs w:val="22"/>
                <w:lang w:eastAsia="en-GB"/>
              </w:rPr>
              <w:t xml:space="preserve">administrative </w:t>
            </w:r>
            <w:r w:rsidR="522BE25A" w:rsidRPr="00244D65">
              <w:rPr>
                <w:rFonts w:ascii="Times New Roman" w:eastAsia="MS Mincho" w:hAnsi="Times New Roman" w:cs="Times New Roman"/>
                <w:noProof/>
                <w:sz w:val="22"/>
                <w:szCs w:val="22"/>
                <w:lang w:eastAsia="en-GB"/>
              </w:rPr>
              <w:t>burden</w:t>
            </w:r>
            <w:r w:rsidR="00CA40B2" w:rsidRPr="00244D65">
              <w:rPr>
                <w:rFonts w:ascii="Times New Roman" w:eastAsia="MS Mincho" w:hAnsi="Times New Roman" w:cs="Times New Roman"/>
                <w:noProof/>
                <w:sz w:val="22"/>
                <w:szCs w:val="22"/>
                <w:lang w:eastAsia="en-GB"/>
              </w:rPr>
              <w:t xml:space="preserve"> </w:t>
            </w:r>
            <w:r w:rsidR="00A36FA4" w:rsidRPr="00244D65">
              <w:rPr>
                <w:rFonts w:ascii="Times New Roman" w:eastAsia="MS Mincho" w:hAnsi="Times New Roman" w:cs="Times New Roman"/>
                <w:noProof/>
                <w:sz w:val="22"/>
                <w:szCs w:val="22"/>
                <w:lang w:eastAsia="en-GB"/>
              </w:rPr>
              <w:t>and geographical imbalances.</w:t>
            </w:r>
          </w:p>
          <w:p w14:paraId="5EDB35C8" w14:textId="77777777" w:rsidR="00D169F3" w:rsidRPr="00244D65" w:rsidRDefault="00F0590B" w:rsidP="0085595C">
            <w:pPr>
              <w:pStyle w:val="BodyText"/>
              <w:spacing w:line="240" w:lineRule="auto"/>
              <w:rPr>
                <w:rFonts w:ascii="Times New Roman" w:eastAsia="MS Mincho" w:hAnsi="Times New Roman" w:cs="Times New Roman"/>
                <w:noProof/>
                <w:sz w:val="22"/>
                <w:szCs w:val="22"/>
                <w:lang w:eastAsia="en-GB"/>
              </w:rPr>
            </w:pPr>
            <w:r w:rsidRPr="00244D65">
              <w:rPr>
                <w:rFonts w:ascii="Times New Roman" w:eastAsia="MS Mincho" w:hAnsi="Times New Roman" w:cs="Times New Roman"/>
                <w:noProof/>
                <w:sz w:val="22"/>
                <w:szCs w:val="22"/>
                <w:lang w:eastAsia="en-GB"/>
              </w:rPr>
              <w:t>Weakly p</w:t>
            </w:r>
            <w:r w:rsidR="0049219D" w:rsidRPr="00244D65">
              <w:rPr>
                <w:rFonts w:ascii="Times New Roman" w:eastAsia="MS Mincho" w:hAnsi="Times New Roman" w:cs="Times New Roman"/>
                <w:noProof/>
                <w:sz w:val="22"/>
                <w:szCs w:val="22"/>
                <w:lang w:eastAsia="en-GB"/>
              </w:rPr>
              <w:t xml:space="preserve">ositive impact as PO1 </w:t>
            </w:r>
            <w:r w:rsidRPr="00244D65">
              <w:rPr>
                <w:rFonts w:ascii="Times New Roman" w:eastAsia="MS Mincho" w:hAnsi="Times New Roman" w:cs="Times New Roman"/>
                <w:noProof/>
                <w:sz w:val="22"/>
                <w:szCs w:val="22"/>
                <w:lang w:eastAsia="en-GB"/>
              </w:rPr>
              <w:t xml:space="preserve">maintains MF with slightly increased </w:t>
            </w:r>
            <w:r w:rsidR="008A0DDD" w:rsidRPr="00244D65">
              <w:rPr>
                <w:rFonts w:ascii="Times New Roman" w:eastAsia="MS Mincho" w:hAnsi="Times New Roman" w:cs="Times New Roman"/>
                <w:noProof/>
                <w:sz w:val="22"/>
                <w:szCs w:val="22"/>
                <w:lang w:eastAsia="en-GB"/>
              </w:rPr>
              <w:t xml:space="preserve">level of </w:t>
            </w:r>
            <w:r w:rsidRPr="00244D65">
              <w:rPr>
                <w:rFonts w:ascii="Times New Roman" w:eastAsia="MS Mincho" w:hAnsi="Times New Roman" w:cs="Times New Roman"/>
                <w:noProof/>
                <w:sz w:val="22"/>
                <w:szCs w:val="22"/>
                <w:lang w:eastAsia="en-GB"/>
              </w:rPr>
              <w:t xml:space="preserve">environmental </w:t>
            </w:r>
            <w:r w:rsidR="008A0DDD" w:rsidRPr="00244D65">
              <w:rPr>
                <w:rFonts w:ascii="Times New Roman" w:eastAsia="MS Mincho" w:hAnsi="Times New Roman" w:cs="Times New Roman"/>
                <w:noProof/>
                <w:sz w:val="22"/>
                <w:szCs w:val="22"/>
                <w:lang w:eastAsia="en-GB"/>
              </w:rPr>
              <w:t>ambition</w:t>
            </w:r>
            <w:r w:rsidR="00D169F3" w:rsidRPr="00244D65">
              <w:rPr>
                <w:rFonts w:ascii="Times New Roman" w:eastAsia="MS Mincho" w:hAnsi="Times New Roman" w:cs="Times New Roman"/>
                <w:noProof/>
                <w:sz w:val="22"/>
                <w:szCs w:val="22"/>
                <w:lang w:eastAsia="en-GB"/>
              </w:rPr>
              <w:t xml:space="preserve"> </w:t>
            </w:r>
          </w:p>
          <w:p w14:paraId="47FE9311" w14:textId="6B816400" w:rsidR="00D169F3" w:rsidRPr="00244D65" w:rsidRDefault="0096789E" w:rsidP="0085595C">
            <w:pPr>
              <w:pStyle w:val="BodyText"/>
              <w:spacing w:line="240" w:lineRule="auto"/>
              <w:rPr>
                <w:rFonts w:ascii="Times New Roman" w:eastAsia="MS Mincho" w:hAnsi="Times New Roman" w:cs="Times New Roman"/>
                <w:noProof/>
                <w:sz w:val="22"/>
                <w:szCs w:val="22"/>
                <w:lang w:eastAsia="en-GB"/>
              </w:rPr>
            </w:pPr>
            <w:r w:rsidRPr="00244D65">
              <w:rPr>
                <w:rFonts w:ascii="Times New Roman" w:eastAsia="MS Mincho" w:hAnsi="Times New Roman" w:cs="Times New Roman"/>
                <w:noProof/>
                <w:sz w:val="22"/>
                <w:szCs w:val="22"/>
                <w:lang w:eastAsia="en-GB"/>
              </w:rPr>
              <w:t>Neutral, l</w:t>
            </w:r>
            <w:r w:rsidR="00D169F3" w:rsidRPr="00244D65">
              <w:rPr>
                <w:rFonts w:ascii="Times New Roman" w:eastAsia="MS Mincho" w:hAnsi="Times New Roman" w:cs="Times New Roman"/>
                <w:noProof/>
                <w:sz w:val="22"/>
                <w:szCs w:val="22"/>
                <w:lang w:eastAsia="en-GB"/>
              </w:rPr>
              <w:t>imited</w:t>
            </w:r>
            <w:r w:rsidRPr="00244D65">
              <w:rPr>
                <w:rFonts w:ascii="Times New Roman" w:eastAsia="MS Mincho" w:hAnsi="Times New Roman" w:cs="Times New Roman"/>
                <w:noProof/>
                <w:sz w:val="22"/>
                <w:szCs w:val="22"/>
                <w:lang w:eastAsia="en-GB"/>
              </w:rPr>
              <w:t xml:space="preserve"> additional</w:t>
            </w:r>
            <w:r w:rsidR="00D169F3" w:rsidRPr="00244D65">
              <w:rPr>
                <w:rFonts w:ascii="Times New Roman" w:eastAsia="MS Mincho" w:hAnsi="Times New Roman" w:cs="Times New Roman"/>
                <w:noProof/>
                <w:sz w:val="22"/>
                <w:szCs w:val="22"/>
                <w:lang w:eastAsia="en-GB"/>
              </w:rPr>
              <w:t xml:space="preserve"> incentives for maritime sector to decarbonise.</w:t>
            </w:r>
          </w:p>
          <w:p w14:paraId="654AAC98" w14:textId="0C5CBC89" w:rsidR="00060373" w:rsidRPr="00244D65" w:rsidRDefault="00060373" w:rsidP="0085595C">
            <w:pPr>
              <w:pStyle w:val="BodyText"/>
              <w:spacing w:line="240" w:lineRule="auto"/>
              <w:rPr>
                <w:rFonts w:ascii="Times New Roman" w:eastAsia="MS Mincho" w:hAnsi="Times New Roman" w:cs="Times New Roman"/>
                <w:noProof/>
                <w:sz w:val="22"/>
                <w:szCs w:val="22"/>
                <w:lang w:eastAsia="en-GB"/>
              </w:rPr>
            </w:pPr>
          </w:p>
        </w:tc>
        <w:tc>
          <w:tcPr>
            <w:tcW w:w="1654" w:type="pct"/>
            <w:tcBorders>
              <w:top w:val="single" w:sz="4" w:space="0" w:color="auto"/>
              <w:left w:val="single" w:sz="4" w:space="0" w:color="auto"/>
              <w:bottom w:val="single" w:sz="4" w:space="0" w:color="auto"/>
              <w:right w:val="single" w:sz="4" w:space="0" w:color="auto"/>
            </w:tcBorders>
            <w:shd w:val="clear" w:color="auto" w:fill="00B050"/>
          </w:tcPr>
          <w:p w14:paraId="575D1557" w14:textId="29C262D5" w:rsidR="00BE451C" w:rsidRPr="00244D65" w:rsidRDefault="00060373" w:rsidP="0085595C">
            <w:pPr>
              <w:pStyle w:val="BodyText"/>
              <w:spacing w:line="240" w:lineRule="auto"/>
              <w:rPr>
                <w:rFonts w:ascii="Times New Roman" w:eastAsia="MS Mincho" w:hAnsi="Times New Roman" w:cs="Times New Roman"/>
                <w:noProof/>
                <w:sz w:val="22"/>
                <w:szCs w:val="22"/>
                <w:lang w:eastAsia="en-GB"/>
              </w:rPr>
            </w:pPr>
            <w:r w:rsidRPr="00244D65">
              <w:rPr>
                <w:rFonts w:ascii="Times New Roman" w:eastAsia="MS Mincho" w:hAnsi="Times New Roman" w:cs="Times New Roman"/>
                <w:noProof/>
                <w:sz w:val="22"/>
                <w:szCs w:val="22"/>
                <w:lang w:eastAsia="en-GB"/>
              </w:rPr>
              <w:t xml:space="preserve">Strongly </w:t>
            </w:r>
            <w:r w:rsidR="00332C35" w:rsidRPr="00244D65">
              <w:rPr>
                <w:rFonts w:ascii="Times New Roman" w:eastAsia="MS Mincho" w:hAnsi="Times New Roman" w:cs="Times New Roman"/>
                <w:noProof/>
                <w:sz w:val="22"/>
                <w:szCs w:val="22"/>
                <w:lang w:eastAsia="en-GB"/>
              </w:rPr>
              <w:t xml:space="preserve">positive </w:t>
            </w:r>
            <w:r w:rsidRPr="00244D65">
              <w:rPr>
                <w:rFonts w:ascii="Times New Roman" w:eastAsia="MS Mincho" w:hAnsi="Times New Roman" w:cs="Times New Roman"/>
                <w:noProof/>
                <w:sz w:val="22"/>
                <w:szCs w:val="22"/>
                <w:lang w:eastAsia="en-GB"/>
              </w:rPr>
              <w:t xml:space="preserve">impact under PO2 as the inclusion of conditional free allocation and hybrid downstream and midstream accounting </w:t>
            </w:r>
            <w:r w:rsidR="00634CE3" w:rsidRPr="00244D65">
              <w:rPr>
                <w:rFonts w:ascii="Times New Roman" w:eastAsia="MS Mincho" w:hAnsi="Times New Roman" w:cs="Times New Roman"/>
                <w:noProof/>
                <w:sz w:val="22"/>
                <w:szCs w:val="22"/>
                <w:lang w:eastAsia="en-GB"/>
              </w:rPr>
              <w:t xml:space="preserve">for CCU </w:t>
            </w:r>
            <w:r w:rsidR="00890D7D" w:rsidRPr="00244D65">
              <w:rPr>
                <w:rFonts w:ascii="Times New Roman" w:eastAsia="MS Mincho" w:hAnsi="Times New Roman" w:cs="Times New Roman"/>
                <w:noProof/>
                <w:sz w:val="22"/>
                <w:szCs w:val="22"/>
                <w:lang w:eastAsia="en-GB"/>
              </w:rPr>
              <w:t>may</w:t>
            </w:r>
            <w:r w:rsidR="00634CE3" w:rsidRPr="00244D65">
              <w:rPr>
                <w:rFonts w:ascii="Times New Roman" w:eastAsia="MS Mincho" w:hAnsi="Times New Roman" w:cs="Times New Roman"/>
                <w:noProof/>
                <w:sz w:val="22"/>
                <w:szCs w:val="22"/>
                <w:lang w:eastAsia="en-GB"/>
              </w:rPr>
              <w:t xml:space="preserve"> </w:t>
            </w:r>
            <w:r w:rsidRPr="00244D65">
              <w:rPr>
                <w:rFonts w:ascii="Times New Roman" w:eastAsia="MS Mincho" w:hAnsi="Times New Roman" w:cs="Times New Roman"/>
                <w:noProof/>
                <w:sz w:val="22"/>
                <w:szCs w:val="22"/>
                <w:lang w:eastAsia="en-GB"/>
              </w:rPr>
              <w:t>prompt additional investments.</w:t>
            </w:r>
          </w:p>
          <w:p w14:paraId="4F954DA0" w14:textId="2F1CFC18" w:rsidR="10399E7A" w:rsidRPr="00244D65" w:rsidRDefault="10399E7A" w:rsidP="0085595C">
            <w:pPr>
              <w:pStyle w:val="BodyText"/>
              <w:spacing w:line="240" w:lineRule="auto"/>
              <w:rPr>
                <w:rFonts w:ascii="Times New Roman" w:eastAsia="MS Mincho" w:hAnsi="Times New Roman" w:cs="Times New Roman"/>
                <w:noProof/>
                <w:sz w:val="22"/>
                <w:szCs w:val="22"/>
                <w:lang w:eastAsia="en-GB"/>
              </w:rPr>
            </w:pPr>
            <w:r w:rsidRPr="00244D65">
              <w:rPr>
                <w:rFonts w:ascii="Times New Roman" w:eastAsia="MS Mincho" w:hAnsi="Times New Roman" w:cs="Times New Roman"/>
                <w:noProof/>
                <w:sz w:val="22"/>
                <w:szCs w:val="22"/>
                <w:lang w:eastAsia="en-GB"/>
              </w:rPr>
              <w:t>Strongly positive o</w:t>
            </w:r>
            <w:r w:rsidR="007B4D60" w:rsidRPr="00244D65">
              <w:rPr>
                <w:rFonts w:ascii="Times New Roman" w:eastAsia="MS Mincho" w:hAnsi="Times New Roman" w:cs="Times New Roman"/>
                <w:noProof/>
                <w:sz w:val="22"/>
                <w:szCs w:val="22"/>
                <w:lang w:eastAsia="en-GB"/>
              </w:rPr>
              <w:t>f</w:t>
            </w:r>
            <w:r w:rsidRPr="00244D65">
              <w:rPr>
                <w:rFonts w:ascii="Times New Roman" w:eastAsia="MS Mincho" w:hAnsi="Times New Roman" w:cs="Times New Roman"/>
                <w:noProof/>
                <w:sz w:val="22"/>
                <w:szCs w:val="22"/>
                <w:lang w:eastAsia="en-GB"/>
              </w:rPr>
              <w:t xml:space="preserve"> IDB </w:t>
            </w:r>
            <w:r w:rsidR="007B4D60" w:rsidRPr="00244D65">
              <w:rPr>
                <w:rFonts w:ascii="Times New Roman" w:eastAsia="MS Mincho" w:hAnsi="Times New Roman" w:cs="Times New Roman"/>
                <w:noProof/>
                <w:sz w:val="22"/>
                <w:szCs w:val="22"/>
                <w:lang w:eastAsia="en-GB"/>
              </w:rPr>
              <w:t xml:space="preserve">PO2 </w:t>
            </w:r>
            <w:r w:rsidR="00E4211A" w:rsidRPr="00244D65">
              <w:rPr>
                <w:rFonts w:ascii="Times New Roman" w:eastAsia="MS Mincho" w:hAnsi="Times New Roman" w:cs="Times New Roman"/>
                <w:noProof/>
                <w:sz w:val="22"/>
                <w:szCs w:val="22"/>
                <w:lang w:eastAsia="en-GB"/>
              </w:rPr>
              <w:t>that addresses well the funding gap of industrial decarbonisation projects</w:t>
            </w:r>
            <w:r w:rsidR="00B964D0" w:rsidRPr="00244D65">
              <w:rPr>
                <w:rFonts w:ascii="Times New Roman" w:eastAsia="MS Mincho" w:hAnsi="Times New Roman" w:cs="Times New Roman"/>
                <w:noProof/>
                <w:sz w:val="22"/>
                <w:szCs w:val="22"/>
                <w:lang w:eastAsia="en-GB"/>
              </w:rPr>
              <w:t xml:space="preserve"> and offers simplification</w:t>
            </w:r>
            <w:r w:rsidR="00A36FA4" w:rsidRPr="00244D65">
              <w:rPr>
                <w:rFonts w:ascii="Times New Roman" w:eastAsia="MS Mincho" w:hAnsi="Times New Roman" w:cs="Times New Roman"/>
                <w:noProof/>
                <w:sz w:val="22"/>
                <w:szCs w:val="22"/>
                <w:lang w:eastAsia="en-GB"/>
              </w:rPr>
              <w:t>, attractive financial model</w:t>
            </w:r>
            <w:r w:rsidR="00B964D0" w:rsidRPr="00244D65">
              <w:rPr>
                <w:rFonts w:ascii="Times New Roman" w:eastAsia="MS Mincho" w:hAnsi="Times New Roman" w:cs="Times New Roman"/>
                <w:noProof/>
                <w:sz w:val="22"/>
                <w:szCs w:val="22"/>
                <w:lang w:eastAsia="en-GB"/>
              </w:rPr>
              <w:t xml:space="preserve"> as well as </w:t>
            </w:r>
            <w:r w:rsidR="00D53EFB" w:rsidRPr="00244D65">
              <w:rPr>
                <w:rFonts w:ascii="Times New Roman" w:eastAsia="MS Mincho" w:hAnsi="Times New Roman" w:cs="Times New Roman"/>
                <w:noProof/>
                <w:sz w:val="22"/>
                <w:szCs w:val="22"/>
                <w:lang w:eastAsia="en-GB"/>
              </w:rPr>
              <w:t>clear rewards for ‘front-runner’ projects. The risk of unspent resources is minimised</w:t>
            </w:r>
            <w:r w:rsidR="00A36FA4" w:rsidRPr="00244D65">
              <w:rPr>
                <w:rFonts w:ascii="Times New Roman" w:eastAsia="MS Mincho" w:hAnsi="Times New Roman" w:cs="Times New Roman"/>
                <w:noProof/>
                <w:sz w:val="22"/>
                <w:szCs w:val="22"/>
                <w:lang w:eastAsia="en-GB"/>
              </w:rPr>
              <w:t>. There is a</w:t>
            </w:r>
            <w:r w:rsidRPr="00244D65">
              <w:rPr>
                <w:rFonts w:ascii="Times New Roman" w:eastAsia="MS Mincho" w:hAnsi="Times New Roman" w:cs="Times New Roman"/>
                <w:noProof/>
                <w:sz w:val="22"/>
                <w:szCs w:val="22"/>
                <w:lang w:eastAsia="en-GB"/>
              </w:rPr>
              <w:t xml:space="preserve"> s</w:t>
            </w:r>
            <w:r w:rsidR="0AFE1123" w:rsidRPr="00244D65">
              <w:rPr>
                <w:rFonts w:ascii="Times New Roman" w:eastAsia="MS Mincho" w:hAnsi="Times New Roman" w:cs="Times New Roman"/>
                <w:noProof/>
                <w:sz w:val="22"/>
                <w:szCs w:val="22"/>
                <w:lang w:eastAsia="en-GB"/>
              </w:rPr>
              <w:t>trong alignment of funding with the scale and type of the decarbonisation challenges</w:t>
            </w:r>
            <w:r w:rsidR="00A36FA4" w:rsidRPr="00244D65">
              <w:rPr>
                <w:rFonts w:ascii="Times New Roman" w:eastAsia="MS Mincho" w:hAnsi="Times New Roman" w:cs="Times New Roman"/>
                <w:noProof/>
                <w:sz w:val="22"/>
                <w:szCs w:val="22"/>
                <w:lang w:eastAsia="en-GB"/>
              </w:rPr>
              <w:t xml:space="preserve"> and proposal strikes a balance between the </w:t>
            </w:r>
            <w:r w:rsidR="00A06427" w:rsidRPr="00244D65">
              <w:rPr>
                <w:rFonts w:ascii="Times New Roman" w:eastAsia="MS Mincho" w:hAnsi="Times New Roman" w:cs="Times New Roman"/>
                <w:noProof/>
                <w:sz w:val="22"/>
                <w:szCs w:val="22"/>
                <w:lang w:eastAsia="en-GB"/>
              </w:rPr>
              <w:t>EU-level competition as well as geographical balance</w:t>
            </w:r>
            <w:r w:rsidR="0AFE1123" w:rsidRPr="00244D65">
              <w:rPr>
                <w:rFonts w:ascii="Times New Roman" w:eastAsia="MS Mincho" w:hAnsi="Times New Roman" w:cs="Times New Roman"/>
                <w:noProof/>
                <w:sz w:val="22"/>
                <w:szCs w:val="22"/>
                <w:lang w:eastAsia="en-GB"/>
              </w:rPr>
              <w:t xml:space="preserve">. </w:t>
            </w:r>
          </w:p>
          <w:p w14:paraId="55FDED4A" w14:textId="1691E0B0" w:rsidR="00060373" w:rsidRPr="00244D65" w:rsidRDefault="00B80108" w:rsidP="0085595C">
            <w:pPr>
              <w:pStyle w:val="BodyText"/>
              <w:spacing w:line="240" w:lineRule="auto"/>
              <w:rPr>
                <w:rFonts w:ascii="Times New Roman" w:eastAsia="MS Mincho" w:hAnsi="Times New Roman" w:cs="Times New Roman"/>
                <w:noProof/>
                <w:sz w:val="22"/>
                <w:szCs w:val="22"/>
                <w:lang w:eastAsia="en-GB"/>
              </w:rPr>
            </w:pPr>
            <w:r w:rsidRPr="00244D65">
              <w:rPr>
                <w:rFonts w:ascii="Times New Roman" w:eastAsia="MS Mincho" w:hAnsi="Times New Roman" w:cs="Times New Roman"/>
                <w:noProof/>
                <w:sz w:val="22"/>
                <w:szCs w:val="22"/>
                <w:lang w:eastAsia="en-GB"/>
              </w:rPr>
              <w:t>Strong</w:t>
            </w:r>
            <w:r w:rsidR="008A0DDD" w:rsidRPr="00244D65">
              <w:rPr>
                <w:rFonts w:ascii="Times New Roman" w:eastAsia="MS Mincho" w:hAnsi="Times New Roman" w:cs="Times New Roman"/>
                <w:noProof/>
                <w:sz w:val="22"/>
                <w:szCs w:val="22"/>
                <w:lang w:eastAsia="en-GB"/>
              </w:rPr>
              <w:t xml:space="preserve">ly </w:t>
            </w:r>
            <w:r w:rsidRPr="00244D65">
              <w:rPr>
                <w:rFonts w:ascii="Times New Roman" w:eastAsia="MS Mincho" w:hAnsi="Times New Roman" w:cs="Times New Roman"/>
                <w:noProof/>
                <w:sz w:val="22"/>
                <w:szCs w:val="22"/>
                <w:lang w:eastAsia="en-GB"/>
              </w:rPr>
              <w:t>positive</w:t>
            </w:r>
            <w:r w:rsidR="008A0DDD" w:rsidRPr="00244D65">
              <w:rPr>
                <w:rFonts w:ascii="Times New Roman" w:eastAsia="MS Mincho" w:hAnsi="Times New Roman" w:cs="Times New Roman"/>
                <w:noProof/>
                <w:sz w:val="22"/>
                <w:szCs w:val="22"/>
                <w:lang w:eastAsia="en-GB"/>
              </w:rPr>
              <w:t xml:space="preserve"> impact as PO2 maintains </w:t>
            </w:r>
            <w:r w:rsidR="008441C9" w:rsidRPr="00244D65">
              <w:rPr>
                <w:rFonts w:ascii="Times New Roman" w:eastAsia="MS Mincho" w:hAnsi="Times New Roman" w:cs="Times New Roman"/>
                <w:noProof/>
                <w:sz w:val="22"/>
                <w:szCs w:val="22"/>
                <w:lang w:eastAsia="en-GB"/>
              </w:rPr>
              <w:t xml:space="preserve">the </w:t>
            </w:r>
            <w:r w:rsidR="008A0DDD" w:rsidRPr="00244D65">
              <w:rPr>
                <w:rFonts w:ascii="Times New Roman" w:eastAsia="MS Mincho" w:hAnsi="Times New Roman" w:cs="Times New Roman"/>
                <w:noProof/>
                <w:sz w:val="22"/>
                <w:szCs w:val="22"/>
                <w:lang w:eastAsia="en-GB"/>
              </w:rPr>
              <w:t xml:space="preserve">MF with </w:t>
            </w:r>
            <w:r w:rsidR="008441C9" w:rsidRPr="00244D65">
              <w:rPr>
                <w:rFonts w:ascii="Times New Roman" w:eastAsia="MS Mincho" w:hAnsi="Times New Roman" w:cs="Times New Roman"/>
                <w:noProof/>
                <w:sz w:val="22"/>
                <w:szCs w:val="22"/>
                <w:lang w:eastAsia="en-GB"/>
              </w:rPr>
              <w:t>an</w:t>
            </w:r>
            <w:r w:rsidR="008A0DDD" w:rsidRPr="00244D65">
              <w:rPr>
                <w:rFonts w:ascii="Times New Roman" w:eastAsia="MS Mincho" w:hAnsi="Times New Roman" w:cs="Times New Roman"/>
                <w:noProof/>
                <w:sz w:val="22"/>
                <w:szCs w:val="22"/>
                <w:lang w:eastAsia="en-GB"/>
              </w:rPr>
              <w:t xml:space="preserve"> importantly increased level of environmental ambition</w:t>
            </w:r>
            <w:r w:rsidR="00F75109" w:rsidRPr="00244D65">
              <w:rPr>
                <w:rFonts w:ascii="Times New Roman" w:eastAsia="MS Mincho" w:hAnsi="Times New Roman" w:cs="Times New Roman"/>
                <w:noProof/>
                <w:sz w:val="22"/>
                <w:szCs w:val="22"/>
                <w:lang w:eastAsia="en-GB"/>
              </w:rPr>
              <w:t>, fully aligned with 2040 policy package</w:t>
            </w:r>
          </w:p>
          <w:p w14:paraId="7CCC31BC" w14:textId="0EC4A68E" w:rsidR="001A3B4E" w:rsidRPr="00244D65" w:rsidRDefault="001A3B4E" w:rsidP="0085595C">
            <w:pPr>
              <w:pStyle w:val="BodyText"/>
              <w:spacing w:line="240" w:lineRule="auto"/>
              <w:rPr>
                <w:rFonts w:ascii="Times New Roman" w:eastAsia="MS Mincho" w:hAnsi="Times New Roman" w:cs="Times New Roman"/>
                <w:noProof/>
                <w:sz w:val="22"/>
                <w:szCs w:val="22"/>
                <w:lang w:eastAsia="en-GB"/>
              </w:rPr>
            </w:pPr>
            <w:r w:rsidRPr="00244D65">
              <w:rPr>
                <w:rFonts w:ascii="Times New Roman" w:eastAsia="MS Mincho" w:hAnsi="Times New Roman" w:cs="Times New Roman"/>
                <w:noProof/>
                <w:sz w:val="22"/>
                <w:szCs w:val="22"/>
                <w:lang w:eastAsia="en-GB"/>
              </w:rPr>
              <w:t>Strongly positive impact to narrow the price gap between fossil fuels and the alternative fuels and propulsion technologies for maritime</w:t>
            </w:r>
          </w:p>
        </w:tc>
        <w:tc>
          <w:tcPr>
            <w:tcW w:w="1461" w:type="pct"/>
            <w:tcBorders>
              <w:top w:val="single" w:sz="4" w:space="0" w:color="auto"/>
              <w:left w:val="single" w:sz="4" w:space="0" w:color="auto"/>
              <w:bottom w:val="single" w:sz="4" w:space="0" w:color="auto"/>
              <w:right w:val="single" w:sz="4" w:space="0" w:color="auto"/>
            </w:tcBorders>
            <w:shd w:val="clear" w:color="auto" w:fill="92D050"/>
          </w:tcPr>
          <w:p w14:paraId="743BDD63" w14:textId="1F00D1EF" w:rsidR="00060373" w:rsidRPr="00244D65" w:rsidRDefault="00060373" w:rsidP="0085595C">
            <w:pPr>
              <w:pStyle w:val="BodyText"/>
              <w:spacing w:line="240" w:lineRule="auto"/>
              <w:rPr>
                <w:rFonts w:ascii="Times New Roman" w:eastAsia="MS Mincho" w:hAnsi="Times New Roman" w:cs="Times New Roman"/>
                <w:noProof/>
                <w:sz w:val="22"/>
                <w:szCs w:val="22"/>
                <w:lang w:eastAsia="en-GB"/>
              </w:rPr>
            </w:pPr>
            <w:r w:rsidRPr="00244D65">
              <w:rPr>
                <w:rFonts w:ascii="Times New Roman" w:eastAsia="MS Mincho" w:hAnsi="Times New Roman" w:cs="Times New Roman"/>
                <w:noProof/>
                <w:sz w:val="22"/>
                <w:szCs w:val="22"/>
                <w:lang w:eastAsia="en-GB"/>
              </w:rPr>
              <w:t xml:space="preserve">Weakly positive impact under PO3 as the inclusion of hybrid midstream accounting incentivises additional investments in carbon capture and CCU. However, the phase out of free allocation under </w:t>
            </w:r>
            <w:r w:rsidR="008724F8" w:rsidRPr="00244D65">
              <w:rPr>
                <w:rFonts w:ascii="Times New Roman" w:eastAsia="MS Mincho" w:hAnsi="Times New Roman" w:cs="Times New Roman"/>
                <w:noProof/>
                <w:sz w:val="22"/>
                <w:szCs w:val="22"/>
                <w:lang w:eastAsia="en-GB"/>
              </w:rPr>
              <w:t xml:space="preserve">PO3 </w:t>
            </w:r>
            <w:r w:rsidRPr="00244D65">
              <w:rPr>
                <w:rFonts w:ascii="Times New Roman" w:eastAsia="MS Mincho" w:hAnsi="Times New Roman" w:cs="Times New Roman"/>
                <w:noProof/>
                <w:sz w:val="22"/>
                <w:szCs w:val="22"/>
                <w:lang w:eastAsia="en-GB"/>
              </w:rPr>
              <w:t xml:space="preserve">significantly increases the exposure of companies to </w:t>
            </w:r>
            <w:r w:rsidR="00D76EBE" w:rsidRPr="00244D65">
              <w:rPr>
                <w:rFonts w:ascii="Times New Roman" w:eastAsia="MS Mincho" w:hAnsi="Times New Roman" w:cs="Times New Roman"/>
                <w:noProof/>
                <w:sz w:val="22"/>
                <w:szCs w:val="22"/>
                <w:lang w:eastAsia="en-GB"/>
              </w:rPr>
              <w:t>carbon</w:t>
            </w:r>
            <w:r w:rsidRPr="00244D65">
              <w:rPr>
                <w:rFonts w:ascii="Times New Roman" w:eastAsia="MS Mincho" w:hAnsi="Times New Roman" w:cs="Times New Roman"/>
                <w:noProof/>
                <w:sz w:val="22"/>
                <w:szCs w:val="22"/>
                <w:lang w:eastAsia="en-GB"/>
              </w:rPr>
              <w:t xml:space="preserve"> costs, which may affect their ability to invest.</w:t>
            </w:r>
          </w:p>
          <w:p w14:paraId="282D7D19" w14:textId="5FB866CB" w:rsidR="00854BE8" w:rsidRPr="00244D65" w:rsidRDefault="0BBEB3FA" w:rsidP="0085595C">
            <w:pPr>
              <w:pStyle w:val="BodyText"/>
              <w:spacing w:line="240" w:lineRule="auto"/>
              <w:rPr>
                <w:rFonts w:ascii="Times New Roman" w:eastAsia="MS Mincho" w:hAnsi="Times New Roman" w:cs="Times New Roman"/>
                <w:noProof/>
                <w:sz w:val="22"/>
                <w:szCs w:val="22"/>
                <w:lang w:eastAsia="en-GB"/>
              </w:rPr>
            </w:pPr>
            <w:r w:rsidRPr="00244D65">
              <w:rPr>
                <w:rFonts w:ascii="Times New Roman" w:eastAsia="MS Mincho" w:hAnsi="Times New Roman" w:cs="Times New Roman"/>
                <w:noProof/>
                <w:sz w:val="22"/>
                <w:szCs w:val="22"/>
                <w:lang w:eastAsia="en-GB"/>
              </w:rPr>
              <w:t xml:space="preserve">Moderate </w:t>
            </w:r>
            <w:r w:rsidR="102A4A06" w:rsidRPr="00244D65">
              <w:rPr>
                <w:rFonts w:ascii="Times New Roman" w:eastAsia="MS Mincho" w:hAnsi="Times New Roman" w:cs="Times New Roman"/>
                <w:noProof/>
                <w:sz w:val="22"/>
                <w:szCs w:val="22"/>
                <w:lang w:eastAsia="en-GB"/>
              </w:rPr>
              <w:t xml:space="preserve">impact </w:t>
            </w:r>
            <w:r w:rsidR="70AC21E0" w:rsidRPr="00244D65" w:rsidDel="102A4A06">
              <w:rPr>
                <w:rFonts w:ascii="Times New Roman" w:eastAsia="MS Mincho" w:hAnsi="Times New Roman" w:cs="Times New Roman"/>
                <w:noProof/>
                <w:sz w:val="22"/>
                <w:szCs w:val="22"/>
                <w:lang w:eastAsia="en-GB"/>
              </w:rPr>
              <w:t xml:space="preserve">of </w:t>
            </w:r>
            <w:r w:rsidR="2D904965" w:rsidRPr="00244D65">
              <w:rPr>
                <w:rFonts w:ascii="Times New Roman" w:eastAsia="MS Mincho" w:hAnsi="Times New Roman" w:cs="Times New Roman"/>
                <w:noProof/>
                <w:sz w:val="22"/>
                <w:szCs w:val="22"/>
                <w:lang w:eastAsia="en-GB"/>
              </w:rPr>
              <w:t>IDB</w:t>
            </w:r>
            <w:r w:rsidRPr="00244D65">
              <w:rPr>
                <w:rFonts w:ascii="Times New Roman" w:eastAsia="MS Mincho" w:hAnsi="Times New Roman" w:cs="Times New Roman"/>
                <w:noProof/>
                <w:sz w:val="22"/>
                <w:szCs w:val="22"/>
                <w:lang w:eastAsia="en-GB"/>
              </w:rPr>
              <w:t xml:space="preserve"> </w:t>
            </w:r>
            <w:r w:rsidR="102A4A06" w:rsidRPr="00244D65">
              <w:rPr>
                <w:rFonts w:ascii="Times New Roman" w:eastAsia="MS Mincho" w:hAnsi="Times New Roman" w:cs="Times New Roman"/>
                <w:noProof/>
                <w:sz w:val="22"/>
                <w:szCs w:val="22"/>
                <w:lang w:eastAsia="en-GB"/>
              </w:rPr>
              <w:t xml:space="preserve">PO3 that addresses well the funding gap of industrial decarbonisation projects </w:t>
            </w:r>
            <w:r w:rsidR="2FED2640" w:rsidRPr="00244D65">
              <w:rPr>
                <w:rFonts w:ascii="Times New Roman" w:eastAsia="MS Mincho" w:hAnsi="Times New Roman" w:cs="Times New Roman"/>
                <w:noProof/>
                <w:sz w:val="22"/>
                <w:szCs w:val="22"/>
                <w:lang w:eastAsia="en-GB"/>
              </w:rPr>
              <w:t xml:space="preserve">but </w:t>
            </w:r>
            <w:r w:rsidR="1B048E86" w:rsidRPr="00244D65">
              <w:rPr>
                <w:rFonts w:ascii="Times New Roman" w:eastAsia="MS Mincho" w:hAnsi="Times New Roman" w:cs="Times New Roman"/>
                <w:noProof/>
                <w:sz w:val="22"/>
                <w:szCs w:val="22"/>
                <w:lang w:eastAsia="en-GB"/>
              </w:rPr>
              <w:t xml:space="preserve">with some design complexity and </w:t>
            </w:r>
            <w:r w:rsidR="1EB9AEC8" w:rsidRPr="00244D65">
              <w:rPr>
                <w:rFonts w:ascii="Times New Roman" w:eastAsia="MS Mincho" w:hAnsi="Times New Roman" w:cs="Times New Roman"/>
                <w:noProof/>
                <w:sz w:val="22"/>
                <w:szCs w:val="22"/>
                <w:lang w:eastAsia="en-GB"/>
              </w:rPr>
              <w:t>incentives for more risky projects</w:t>
            </w:r>
            <w:r w:rsidR="390435CF" w:rsidRPr="00244D65">
              <w:rPr>
                <w:rFonts w:ascii="Times New Roman" w:eastAsia="MS Mincho" w:hAnsi="Times New Roman" w:cs="Times New Roman"/>
                <w:noProof/>
                <w:sz w:val="22"/>
                <w:szCs w:val="22"/>
                <w:lang w:eastAsia="en-GB"/>
              </w:rPr>
              <w:t>. There is a risk of projects’ dropouts</w:t>
            </w:r>
            <w:r w:rsidR="007B60B4" w:rsidRPr="00244D65">
              <w:rPr>
                <w:rFonts w:ascii="Times New Roman" w:eastAsia="MS Mincho" w:hAnsi="Times New Roman" w:cs="Times New Roman"/>
                <w:noProof/>
                <w:sz w:val="22"/>
                <w:szCs w:val="22"/>
                <w:lang w:eastAsia="en-GB"/>
              </w:rPr>
              <w:t xml:space="preserve"> and</w:t>
            </w:r>
            <w:r w:rsidR="390435CF" w:rsidRPr="00244D65">
              <w:rPr>
                <w:rFonts w:ascii="Times New Roman" w:eastAsia="MS Mincho" w:hAnsi="Times New Roman" w:cs="Times New Roman"/>
                <w:noProof/>
                <w:sz w:val="22"/>
                <w:szCs w:val="22"/>
                <w:lang w:eastAsia="en-GB"/>
              </w:rPr>
              <w:t xml:space="preserve"> administrative burden</w:t>
            </w:r>
            <w:r w:rsidR="007B60B4" w:rsidRPr="00244D65">
              <w:rPr>
                <w:rFonts w:ascii="Times New Roman" w:eastAsia="MS Mincho" w:hAnsi="Times New Roman" w:cs="Times New Roman"/>
                <w:noProof/>
                <w:sz w:val="22"/>
                <w:szCs w:val="22"/>
                <w:lang w:eastAsia="en-GB"/>
              </w:rPr>
              <w:t>.</w:t>
            </w:r>
          </w:p>
          <w:p w14:paraId="25227E05" w14:textId="404C75FA" w:rsidR="00060373" w:rsidRPr="00244D65" w:rsidRDefault="00060373" w:rsidP="0085595C">
            <w:pPr>
              <w:pStyle w:val="BodyText"/>
              <w:spacing w:line="240" w:lineRule="auto"/>
              <w:rPr>
                <w:rFonts w:ascii="Times New Roman" w:eastAsia="MS Mincho" w:hAnsi="Times New Roman" w:cs="Times New Roman"/>
                <w:noProof/>
                <w:sz w:val="22"/>
                <w:szCs w:val="22"/>
                <w:lang w:eastAsia="en-GB"/>
              </w:rPr>
            </w:pPr>
            <w:r w:rsidRPr="00244D65">
              <w:rPr>
                <w:rFonts w:ascii="Times New Roman" w:eastAsia="MS Mincho" w:hAnsi="Times New Roman" w:cs="Times New Roman"/>
                <w:noProof/>
                <w:sz w:val="22"/>
                <w:szCs w:val="22"/>
                <w:lang w:eastAsia="en-GB"/>
              </w:rPr>
              <w:t xml:space="preserve">Strongly positive impact </w:t>
            </w:r>
            <w:r w:rsidR="00F75109" w:rsidRPr="00244D65">
              <w:rPr>
                <w:rFonts w:ascii="Times New Roman" w:eastAsia="MS Mincho" w:hAnsi="Times New Roman" w:cs="Times New Roman"/>
                <w:noProof/>
                <w:sz w:val="22"/>
                <w:szCs w:val="22"/>
                <w:lang w:eastAsia="en-GB"/>
              </w:rPr>
              <w:t>as PO</w:t>
            </w:r>
            <w:r w:rsidR="00965B08" w:rsidRPr="00244D65">
              <w:rPr>
                <w:rFonts w:ascii="Times New Roman" w:eastAsia="MS Mincho" w:hAnsi="Times New Roman" w:cs="Times New Roman"/>
                <w:noProof/>
                <w:sz w:val="22"/>
                <w:szCs w:val="22"/>
                <w:lang w:eastAsia="en-GB"/>
              </w:rPr>
              <w:t>3</w:t>
            </w:r>
            <w:r w:rsidR="00F75109" w:rsidRPr="00244D65">
              <w:rPr>
                <w:rFonts w:ascii="Times New Roman" w:eastAsia="MS Mincho" w:hAnsi="Times New Roman" w:cs="Times New Roman"/>
                <w:noProof/>
                <w:sz w:val="22"/>
                <w:szCs w:val="22"/>
                <w:lang w:eastAsia="en-GB"/>
              </w:rPr>
              <w:t xml:space="preserve"> maintains </w:t>
            </w:r>
            <w:r w:rsidR="008441C9" w:rsidRPr="00244D65">
              <w:rPr>
                <w:rFonts w:ascii="Times New Roman" w:eastAsia="MS Mincho" w:hAnsi="Times New Roman" w:cs="Times New Roman"/>
                <w:noProof/>
                <w:sz w:val="22"/>
                <w:szCs w:val="22"/>
                <w:lang w:eastAsia="en-GB"/>
              </w:rPr>
              <w:t xml:space="preserve">the </w:t>
            </w:r>
            <w:r w:rsidR="00F75109" w:rsidRPr="00244D65">
              <w:rPr>
                <w:rFonts w:ascii="Times New Roman" w:eastAsia="MS Mincho" w:hAnsi="Times New Roman" w:cs="Times New Roman"/>
                <w:noProof/>
                <w:sz w:val="22"/>
                <w:szCs w:val="22"/>
                <w:lang w:eastAsia="en-GB"/>
              </w:rPr>
              <w:t>MF with</w:t>
            </w:r>
            <w:r w:rsidR="008441C9" w:rsidRPr="00244D65">
              <w:rPr>
                <w:rFonts w:ascii="Times New Roman" w:eastAsia="MS Mincho" w:hAnsi="Times New Roman" w:cs="Times New Roman"/>
                <w:noProof/>
                <w:sz w:val="22"/>
                <w:szCs w:val="22"/>
                <w:lang w:eastAsia="en-GB"/>
              </w:rPr>
              <w:t xml:space="preserve"> an</w:t>
            </w:r>
            <w:r w:rsidR="00F75109" w:rsidRPr="00244D65">
              <w:rPr>
                <w:rFonts w:ascii="Times New Roman" w:eastAsia="MS Mincho" w:hAnsi="Times New Roman" w:cs="Times New Roman"/>
                <w:noProof/>
                <w:sz w:val="22"/>
                <w:szCs w:val="22"/>
                <w:lang w:eastAsia="en-GB"/>
              </w:rPr>
              <w:t xml:space="preserve"> importantly increased level of environmental ambition,</w:t>
            </w:r>
            <w:r w:rsidRPr="00244D65">
              <w:rPr>
                <w:rFonts w:ascii="Times New Roman" w:eastAsia="MS Mincho" w:hAnsi="Times New Roman" w:cs="Times New Roman"/>
                <w:noProof/>
                <w:sz w:val="22"/>
                <w:szCs w:val="22"/>
                <w:lang w:eastAsia="en-GB"/>
              </w:rPr>
              <w:t xml:space="preserve"> fully aligned with 2040 policy package</w:t>
            </w:r>
          </w:p>
          <w:p w14:paraId="409CF66D" w14:textId="6F6C845F" w:rsidR="001A3B4E" w:rsidRPr="00244D65" w:rsidRDefault="001A3B4E" w:rsidP="0085595C">
            <w:pPr>
              <w:pStyle w:val="BodyText"/>
              <w:spacing w:line="240" w:lineRule="auto"/>
              <w:rPr>
                <w:rFonts w:ascii="Times New Roman" w:eastAsia="MS Mincho" w:hAnsi="Times New Roman" w:cs="Times New Roman"/>
                <w:noProof/>
                <w:sz w:val="22"/>
                <w:szCs w:val="22"/>
                <w:lang w:eastAsia="en-GB"/>
              </w:rPr>
            </w:pPr>
            <w:r w:rsidRPr="00244D65">
              <w:rPr>
                <w:rFonts w:ascii="Times New Roman" w:eastAsia="MS Mincho" w:hAnsi="Times New Roman" w:cs="Times New Roman"/>
                <w:noProof/>
                <w:sz w:val="22"/>
                <w:szCs w:val="22"/>
                <w:lang w:eastAsia="en-GB"/>
              </w:rPr>
              <w:t>Strongly positive impact to narrow the price gap between fossil fuels and the alternative fuels and propulsion technologies for maritime</w:t>
            </w:r>
          </w:p>
        </w:tc>
      </w:tr>
      <w:tr w:rsidR="006524DD" w:rsidRPr="00244D65" w14:paraId="0933AC6D" w14:textId="77777777" w:rsidTr="00C937C4">
        <w:trPr>
          <w:trHeight w:val="300"/>
        </w:trPr>
        <w:tc>
          <w:tcPr>
            <w:tcW w:w="412" w:type="pct"/>
            <w:tcBorders>
              <w:top w:val="single" w:sz="4" w:space="0" w:color="auto"/>
              <w:left w:val="single" w:sz="4" w:space="0" w:color="auto"/>
              <w:bottom w:val="single" w:sz="4" w:space="0" w:color="auto"/>
              <w:right w:val="single" w:sz="4" w:space="0" w:color="auto"/>
            </w:tcBorders>
          </w:tcPr>
          <w:p w14:paraId="13B57A50" w14:textId="77777777" w:rsidR="006524DD" w:rsidRPr="00244D65" w:rsidRDefault="006524DD" w:rsidP="0085595C">
            <w:pPr>
              <w:pStyle w:val="BodyText"/>
              <w:spacing w:line="240" w:lineRule="auto"/>
              <w:rPr>
                <w:rFonts w:ascii="Times New Roman" w:eastAsia="MS Mincho" w:hAnsi="Times New Roman" w:cs="Times New Roman"/>
                <w:noProof/>
                <w:sz w:val="22"/>
                <w:szCs w:val="22"/>
                <w:lang w:eastAsia="en-GB"/>
              </w:rPr>
            </w:pPr>
            <w:r w:rsidRPr="00244D65">
              <w:rPr>
                <w:rFonts w:ascii="Times New Roman" w:eastAsia="MS Mincho" w:hAnsi="Times New Roman" w:cs="Times New Roman"/>
                <w:noProof/>
                <w:sz w:val="22"/>
                <w:szCs w:val="22"/>
                <w:lang w:eastAsia="en-GB"/>
              </w:rPr>
              <w:t>Ensure full carbon price signal</w:t>
            </w:r>
          </w:p>
          <w:p w14:paraId="55C53F92" w14:textId="3AAB6D4F" w:rsidR="006524DD" w:rsidRPr="00244D65" w:rsidRDefault="006524DD" w:rsidP="0085595C">
            <w:pPr>
              <w:pStyle w:val="BodyText"/>
              <w:spacing w:line="240" w:lineRule="auto"/>
              <w:rPr>
                <w:rFonts w:ascii="Times New Roman" w:eastAsia="MS Mincho" w:hAnsi="Times New Roman" w:cs="Times New Roman"/>
                <w:noProof/>
                <w:sz w:val="22"/>
                <w:szCs w:val="22"/>
                <w:lang w:eastAsia="en-GB"/>
              </w:rPr>
            </w:pPr>
            <w:r w:rsidRPr="00244D65">
              <w:rPr>
                <w:rFonts w:ascii="Times New Roman" w:eastAsia="MS Mincho" w:hAnsi="Times New Roman" w:cs="Times New Roman"/>
                <w:noProof/>
                <w:sz w:val="22"/>
                <w:szCs w:val="22"/>
                <w:lang w:eastAsia="en-GB"/>
              </w:rPr>
              <w:t>(SO.1.1.2)</w:t>
            </w:r>
          </w:p>
        </w:tc>
        <w:tc>
          <w:tcPr>
            <w:tcW w:w="1472" w:type="pct"/>
            <w:tcBorders>
              <w:top w:val="single" w:sz="4" w:space="0" w:color="auto"/>
              <w:left w:val="single" w:sz="4" w:space="0" w:color="auto"/>
              <w:bottom w:val="single" w:sz="4" w:space="0" w:color="auto"/>
              <w:right w:val="single" w:sz="4" w:space="0" w:color="auto"/>
            </w:tcBorders>
            <w:shd w:val="clear" w:color="auto" w:fill="92D050"/>
          </w:tcPr>
          <w:p w14:paraId="7A7396A4" w14:textId="77777777" w:rsidR="005A1665" w:rsidRPr="00244D65" w:rsidRDefault="006524DD" w:rsidP="0085595C">
            <w:pPr>
              <w:pStyle w:val="BodyText"/>
              <w:spacing w:line="240" w:lineRule="auto"/>
              <w:rPr>
                <w:rFonts w:ascii="Times New Roman" w:eastAsia="MS Mincho" w:hAnsi="Times New Roman" w:cs="Times New Roman"/>
                <w:noProof/>
                <w:sz w:val="22"/>
                <w:szCs w:val="22"/>
                <w:lang w:eastAsia="en-GB"/>
              </w:rPr>
            </w:pPr>
            <w:r w:rsidRPr="00244D65">
              <w:rPr>
                <w:rFonts w:ascii="Times New Roman" w:eastAsia="MS Mincho" w:hAnsi="Times New Roman" w:cs="Times New Roman"/>
                <w:noProof/>
                <w:sz w:val="22"/>
                <w:szCs w:val="22"/>
                <w:lang w:eastAsia="en-GB"/>
              </w:rPr>
              <w:t>Weak</w:t>
            </w:r>
            <w:r w:rsidR="00C62967" w:rsidRPr="00244D65">
              <w:rPr>
                <w:rFonts w:ascii="Times New Roman" w:eastAsia="MS Mincho" w:hAnsi="Times New Roman" w:cs="Times New Roman"/>
                <w:noProof/>
                <w:sz w:val="22"/>
                <w:szCs w:val="22"/>
                <w:lang w:eastAsia="en-GB"/>
              </w:rPr>
              <w:t>ly</w:t>
            </w:r>
            <w:r w:rsidRPr="00244D65">
              <w:rPr>
                <w:rFonts w:ascii="Times New Roman" w:eastAsia="MS Mincho" w:hAnsi="Times New Roman" w:cs="Times New Roman"/>
                <w:noProof/>
                <w:sz w:val="22"/>
                <w:szCs w:val="22"/>
                <w:lang w:eastAsia="en-GB"/>
              </w:rPr>
              <w:t xml:space="preserve"> positive effect as under PO1 the current approach for free allocation is maintained for non-CBAM sectors. However, the gradually reducing free allocation due to the benchmark updates and operation of the CSCF will increase exposure to the carbon price signal.</w:t>
            </w:r>
          </w:p>
          <w:p w14:paraId="6282FDEB" w14:textId="1E74ED31" w:rsidR="006524DD" w:rsidRPr="00244D65" w:rsidRDefault="005A1665" w:rsidP="0085595C">
            <w:pPr>
              <w:pStyle w:val="BodyText"/>
              <w:spacing w:line="240" w:lineRule="auto"/>
              <w:rPr>
                <w:rFonts w:ascii="Times New Roman" w:eastAsia="MS Mincho" w:hAnsi="Times New Roman" w:cs="Times New Roman"/>
                <w:noProof/>
                <w:sz w:val="22"/>
                <w:szCs w:val="22"/>
                <w:lang w:eastAsia="en-GB"/>
              </w:rPr>
            </w:pPr>
            <w:r w:rsidRPr="00244D65">
              <w:rPr>
                <w:rFonts w:ascii="Times New Roman" w:eastAsia="MS Mincho" w:hAnsi="Times New Roman" w:cs="Times New Roman"/>
                <w:noProof/>
                <w:sz w:val="22"/>
                <w:szCs w:val="22"/>
                <w:lang w:eastAsia="en-GB"/>
              </w:rPr>
              <w:t>Neutral on waste management, as no scope extension is introduced in PO1.</w:t>
            </w:r>
            <w:r w:rsidR="006524DD" w:rsidRPr="00244D65">
              <w:rPr>
                <w:rFonts w:ascii="Times New Roman" w:eastAsia="MS Mincho" w:hAnsi="Times New Roman" w:cs="Times New Roman"/>
                <w:noProof/>
                <w:sz w:val="22"/>
                <w:szCs w:val="22"/>
                <w:lang w:eastAsia="en-GB"/>
              </w:rPr>
              <w:t xml:space="preserve"> </w:t>
            </w:r>
          </w:p>
          <w:p w14:paraId="0B24993C" w14:textId="3A712A8C" w:rsidR="006524DD" w:rsidRPr="00244D65" w:rsidRDefault="00B61E67" w:rsidP="0085595C">
            <w:pPr>
              <w:pStyle w:val="BodyText"/>
              <w:spacing w:line="240" w:lineRule="auto"/>
              <w:rPr>
                <w:rFonts w:ascii="Times New Roman" w:eastAsia="MS Mincho" w:hAnsi="Times New Roman" w:cs="Times New Roman"/>
                <w:noProof/>
                <w:sz w:val="22"/>
                <w:szCs w:val="22"/>
                <w:lang w:eastAsia="en-GB"/>
              </w:rPr>
            </w:pPr>
            <w:r w:rsidRPr="00244D65">
              <w:rPr>
                <w:rFonts w:ascii="Times New Roman" w:eastAsia="MS Mincho" w:hAnsi="Times New Roman" w:cs="Times New Roman"/>
                <w:noProof/>
                <w:sz w:val="22"/>
                <w:szCs w:val="22"/>
                <w:lang w:eastAsia="en-GB"/>
              </w:rPr>
              <w:t>Weak</w:t>
            </w:r>
            <w:r w:rsidR="00C62967" w:rsidRPr="00244D65">
              <w:rPr>
                <w:rFonts w:ascii="Times New Roman" w:eastAsia="MS Mincho" w:hAnsi="Times New Roman" w:cs="Times New Roman"/>
                <w:noProof/>
                <w:sz w:val="22"/>
                <w:szCs w:val="22"/>
                <w:lang w:eastAsia="en-GB"/>
              </w:rPr>
              <w:t>ly</w:t>
            </w:r>
            <w:r w:rsidRPr="00244D65">
              <w:rPr>
                <w:rFonts w:ascii="Times New Roman" w:eastAsia="MS Mincho" w:hAnsi="Times New Roman" w:cs="Times New Roman"/>
                <w:noProof/>
                <w:sz w:val="22"/>
                <w:szCs w:val="22"/>
                <w:lang w:eastAsia="en-GB"/>
              </w:rPr>
              <w:t xml:space="preserve"> positive </w:t>
            </w:r>
            <w:r w:rsidR="000F25A8" w:rsidRPr="00244D65">
              <w:rPr>
                <w:rFonts w:ascii="Times New Roman" w:eastAsia="MS Mincho" w:hAnsi="Times New Roman" w:cs="Times New Roman"/>
                <w:noProof/>
                <w:sz w:val="22"/>
                <w:szCs w:val="22"/>
                <w:lang w:eastAsia="en-GB"/>
              </w:rPr>
              <w:t>effect as smaller ships between 400GT-5000GT remain outside of the scope</w:t>
            </w:r>
            <w:r w:rsidR="007D4146" w:rsidRPr="00244D65">
              <w:rPr>
                <w:rFonts w:ascii="Times New Roman" w:eastAsia="MS Mincho" w:hAnsi="Times New Roman" w:cs="Times New Roman"/>
                <w:noProof/>
                <w:sz w:val="22"/>
                <w:szCs w:val="22"/>
                <w:lang w:eastAsia="en-GB"/>
              </w:rPr>
              <w:t>.</w:t>
            </w:r>
          </w:p>
        </w:tc>
        <w:tc>
          <w:tcPr>
            <w:tcW w:w="1654" w:type="pct"/>
            <w:tcBorders>
              <w:top w:val="single" w:sz="4" w:space="0" w:color="auto"/>
              <w:left w:val="single" w:sz="4" w:space="0" w:color="auto"/>
              <w:bottom w:val="single" w:sz="4" w:space="0" w:color="auto"/>
              <w:right w:val="single" w:sz="4" w:space="0" w:color="auto"/>
            </w:tcBorders>
            <w:shd w:val="clear" w:color="auto" w:fill="92D050"/>
          </w:tcPr>
          <w:p w14:paraId="5C3C8576" w14:textId="30BBB95E" w:rsidR="006524DD" w:rsidRPr="00244D65" w:rsidRDefault="006524DD" w:rsidP="0085595C">
            <w:pPr>
              <w:pStyle w:val="BodyText"/>
              <w:spacing w:line="240" w:lineRule="auto"/>
              <w:rPr>
                <w:rFonts w:ascii="Times New Roman" w:eastAsia="MS Mincho" w:hAnsi="Times New Roman" w:cs="Times New Roman"/>
                <w:noProof/>
                <w:sz w:val="22"/>
                <w:szCs w:val="22"/>
                <w:lang w:eastAsia="en-GB"/>
              </w:rPr>
            </w:pPr>
            <w:r w:rsidRPr="00244D65">
              <w:rPr>
                <w:rFonts w:ascii="Times New Roman" w:eastAsia="MS Mincho" w:hAnsi="Times New Roman" w:cs="Times New Roman"/>
                <w:noProof/>
                <w:sz w:val="22"/>
                <w:szCs w:val="22"/>
                <w:lang w:eastAsia="en-GB"/>
              </w:rPr>
              <w:t>Weak</w:t>
            </w:r>
            <w:r w:rsidR="00C62967" w:rsidRPr="00244D65">
              <w:rPr>
                <w:rFonts w:ascii="Times New Roman" w:eastAsia="MS Mincho" w:hAnsi="Times New Roman" w:cs="Times New Roman"/>
                <w:noProof/>
                <w:sz w:val="22"/>
                <w:szCs w:val="22"/>
                <w:lang w:eastAsia="en-GB"/>
              </w:rPr>
              <w:t>ly</w:t>
            </w:r>
            <w:r w:rsidRPr="00244D65">
              <w:rPr>
                <w:rFonts w:ascii="Times New Roman" w:eastAsia="MS Mincho" w:hAnsi="Times New Roman" w:cs="Times New Roman"/>
                <w:noProof/>
                <w:sz w:val="22"/>
                <w:szCs w:val="22"/>
                <w:lang w:eastAsia="en-GB"/>
              </w:rPr>
              <w:t xml:space="preserve"> positive effect as under PO2 free allocation is more conditional so depending on levels of compliance the exposure to the carbon price will vary but will be more than PO1 but less than PO3.</w:t>
            </w:r>
          </w:p>
          <w:p w14:paraId="722EBFED" w14:textId="1246DD8D" w:rsidR="006524DD" w:rsidRPr="00244D65" w:rsidRDefault="006524DD" w:rsidP="0085595C">
            <w:pPr>
              <w:pStyle w:val="BodyText"/>
              <w:spacing w:line="240" w:lineRule="auto"/>
              <w:rPr>
                <w:rFonts w:ascii="Times New Roman" w:eastAsia="MS Mincho" w:hAnsi="Times New Roman" w:cs="Times New Roman"/>
                <w:noProof/>
                <w:sz w:val="22"/>
                <w:szCs w:val="22"/>
                <w:lang w:eastAsia="en-GB"/>
              </w:rPr>
            </w:pPr>
            <w:r w:rsidRPr="00244D65">
              <w:rPr>
                <w:rFonts w:ascii="Times New Roman" w:eastAsia="MS Mincho" w:hAnsi="Times New Roman" w:cs="Times New Roman"/>
                <w:noProof/>
                <w:sz w:val="22"/>
                <w:szCs w:val="22"/>
                <w:lang w:eastAsia="en-GB"/>
              </w:rPr>
              <w:t>Weak</w:t>
            </w:r>
            <w:r w:rsidR="00C62967" w:rsidRPr="00244D65">
              <w:rPr>
                <w:rFonts w:ascii="Times New Roman" w:eastAsia="MS Mincho" w:hAnsi="Times New Roman" w:cs="Times New Roman"/>
                <w:noProof/>
                <w:sz w:val="22"/>
                <w:szCs w:val="22"/>
                <w:lang w:eastAsia="en-GB"/>
              </w:rPr>
              <w:t>ly</w:t>
            </w:r>
            <w:r w:rsidRPr="00244D65">
              <w:rPr>
                <w:rFonts w:ascii="Times New Roman" w:eastAsia="MS Mincho" w:hAnsi="Times New Roman" w:cs="Times New Roman"/>
                <w:noProof/>
                <w:sz w:val="22"/>
                <w:szCs w:val="22"/>
                <w:lang w:eastAsia="en-GB"/>
              </w:rPr>
              <w:t xml:space="preserve"> positive impact due to inclusion of municipal waste incineration</w:t>
            </w:r>
            <w:r w:rsidR="007D4146" w:rsidRPr="00244D65">
              <w:rPr>
                <w:rFonts w:ascii="Times New Roman" w:eastAsia="MS Mincho" w:hAnsi="Times New Roman" w:cs="Times New Roman"/>
                <w:noProof/>
                <w:sz w:val="22"/>
                <w:szCs w:val="22"/>
                <w:lang w:eastAsia="en-GB"/>
              </w:rPr>
              <w:t>.</w:t>
            </w:r>
          </w:p>
          <w:p w14:paraId="16175A6E" w14:textId="5056D7CE" w:rsidR="006524DD" w:rsidRPr="00244D65" w:rsidRDefault="009B0976" w:rsidP="0085595C">
            <w:pPr>
              <w:pStyle w:val="BodyText"/>
              <w:spacing w:line="240" w:lineRule="auto"/>
              <w:rPr>
                <w:rFonts w:ascii="Times New Roman" w:eastAsia="MS Mincho" w:hAnsi="Times New Roman" w:cs="Times New Roman"/>
                <w:noProof/>
                <w:sz w:val="22"/>
                <w:szCs w:val="22"/>
                <w:lang w:eastAsia="en-GB"/>
              </w:rPr>
            </w:pPr>
            <w:r w:rsidRPr="00244D65">
              <w:rPr>
                <w:rFonts w:ascii="Times New Roman" w:eastAsia="MS Mincho" w:hAnsi="Times New Roman" w:cs="Times New Roman"/>
                <w:noProof/>
                <w:sz w:val="22"/>
                <w:szCs w:val="22"/>
                <w:lang w:eastAsia="en-GB"/>
              </w:rPr>
              <w:t>P</w:t>
            </w:r>
            <w:r w:rsidR="000F25A8" w:rsidRPr="00244D65">
              <w:rPr>
                <w:rFonts w:ascii="Times New Roman" w:eastAsia="MS Mincho" w:hAnsi="Times New Roman" w:cs="Times New Roman"/>
                <w:noProof/>
                <w:sz w:val="22"/>
                <w:szCs w:val="22"/>
                <w:lang w:eastAsia="en-GB"/>
              </w:rPr>
              <w:t xml:space="preserve">ositive effect </w:t>
            </w:r>
            <w:r w:rsidRPr="00244D65">
              <w:rPr>
                <w:rFonts w:ascii="Times New Roman" w:eastAsia="MS Mincho" w:hAnsi="Times New Roman" w:cs="Times New Roman"/>
                <w:noProof/>
                <w:sz w:val="22"/>
                <w:szCs w:val="22"/>
                <w:lang w:eastAsia="en-GB"/>
              </w:rPr>
              <w:t>as the ship categories emitting the most among smaller ships are included</w:t>
            </w:r>
            <w:r w:rsidR="007D4146" w:rsidRPr="00244D65">
              <w:rPr>
                <w:rFonts w:ascii="Times New Roman" w:eastAsia="MS Mincho" w:hAnsi="Times New Roman" w:cs="Times New Roman"/>
                <w:noProof/>
                <w:sz w:val="22"/>
                <w:szCs w:val="22"/>
                <w:lang w:eastAsia="en-GB"/>
              </w:rPr>
              <w:t>.</w:t>
            </w:r>
          </w:p>
        </w:tc>
        <w:tc>
          <w:tcPr>
            <w:tcW w:w="1461" w:type="pct"/>
            <w:tcBorders>
              <w:top w:val="single" w:sz="4" w:space="0" w:color="auto"/>
              <w:left w:val="single" w:sz="4" w:space="0" w:color="auto"/>
              <w:bottom w:val="single" w:sz="4" w:space="0" w:color="auto"/>
              <w:right w:val="single" w:sz="4" w:space="0" w:color="auto"/>
            </w:tcBorders>
            <w:shd w:val="clear" w:color="auto" w:fill="00B050"/>
          </w:tcPr>
          <w:p w14:paraId="65C0F6D8" w14:textId="56EFA565" w:rsidR="006524DD" w:rsidRPr="00244D65" w:rsidRDefault="006524DD" w:rsidP="0085595C">
            <w:pPr>
              <w:pStyle w:val="BodyText"/>
              <w:spacing w:line="240" w:lineRule="auto"/>
              <w:rPr>
                <w:rFonts w:ascii="Times New Roman" w:eastAsia="MS Mincho" w:hAnsi="Times New Roman" w:cs="Times New Roman"/>
                <w:noProof/>
                <w:sz w:val="22"/>
                <w:szCs w:val="22"/>
                <w:lang w:eastAsia="en-GB"/>
              </w:rPr>
            </w:pPr>
            <w:r w:rsidRPr="00244D65">
              <w:rPr>
                <w:rFonts w:ascii="Times New Roman" w:eastAsia="MS Mincho" w:hAnsi="Times New Roman" w:cs="Times New Roman"/>
                <w:noProof/>
                <w:sz w:val="22"/>
                <w:szCs w:val="22"/>
                <w:lang w:eastAsia="en-GB"/>
              </w:rPr>
              <w:t>Strong</w:t>
            </w:r>
            <w:r w:rsidR="00C62967" w:rsidRPr="00244D65">
              <w:rPr>
                <w:rFonts w:ascii="Times New Roman" w:eastAsia="MS Mincho" w:hAnsi="Times New Roman" w:cs="Times New Roman"/>
                <w:noProof/>
                <w:sz w:val="22"/>
                <w:szCs w:val="22"/>
                <w:lang w:eastAsia="en-GB"/>
              </w:rPr>
              <w:t>ly</w:t>
            </w:r>
            <w:r w:rsidRPr="00244D65">
              <w:rPr>
                <w:rFonts w:ascii="Times New Roman" w:eastAsia="MS Mincho" w:hAnsi="Times New Roman" w:cs="Times New Roman"/>
                <w:noProof/>
                <w:sz w:val="22"/>
                <w:szCs w:val="22"/>
                <w:lang w:eastAsia="en-GB"/>
              </w:rPr>
              <w:t xml:space="preserve"> positive effect as under PO3 free allocation for non-CBAM sectors is phased out. </w:t>
            </w:r>
          </w:p>
          <w:p w14:paraId="66947D7C" w14:textId="0ABBC1EF" w:rsidR="006524DD" w:rsidRPr="00244D65" w:rsidRDefault="006524DD" w:rsidP="0085595C">
            <w:pPr>
              <w:pStyle w:val="BodyText"/>
              <w:spacing w:line="240" w:lineRule="auto"/>
              <w:rPr>
                <w:rFonts w:ascii="Times New Roman" w:eastAsia="MS Mincho" w:hAnsi="Times New Roman" w:cs="Times New Roman"/>
                <w:noProof/>
                <w:sz w:val="22"/>
                <w:szCs w:val="22"/>
                <w:lang w:eastAsia="en-GB"/>
              </w:rPr>
            </w:pPr>
            <w:r w:rsidRPr="00244D65">
              <w:rPr>
                <w:rFonts w:ascii="Times New Roman" w:eastAsia="MS Mincho" w:hAnsi="Times New Roman" w:cs="Times New Roman"/>
                <w:noProof/>
                <w:sz w:val="22"/>
                <w:szCs w:val="22"/>
                <w:lang w:eastAsia="en-GB"/>
              </w:rPr>
              <w:t>Positive impact due to inclusion of landfills as well as municipal and hazardous waste incineration</w:t>
            </w:r>
            <w:r w:rsidR="007D4146" w:rsidRPr="00244D65">
              <w:rPr>
                <w:rFonts w:ascii="Times New Roman" w:eastAsia="MS Mincho" w:hAnsi="Times New Roman" w:cs="Times New Roman"/>
                <w:noProof/>
                <w:sz w:val="22"/>
                <w:szCs w:val="22"/>
                <w:lang w:eastAsia="en-GB"/>
              </w:rPr>
              <w:t>.</w:t>
            </w:r>
          </w:p>
          <w:p w14:paraId="18F4FA51" w14:textId="2EA1C777" w:rsidR="006524DD" w:rsidRPr="00244D65" w:rsidRDefault="009B0976" w:rsidP="0085595C">
            <w:pPr>
              <w:pStyle w:val="BodyText"/>
              <w:spacing w:line="240" w:lineRule="auto"/>
              <w:rPr>
                <w:rFonts w:ascii="Times New Roman" w:eastAsia="MS Mincho" w:hAnsi="Times New Roman" w:cs="Times New Roman"/>
                <w:noProof/>
                <w:sz w:val="22"/>
                <w:szCs w:val="22"/>
                <w:lang w:eastAsia="en-GB"/>
              </w:rPr>
            </w:pPr>
            <w:r w:rsidRPr="00244D65">
              <w:rPr>
                <w:rFonts w:ascii="Times New Roman" w:eastAsia="MS Mincho" w:hAnsi="Times New Roman" w:cs="Times New Roman"/>
                <w:noProof/>
                <w:sz w:val="22"/>
                <w:szCs w:val="22"/>
                <w:lang w:eastAsia="en-GB"/>
              </w:rPr>
              <w:t>Strong</w:t>
            </w:r>
            <w:r w:rsidR="00C62967" w:rsidRPr="00244D65">
              <w:rPr>
                <w:rFonts w:ascii="Times New Roman" w:eastAsia="MS Mincho" w:hAnsi="Times New Roman" w:cs="Times New Roman"/>
                <w:noProof/>
                <w:sz w:val="22"/>
                <w:szCs w:val="22"/>
                <w:lang w:eastAsia="en-GB"/>
              </w:rPr>
              <w:t>ly</w:t>
            </w:r>
            <w:r w:rsidRPr="00244D65">
              <w:rPr>
                <w:rFonts w:ascii="Times New Roman" w:eastAsia="MS Mincho" w:hAnsi="Times New Roman" w:cs="Times New Roman"/>
                <w:noProof/>
                <w:sz w:val="22"/>
                <w:szCs w:val="22"/>
                <w:lang w:eastAsia="en-GB"/>
              </w:rPr>
              <w:t xml:space="preserve"> positive impact </w:t>
            </w:r>
            <w:r w:rsidR="008A0347" w:rsidRPr="00244D65">
              <w:rPr>
                <w:rFonts w:ascii="Times New Roman" w:eastAsia="MS Mincho" w:hAnsi="Times New Roman" w:cs="Times New Roman"/>
                <w:noProof/>
                <w:sz w:val="22"/>
                <w:szCs w:val="22"/>
                <w:lang w:eastAsia="en-GB"/>
              </w:rPr>
              <w:t xml:space="preserve">as all </w:t>
            </w:r>
            <w:r w:rsidR="00C55F34" w:rsidRPr="00244D65">
              <w:rPr>
                <w:rFonts w:ascii="Times New Roman" w:eastAsia="MS Mincho" w:hAnsi="Times New Roman" w:cs="Times New Roman"/>
                <w:noProof/>
                <w:sz w:val="22"/>
                <w:szCs w:val="22"/>
                <w:lang w:eastAsia="en-GB"/>
              </w:rPr>
              <w:t>smaller vesse</w:t>
            </w:r>
            <w:r w:rsidR="007D4146" w:rsidRPr="00244D65">
              <w:rPr>
                <w:rFonts w:ascii="Times New Roman" w:eastAsia="MS Mincho" w:hAnsi="Times New Roman" w:cs="Times New Roman"/>
                <w:noProof/>
                <w:sz w:val="22"/>
                <w:szCs w:val="22"/>
                <w:lang w:eastAsia="en-GB"/>
              </w:rPr>
              <w:t xml:space="preserve">ls from </w:t>
            </w:r>
            <w:r w:rsidR="008A0347" w:rsidRPr="00244D65">
              <w:rPr>
                <w:rFonts w:ascii="Times New Roman" w:eastAsia="MS Mincho" w:hAnsi="Times New Roman" w:cs="Times New Roman"/>
                <w:noProof/>
                <w:sz w:val="22"/>
                <w:szCs w:val="22"/>
                <w:lang w:eastAsia="en-GB"/>
              </w:rPr>
              <w:t xml:space="preserve">vessel types non-exempted from MRV, plus fishing vessels </w:t>
            </w:r>
            <w:r w:rsidR="00A47565" w:rsidRPr="00244D65">
              <w:rPr>
                <w:rFonts w:ascii="Times New Roman" w:eastAsia="MS Mincho" w:hAnsi="Times New Roman" w:cs="Times New Roman"/>
                <w:noProof/>
                <w:sz w:val="22"/>
                <w:szCs w:val="22"/>
                <w:lang w:eastAsia="en-GB"/>
              </w:rPr>
              <w:t xml:space="preserve">and non-commercial yachts </w:t>
            </w:r>
            <w:r w:rsidR="008A0347" w:rsidRPr="00244D65">
              <w:rPr>
                <w:rFonts w:ascii="Times New Roman" w:eastAsia="MS Mincho" w:hAnsi="Times New Roman" w:cs="Times New Roman"/>
                <w:noProof/>
                <w:sz w:val="22"/>
                <w:szCs w:val="22"/>
                <w:lang w:eastAsia="en-GB"/>
              </w:rPr>
              <w:t>are in the scope</w:t>
            </w:r>
            <w:r w:rsidR="007D4146" w:rsidRPr="00244D65">
              <w:rPr>
                <w:rFonts w:ascii="Times New Roman" w:eastAsia="MS Mincho" w:hAnsi="Times New Roman" w:cs="Times New Roman"/>
                <w:noProof/>
                <w:sz w:val="22"/>
                <w:szCs w:val="22"/>
                <w:lang w:eastAsia="en-GB"/>
              </w:rPr>
              <w:t>.</w:t>
            </w:r>
          </w:p>
        </w:tc>
      </w:tr>
      <w:tr w:rsidR="004A4976" w:rsidRPr="00244D65" w14:paraId="42FD628B" w14:textId="77777777" w:rsidTr="00C937C4">
        <w:trPr>
          <w:trHeight w:val="300"/>
        </w:trPr>
        <w:tc>
          <w:tcPr>
            <w:tcW w:w="412" w:type="pct"/>
            <w:tcBorders>
              <w:top w:val="single" w:sz="4" w:space="0" w:color="auto"/>
              <w:left w:val="single" w:sz="4" w:space="0" w:color="auto"/>
              <w:bottom w:val="single" w:sz="4" w:space="0" w:color="auto"/>
              <w:right w:val="single" w:sz="4" w:space="0" w:color="auto"/>
            </w:tcBorders>
          </w:tcPr>
          <w:p w14:paraId="10064DB3" w14:textId="60A07924" w:rsidR="004A4976" w:rsidRPr="00244D65" w:rsidRDefault="35C279FD" w:rsidP="0085595C">
            <w:pPr>
              <w:pStyle w:val="BodyText"/>
              <w:spacing w:line="240" w:lineRule="auto"/>
              <w:rPr>
                <w:rFonts w:ascii="Times New Roman" w:eastAsia="MS Mincho" w:hAnsi="Times New Roman" w:cs="Times New Roman"/>
                <w:noProof/>
                <w:sz w:val="22"/>
                <w:szCs w:val="22"/>
                <w:lang w:eastAsia="en-GB"/>
              </w:rPr>
            </w:pPr>
            <w:r w:rsidRPr="00244D65">
              <w:rPr>
                <w:rFonts w:ascii="Times New Roman" w:eastAsia="MS Mincho" w:hAnsi="Times New Roman" w:cs="Times New Roman"/>
                <w:noProof/>
                <w:sz w:val="22"/>
                <w:szCs w:val="22"/>
                <w:lang w:eastAsia="en-GB"/>
              </w:rPr>
              <w:t>Address carbon leakage risk</w:t>
            </w:r>
            <w:r w:rsidR="00774B14" w:rsidRPr="00244D65">
              <w:rPr>
                <w:rStyle w:val="FootnoteReference"/>
                <w:rFonts w:eastAsia="MS Mincho"/>
                <w:noProof/>
                <w:sz w:val="22"/>
                <w:szCs w:val="22"/>
                <w:lang w:eastAsia="en-GB"/>
              </w:rPr>
              <w:footnoteReference w:id="105"/>
            </w:r>
          </w:p>
          <w:p w14:paraId="478F696D" w14:textId="5CDF82BA" w:rsidR="004A4976" w:rsidRPr="00244D65" w:rsidRDefault="004A4976" w:rsidP="0085595C">
            <w:pPr>
              <w:pStyle w:val="BodyText"/>
              <w:spacing w:line="240" w:lineRule="auto"/>
              <w:rPr>
                <w:rFonts w:ascii="Times New Roman" w:eastAsia="MS Mincho" w:hAnsi="Times New Roman" w:cs="Times New Roman"/>
                <w:noProof/>
                <w:sz w:val="22"/>
                <w:szCs w:val="22"/>
                <w:lang w:eastAsia="en-GB"/>
              </w:rPr>
            </w:pPr>
            <w:r w:rsidRPr="00244D65">
              <w:rPr>
                <w:rFonts w:ascii="Times New Roman" w:eastAsia="MS Mincho" w:hAnsi="Times New Roman" w:cs="Times New Roman"/>
                <w:noProof/>
                <w:sz w:val="22"/>
                <w:szCs w:val="22"/>
                <w:lang w:eastAsia="en-GB"/>
              </w:rPr>
              <w:t>(SO.1.1.3)</w:t>
            </w:r>
          </w:p>
        </w:tc>
        <w:tc>
          <w:tcPr>
            <w:tcW w:w="1472" w:type="pct"/>
            <w:tcBorders>
              <w:top w:val="single" w:sz="4" w:space="0" w:color="auto"/>
              <w:left w:val="single" w:sz="4" w:space="0" w:color="auto"/>
              <w:bottom w:val="single" w:sz="4" w:space="0" w:color="auto"/>
              <w:right w:val="single" w:sz="4" w:space="0" w:color="auto"/>
            </w:tcBorders>
            <w:shd w:val="clear" w:color="auto" w:fill="00B050"/>
          </w:tcPr>
          <w:p w14:paraId="06A62816" w14:textId="0857E1CD" w:rsidR="00CC0A4F" w:rsidRPr="00244D65" w:rsidRDefault="004A4976" w:rsidP="0085595C">
            <w:pPr>
              <w:pStyle w:val="BodyText"/>
              <w:spacing w:line="240" w:lineRule="auto"/>
              <w:rPr>
                <w:rFonts w:ascii="Times New Roman" w:eastAsia="MS Mincho" w:hAnsi="Times New Roman" w:cs="Times New Roman"/>
                <w:noProof/>
                <w:sz w:val="22"/>
                <w:szCs w:val="22"/>
                <w:lang w:eastAsia="en-GB"/>
              </w:rPr>
            </w:pPr>
            <w:r w:rsidRPr="00244D65">
              <w:rPr>
                <w:rFonts w:ascii="Times New Roman" w:eastAsia="MS Mincho" w:hAnsi="Times New Roman" w:cs="Times New Roman"/>
                <w:noProof/>
                <w:sz w:val="22"/>
                <w:szCs w:val="22"/>
                <w:lang w:eastAsia="en-GB"/>
              </w:rPr>
              <w:t>Strong</w:t>
            </w:r>
            <w:r w:rsidR="005A1665" w:rsidRPr="00244D65">
              <w:rPr>
                <w:rFonts w:ascii="Times New Roman" w:eastAsia="MS Mincho" w:hAnsi="Times New Roman" w:cs="Times New Roman"/>
                <w:noProof/>
                <w:sz w:val="22"/>
                <w:szCs w:val="22"/>
                <w:lang w:eastAsia="en-GB"/>
              </w:rPr>
              <w:t>ly</w:t>
            </w:r>
            <w:r w:rsidRPr="00244D65">
              <w:rPr>
                <w:rFonts w:ascii="Times New Roman" w:eastAsia="MS Mincho" w:hAnsi="Times New Roman" w:cs="Times New Roman"/>
                <w:noProof/>
                <w:sz w:val="22"/>
                <w:szCs w:val="22"/>
                <w:lang w:eastAsia="en-GB"/>
              </w:rPr>
              <w:t xml:space="preserve"> positive effect as impact of the less stringent cap reduces carbon leakage list and free allocation continues under current approach for PO1 without further conditionalities applied to free allocation</w:t>
            </w:r>
            <w:r w:rsidR="3928673D" w:rsidRPr="00244D65">
              <w:rPr>
                <w:rFonts w:ascii="Times New Roman" w:eastAsia="MS Mincho" w:hAnsi="Times New Roman" w:cs="Times New Roman"/>
                <w:noProof/>
                <w:sz w:val="22"/>
                <w:szCs w:val="22"/>
                <w:lang w:eastAsia="en-GB"/>
              </w:rPr>
              <w:t xml:space="preserve">. </w:t>
            </w:r>
          </w:p>
          <w:p w14:paraId="20A4AC41" w14:textId="1B5E4D7E" w:rsidR="004A4976" w:rsidRPr="00244D65" w:rsidRDefault="66BC3548" w:rsidP="0085595C">
            <w:pPr>
              <w:pStyle w:val="BodyText"/>
              <w:spacing w:line="240" w:lineRule="auto"/>
              <w:rPr>
                <w:rFonts w:ascii="Times New Roman" w:eastAsia="MS Mincho" w:hAnsi="Times New Roman" w:cs="Times New Roman"/>
                <w:noProof/>
                <w:sz w:val="22"/>
                <w:szCs w:val="22"/>
                <w:lang w:eastAsia="en-GB"/>
              </w:rPr>
            </w:pPr>
            <w:r w:rsidRPr="00244D65">
              <w:rPr>
                <w:rFonts w:ascii="Times New Roman" w:eastAsia="MS Mincho" w:hAnsi="Times New Roman" w:cs="Times New Roman"/>
                <w:noProof/>
                <w:sz w:val="22"/>
                <w:szCs w:val="22"/>
                <w:lang w:eastAsia="en-GB"/>
              </w:rPr>
              <w:t>Strong</w:t>
            </w:r>
            <w:r w:rsidR="00CC0A4F" w:rsidRPr="00244D65">
              <w:rPr>
                <w:rFonts w:ascii="Times New Roman" w:eastAsia="MS Mincho" w:hAnsi="Times New Roman" w:cs="Times New Roman"/>
                <w:noProof/>
                <w:sz w:val="22"/>
                <w:szCs w:val="22"/>
                <w:lang w:eastAsia="en-GB"/>
              </w:rPr>
              <w:t>ly</w:t>
            </w:r>
            <w:r w:rsidRPr="00244D65">
              <w:rPr>
                <w:rFonts w:ascii="Times New Roman" w:eastAsia="MS Mincho" w:hAnsi="Times New Roman" w:cs="Times New Roman"/>
                <w:noProof/>
                <w:sz w:val="22"/>
                <w:szCs w:val="22"/>
                <w:lang w:eastAsia="en-GB"/>
              </w:rPr>
              <w:t xml:space="preserve"> positive effect on the mobilisation of private investment for industry decarbonisation</w:t>
            </w:r>
            <w:r w:rsidR="1AFAFF79" w:rsidRPr="00244D65">
              <w:rPr>
                <w:rFonts w:ascii="Times New Roman" w:eastAsia="MS Mincho" w:hAnsi="Times New Roman" w:cs="Times New Roman"/>
                <w:noProof/>
                <w:sz w:val="22"/>
                <w:szCs w:val="22"/>
                <w:lang w:eastAsia="en-GB"/>
              </w:rPr>
              <w:t xml:space="preserve"> via IDB</w:t>
            </w:r>
            <w:r w:rsidRPr="00244D65">
              <w:rPr>
                <w:rFonts w:ascii="Times New Roman" w:eastAsia="MS Mincho" w:hAnsi="Times New Roman" w:cs="Times New Roman"/>
                <w:noProof/>
                <w:sz w:val="22"/>
                <w:szCs w:val="22"/>
                <w:lang w:eastAsia="en-GB"/>
              </w:rPr>
              <w:t>.</w:t>
            </w:r>
          </w:p>
          <w:p w14:paraId="63CC42FA" w14:textId="04680C88" w:rsidR="004A4976" w:rsidRPr="00244D65" w:rsidRDefault="006734D4" w:rsidP="0085595C">
            <w:pPr>
              <w:pStyle w:val="BodyText"/>
              <w:spacing w:line="240" w:lineRule="auto"/>
              <w:rPr>
                <w:rFonts w:ascii="Times New Roman" w:eastAsia="MS Mincho" w:hAnsi="Times New Roman" w:cs="Times New Roman"/>
                <w:noProof/>
                <w:sz w:val="22"/>
                <w:szCs w:val="22"/>
                <w:lang w:eastAsia="en-GB"/>
              </w:rPr>
            </w:pPr>
            <w:r w:rsidRPr="00244D65">
              <w:rPr>
                <w:rFonts w:ascii="Times New Roman" w:eastAsia="MS Mincho" w:hAnsi="Times New Roman" w:cs="Times New Roman"/>
                <w:noProof/>
                <w:sz w:val="22"/>
                <w:szCs w:val="22"/>
                <w:lang w:eastAsia="en-GB"/>
              </w:rPr>
              <w:t>N</w:t>
            </w:r>
            <w:r w:rsidR="00F60BB4" w:rsidRPr="00244D65">
              <w:rPr>
                <w:rFonts w:ascii="Times New Roman" w:eastAsia="MS Mincho" w:hAnsi="Times New Roman" w:cs="Times New Roman"/>
                <w:noProof/>
                <w:sz w:val="22"/>
                <w:szCs w:val="22"/>
                <w:lang w:eastAsia="en-GB"/>
              </w:rPr>
              <w:t>eutral, no</w:t>
            </w:r>
            <w:r w:rsidRPr="00244D65">
              <w:rPr>
                <w:rFonts w:ascii="Times New Roman" w:eastAsia="MS Mincho" w:hAnsi="Times New Roman" w:cs="Times New Roman"/>
                <w:noProof/>
                <w:sz w:val="22"/>
                <w:szCs w:val="22"/>
                <w:lang w:eastAsia="en-GB"/>
              </w:rPr>
              <w:t xml:space="preserve"> </w:t>
            </w:r>
            <w:r w:rsidR="00A8798E" w:rsidRPr="00244D65">
              <w:rPr>
                <w:rFonts w:ascii="Times New Roman" w:eastAsia="MS Mincho" w:hAnsi="Times New Roman" w:cs="Times New Roman"/>
                <w:noProof/>
                <w:sz w:val="22"/>
                <w:szCs w:val="22"/>
                <w:lang w:eastAsia="en-GB"/>
              </w:rPr>
              <w:t xml:space="preserve">effect </w:t>
            </w:r>
            <w:r w:rsidRPr="00244D65">
              <w:rPr>
                <w:rFonts w:ascii="Times New Roman" w:eastAsia="MS Mincho" w:hAnsi="Times New Roman" w:cs="Times New Roman"/>
                <w:noProof/>
                <w:sz w:val="22"/>
                <w:szCs w:val="22"/>
                <w:lang w:eastAsia="en-GB"/>
              </w:rPr>
              <w:t xml:space="preserve">in diminishing maritime evasion risk in comparison to </w:t>
            </w:r>
            <w:r w:rsidR="003E4410" w:rsidRPr="00244D65">
              <w:rPr>
                <w:rFonts w:ascii="Times New Roman" w:eastAsia="MS Mincho" w:hAnsi="Times New Roman" w:cs="Times New Roman"/>
                <w:noProof/>
                <w:sz w:val="22"/>
                <w:szCs w:val="22"/>
                <w:lang w:eastAsia="en-GB"/>
              </w:rPr>
              <w:t>b</w:t>
            </w:r>
            <w:r w:rsidRPr="00244D65">
              <w:rPr>
                <w:rFonts w:ascii="Times New Roman" w:eastAsia="MS Mincho" w:hAnsi="Times New Roman" w:cs="Times New Roman"/>
                <w:noProof/>
                <w:sz w:val="22"/>
                <w:szCs w:val="22"/>
                <w:lang w:eastAsia="en-GB"/>
              </w:rPr>
              <w:t>aseline</w:t>
            </w:r>
          </w:p>
        </w:tc>
        <w:tc>
          <w:tcPr>
            <w:tcW w:w="1654" w:type="pct"/>
            <w:tcBorders>
              <w:top w:val="single" w:sz="4" w:space="0" w:color="auto"/>
              <w:left w:val="single" w:sz="4" w:space="0" w:color="auto"/>
              <w:bottom w:val="single" w:sz="4" w:space="0" w:color="auto"/>
              <w:right w:val="single" w:sz="4" w:space="0" w:color="auto"/>
            </w:tcBorders>
            <w:shd w:val="clear" w:color="auto" w:fill="00B050"/>
          </w:tcPr>
          <w:p w14:paraId="3C70F876" w14:textId="5FFF94A5" w:rsidR="004A4976" w:rsidRPr="00244D65" w:rsidRDefault="004A4976" w:rsidP="0085595C">
            <w:pPr>
              <w:pStyle w:val="BodyText"/>
              <w:spacing w:line="240" w:lineRule="auto"/>
              <w:rPr>
                <w:rFonts w:ascii="Times New Roman" w:eastAsia="MS Mincho" w:hAnsi="Times New Roman" w:cs="Times New Roman"/>
                <w:noProof/>
                <w:sz w:val="22"/>
                <w:szCs w:val="22"/>
                <w:lang w:eastAsia="en-GB"/>
              </w:rPr>
            </w:pPr>
            <w:r w:rsidRPr="00244D65">
              <w:rPr>
                <w:rFonts w:ascii="Times New Roman" w:eastAsia="MS Mincho" w:hAnsi="Times New Roman" w:cs="Times New Roman"/>
                <w:noProof/>
                <w:sz w:val="22"/>
                <w:szCs w:val="22"/>
                <w:lang w:eastAsia="en-GB"/>
              </w:rPr>
              <w:t>Strong</w:t>
            </w:r>
            <w:r w:rsidR="00F60BB4" w:rsidRPr="00244D65">
              <w:rPr>
                <w:rFonts w:ascii="Times New Roman" w:eastAsia="MS Mincho" w:hAnsi="Times New Roman" w:cs="Times New Roman"/>
                <w:noProof/>
                <w:sz w:val="22"/>
                <w:szCs w:val="22"/>
                <w:lang w:eastAsia="en-GB"/>
              </w:rPr>
              <w:t>ly</w:t>
            </w:r>
            <w:r w:rsidRPr="00244D65">
              <w:rPr>
                <w:rFonts w:ascii="Times New Roman" w:eastAsia="MS Mincho" w:hAnsi="Times New Roman" w:cs="Times New Roman"/>
                <w:noProof/>
                <w:sz w:val="22"/>
                <w:szCs w:val="22"/>
                <w:lang w:eastAsia="en-GB"/>
              </w:rPr>
              <w:t xml:space="preserve"> positive effect as impact of the less stringent cap reduces carbon leakage list but support is conditional on investments so the level of free allocation available under PO2 is less certain than under PO1 but still better than under PO3.</w:t>
            </w:r>
            <w:r w:rsidR="0E673768" w:rsidRPr="00244D65">
              <w:rPr>
                <w:rFonts w:ascii="Times New Roman" w:eastAsia="MS Mincho" w:hAnsi="Times New Roman" w:cs="Times New Roman"/>
                <w:noProof/>
                <w:sz w:val="22"/>
                <w:szCs w:val="22"/>
                <w:lang w:eastAsia="en-GB"/>
              </w:rPr>
              <w:t xml:space="preserve"> </w:t>
            </w:r>
          </w:p>
          <w:p w14:paraId="2D180F19" w14:textId="26B574EE" w:rsidR="0E5B690D" w:rsidRPr="00244D65" w:rsidRDefault="0E5B690D" w:rsidP="0085595C">
            <w:pPr>
              <w:pStyle w:val="BodyText"/>
              <w:spacing w:line="240" w:lineRule="auto"/>
              <w:rPr>
                <w:rFonts w:ascii="Times New Roman" w:eastAsia="MS Mincho" w:hAnsi="Times New Roman" w:cs="Times New Roman"/>
                <w:noProof/>
                <w:sz w:val="22"/>
                <w:szCs w:val="22"/>
                <w:lang w:eastAsia="en-GB"/>
              </w:rPr>
            </w:pPr>
            <w:r w:rsidRPr="00244D65">
              <w:rPr>
                <w:rFonts w:ascii="Times New Roman" w:eastAsia="MS Mincho" w:hAnsi="Times New Roman" w:cs="Times New Roman"/>
                <w:noProof/>
                <w:sz w:val="22"/>
                <w:szCs w:val="22"/>
                <w:lang w:eastAsia="en-GB"/>
              </w:rPr>
              <w:t>Strong</w:t>
            </w:r>
            <w:r w:rsidR="00F60BB4" w:rsidRPr="00244D65">
              <w:rPr>
                <w:rFonts w:ascii="Times New Roman" w:eastAsia="MS Mincho" w:hAnsi="Times New Roman" w:cs="Times New Roman"/>
                <w:noProof/>
                <w:sz w:val="22"/>
                <w:szCs w:val="22"/>
                <w:lang w:eastAsia="en-GB"/>
              </w:rPr>
              <w:t>ly</w:t>
            </w:r>
            <w:r w:rsidRPr="00244D65">
              <w:rPr>
                <w:rFonts w:ascii="Times New Roman" w:eastAsia="MS Mincho" w:hAnsi="Times New Roman" w:cs="Times New Roman"/>
                <w:noProof/>
                <w:sz w:val="22"/>
                <w:szCs w:val="22"/>
                <w:lang w:eastAsia="en-GB"/>
              </w:rPr>
              <w:t xml:space="preserve"> </w:t>
            </w:r>
            <w:r w:rsidR="22775716" w:rsidRPr="00244D65">
              <w:rPr>
                <w:rFonts w:ascii="Times New Roman" w:eastAsia="MS Mincho" w:hAnsi="Times New Roman" w:cs="Times New Roman"/>
                <w:noProof/>
                <w:sz w:val="22"/>
                <w:szCs w:val="22"/>
                <w:lang w:eastAsia="en-GB"/>
              </w:rPr>
              <w:t xml:space="preserve">positive </w:t>
            </w:r>
            <w:r w:rsidR="00CC0A4F" w:rsidRPr="00244D65">
              <w:rPr>
                <w:rFonts w:ascii="Times New Roman" w:eastAsia="MS Mincho" w:hAnsi="Times New Roman" w:cs="Times New Roman"/>
                <w:noProof/>
                <w:sz w:val="22"/>
                <w:szCs w:val="22"/>
                <w:lang w:eastAsia="en-GB"/>
              </w:rPr>
              <w:t xml:space="preserve">impact </w:t>
            </w:r>
            <w:r w:rsidR="005A1665" w:rsidRPr="00244D65">
              <w:rPr>
                <w:rFonts w:ascii="Times New Roman" w:eastAsia="MS Mincho" w:hAnsi="Times New Roman" w:cs="Times New Roman"/>
                <w:noProof/>
                <w:sz w:val="22"/>
                <w:szCs w:val="22"/>
                <w:lang w:eastAsia="en-GB"/>
              </w:rPr>
              <w:t>due to</w:t>
            </w:r>
            <w:r w:rsidRPr="00244D65">
              <w:rPr>
                <w:rFonts w:ascii="Times New Roman" w:eastAsia="MS Mincho" w:hAnsi="Times New Roman" w:cs="Times New Roman"/>
                <w:noProof/>
                <w:sz w:val="22"/>
                <w:szCs w:val="22"/>
                <w:lang w:eastAsia="en-GB"/>
              </w:rPr>
              <w:t xml:space="preserve"> faster mobilisation of investmen</w:t>
            </w:r>
            <w:r w:rsidR="361C97E5" w:rsidRPr="00244D65">
              <w:rPr>
                <w:rFonts w:ascii="Times New Roman" w:eastAsia="MS Mincho" w:hAnsi="Times New Roman" w:cs="Times New Roman"/>
                <w:noProof/>
                <w:sz w:val="22"/>
                <w:szCs w:val="22"/>
                <w:lang w:eastAsia="en-GB"/>
              </w:rPr>
              <w:t>t</w:t>
            </w:r>
            <w:r w:rsidRPr="00244D65">
              <w:rPr>
                <w:rFonts w:ascii="Times New Roman" w:eastAsia="MS Mincho" w:hAnsi="Times New Roman" w:cs="Times New Roman"/>
                <w:noProof/>
                <w:sz w:val="22"/>
                <w:szCs w:val="22"/>
                <w:lang w:eastAsia="en-GB"/>
              </w:rPr>
              <w:t>s for industry decarbonisation.</w:t>
            </w:r>
          </w:p>
          <w:p w14:paraId="2E325C7E" w14:textId="14195E6B" w:rsidR="004A4976" w:rsidRPr="00244D65" w:rsidRDefault="006734D4" w:rsidP="0085595C">
            <w:pPr>
              <w:pStyle w:val="BodyText"/>
              <w:spacing w:line="240" w:lineRule="auto"/>
              <w:rPr>
                <w:rFonts w:ascii="Times New Roman" w:eastAsia="MS Mincho" w:hAnsi="Times New Roman" w:cs="Times New Roman"/>
                <w:noProof/>
                <w:sz w:val="22"/>
                <w:szCs w:val="22"/>
                <w:lang w:eastAsia="en-GB"/>
              </w:rPr>
            </w:pPr>
            <w:r w:rsidRPr="00244D65">
              <w:rPr>
                <w:rFonts w:ascii="Times New Roman" w:eastAsia="MS Mincho" w:hAnsi="Times New Roman" w:cs="Times New Roman"/>
                <w:noProof/>
                <w:sz w:val="22"/>
                <w:szCs w:val="22"/>
                <w:lang w:eastAsia="en-GB"/>
              </w:rPr>
              <w:t xml:space="preserve">Positive effect </w:t>
            </w:r>
            <w:r w:rsidR="000E4BF2" w:rsidRPr="00244D65">
              <w:rPr>
                <w:rFonts w:ascii="Times New Roman" w:eastAsia="MS Mincho" w:hAnsi="Times New Roman" w:cs="Times New Roman"/>
                <w:noProof/>
                <w:sz w:val="22"/>
                <w:szCs w:val="22"/>
                <w:lang w:eastAsia="en-GB"/>
              </w:rPr>
              <w:t xml:space="preserve">in diminishing evasion risk in maritime </w:t>
            </w:r>
            <w:r w:rsidR="006B60D8" w:rsidRPr="00244D65">
              <w:rPr>
                <w:rFonts w:ascii="Times New Roman" w:eastAsia="MS Mincho" w:hAnsi="Times New Roman" w:cs="Times New Roman"/>
                <w:noProof/>
                <w:sz w:val="22"/>
                <w:szCs w:val="22"/>
                <w:lang w:eastAsia="en-GB"/>
              </w:rPr>
              <w:t xml:space="preserve">due to the revision of the list </w:t>
            </w:r>
            <w:r w:rsidR="00661304" w:rsidRPr="00244D65">
              <w:rPr>
                <w:rFonts w:ascii="Times New Roman" w:eastAsia="MS Mincho" w:hAnsi="Times New Roman" w:cs="Times New Roman"/>
                <w:noProof/>
                <w:sz w:val="22"/>
                <w:szCs w:val="22"/>
                <w:lang w:eastAsia="en-GB"/>
              </w:rPr>
              <w:t>of</w:t>
            </w:r>
            <w:r w:rsidR="006B60D8" w:rsidRPr="00244D65">
              <w:rPr>
                <w:rFonts w:ascii="Times New Roman" w:eastAsia="MS Mincho" w:hAnsi="Times New Roman" w:cs="Times New Roman"/>
                <w:noProof/>
                <w:sz w:val="22"/>
                <w:szCs w:val="22"/>
                <w:lang w:eastAsia="en-GB"/>
              </w:rPr>
              <w:t xml:space="preserve"> </w:t>
            </w:r>
            <w:r w:rsidR="00661304" w:rsidRPr="00244D65">
              <w:rPr>
                <w:rFonts w:ascii="Times New Roman" w:eastAsia="MS Mincho" w:hAnsi="Times New Roman" w:cs="Times New Roman"/>
                <w:noProof/>
                <w:sz w:val="22"/>
                <w:szCs w:val="22"/>
                <w:lang w:eastAsia="en-GB"/>
              </w:rPr>
              <w:t>neighbouring container</w:t>
            </w:r>
            <w:r w:rsidR="006B60D8" w:rsidRPr="00244D65">
              <w:rPr>
                <w:rFonts w:ascii="Times New Roman" w:eastAsia="MS Mincho" w:hAnsi="Times New Roman" w:cs="Times New Roman"/>
                <w:noProof/>
                <w:sz w:val="22"/>
                <w:szCs w:val="22"/>
                <w:lang w:eastAsia="en-GB"/>
              </w:rPr>
              <w:t xml:space="preserve"> transshipment ports and </w:t>
            </w:r>
            <w:r w:rsidR="00661304" w:rsidRPr="00244D65">
              <w:rPr>
                <w:rFonts w:ascii="Times New Roman" w:eastAsia="MS Mincho" w:hAnsi="Times New Roman" w:cs="Times New Roman"/>
                <w:noProof/>
                <w:sz w:val="22"/>
                <w:szCs w:val="22"/>
                <w:lang w:eastAsia="en-GB"/>
              </w:rPr>
              <w:t>revised rules</w:t>
            </w:r>
            <w:r w:rsidR="006B60D8" w:rsidRPr="00244D65">
              <w:rPr>
                <w:rFonts w:ascii="Times New Roman" w:eastAsia="MS Mincho" w:hAnsi="Times New Roman" w:cs="Times New Roman"/>
                <w:noProof/>
                <w:sz w:val="22"/>
                <w:szCs w:val="22"/>
                <w:lang w:eastAsia="en-GB"/>
              </w:rPr>
              <w:t xml:space="preserve"> for offshore ships</w:t>
            </w:r>
            <w:r w:rsidR="00661304" w:rsidRPr="00244D65">
              <w:rPr>
                <w:rFonts w:ascii="Times New Roman" w:eastAsia="MS Mincho" w:hAnsi="Times New Roman" w:cs="Times New Roman"/>
                <w:noProof/>
                <w:sz w:val="22"/>
                <w:szCs w:val="22"/>
                <w:lang w:eastAsia="en-GB"/>
              </w:rPr>
              <w:t>.</w:t>
            </w:r>
          </w:p>
        </w:tc>
        <w:tc>
          <w:tcPr>
            <w:tcW w:w="1461" w:type="pct"/>
            <w:tcBorders>
              <w:top w:val="single" w:sz="4" w:space="0" w:color="auto"/>
              <w:left w:val="single" w:sz="4" w:space="0" w:color="auto"/>
              <w:bottom w:val="single" w:sz="4" w:space="0" w:color="auto"/>
              <w:right w:val="single" w:sz="4" w:space="0" w:color="auto"/>
            </w:tcBorders>
            <w:shd w:val="clear" w:color="auto" w:fill="92D050"/>
          </w:tcPr>
          <w:p w14:paraId="1A7CC373" w14:textId="25C8F655" w:rsidR="004A4976" w:rsidRPr="00244D65" w:rsidRDefault="004A4976" w:rsidP="0085595C">
            <w:pPr>
              <w:pStyle w:val="BodyText"/>
              <w:spacing w:line="240" w:lineRule="auto"/>
              <w:rPr>
                <w:rFonts w:ascii="Times New Roman" w:eastAsia="MS Mincho" w:hAnsi="Times New Roman" w:cs="Times New Roman"/>
                <w:noProof/>
                <w:sz w:val="22"/>
                <w:szCs w:val="22"/>
                <w:lang w:eastAsia="en-GB"/>
              </w:rPr>
            </w:pPr>
            <w:r w:rsidRPr="00244D65">
              <w:rPr>
                <w:rFonts w:ascii="Times New Roman" w:eastAsia="MS Mincho" w:hAnsi="Times New Roman" w:cs="Times New Roman"/>
                <w:noProof/>
                <w:sz w:val="22"/>
                <w:szCs w:val="22"/>
                <w:lang w:eastAsia="en-GB"/>
              </w:rPr>
              <w:t>Weak</w:t>
            </w:r>
            <w:r w:rsidR="00F60BB4" w:rsidRPr="00244D65">
              <w:rPr>
                <w:rFonts w:ascii="Times New Roman" w:eastAsia="MS Mincho" w:hAnsi="Times New Roman" w:cs="Times New Roman"/>
                <w:noProof/>
                <w:sz w:val="22"/>
                <w:szCs w:val="22"/>
                <w:lang w:eastAsia="en-GB"/>
              </w:rPr>
              <w:t>ly</w:t>
            </w:r>
            <w:r w:rsidRPr="00244D65">
              <w:rPr>
                <w:rFonts w:ascii="Times New Roman" w:eastAsia="MS Mincho" w:hAnsi="Times New Roman" w:cs="Times New Roman"/>
                <w:noProof/>
                <w:sz w:val="22"/>
                <w:szCs w:val="22"/>
                <w:lang w:eastAsia="en-GB"/>
              </w:rPr>
              <w:t xml:space="preserve"> positive effect as impact of the less stringent cap reduces carbon leakage risk in PO3 but by less than in PO2 and PO1 due to the accelerated phase out of free allocation for non-CBAM sectors. </w:t>
            </w:r>
          </w:p>
          <w:p w14:paraId="5D132849" w14:textId="53698B2E" w:rsidR="004A4976" w:rsidRPr="00244D65" w:rsidRDefault="006B60D8" w:rsidP="0085595C">
            <w:pPr>
              <w:pStyle w:val="BodyText"/>
              <w:spacing w:line="240" w:lineRule="auto"/>
              <w:rPr>
                <w:rFonts w:ascii="Times New Roman" w:eastAsia="MS Mincho" w:hAnsi="Times New Roman" w:cs="Times New Roman"/>
                <w:noProof/>
                <w:sz w:val="22"/>
                <w:szCs w:val="22"/>
                <w:lang w:eastAsia="en-GB"/>
              </w:rPr>
            </w:pPr>
            <w:r w:rsidRPr="00244D65">
              <w:rPr>
                <w:rFonts w:ascii="Times New Roman" w:eastAsia="MS Mincho" w:hAnsi="Times New Roman" w:cs="Times New Roman"/>
                <w:noProof/>
                <w:sz w:val="22"/>
                <w:szCs w:val="22"/>
                <w:lang w:eastAsia="en-GB"/>
              </w:rPr>
              <w:t xml:space="preserve">Positive effect in diminishing evasion risk in maritime due to the revision of the list </w:t>
            </w:r>
            <w:r w:rsidR="00661304" w:rsidRPr="00244D65">
              <w:rPr>
                <w:rFonts w:ascii="Times New Roman" w:eastAsia="MS Mincho" w:hAnsi="Times New Roman" w:cs="Times New Roman"/>
                <w:noProof/>
                <w:sz w:val="22"/>
                <w:szCs w:val="22"/>
                <w:lang w:eastAsia="en-GB"/>
              </w:rPr>
              <w:t>of neighbouring container transshipment ports and revised rules for offshore ships.</w:t>
            </w:r>
          </w:p>
        </w:tc>
      </w:tr>
      <w:tr w:rsidR="00B95EDF" w:rsidRPr="00244D65" w14:paraId="081D08EA" w14:textId="77777777" w:rsidTr="00C937C4">
        <w:trPr>
          <w:trHeight w:val="300"/>
        </w:trPr>
        <w:tc>
          <w:tcPr>
            <w:tcW w:w="5000" w:type="pct"/>
            <w:gridSpan w:val="4"/>
            <w:tcBorders>
              <w:top w:val="single" w:sz="4" w:space="0" w:color="auto"/>
              <w:left w:val="single" w:sz="4" w:space="0" w:color="auto"/>
              <w:bottom w:val="single" w:sz="4" w:space="0" w:color="auto"/>
              <w:right w:val="single" w:sz="4" w:space="0" w:color="auto"/>
            </w:tcBorders>
          </w:tcPr>
          <w:p w14:paraId="6BF3EECC" w14:textId="45D632D9" w:rsidR="00B95EDF" w:rsidRPr="00244D65" w:rsidRDefault="00B95EDF" w:rsidP="0085595C">
            <w:pPr>
              <w:pStyle w:val="BodyText"/>
              <w:spacing w:line="240" w:lineRule="auto"/>
              <w:rPr>
                <w:rFonts w:ascii="Times New Roman" w:eastAsia="MS Mincho" w:hAnsi="Times New Roman" w:cs="Times New Roman"/>
                <w:noProof/>
                <w:sz w:val="22"/>
                <w:szCs w:val="22"/>
                <w:lang w:eastAsia="en-GB"/>
              </w:rPr>
            </w:pPr>
            <w:r w:rsidRPr="00244D65">
              <w:rPr>
                <w:rFonts w:ascii="Times New Roman" w:eastAsia="MS Mincho" w:hAnsi="Times New Roman" w:cs="Times New Roman"/>
                <w:noProof/>
                <w:sz w:val="22"/>
                <w:szCs w:val="22"/>
                <w:lang w:eastAsia="en-GB"/>
              </w:rPr>
              <w:t>General objective 1.2:</w:t>
            </w:r>
            <w:r w:rsidR="000C653C" w:rsidRPr="00244D65">
              <w:rPr>
                <w:rFonts w:ascii="Times New Roman" w:eastAsia="MS Mincho" w:hAnsi="Times New Roman" w:cs="Times New Roman"/>
                <w:noProof/>
                <w:sz w:val="22"/>
                <w:szCs w:val="22"/>
                <w:lang w:eastAsia="en-GB"/>
              </w:rPr>
              <w:t xml:space="preserve"> </w:t>
            </w:r>
            <w:r w:rsidRPr="00244D65">
              <w:rPr>
                <w:rFonts w:ascii="Times New Roman" w:eastAsia="MS Mincho" w:hAnsi="Times New Roman" w:cs="Times New Roman"/>
                <w:noProof/>
                <w:sz w:val="22"/>
                <w:szCs w:val="22"/>
                <w:lang w:eastAsia="en-GB"/>
              </w:rPr>
              <w:t>Reaching a pre-set emissions reduction target within the budget provided by the 2040 policy package</w:t>
            </w:r>
            <w:r w:rsidR="00873006" w:rsidRPr="00244D65">
              <w:rPr>
                <w:rFonts w:ascii="Times New Roman" w:eastAsia="MS Mincho" w:hAnsi="Times New Roman" w:cs="Times New Roman"/>
                <w:noProof/>
                <w:sz w:val="22"/>
                <w:szCs w:val="22"/>
                <w:lang w:eastAsia="en-GB"/>
              </w:rPr>
              <w:t xml:space="preserve"> and with a net emissions calculation</w:t>
            </w:r>
          </w:p>
        </w:tc>
      </w:tr>
      <w:tr w:rsidR="00B95EDF" w:rsidRPr="00244D65" w14:paraId="2D8449EE" w14:textId="77777777" w:rsidTr="00C937C4">
        <w:trPr>
          <w:trHeight w:val="300"/>
        </w:trPr>
        <w:tc>
          <w:tcPr>
            <w:tcW w:w="412" w:type="pct"/>
            <w:tcBorders>
              <w:top w:val="single" w:sz="4" w:space="0" w:color="auto"/>
              <w:left w:val="single" w:sz="4" w:space="0" w:color="auto"/>
              <w:bottom w:val="single" w:sz="4" w:space="0" w:color="auto"/>
              <w:right w:val="single" w:sz="4" w:space="0" w:color="auto"/>
            </w:tcBorders>
          </w:tcPr>
          <w:p w14:paraId="44ACA61C" w14:textId="354FC4C7" w:rsidR="00B95EDF" w:rsidRPr="00244D65" w:rsidRDefault="2FBB975F" w:rsidP="0085595C">
            <w:pPr>
              <w:pStyle w:val="BodyText"/>
              <w:spacing w:line="240" w:lineRule="auto"/>
              <w:rPr>
                <w:rFonts w:ascii="Times New Roman" w:eastAsia="MS Mincho" w:hAnsi="Times New Roman" w:cs="Times New Roman"/>
                <w:noProof/>
                <w:sz w:val="22"/>
                <w:szCs w:val="22"/>
                <w:lang w:eastAsia="en-GB"/>
              </w:rPr>
            </w:pPr>
            <w:r w:rsidRPr="00244D65">
              <w:rPr>
                <w:rFonts w:ascii="Times New Roman" w:eastAsia="MS Mincho" w:hAnsi="Times New Roman" w:cs="Times New Roman"/>
                <w:noProof/>
                <w:sz w:val="22"/>
                <w:szCs w:val="22"/>
                <w:lang w:eastAsia="en-GB"/>
              </w:rPr>
              <w:t>Removals integration</w:t>
            </w:r>
            <w:r w:rsidR="00B95EDF" w:rsidRPr="00244D65">
              <w:rPr>
                <w:rFonts w:ascii="Times New Roman" w:eastAsia="MS Mincho" w:hAnsi="Times New Roman" w:cs="Times New Roman"/>
                <w:noProof/>
                <w:sz w:val="22"/>
                <w:szCs w:val="22"/>
                <w:lang w:eastAsia="en-GB"/>
              </w:rPr>
              <w:t xml:space="preserve"> </w:t>
            </w:r>
          </w:p>
          <w:p w14:paraId="6A5BDE47" w14:textId="2E6D5EE2" w:rsidR="00B95EDF" w:rsidRPr="00244D65" w:rsidRDefault="00B95EDF" w:rsidP="0085595C">
            <w:pPr>
              <w:pStyle w:val="BodyText"/>
              <w:spacing w:line="240" w:lineRule="auto"/>
              <w:rPr>
                <w:rFonts w:ascii="Times New Roman" w:eastAsia="MS Mincho" w:hAnsi="Times New Roman" w:cs="Times New Roman"/>
                <w:noProof/>
                <w:sz w:val="22"/>
                <w:szCs w:val="22"/>
                <w:lang w:eastAsia="en-GB"/>
              </w:rPr>
            </w:pPr>
            <w:r w:rsidRPr="00244D65">
              <w:rPr>
                <w:rFonts w:ascii="Times New Roman" w:eastAsia="MS Mincho" w:hAnsi="Times New Roman" w:cs="Times New Roman"/>
                <w:noProof/>
                <w:sz w:val="22"/>
                <w:szCs w:val="22"/>
                <w:lang w:eastAsia="en-GB"/>
              </w:rPr>
              <w:t>(SO.1.2.1)</w:t>
            </w:r>
          </w:p>
        </w:tc>
        <w:tc>
          <w:tcPr>
            <w:tcW w:w="1472" w:type="pct"/>
            <w:tcBorders>
              <w:top w:val="single" w:sz="4" w:space="0" w:color="auto"/>
              <w:left w:val="single" w:sz="4" w:space="0" w:color="auto"/>
              <w:bottom w:val="single" w:sz="4" w:space="0" w:color="auto"/>
              <w:right w:val="single" w:sz="4" w:space="0" w:color="auto"/>
            </w:tcBorders>
            <w:shd w:val="clear" w:color="auto" w:fill="00B050"/>
          </w:tcPr>
          <w:p w14:paraId="616B2820" w14:textId="503CC3BC" w:rsidR="00B95EDF" w:rsidRPr="00244D65" w:rsidRDefault="005B4533" w:rsidP="0085595C">
            <w:pPr>
              <w:pStyle w:val="BodyText"/>
              <w:spacing w:line="240" w:lineRule="auto"/>
              <w:rPr>
                <w:rFonts w:ascii="Times New Roman" w:eastAsia="MS Mincho" w:hAnsi="Times New Roman" w:cs="Times New Roman"/>
                <w:noProof/>
                <w:sz w:val="22"/>
                <w:szCs w:val="22"/>
                <w:lang w:eastAsia="en-GB"/>
              </w:rPr>
            </w:pPr>
            <w:r w:rsidRPr="00244D65">
              <w:rPr>
                <w:rFonts w:ascii="Times New Roman" w:eastAsia="MS Mincho" w:hAnsi="Times New Roman" w:cs="Times New Roman"/>
                <w:noProof/>
                <w:sz w:val="22"/>
                <w:szCs w:val="22"/>
                <w:lang w:eastAsia="en-GB"/>
              </w:rPr>
              <w:t>Strongly p</w:t>
            </w:r>
            <w:r w:rsidR="00B95EDF" w:rsidRPr="00244D65">
              <w:rPr>
                <w:rFonts w:ascii="Times New Roman" w:eastAsia="MS Mincho" w:hAnsi="Times New Roman" w:cs="Times New Roman"/>
                <w:noProof/>
                <w:sz w:val="22"/>
                <w:szCs w:val="22"/>
                <w:lang w:eastAsia="en-GB"/>
              </w:rPr>
              <w:t xml:space="preserve">ositive effect as PO1 offers more support for removals suppliers, guarantees inflows of units into the EU ETS, providing guaranteed emissions space without compromising the net target </w:t>
            </w:r>
            <w:r w:rsidRPr="00244D65">
              <w:rPr>
                <w:rFonts w:ascii="Times New Roman" w:eastAsia="MS Mincho" w:hAnsi="Times New Roman" w:cs="Times New Roman"/>
                <w:noProof/>
                <w:sz w:val="22"/>
                <w:szCs w:val="22"/>
                <w:lang w:eastAsia="en-GB"/>
              </w:rPr>
              <w:t>(</w:t>
            </w:r>
            <w:r w:rsidR="00B95EDF" w:rsidRPr="00244D65">
              <w:rPr>
                <w:rFonts w:ascii="Times New Roman" w:eastAsia="MS Mincho" w:hAnsi="Times New Roman" w:cs="Times New Roman"/>
                <w:noProof/>
                <w:sz w:val="22"/>
                <w:szCs w:val="22"/>
                <w:lang w:eastAsia="en-GB"/>
              </w:rPr>
              <w:t xml:space="preserve">unless public authority </w:t>
            </w:r>
            <w:r w:rsidRPr="00244D65">
              <w:rPr>
                <w:rFonts w:ascii="Times New Roman" w:eastAsia="MS Mincho" w:hAnsi="Times New Roman" w:cs="Times New Roman"/>
                <w:noProof/>
                <w:sz w:val="22"/>
                <w:szCs w:val="22"/>
                <w:lang w:eastAsia="en-GB"/>
              </w:rPr>
              <w:t xml:space="preserve">is not endowed with the </w:t>
            </w:r>
            <w:r w:rsidR="00B95EDF" w:rsidRPr="00244D65">
              <w:rPr>
                <w:rFonts w:ascii="Times New Roman" w:eastAsia="MS Mincho" w:hAnsi="Times New Roman" w:cs="Times New Roman"/>
                <w:noProof/>
                <w:sz w:val="22"/>
                <w:szCs w:val="22"/>
                <w:lang w:eastAsia="en-GB"/>
              </w:rPr>
              <w:t xml:space="preserve">budget </w:t>
            </w:r>
            <w:r w:rsidRPr="00244D65">
              <w:rPr>
                <w:rFonts w:ascii="Times New Roman" w:eastAsia="MS Mincho" w:hAnsi="Times New Roman" w:cs="Times New Roman"/>
                <w:noProof/>
                <w:sz w:val="22"/>
                <w:szCs w:val="22"/>
                <w:lang w:eastAsia="en-GB"/>
              </w:rPr>
              <w:t>calculated</w:t>
            </w:r>
            <w:r w:rsidR="00B95EDF" w:rsidRPr="00244D65">
              <w:rPr>
                <w:rFonts w:ascii="Times New Roman" w:eastAsia="MS Mincho" w:hAnsi="Times New Roman" w:cs="Times New Roman"/>
                <w:noProof/>
                <w:sz w:val="22"/>
                <w:szCs w:val="22"/>
                <w:lang w:eastAsia="en-GB"/>
              </w:rPr>
              <w:t xml:space="preserve"> to procure sufficient removals</w:t>
            </w:r>
            <w:r w:rsidRPr="00244D65">
              <w:rPr>
                <w:rFonts w:ascii="Times New Roman" w:eastAsia="MS Mincho" w:hAnsi="Times New Roman" w:cs="Times New Roman"/>
                <w:noProof/>
                <w:sz w:val="22"/>
                <w:szCs w:val="22"/>
                <w:lang w:eastAsia="en-GB"/>
              </w:rPr>
              <w:t>, or the budget is insufficient)</w:t>
            </w:r>
            <w:r w:rsidR="001E1D99" w:rsidRPr="00244D65">
              <w:rPr>
                <w:rFonts w:ascii="Times New Roman" w:eastAsia="MS Mincho" w:hAnsi="Times New Roman" w:cs="Times New Roman"/>
                <w:noProof/>
                <w:sz w:val="22"/>
                <w:szCs w:val="22"/>
                <w:lang w:eastAsia="en-GB"/>
              </w:rPr>
              <w:t>. Medium mitigation deterrence compared to the baseline. Highest CDR support.</w:t>
            </w:r>
          </w:p>
        </w:tc>
        <w:tc>
          <w:tcPr>
            <w:tcW w:w="1654" w:type="pct"/>
            <w:tcBorders>
              <w:top w:val="single" w:sz="4" w:space="0" w:color="auto"/>
              <w:left w:val="single" w:sz="4" w:space="0" w:color="auto"/>
              <w:bottom w:val="single" w:sz="4" w:space="0" w:color="auto"/>
              <w:right w:val="single" w:sz="4" w:space="0" w:color="auto"/>
            </w:tcBorders>
            <w:shd w:val="clear" w:color="auto" w:fill="92D050"/>
          </w:tcPr>
          <w:p w14:paraId="66EF47C3" w14:textId="2D34CFFD" w:rsidR="00B95EDF" w:rsidRPr="00244D65" w:rsidRDefault="00B95EDF" w:rsidP="0085595C">
            <w:pPr>
              <w:pStyle w:val="BodyText"/>
              <w:spacing w:line="240" w:lineRule="auto"/>
              <w:rPr>
                <w:rFonts w:ascii="Times New Roman" w:eastAsia="MS Mincho" w:hAnsi="Times New Roman" w:cs="Times New Roman"/>
                <w:noProof/>
                <w:sz w:val="22"/>
                <w:szCs w:val="22"/>
                <w:lang w:eastAsia="en-GB"/>
              </w:rPr>
            </w:pPr>
            <w:r w:rsidRPr="00244D65">
              <w:rPr>
                <w:rFonts w:ascii="Times New Roman" w:eastAsia="MS Mincho" w:hAnsi="Times New Roman" w:cs="Times New Roman"/>
                <w:noProof/>
                <w:sz w:val="22"/>
                <w:szCs w:val="22"/>
                <w:lang w:eastAsia="en-GB"/>
              </w:rPr>
              <w:t>Weak positive effect as PO2 exposes the removals to the EUA prices which is good for cost effectiveness and economic efficiency, but entry is not guaranteed if EUA prices &lt; removal supply costs. </w:t>
            </w:r>
            <w:r w:rsidR="001E1D99" w:rsidRPr="00244D65">
              <w:rPr>
                <w:rFonts w:ascii="Times New Roman" w:eastAsia="MS Mincho" w:hAnsi="Times New Roman" w:cs="Times New Roman"/>
                <w:noProof/>
                <w:sz w:val="22"/>
                <w:szCs w:val="22"/>
                <w:lang w:eastAsia="en-GB"/>
              </w:rPr>
              <w:t>Lowest to medium mitigation deterrence compared to the baseline. Medium CDR support.</w:t>
            </w:r>
          </w:p>
        </w:tc>
        <w:tc>
          <w:tcPr>
            <w:tcW w:w="1461" w:type="pct"/>
            <w:tcBorders>
              <w:top w:val="single" w:sz="4" w:space="0" w:color="auto"/>
              <w:left w:val="single" w:sz="4" w:space="0" w:color="auto"/>
              <w:bottom w:val="single" w:sz="4" w:space="0" w:color="auto"/>
              <w:right w:val="single" w:sz="4" w:space="0" w:color="auto"/>
            </w:tcBorders>
            <w:shd w:val="clear" w:color="auto" w:fill="FF0000"/>
          </w:tcPr>
          <w:p w14:paraId="04A0F283" w14:textId="462DDB0A" w:rsidR="00B95EDF" w:rsidRPr="00244D65" w:rsidRDefault="00B95EDF" w:rsidP="0085595C">
            <w:pPr>
              <w:pStyle w:val="BodyText"/>
              <w:spacing w:line="240" w:lineRule="auto"/>
              <w:rPr>
                <w:rFonts w:ascii="Times New Roman" w:eastAsia="MS Mincho" w:hAnsi="Times New Roman" w:cs="Times New Roman"/>
                <w:noProof/>
                <w:sz w:val="22"/>
                <w:szCs w:val="22"/>
                <w:lang w:eastAsia="en-GB"/>
              </w:rPr>
            </w:pPr>
            <w:r w:rsidRPr="00244D65">
              <w:rPr>
                <w:rFonts w:ascii="Times New Roman" w:eastAsia="MS Mincho" w:hAnsi="Times New Roman" w:cs="Times New Roman"/>
                <w:noProof/>
                <w:sz w:val="22"/>
                <w:szCs w:val="22"/>
                <w:lang w:eastAsia="en-GB"/>
              </w:rPr>
              <w:t xml:space="preserve">Strongly negative effect as PO3 provides added flexibility to reach the </w:t>
            </w:r>
            <w:r w:rsidR="00F909E3" w:rsidRPr="00244D65">
              <w:rPr>
                <w:rFonts w:ascii="Times New Roman" w:eastAsia="MS Mincho" w:hAnsi="Times New Roman" w:cs="Times New Roman"/>
                <w:noProof/>
                <w:sz w:val="22"/>
                <w:szCs w:val="22"/>
                <w:lang w:eastAsia="en-GB"/>
              </w:rPr>
              <w:t>EU ETS</w:t>
            </w:r>
            <w:r w:rsidRPr="00244D65">
              <w:rPr>
                <w:rFonts w:ascii="Times New Roman" w:eastAsia="MS Mincho" w:hAnsi="Times New Roman" w:cs="Times New Roman"/>
                <w:noProof/>
                <w:sz w:val="22"/>
                <w:szCs w:val="22"/>
                <w:lang w:eastAsia="en-GB"/>
              </w:rPr>
              <w:t xml:space="preserve"> target but ‘one in one out’ approach is expected to lead to missing pre-set net reduction target unless support measures are introduced to cover the price differential. </w:t>
            </w:r>
            <w:r w:rsidR="001E1D99" w:rsidRPr="00244D65">
              <w:rPr>
                <w:rFonts w:ascii="Times New Roman" w:eastAsia="MS Mincho" w:hAnsi="Times New Roman" w:cs="Times New Roman"/>
                <w:noProof/>
                <w:sz w:val="22"/>
                <w:szCs w:val="22"/>
                <w:lang w:eastAsia="en-GB"/>
              </w:rPr>
              <w:t>Highest mitigation deterrence compared to the baseline. Lowest CDR support, absent complementary measures.</w:t>
            </w:r>
          </w:p>
        </w:tc>
      </w:tr>
      <w:tr w:rsidR="00B95EDF" w:rsidRPr="00244D65" w14:paraId="58832D3D" w14:textId="77777777" w:rsidTr="00C937C4">
        <w:trPr>
          <w:trHeight w:val="300"/>
        </w:trPr>
        <w:tc>
          <w:tcPr>
            <w:tcW w:w="412" w:type="pct"/>
            <w:tcBorders>
              <w:top w:val="single" w:sz="4" w:space="0" w:color="auto"/>
              <w:left w:val="single" w:sz="4" w:space="0" w:color="auto"/>
              <w:bottom w:val="single" w:sz="4" w:space="0" w:color="auto"/>
              <w:right w:val="single" w:sz="4" w:space="0" w:color="auto"/>
            </w:tcBorders>
          </w:tcPr>
          <w:p w14:paraId="46A41738" w14:textId="6838DD01" w:rsidR="00B95EDF" w:rsidRPr="00244D65" w:rsidRDefault="00B95EDF" w:rsidP="0085595C">
            <w:pPr>
              <w:pStyle w:val="BodyText"/>
              <w:spacing w:line="240" w:lineRule="auto"/>
              <w:rPr>
                <w:rFonts w:ascii="Times New Roman" w:eastAsia="MS Mincho" w:hAnsi="Times New Roman" w:cs="Times New Roman"/>
                <w:noProof/>
                <w:sz w:val="22"/>
                <w:szCs w:val="22"/>
                <w:lang w:eastAsia="en-GB"/>
              </w:rPr>
            </w:pPr>
            <w:r w:rsidRPr="00244D65">
              <w:rPr>
                <w:rFonts w:ascii="Times New Roman" w:eastAsia="MS Mincho" w:hAnsi="Times New Roman" w:cs="Times New Roman"/>
                <w:noProof/>
                <w:sz w:val="22"/>
                <w:szCs w:val="22"/>
                <w:lang w:eastAsia="en-GB"/>
              </w:rPr>
              <w:t xml:space="preserve">Adjust </w:t>
            </w:r>
            <w:r w:rsidR="00F909E3" w:rsidRPr="00244D65">
              <w:rPr>
                <w:rFonts w:ascii="Times New Roman" w:eastAsia="MS Mincho" w:hAnsi="Times New Roman" w:cs="Times New Roman"/>
                <w:noProof/>
                <w:sz w:val="22"/>
                <w:szCs w:val="22"/>
                <w:lang w:eastAsia="en-GB"/>
              </w:rPr>
              <w:t>EU ETS</w:t>
            </w:r>
            <w:r w:rsidRPr="00244D65">
              <w:rPr>
                <w:rFonts w:ascii="Times New Roman" w:eastAsia="MS Mincho" w:hAnsi="Times New Roman" w:cs="Times New Roman"/>
                <w:noProof/>
                <w:sz w:val="22"/>
                <w:szCs w:val="22"/>
                <w:lang w:eastAsia="en-GB"/>
              </w:rPr>
              <w:t xml:space="preserve"> cap in line with pre-set target</w:t>
            </w:r>
          </w:p>
          <w:p w14:paraId="732A64CD" w14:textId="201B92BE" w:rsidR="00B95EDF" w:rsidRPr="00244D65" w:rsidRDefault="00B95EDF" w:rsidP="0085595C">
            <w:pPr>
              <w:pStyle w:val="BodyText"/>
              <w:spacing w:line="240" w:lineRule="auto"/>
              <w:rPr>
                <w:rFonts w:ascii="Times New Roman" w:eastAsia="MS Mincho" w:hAnsi="Times New Roman" w:cs="Times New Roman"/>
                <w:noProof/>
                <w:sz w:val="22"/>
                <w:szCs w:val="22"/>
                <w:lang w:eastAsia="en-GB"/>
              </w:rPr>
            </w:pPr>
            <w:r w:rsidRPr="00244D65">
              <w:rPr>
                <w:rFonts w:ascii="Times New Roman" w:eastAsia="MS Mincho" w:hAnsi="Times New Roman" w:cs="Times New Roman"/>
                <w:noProof/>
                <w:sz w:val="22"/>
                <w:szCs w:val="22"/>
                <w:lang w:eastAsia="en-GB"/>
              </w:rPr>
              <w:t>(SO.1.2.2)</w:t>
            </w:r>
          </w:p>
        </w:tc>
        <w:tc>
          <w:tcPr>
            <w:tcW w:w="1472" w:type="pct"/>
            <w:tcBorders>
              <w:top w:val="single" w:sz="4" w:space="0" w:color="auto"/>
              <w:left w:val="single" w:sz="4" w:space="0" w:color="auto"/>
              <w:bottom w:val="single" w:sz="4" w:space="0" w:color="auto"/>
              <w:right w:val="single" w:sz="4" w:space="0" w:color="auto"/>
            </w:tcBorders>
            <w:shd w:val="clear" w:color="auto" w:fill="00B050"/>
          </w:tcPr>
          <w:p w14:paraId="3C6A00FD" w14:textId="0F847439" w:rsidR="00B95EDF" w:rsidRPr="00244D65" w:rsidRDefault="00B95EDF" w:rsidP="0085595C">
            <w:pPr>
              <w:pStyle w:val="BodyText"/>
              <w:spacing w:line="240" w:lineRule="auto"/>
              <w:rPr>
                <w:rFonts w:ascii="Times New Roman" w:eastAsia="MS Mincho" w:hAnsi="Times New Roman" w:cs="Times New Roman"/>
                <w:noProof/>
                <w:sz w:val="22"/>
                <w:szCs w:val="22"/>
                <w:lang w:eastAsia="en-GB"/>
              </w:rPr>
            </w:pPr>
            <w:r w:rsidRPr="00244D65">
              <w:rPr>
                <w:rFonts w:ascii="Times New Roman" w:eastAsia="MS Mincho" w:hAnsi="Times New Roman" w:cs="Times New Roman"/>
                <w:noProof/>
                <w:sz w:val="22"/>
                <w:szCs w:val="22"/>
                <w:lang w:eastAsia="en-GB"/>
              </w:rPr>
              <w:t>Cap is adjusted according to ambition level</w:t>
            </w:r>
            <w:r w:rsidR="00B816A4" w:rsidRPr="00244D65">
              <w:rPr>
                <w:rFonts w:ascii="Times New Roman" w:eastAsia="MS Mincho" w:hAnsi="Times New Roman" w:cs="Times New Roman"/>
                <w:noProof/>
                <w:sz w:val="22"/>
                <w:szCs w:val="22"/>
                <w:lang w:eastAsia="en-GB"/>
              </w:rPr>
              <w:t xml:space="preserve"> in 2040. All POs </w:t>
            </w:r>
            <w:r w:rsidR="00A63A1D" w:rsidRPr="00244D65">
              <w:rPr>
                <w:rFonts w:ascii="Times New Roman" w:eastAsia="MS Mincho" w:hAnsi="Times New Roman" w:cs="Times New Roman"/>
                <w:noProof/>
                <w:sz w:val="22"/>
                <w:szCs w:val="22"/>
                <w:lang w:eastAsia="en-GB"/>
              </w:rPr>
              <w:t>would be based on same trajectory / budget.</w:t>
            </w:r>
          </w:p>
        </w:tc>
        <w:tc>
          <w:tcPr>
            <w:tcW w:w="1654" w:type="pct"/>
            <w:tcBorders>
              <w:top w:val="single" w:sz="4" w:space="0" w:color="auto"/>
              <w:left w:val="single" w:sz="4" w:space="0" w:color="auto"/>
              <w:bottom w:val="single" w:sz="4" w:space="0" w:color="auto"/>
              <w:right w:val="single" w:sz="4" w:space="0" w:color="auto"/>
            </w:tcBorders>
            <w:shd w:val="clear" w:color="auto" w:fill="00B050"/>
          </w:tcPr>
          <w:p w14:paraId="207A1AD2" w14:textId="68836F6A" w:rsidR="00B95EDF" w:rsidRPr="00244D65" w:rsidRDefault="00A63A1D" w:rsidP="0085595C">
            <w:pPr>
              <w:pStyle w:val="BodyText"/>
              <w:spacing w:line="240" w:lineRule="auto"/>
              <w:rPr>
                <w:rFonts w:ascii="Times New Roman" w:eastAsia="MS Mincho" w:hAnsi="Times New Roman" w:cs="Times New Roman"/>
                <w:noProof/>
                <w:sz w:val="22"/>
                <w:szCs w:val="22"/>
                <w:lang w:eastAsia="en-GB"/>
              </w:rPr>
            </w:pPr>
            <w:r w:rsidRPr="00244D65">
              <w:rPr>
                <w:rFonts w:ascii="Times New Roman" w:eastAsia="MS Mincho" w:hAnsi="Times New Roman" w:cs="Times New Roman"/>
                <w:noProof/>
                <w:sz w:val="22"/>
                <w:szCs w:val="22"/>
                <w:lang w:eastAsia="en-GB"/>
              </w:rPr>
              <w:t>Cap is adjusted according to ambition level in 2040. All POs would be based on same trajectory / budget.</w:t>
            </w:r>
            <w:r w:rsidR="009A6592" w:rsidRPr="00244D65">
              <w:rPr>
                <w:rFonts w:ascii="Times New Roman" w:eastAsia="MS Mincho" w:hAnsi="Times New Roman" w:cs="Times New Roman"/>
                <w:noProof/>
                <w:sz w:val="22"/>
                <w:szCs w:val="22"/>
                <w:lang w:eastAsia="en-GB"/>
              </w:rPr>
              <w:t xml:space="preserve"> </w:t>
            </w:r>
            <w:r w:rsidR="00B95EDF" w:rsidRPr="00244D65">
              <w:rPr>
                <w:rFonts w:ascii="Times New Roman" w:eastAsia="MS Mincho" w:hAnsi="Times New Roman" w:cs="Times New Roman"/>
                <w:noProof/>
                <w:sz w:val="22"/>
                <w:szCs w:val="22"/>
                <w:lang w:eastAsia="en-GB"/>
              </w:rPr>
              <w:t>Higher certainty about contribution from municipal waste incineration</w:t>
            </w:r>
            <w:r w:rsidR="00E8660F" w:rsidRPr="00244D65">
              <w:rPr>
                <w:rFonts w:ascii="Times New Roman" w:eastAsia="MS Mincho" w:hAnsi="Times New Roman" w:cs="Times New Roman"/>
                <w:noProof/>
                <w:sz w:val="22"/>
                <w:szCs w:val="22"/>
                <w:lang w:eastAsia="en-GB"/>
              </w:rPr>
              <w:t>.</w:t>
            </w:r>
            <w:r w:rsidR="00B95EDF" w:rsidRPr="00244D65">
              <w:rPr>
                <w:rFonts w:ascii="Times New Roman" w:eastAsia="MS Mincho" w:hAnsi="Times New Roman" w:cs="Times New Roman"/>
                <w:noProof/>
                <w:sz w:val="22"/>
                <w:szCs w:val="22"/>
                <w:lang w:eastAsia="en-GB"/>
              </w:rPr>
              <w:t xml:space="preserve"> </w:t>
            </w:r>
          </w:p>
          <w:p w14:paraId="49B4AEC5" w14:textId="77777777" w:rsidR="00B95EDF" w:rsidRPr="00244D65" w:rsidRDefault="00B95EDF" w:rsidP="0085595C">
            <w:pPr>
              <w:pStyle w:val="BodyText"/>
              <w:spacing w:line="240" w:lineRule="auto"/>
              <w:rPr>
                <w:rFonts w:ascii="Times New Roman" w:eastAsia="MS Mincho" w:hAnsi="Times New Roman" w:cs="Times New Roman"/>
                <w:noProof/>
                <w:sz w:val="22"/>
                <w:szCs w:val="22"/>
                <w:lang w:eastAsia="en-GB"/>
              </w:rPr>
            </w:pPr>
          </w:p>
        </w:tc>
        <w:tc>
          <w:tcPr>
            <w:tcW w:w="1461" w:type="pct"/>
            <w:tcBorders>
              <w:top w:val="single" w:sz="4" w:space="0" w:color="auto"/>
              <w:left w:val="single" w:sz="4" w:space="0" w:color="auto"/>
              <w:bottom w:val="single" w:sz="4" w:space="0" w:color="auto"/>
              <w:right w:val="single" w:sz="4" w:space="0" w:color="auto"/>
            </w:tcBorders>
            <w:shd w:val="clear" w:color="auto" w:fill="00B050"/>
          </w:tcPr>
          <w:p w14:paraId="33A192A2" w14:textId="1D286D1F" w:rsidR="00B95EDF" w:rsidRPr="00244D65" w:rsidRDefault="00A63A1D" w:rsidP="0085595C">
            <w:pPr>
              <w:pStyle w:val="BodyText"/>
              <w:spacing w:line="240" w:lineRule="auto"/>
              <w:rPr>
                <w:rFonts w:ascii="Times New Roman" w:eastAsia="MS Mincho" w:hAnsi="Times New Roman" w:cs="Times New Roman"/>
                <w:noProof/>
                <w:sz w:val="22"/>
                <w:szCs w:val="22"/>
                <w:lang w:eastAsia="en-GB"/>
              </w:rPr>
            </w:pPr>
            <w:r w:rsidRPr="00244D65">
              <w:rPr>
                <w:rFonts w:ascii="Times New Roman" w:eastAsia="MS Mincho" w:hAnsi="Times New Roman" w:cs="Times New Roman"/>
                <w:noProof/>
                <w:sz w:val="22"/>
                <w:szCs w:val="22"/>
                <w:lang w:eastAsia="en-GB"/>
              </w:rPr>
              <w:t>Cap is adjusted according to ambition level in 2040. All POs would be based on same trajectory /budget.</w:t>
            </w:r>
            <w:r w:rsidR="00C44A99" w:rsidRPr="00244D65">
              <w:rPr>
                <w:rFonts w:ascii="Times New Roman" w:eastAsia="MS Mincho" w:hAnsi="Times New Roman" w:cs="Times New Roman"/>
                <w:noProof/>
                <w:sz w:val="22"/>
                <w:szCs w:val="22"/>
                <w:lang w:eastAsia="en-GB"/>
              </w:rPr>
              <w:t xml:space="preserve"> </w:t>
            </w:r>
            <w:r w:rsidR="00B95EDF" w:rsidRPr="00244D65">
              <w:rPr>
                <w:rFonts w:ascii="Times New Roman" w:eastAsia="MS Mincho" w:hAnsi="Times New Roman" w:cs="Times New Roman"/>
                <w:noProof/>
                <w:sz w:val="22"/>
                <w:szCs w:val="22"/>
                <w:lang w:eastAsia="en-GB"/>
              </w:rPr>
              <w:t>Higher certainty about contribution from municipa</w:t>
            </w:r>
            <w:r w:rsidR="009A6592" w:rsidRPr="00244D65">
              <w:rPr>
                <w:rFonts w:ascii="Times New Roman" w:eastAsia="MS Mincho" w:hAnsi="Times New Roman" w:cs="Times New Roman"/>
                <w:noProof/>
                <w:sz w:val="22"/>
                <w:szCs w:val="22"/>
                <w:lang w:eastAsia="en-GB"/>
              </w:rPr>
              <w:t>l</w:t>
            </w:r>
            <w:r w:rsidR="00B95EDF" w:rsidRPr="00244D65">
              <w:rPr>
                <w:rFonts w:ascii="Times New Roman" w:eastAsia="MS Mincho" w:hAnsi="Times New Roman" w:cs="Times New Roman"/>
                <w:noProof/>
                <w:sz w:val="22"/>
                <w:szCs w:val="22"/>
                <w:lang w:eastAsia="en-GB"/>
              </w:rPr>
              <w:t xml:space="preserve"> and hazardous waste incineration and landfilling</w:t>
            </w:r>
            <w:r w:rsidR="009A6592" w:rsidRPr="00244D65">
              <w:rPr>
                <w:rFonts w:ascii="Times New Roman" w:eastAsia="MS Mincho" w:hAnsi="Times New Roman" w:cs="Times New Roman"/>
                <w:noProof/>
                <w:sz w:val="22"/>
                <w:szCs w:val="22"/>
                <w:lang w:eastAsia="en-GB"/>
              </w:rPr>
              <w:t>.</w:t>
            </w:r>
          </w:p>
        </w:tc>
      </w:tr>
      <w:tr w:rsidR="00B95EDF" w:rsidRPr="00244D65" w14:paraId="72458E7A" w14:textId="77777777" w:rsidTr="00C937C4">
        <w:trPr>
          <w:trHeight w:val="300"/>
        </w:trPr>
        <w:tc>
          <w:tcPr>
            <w:tcW w:w="5000" w:type="pct"/>
            <w:gridSpan w:val="4"/>
            <w:tcBorders>
              <w:top w:val="single" w:sz="4" w:space="0" w:color="auto"/>
              <w:left w:val="single" w:sz="4" w:space="0" w:color="auto"/>
              <w:bottom w:val="single" w:sz="4" w:space="0" w:color="auto"/>
              <w:right w:val="single" w:sz="4" w:space="0" w:color="auto"/>
            </w:tcBorders>
          </w:tcPr>
          <w:p w14:paraId="4C72FC4A" w14:textId="7F815F90" w:rsidR="00B95EDF" w:rsidRPr="00244D65" w:rsidRDefault="00B95EDF" w:rsidP="0085595C">
            <w:pPr>
              <w:pStyle w:val="BodyText"/>
              <w:spacing w:line="240" w:lineRule="auto"/>
              <w:rPr>
                <w:rFonts w:ascii="Times New Roman" w:eastAsia="MS Mincho" w:hAnsi="Times New Roman" w:cs="Times New Roman"/>
                <w:noProof/>
                <w:sz w:val="22"/>
                <w:szCs w:val="22"/>
                <w:lang w:eastAsia="en-GB"/>
              </w:rPr>
            </w:pPr>
            <w:r w:rsidRPr="00244D65">
              <w:rPr>
                <w:rFonts w:ascii="Times New Roman" w:eastAsia="MS Mincho" w:hAnsi="Times New Roman" w:cs="Times New Roman"/>
                <w:noProof/>
                <w:sz w:val="22"/>
                <w:szCs w:val="22"/>
                <w:lang w:eastAsia="en-GB"/>
              </w:rPr>
              <w:t>General objective 1.3:</w:t>
            </w:r>
            <w:r w:rsidR="000C653C" w:rsidRPr="00244D65">
              <w:rPr>
                <w:rFonts w:ascii="Times New Roman" w:eastAsia="MS Mincho" w:hAnsi="Times New Roman" w:cs="Times New Roman"/>
                <w:noProof/>
                <w:sz w:val="22"/>
                <w:szCs w:val="22"/>
                <w:lang w:eastAsia="en-GB"/>
              </w:rPr>
              <w:t xml:space="preserve"> </w:t>
            </w:r>
            <w:r w:rsidRPr="00244D65">
              <w:rPr>
                <w:rFonts w:ascii="Times New Roman" w:eastAsia="MS Mincho" w:hAnsi="Times New Roman" w:cs="Times New Roman"/>
                <w:noProof/>
                <w:sz w:val="22"/>
                <w:szCs w:val="22"/>
                <w:lang w:eastAsia="en-GB"/>
              </w:rPr>
              <w:t>Ensure effectiveness of EU climate action on international transport while avoiding double effort</w:t>
            </w:r>
          </w:p>
        </w:tc>
      </w:tr>
      <w:tr w:rsidR="00A3415E" w:rsidRPr="00244D65" w14:paraId="02EB378D" w14:textId="77777777" w:rsidTr="00C937C4">
        <w:trPr>
          <w:trHeight w:val="300"/>
        </w:trPr>
        <w:tc>
          <w:tcPr>
            <w:tcW w:w="412" w:type="pct"/>
            <w:tcBorders>
              <w:top w:val="single" w:sz="4" w:space="0" w:color="auto"/>
              <w:left w:val="single" w:sz="4" w:space="0" w:color="auto"/>
              <w:bottom w:val="single" w:sz="4" w:space="0" w:color="auto"/>
              <w:right w:val="single" w:sz="4" w:space="0" w:color="auto"/>
            </w:tcBorders>
          </w:tcPr>
          <w:p w14:paraId="79EAC83E" w14:textId="6EE06776" w:rsidR="00B95EDF" w:rsidRPr="00244D65" w:rsidRDefault="00B95EDF" w:rsidP="0085595C">
            <w:pPr>
              <w:pStyle w:val="BodyText"/>
              <w:spacing w:line="240" w:lineRule="auto"/>
              <w:rPr>
                <w:rFonts w:ascii="Times New Roman" w:eastAsia="MS Mincho" w:hAnsi="Times New Roman" w:cs="Times New Roman"/>
                <w:noProof/>
                <w:sz w:val="22"/>
                <w:szCs w:val="22"/>
                <w:lang w:eastAsia="en-GB"/>
              </w:rPr>
            </w:pPr>
            <w:r w:rsidRPr="00244D65">
              <w:rPr>
                <w:rFonts w:ascii="Times New Roman" w:eastAsia="MS Mincho" w:hAnsi="Times New Roman" w:cs="Times New Roman"/>
                <w:noProof/>
                <w:sz w:val="22"/>
                <w:szCs w:val="22"/>
                <w:lang w:eastAsia="en-GB"/>
              </w:rPr>
              <w:t>Ensure effective action on EU’s fair share of int. aviation emissions</w:t>
            </w:r>
          </w:p>
          <w:p w14:paraId="6F51880C" w14:textId="3F10FA25" w:rsidR="00B95EDF" w:rsidRPr="00244D65" w:rsidRDefault="00B95EDF" w:rsidP="0085595C">
            <w:pPr>
              <w:pStyle w:val="BodyText"/>
              <w:spacing w:line="240" w:lineRule="auto"/>
              <w:rPr>
                <w:rFonts w:ascii="Times New Roman" w:eastAsia="MS Mincho" w:hAnsi="Times New Roman" w:cs="Times New Roman"/>
                <w:noProof/>
                <w:sz w:val="22"/>
                <w:szCs w:val="22"/>
                <w:lang w:eastAsia="en-GB"/>
              </w:rPr>
            </w:pPr>
            <w:r w:rsidRPr="00244D65">
              <w:rPr>
                <w:rFonts w:ascii="Times New Roman" w:eastAsia="MS Mincho" w:hAnsi="Times New Roman" w:cs="Times New Roman"/>
                <w:noProof/>
                <w:sz w:val="22"/>
                <w:szCs w:val="22"/>
                <w:lang w:eastAsia="en-GB"/>
              </w:rPr>
              <w:t>(SO.1.3.1)</w:t>
            </w:r>
          </w:p>
        </w:tc>
        <w:tc>
          <w:tcPr>
            <w:tcW w:w="1472" w:type="pct"/>
            <w:tcBorders>
              <w:top w:val="single" w:sz="4" w:space="0" w:color="auto"/>
              <w:left w:val="single" w:sz="4" w:space="0" w:color="auto"/>
              <w:bottom w:val="single" w:sz="4" w:space="0" w:color="auto"/>
              <w:right w:val="single" w:sz="4" w:space="0" w:color="auto"/>
            </w:tcBorders>
            <w:shd w:val="clear" w:color="auto" w:fill="FFC000"/>
          </w:tcPr>
          <w:p w14:paraId="25DD153E" w14:textId="21BE9E8F" w:rsidR="00B95EDF" w:rsidRPr="00244D65" w:rsidRDefault="00B95EDF" w:rsidP="0085595C">
            <w:pPr>
              <w:pStyle w:val="BodyText"/>
              <w:spacing w:line="240" w:lineRule="auto"/>
              <w:rPr>
                <w:rFonts w:ascii="Times New Roman" w:eastAsia="MS Mincho" w:hAnsi="Times New Roman" w:cs="Times New Roman"/>
                <w:noProof/>
                <w:sz w:val="22"/>
                <w:szCs w:val="22"/>
                <w:lang w:eastAsia="en-GB"/>
              </w:rPr>
            </w:pPr>
            <w:r w:rsidRPr="00244D65">
              <w:rPr>
                <w:rFonts w:ascii="Times New Roman" w:eastAsia="MS Mincho" w:hAnsi="Times New Roman" w:cs="Times New Roman"/>
                <w:noProof/>
                <w:sz w:val="22"/>
                <w:szCs w:val="22"/>
                <w:lang w:eastAsia="en-GB"/>
              </w:rPr>
              <w:t xml:space="preserve">Depending on the outcome of the CORSIA assessment, </w:t>
            </w:r>
            <w:r w:rsidR="00E65DD2" w:rsidRPr="00244D65">
              <w:rPr>
                <w:rFonts w:ascii="Times New Roman" w:eastAsia="MS Mincho" w:hAnsi="Times New Roman" w:cs="Times New Roman"/>
                <w:noProof/>
                <w:sz w:val="22"/>
                <w:szCs w:val="22"/>
                <w:lang w:eastAsia="en-GB"/>
              </w:rPr>
              <w:t xml:space="preserve">weak negative </w:t>
            </w:r>
            <w:r w:rsidRPr="00244D65">
              <w:rPr>
                <w:rFonts w:ascii="Times New Roman" w:eastAsia="MS Mincho" w:hAnsi="Times New Roman" w:cs="Times New Roman"/>
                <w:noProof/>
                <w:sz w:val="22"/>
                <w:szCs w:val="22"/>
                <w:lang w:eastAsia="en-GB"/>
              </w:rPr>
              <w:t>effect</w:t>
            </w:r>
            <w:r w:rsidR="00E65DD2" w:rsidRPr="00244D65">
              <w:rPr>
                <w:rFonts w:ascii="Times New Roman" w:eastAsia="MS Mincho" w:hAnsi="Times New Roman" w:cs="Times New Roman"/>
                <w:noProof/>
                <w:sz w:val="22"/>
                <w:szCs w:val="22"/>
                <w:lang w:eastAsia="en-GB"/>
              </w:rPr>
              <w:t xml:space="preserve">: </w:t>
            </w:r>
            <w:r w:rsidRPr="00244D65">
              <w:rPr>
                <w:rFonts w:ascii="Times New Roman" w:eastAsia="MS Mincho" w:hAnsi="Times New Roman" w:cs="Times New Roman"/>
                <w:noProof/>
                <w:sz w:val="22"/>
                <w:szCs w:val="22"/>
                <w:lang w:eastAsia="en-GB"/>
              </w:rPr>
              <w:t>if the assessment is positive</w:t>
            </w:r>
            <w:r w:rsidR="0097347F" w:rsidRPr="00244D65">
              <w:rPr>
                <w:rFonts w:ascii="Times New Roman" w:eastAsia="MS Mincho" w:hAnsi="Times New Roman" w:cs="Times New Roman"/>
                <w:noProof/>
                <w:sz w:val="22"/>
                <w:szCs w:val="22"/>
                <w:lang w:eastAsia="en-GB"/>
              </w:rPr>
              <w:t xml:space="preserve"> </w:t>
            </w:r>
            <w:r w:rsidRPr="00244D65">
              <w:rPr>
                <w:rFonts w:ascii="Times New Roman" w:eastAsia="MS Mincho" w:hAnsi="Times New Roman" w:cs="Times New Roman"/>
                <w:noProof/>
                <w:sz w:val="22"/>
                <w:szCs w:val="22"/>
                <w:lang w:eastAsia="en-GB"/>
              </w:rPr>
              <w:t xml:space="preserve">there is an effective carbon price on the EU’s fair share of international aviation emissions, without a change to the ETS scope. </w:t>
            </w:r>
            <w:r w:rsidR="000605C3" w:rsidRPr="00244D65">
              <w:rPr>
                <w:rFonts w:ascii="Times New Roman" w:eastAsia="MS Mincho" w:hAnsi="Times New Roman" w:cs="Times New Roman"/>
                <w:noProof/>
                <w:sz w:val="22"/>
                <w:szCs w:val="22"/>
                <w:lang w:eastAsia="en-GB"/>
              </w:rPr>
              <w:t xml:space="preserve">However, </w:t>
            </w:r>
            <w:r w:rsidR="000F7496" w:rsidRPr="00244D65">
              <w:rPr>
                <w:rFonts w:ascii="Times New Roman" w:eastAsia="MS Mincho" w:hAnsi="Times New Roman" w:cs="Times New Roman"/>
                <w:noProof/>
                <w:sz w:val="22"/>
                <w:szCs w:val="22"/>
                <w:lang w:eastAsia="en-GB"/>
              </w:rPr>
              <w:t>PO1 results in the highest g</w:t>
            </w:r>
            <w:r w:rsidRPr="00244D65">
              <w:rPr>
                <w:rFonts w:ascii="Times New Roman" w:eastAsia="MS Mincho" w:hAnsi="Times New Roman" w:cs="Times New Roman"/>
                <w:noProof/>
                <w:sz w:val="22"/>
                <w:szCs w:val="22"/>
                <w:lang w:eastAsia="en-GB"/>
              </w:rPr>
              <w:t xml:space="preserve">lobal international aviation emissions </w:t>
            </w:r>
            <w:r w:rsidR="000F7496" w:rsidRPr="00244D65">
              <w:rPr>
                <w:rFonts w:ascii="Times New Roman" w:eastAsia="MS Mincho" w:hAnsi="Times New Roman" w:cs="Times New Roman"/>
                <w:noProof/>
                <w:sz w:val="22"/>
                <w:szCs w:val="22"/>
                <w:lang w:eastAsia="en-GB"/>
              </w:rPr>
              <w:t>(</w:t>
            </w:r>
            <w:r w:rsidR="00DD67E8" w:rsidRPr="00244D65">
              <w:rPr>
                <w:rFonts w:ascii="Times New Roman" w:eastAsia="MS Mincho" w:hAnsi="Times New Roman" w:cs="Times New Roman"/>
                <w:noProof/>
                <w:sz w:val="22"/>
                <w:szCs w:val="22"/>
                <w:lang w:eastAsia="en-GB"/>
              </w:rPr>
              <w:t xml:space="preserve">600 </w:t>
            </w:r>
            <w:r w:rsidRPr="00244D65">
              <w:rPr>
                <w:rFonts w:ascii="Times New Roman" w:eastAsia="MS Mincho" w:hAnsi="Times New Roman" w:cs="Times New Roman"/>
                <w:noProof/>
                <w:sz w:val="22"/>
                <w:szCs w:val="22"/>
                <w:lang w:eastAsia="en-GB"/>
              </w:rPr>
              <w:t>MtCO</w:t>
            </w:r>
            <w:r w:rsidRPr="00244D65">
              <w:rPr>
                <w:rFonts w:ascii="Times New Roman" w:eastAsia="MS Mincho" w:hAnsi="Times New Roman" w:cs="Times New Roman"/>
                <w:noProof/>
                <w:sz w:val="22"/>
                <w:szCs w:val="22"/>
                <w:vertAlign w:val="subscript"/>
                <w:lang w:eastAsia="en-GB"/>
              </w:rPr>
              <w:t>2</w:t>
            </w:r>
            <w:r w:rsidRPr="00244D65">
              <w:rPr>
                <w:rFonts w:ascii="Times New Roman" w:eastAsia="MS Mincho" w:hAnsi="Times New Roman" w:cs="Times New Roman"/>
                <w:noProof/>
                <w:sz w:val="22"/>
                <w:szCs w:val="22"/>
                <w:lang w:eastAsia="en-GB"/>
              </w:rPr>
              <w:t xml:space="preserve"> in 2040, compared to </w:t>
            </w:r>
            <w:r w:rsidR="00E12759" w:rsidRPr="00244D65">
              <w:rPr>
                <w:rFonts w:ascii="Times New Roman" w:eastAsia="MS Mincho" w:hAnsi="Times New Roman" w:cs="Times New Roman"/>
                <w:noProof/>
                <w:sz w:val="22"/>
                <w:szCs w:val="22"/>
                <w:lang w:eastAsia="en-GB"/>
              </w:rPr>
              <w:t xml:space="preserve">590 </w:t>
            </w:r>
            <w:r w:rsidRPr="00244D65">
              <w:rPr>
                <w:rFonts w:ascii="Times New Roman" w:eastAsia="MS Mincho" w:hAnsi="Times New Roman" w:cs="Times New Roman"/>
                <w:noProof/>
                <w:sz w:val="22"/>
                <w:szCs w:val="22"/>
                <w:lang w:eastAsia="en-GB"/>
              </w:rPr>
              <w:t>MtCO</w:t>
            </w:r>
            <w:r w:rsidRPr="00244D65">
              <w:rPr>
                <w:rFonts w:ascii="Times New Roman" w:eastAsia="MS Mincho" w:hAnsi="Times New Roman" w:cs="Times New Roman"/>
                <w:noProof/>
                <w:sz w:val="22"/>
                <w:szCs w:val="22"/>
                <w:vertAlign w:val="subscript"/>
                <w:lang w:eastAsia="en-GB"/>
              </w:rPr>
              <w:t>2</w:t>
            </w:r>
            <w:r w:rsidRPr="00244D65">
              <w:rPr>
                <w:rFonts w:ascii="Times New Roman" w:eastAsia="MS Mincho" w:hAnsi="Times New Roman" w:cs="Times New Roman"/>
                <w:noProof/>
                <w:sz w:val="22"/>
                <w:szCs w:val="22"/>
                <w:lang w:eastAsia="en-GB"/>
              </w:rPr>
              <w:t xml:space="preserve"> in the baseline</w:t>
            </w:r>
            <w:r w:rsidR="001637D3" w:rsidRPr="00244D65">
              <w:rPr>
                <w:rFonts w:ascii="Times New Roman" w:eastAsia="MS Mincho" w:hAnsi="Times New Roman" w:cs="Times New Roman"/>
                <w:noProof/>
                <w:sz w:val="22"/>
                <w:szCs w:val="22"/>
                <w:lang w:eastAsia="en-GB"/>
              </w:rPr>
              <w:t>)</w:t>
            </w:r>
            <w:r w:rsidRPr="00244D65">
              <w:rPr>
                <w:rFonts w:ascii="Times New Roman" w:eastAsia="MS Mincho" w:hAnsi="Times New Roman" w:cs="Times New Roman"/>
                <w:noProof/>
                <w:sz w:val="22"/>
                <w:szCs w:val="22"/>
                <w:lang w:eastAsia="en-GB"/>
              </w:rPr>
              <w:t>.</w:t>
            </w:r>
          </w:p>
        </w:tc>
        <w:tc>
          <w:tcPr>
            <w:tcW w:w="1654" w:type="pct"/>
            <w:tcBorders>
              <w:top w:val="single" w:sz="4" w:space="0" w:color="auto"/>
              <w:left w:val="single" w:sz="4" w:space="0" w:color="auto"/>
              <w:bottom w:val="single" w:sz="4" w:space="0" w:color="auto"/>
              <w:right w:val="single" w:sz="4" w:space="0" w:color="auto"/>
            </w:tcBorders>
            <w:shd w:val="clear" w:color="auto" w:fill="00B050"/>
          </w:tcPr>
          <w:p w14:paraId="2D84C01E" w14:textId="7E5F8796" w:rsidR="00B95EDF" w:rsidRPr="00244D65" w:rsidRDefault="00B95EDF" w:rsidP="0085595C">
            <w:pPr>
              <w:pStyle w:val="BodyText"/>
              <w:spacing w:line="240" w:lineRule="auto"/>
              <w:rPr>
                <w:rFonts w:ascii="Times New Roman" w:eastAsia="MS Mincho" w:hAnsi="Times New Roman" w:cs="Times New Roman"/>
                <w:noProof/>
                <w:sz w:val="22"/>
                <w:szCs w:val="22"/>
                <w:lang w:eastAsia="en-GB"/>
              </w:rPr>
            </w:pPr>
            <w:r w:rsidRPr="00244D65">
              <w:rPr>
                <w:rFonts w:ascii="Times New Roman" w:eastAsia="MS Mincho" w:hAnsi="Times New Roman" w:cs="Times New Roman"/>
                <w:noProof/>
                <w:sz w:val="22"/>
                <w:szCs w:val="22"/>
                <w:lang w:eastAsia="en-GB"/>
              </w:rPr>
              <w:t xml:space="preserve">Strong positive effect by ensuring effective carbon pricing on the EU’s fair share of international aviation emissions (departing flights), while allowing for the deduction of any CORSIA offsetting costs. Global international aviation emissions are projected at </w:t>
            </w:r>
            <w:r w:rsidR="001A0551" w:rsidRPr="00244D65">
              <w:rPr>
                <w:rFonts w:ascii="Times New Roman" w:eastAsia="MS Mincho" w:hAnsi="Times New Roman" w:cs="Times New Roman"/>
                <w:noProof/>
                <w:sz w:val="22"/>
                <w:szCs w:val="22"/>
                <w:lang w:eastAsia="en-GB"/>
              </w:rPr>
              <w:t>595</w:t>
            </w:r>
            <w:r w:rsidR="003A3B4B" w:rsidRPr="00244D65">
              <w:rPr>
                <w:rFonts w:ascii="Times New Roman" w:eastAsia="MS Mincho" w:hAnsi="Times New Roman" w:cs="Times New Roman"/>
                <w:noProof/>
                <w:sz w:val="22"/>
                <w:szCs w:val="22"/>
                <w:lang w:eastAsia="en-GB"/>
              </w:rPr>
              <w:t xml:space="preserve"> </w:t>
            </w:r>
            <w:r w:rsidRPr="00244D65">
              <w:rPr>
                <w:rFonts w:ascii="Times New Roman" w:eastAsia="MS Mincho" w:hAnsi="Times New Roman" w:cs="Times New Roman"/>
                <w:noProof/>
                <w:sz w:val="22"/>
                <w:szCs w:val="22"/>
                <w:lang w:eastAsia="en-GB"/>
              </w:rPr>
              <w:t>MtCO</w:t>
            </w:r>
            <w:r w:rsidRPr="00244D65">
              <w:rPr>
                <w:rFonts w:ascii="Times New Roman" w:eastAsia="MS Mincho" w:hAnsi="Times New Roman" w:cs="Times New Roman"/>
                <w:noProof/>
                <w:sz w:val="22"/>
                <w:szCs w:val="22"/>
                <w:vertAlign w:val="subscript"/>
                <w:lang w:eastAsia="en-GB"/>
              </w:rPr>
              <w:t>2</w:t>
            </w:r>
            <w:r w:rsidRPr="00244D65">
              <w:rPr>
                <w:rFonts w:ascii="Times New Roman" w:eastAsia="MS Mincho" w:hAnsi="Times New Roman" w:cs="Times New Roman"/>
                <w:noProof/>
                <w:sz w:val="22"/>
                <w:szCs w:val="22"/>
                <w:lang w:eastAsia="en-GB"/>
              </w:rPr>
              <w:t xml:space="preserve"> in 2040.</w:t>
            </w:r>
          </w:p>
        </w:tc>
        <w:tc>
          <w:tcPr>
            <w:tcW w:w="1461" w:type="pct"/>
            <w:tcBorders>
              <w:top w:val="single" w:sz="4" w:space="0" w:color="auto"/>
              <w:left w:val="single" w:sz="4" w:space="0" w:color="auto"/>
              <w:bottom w:val="single" w:sz="4" w:space="0" w:color="auto"/>
              <w:right w:val="single" w:sz="4" w:space="0" w:color="auto"/>
            </w:tcBorders>
            <w:shd w:val="clear" w:color="auto" w:fill="92D050"/>
          </w:tcPr>
          <w:p w14:paraId="58CB1B82" w14:textId="044822D6" w:rsidR="00B95EDF" w:rsidRPr="00244D65" w:rsidRDefault="001637D3" w:rsidP="0085595C">
            <w:pPr>
              <w:pStyle w:val="BodyText"/>
              <w:spacing w:line="240" w:lineRule="auto"/>
              <w:rPr>
                <w:rFonts w:ascii="Times New Roman" w:eastAsia="MS Mincho" w:hAnsi="Times New Roman" w:cs="Times New Roman"/>
                <w:noProof/>
                <w:sz w:val="22"/>
                <w:szCs w:val="22"/>
                <w:lang w:eastAsia="en-GB"/>
              </w:rPr>
            </w:pPr>
            <w:r w:rsidRPr="00244D65">
              <w:rPr>
                <w:rFonts w:ascii="Times New Roman" w:eastAsia="MS Mincho" w:hAnsi="Times New Roman" w:cs="Times New Roman"/>
                <w:noProof/>
                <w:sz w:val="22"/>
                <w:szCs w:val="22"/>
                <w:lang w:eastAsia="en-GB"/>
              </w:rPr>
              <w:t>Weak</w:t>
            </w:r>
            <w:r w:rsidR="00DB63C7" w:rsidRPr="00244D65">
              <w:rPr>
                <w:rFonts w:ascii="Times New Roman" w:eastAsia="MS Mincho" w:hAnsi="Times New Roman" w:cs="Times New Roman"/>
                <w:noProof/>
                <w:sz w:val="22"/>
                <w:szCs w:val="22"/>
                <w:lang w:eastAsia="en-GB"/>
              </w:rPr>
              <w:t>ly</w:t>
            </w:r>
            <w:r w:rsidRPr="00244D65">
              <w:rPr>
                <w:rFonts w:ascii="Times New Roman" w:eastAsia="MS Mincho" w:hAnsi="Times New Roman" w:cs="Times New Roman"/>
                <w:noProof/>
                <w:sz w:val="22"/>
                <w:szCs w:val="22"/>
                <w:lang w:eastAsia="en-GB"/>
              </w:rPr>
              <w:t xml:space="preserve"> </w:t>
            </w:r>
            <w:r w:rsidR="00B95EDF" w:rsidRPr="00244D65">
              <w:rPr>
                <w:rFonts w:ascii="Times New Roman" w:eastAsia="MS Mincho" w:hAnsi="Times New Roman" w:cs="Times New Roman"/>
                <w:noProof/>
                <w:sz w:val="22"/>
                <w:szCs w:val="22"/>
                <w:lang w:eastAsia="en-GB"/>
              </w:rPr>
              <w:t xml:space="preserve">positive effect by ensuring effective carbon pricing on the EU’s fair share of international aviation emissions (departing flights), while allowing for the deduction of any CORSIA offsetting costs. </w:t>
            </w:r>
            <w:r w:rsidR="00DB63C7" w:rsidRPr="00244D65">
              <w:rPr>
                <w:rFonts w:ascii="Times New Roman" w:eastAsia="MS Mincho" w:hAnsi="Times New Roman" w:cs="Times New Roman"/>
                <w:noProof/>
                <w:sz w:val="22"/>
                <w:szCs w:val="22"/>
                <w:lang w:eastAsia="en-GB"/>
              </w:rPr>
              <w:t xml:space="preserve">However, PO3 results in </w:t>
            </w:r>
            <w:r w:rsidR="004B5B36" w:rsidRPr="00244D65">
              <w:rPr>
                <w:rFonts w:ascii="Times New Roman" w:eastAsia="MS Mincho" w:hAnsi="Times New Roman" w:cs="Times New Roman"/>
                <w:noProof/>
                <w:sz w:val="22"/>
                <w:szCs w:val="22"/>
                <w:lang w:eastAsia="en-GB"/>
              </w:rPr>
              <w:t>higher g</w:t>
            </w:r>
            <w:r w:rsidR="00B95EDF" w:rsidRPr="00244D65">
              <w:rPr>
                <w:rFonts w:ascii="Times New Roman" w:eastAsia="MS Mincho" w:hAnsi="Times New Roman" w:cs="Times New Roman"/>
                <w:noProof/>
                <w:sz w:val="22"/>
                <w:szCs w:val="22"/>
                <w:lang w:eastAsia="en-GB"/>
              </w:rPr>
              <w:t xml:space="preserve">lobal international aviation emissions </w:t>
            </w:r>
            <w:r w:rsidR="004B5B36" w:rsidRPr="00244D65">
              <w:rPr>
                <w:rFonts w:ascii="Times New Roman" w:eastAsia="MS Mincho" w:hAnsi="Times New Roman" w:cs="Times New Roman"/>
                <w:noProof/>
                <w:sz w:val="22"/>
                <w:szCs w:val="22"/>
                <w:lang w:eastAsia="en-GB"/>
              </w:rPr>
              <w:t>than PO2 (</w:t>
            </w:r>
            <w:r w:rsidR="005C76A6" w:rsidRPr="00244D65">
              <w:rPr>
                <w:rFonts w:ascii="Times New Roman" w:eastAsia="MS Mincho" w:hAnsi="Times New Roman" w:cs="Times New Roman"/>
                <w:noProof/>
                <w:sz w:val="22"/>
                <w:szCs w:val="22"/>
                <w:lang w:eastAsia="en-GB"/>
              </w:rPr>
              <w:t>same as PO2 in</w:t>
            </w:r>
            <w:r w:rsidR="00B95EDF" w:rsidRPr="00244D65">
              <w:rPr>
                <w:rFonts w:ascii="Times New Roman" w:eastAsia="MS Mincho" w:hAnsi="Times New Roman" w:cs="Times New Roman"/>
                <w:noProof/>
                <w:sz w:val="22"/>
                <w:szCs w:val="22"/>
                <w:lang w:eastAsia="en-GB"/>
              </w:rPr>
              <w:t xml:space="preserve"> 2040</w:t>
            </w:r>
            <w:r w:rsidR="005C76A6" w:rsidRPr="00244D65">
              <w:rPr>
                <w:rFonts w:ascii="Times New Roman" w:eastAsia="MS Mincho" w:hAnsi="Times New Roman" w:cs="Times New Roman"/>
                <w:noProof/>
                <w:sz w:val="22"/>
                <w:szCs w:val="22"/>
                <w:lang w:eastAsia="en-GB"/>
              </w:rPr>
              <w:t xml:space="preserve">, but </w:t>
            </w:r>
            <w:r w:rsidR="00B95EDF" w:rsidRPr="00244D65">
              <w:rPr>
                <w:rFonts w:ascii="Times New Roman" w:eastAsia="MS Mincho" w:hAnsi="Times New Roman" w:cs="Times New Roman"/>
                <w:noProof/>
                <w:sz w:val="22"/>
                <w:szCs w:val="22"/>
                <w:lang w:eastAsia="en-GB"/>
              </w:rPr>
              <w:t>higher emissions in 2035 due to higher SAF support, causing higher traffic</w:t>
            </w:r>
            <w:r w:rsidR="005C76A6" w:rsidRPr="00244D65">
              <w:rPr>
                <w:rFonts w:ascii="Times New Roman" w:eastAsia="MS Mincho" w:hAnsi="Times New Roman" w:cs="Times New Roman"/>
                <w:noProof/>
                <w:sz w:val="22"/>
                <w:szCs w:val="22"/>
                <w:lang w:eastAsia="en-GB"/>
              </w:rPr>
              <w:t>).</w:t>
            </w:r>
          </w:p>
        </w:tc>
      </w:tr>
      <w:tr w:rsidR="00A3415E" w:rsidRPr="00244D65" w14:paraId="0FB5921E" w14:textId="77777777" w:rsidTr="00C937C4">
        <w:trPr>
          <w:trHeight w:val="300"/>
        </w:trPr>
        <w:tc>
          <w:tcPr>
            <w:tcW w:w="412" w:type="pct"/>
            <w:tcBorders>
              <w:top w:val="single" w:sz="4" w:space="0" w:color="auto"/>
              <w:left w:val="single" w:sz="4" w:space="0" w:color="auto"/>
              <w:bottom w:val="single" w:sz="4" w:space="0" w:color="auto"/>
              <w:right w:val="single" w:sz="4" w:space="0" w:color="auto"/>
            </w:tcBorders>
          </w:tcPr>
          <w:p w14:paraId="0D1022D8" w14:textId="46BAFBF3" w:rsidR="00C33D15" w:rsidRPr="00244D65" w:rsidRDefault="00C33D15" w:rsidP="0085595C">
            <w:pPr>
              <w:pStyle w:val="BodyText"/>
              <w:spacing w:line="240" w:lineRule="auto"/>
              <w:rPr>
                <w:rFonts w:ascii="Times New Roman" w:eastAsia="MS Mincho" w:hAnsi="Times New Roman" w:cs="Times New Roman"/>
                <w:noProof/>
                <w:sz w:val="22"/>
                <w:szCs w:val="22"/>
                <w:lang w:eastAsia="en-GB"/>
              </w:rPr>
            </w:pPr>
            <w:r w:rsidRPr="00244D65">
              <w:rPr>
                <w:rFonts w:ascii="Times New Roman" w:eastAsia="MS Mincho" w:hAnsi="Times New Roman" w:cs="Times New Roman"/>
                <w:noProof/>
                <w:sz w:val="22"/>
                <w:szCs w:val="22"/>
                <w:lang w:eastAsia="en-GB"/>
              </w:rPr>
              <w:t xml:space="preserve">Preserve effective </w:t>
            </w:r>
            <w:r w:rsidR="000B3967" w:rsidRPr="00244D65">
              <w:rPr>
                <w:rFonts w:ascii="Times New Roman" w:eastAsia="MS Mincho" w:hAnsi="Times New Roman" w:cs="Times New Roman"/>
                <w:noProof/>
                <w:sz w:val="22"/>
                <w:szCs w:val="22"/>
                <w:lang w:eastAsia="en-GB"/>
              </w:rPr>
              <w:t>action on EU’s fair share of maritime emissions</w:t>
            </w:r>
            <w:r w:rsidRPr="00244D65">
              <w:rPr>
                <w:rFonts w:ascii="Times New Roman" w:eastAsia="MS Mincho" w:hAnsi="Times New Roman" w:cs="Times New Roman"/>
                <w:noProof/>
                <w:sz w:val="22"/>
                <w:szCs w:val="22"/>
                <w:lang w:eastAsia="en-GB"/>
              </w:rPr>
              <w:t xml:space="preserve"> and maximise regulatory efficiency</w:t>
            </w:r>
          </w:p>
          <w:p w14:paraId="50D6914D" w14:textId="7ED0312D" w:rsidR="00C33D15" w:rsidRPr="00244D65" w:rsidRDefault="00C33D15" w:rsidP="0085595C">
            <w:pPr>
              <w:pStyle w:val="BodyText"/>
              <w:spacing w:line="240" w:lineRule="auto"/>
              <w:rPr>
                <w:rFonts w:ascii="Times New Roman" w:eastAsia="MS Mincho" w:hAnsi="Times New Roman" w:cs="Times New Roman"/>
                <w:noProof/>
                <w:sz w:val="22"/>
                <w:szCs w:val="22"/>
                <w:lang w:eastAsia="en-GB"/>
              </w:rPr>
            </w:pPr>
            <w:r w:rsidRPr="00244D65">
              <w:rPr>
                <w:rFonts w:ascii="Times New Roman" w:eastAsia="MS Mincho" w:hAnsi="Times New Roman" w:cs="Times New Roman"/>
                <w:noProof/>
                <w:sz w:val="22"/>
                <w:szCs w:val="22"/>
                <w:lang w:eastAsia="en-GB"/>
              </w:rPr>
              <w:t>(SO.1.3.2)</w:t>
            </w:r>
          </w:p>
        </w:tc>
        <w:tc>
          <w:tcPr>
            <w:tcW w:w="1472" w:type="pct"/>
            <w:tcBorders>
              <w:top w:val="single" w:sz="4" w:space="0" w:color="auto"/>
              <w:left w:val="single" w:sz="4" w:space="0" w:color="auto"/>
              <w:bottom w:val="single" w:sz="4" w:space="0" w:color="auto"/>
              <w:right w:val="single" w:sz="4" w:space="0" w:color="auto"/>
            </w:tcBorders>
            <w:shd w:val="clear" w:color="auto" w:fill="92D050"/>
          </w:tcPr>
          <w:p w14:paraId="0C12FE4F" w14:textId="7216389C" w:rsidR="008130CE" w:rsidRPr="00244D65" w:rsidRDefault="00F3260C" w:rsidP="0085595C">
            <w:pPr>
              <w:pStyle w:val="BodyText"/>
              <w:spacing w:line="240" w:lineRule="auto"/>
              <w:rPr>
                <w:rFonts w:ascii="Times New Roman" w:eastAsia="MS Mincho" w:hAnsi="Times New Roman" w:cs="Times New Roman"/>
                <w:noProof/>
                <w:sz w:val="22"/>
                <w:szCs w:val="22"/>
                <w:lang w:eastAsia="en-GB"/>
              </w:rPr>
            </w:pPr>
            <w:r w:rsidRPr="00244D65">
              <w:rPr>
                <w:rFonts w:ascii="Times New Roman" w:eastAsia="MS Mincho" w:hAnsi="Times New Roman" w:cs="Times New Roman"/>
                <w:noProof/>
                <w:sz w:val="22"/>
                <w:szCs w:val="22"/>
                <w:lang w:eastAsia="en-GB"/>
              </w:rPr>
              <w:t>C</w:t>
            </w:r>
            <w:r w:rsidR="00C417C4" w:rsidRPr="00244D65">
              <w:rPr>
                <w:rFonts w:ascii="Times New Roman" w:eastAsia="MS Mincho" w:hAnsi="Times New Roman" w:cs="Times New Roman"/>
                <w:noProof/>
                <w:sz w:val="22"/>
                <w:szCs w:val="22"/>
                <w:lang w:eastAsia="en-GB"/>
              </w:rPr>
              <w:t xml:space="preserve">omparable to the baseline in terms of maritime emissions, with </w:t>
            </w:r>
            <w:r w:rsidR="00C33D15" w:rsidRPr="00244D65">
              <w:rPr>
                <w:rFonts w:ascii="Times New Roman" w:eastAsia="MS Mincho" w:hAnsi="Times New Roman" w:cs="Times New Roman"/>
                <w:noProof/>
                <w:sz w:val="22"/>
                <w:szCs w:val="22"/>
                <w:lang w:eastAsia="en-GB"/>
              </w:rPr>
              <w:t>cumulative GHG emissions over 2030-2050 of 1,</w:t>
            </w:r>
            <w:r w:rsidR="003A3B4B" w:rsidRPr="00244D65">
              <w:rPr>
                <w:rFonts w:ascii="Times New Roman" w:eastAsia="MS Mincho" w:hAnsi="Times New Roman" w:cs="Times New Roman"/>
                <w:noProof/>
                <w:sz w:val="22"/>
                <w:szCs w:val="22"/>
                <w:lang w:eastAsia="en-GB"/>
              </w:rPr>
              <w:t xml:space="preserve">985 </w:t>
            </w:r>
            <w:r w:rsidR="00C33D15" w:rsidRPr="00244D65">
              <w:rPr>
                <w:rFonts w:ascii="Times New Roman" w:eastAsia="MS Mincho" w:hAnsi="Times New Roman" w:cs="Times New Roman"/>
                <w:noProof/>
                <w:sz w:val="22"/>
                <w:szCs w:val="22"/>
                <w:lang w:eastAsia="en-GB"/>
              </w:rPr>
              <w:t>MtCO</w:t>
            </w:r>
            <w:r w:rsidR="00C33D15" w:rsidRPr="00244D65">
              <w:rPr>
                <w:rFonts w:ascii="Times New Roman" w:eastAsia="MS Mincho" w:hAnsi="Times New Roman" w:cs="Times New Roman"/>
                <w:noProof/>
                <w:sz w:val="22"/>
                <w:szCs w:val="22"/>
                <w:vertAlign w:val="subscript"/>
                <w:lang w:eastAsia="en-GB"/>
              </w:rPr>
              <w:t>2</w:t>
            </w:r>
            <w:r w:rsidR="00C33D15" w:rsidRPr="00244D65">
              <w:rPr>
                <w:rFonts w:ascii="Times New Roman" w:eastAsia="MS Mincho" w:hAnsi="Times New Roman" w:cs="Times New Roman"/>
                <w:noProof/>
                <w:sz w:val="22"/>
                <w:szCs w:val="22"/>
                <w:lang w:eastAsia="en-GB"/>
              </w:rPr>
              <w:t>e and residual GHG emissions of 20 MtCO</w:t>
            </w:r>
            <w:r w:rsidR="00C33D15" w:rsidRPr="00244D65">
              <w:rPr>
                <w:rFonts w:ascii="Times New Roman" w:eastAsia="MS Mincho" w:hAnsi="Times New Roman" w:cs="Times New Roman"/>
                <w:noProof/>
                <w:sz w:val="22"/>
                <w:szCs w:val="22"/>
                <w:vertAlign w:val="subscript"/>
                <w:lang w:eastAsia="en-GB"/>
              </w:rPr>
              <w:t>2</w:t>
            </w:r>
            <w:r w:rsidR="00C33D15" w:rsidRPr="00244D65">
              <w:rPr>
                <w:rFonts w:ascii="Times New Roman" w:eastAsia="MS Mincho" w:hAnsi="Times New Roman" w:cs="Times New Roman"/>
                <w:noProof/>
                <w:sz w:val="22"/>
                <w:szCs w:val="22"/>
                <w:lang w:eastAsia="en-GB"/>
              </w:rPr>
              <w:t>e in 2050</w:t>
            </w:r>
            <w:r w:rsidR="00C417C4" w:rsidRPr="00244D65">
              <w:rPr>
                <w:rFonts w:ascii="Times New Roman" w:eastAsia="MS Mincho" w:hAnsi="Times New Roman" w:cs="Times New Roman"/>
                <w:noProof/>
                <w:sz w:val="22"/>
                <w:szCs w:val="22"/>
                <w:lang w:eastAsia="en-GB"/>
              </w:rPr>
              <w:t>.</w:t>
            </w:r>
            <w:r w:rsidR="00602753" w:rsidRPr="00244D65">
              <w:rPr>
                <w:rFonts w:ascii="Times New Roman" w:eastAsia="MS Mincho" w:hAnsi="Times New Roman" w:cs="Times New Roman"/>
                <w:noProof/>
                <w:sz w:val="22"/>
                <w:szCs w:val="22"/>
                <w:lang w:eastAsia="en-GB"/>
              </w:rPr>
              <w:t xml:space="preserve"> </w:t>
            </w:r>
            <w:r w:rsidR="00AC2D34" w:rsidRPr="00244D65">
              <w:rPr>
                <w:rFonts w:ascii="Times New Roman" w:eastAsia="MS Mincho" w:hAnsi="Times New Roman" w:cs="Times New Roman"/>
                <w:noProof/>
                <w:sz w:val="22"/>
                <w:szCs w:val="22"/>
                <w:lang w:eastAsia="en-GB"/>
              </w:rPr>
              <w:t>D</w:t>
            </w:r>
            <w:r w:rsidR="008130CE" w:rsidRPr="00244D65">
              <w:rPr>
                <w:rFonts w:ascii="Times New Roman" w:eastAsia="MS Mincho" w:hAnsi="Times New Roman" w:cs="Times New Roman"/>
                <w:noProof/>
                <w:sz w:val="22"/>
                <w:szCs w:val="22"/>
                <w:lang w:eastAsia="en-GB"/>
              </w:rPr>
              <w:t>erogations</w:t>
            </w:r>
            <w:r w:rsidR="00AC2D34" w:rsidRPr="00244D65">
              <w:rPr>
                <w:rFonts w:ascii="Times New Roman" w:eastAsia="MS Mincho" w:hAnsi="Times New Roman" w:cs="Times New Roman"/>
                <w:noProof/>
                <w:sz w:val="22"/>
                <w:szCs w:val="22"/>
                <w:lang w:eastAsia="en-GB"/>
              </w:rPr>
              <w:t xml:space="preserve"> are</w:t>
            </w:r>
            <w:r w:rsidR="008130CE" w:rsidRPr="00244D65">
              <w:rPr>
                <w:rFonts w:ascii="Times New Roman" w:eastAsia="MS Mincho" w:hAnsi="Times New Roman" w:cs="Times New Roman"/>
                <w:noProof/>
                <w:sz w:val="22"/>
                <w:szCs w:val="22"/>
                <w:lang w:eastAsia="en-GB"/>
              </w:rPr>
              <w:t xml:space="preserve"> run</w:t>
            </w:r>
            <w:r w:rsidR="00602753" w:rsidRPr="00244D65">
              <w:rPr>
                <w:rFonts w:ascii="Times New Roman" w:eastAsia="MS Mincho" w:hAnsi="Times New Roman" w:cs="Times New Roman"/>
                <w:noProof/>
                <w:sz w:val="22"/>
                <w:szCs w:val="22"/>
                <w:lang w:eastAsia="en-GB"/>
              </w:rPr>
              <w:t>ning</w:t>
            </w:r>
            <w:r w:rsidR="008130CE" w:rsidRPr="00244D65">
              <w:rPr>
                <w:rFonts w:ascii="Times New Roman" w:eastAsia="MS Mincho" w:hAnsi="Times New Roman" w:cs="Times New Roman"/>
                <w:noProof/>
                <w:sz w:val="22"/>
                <w:szCs w:val="22"/>
                <w:lang w:eastAsia="en-GB"/>
              </w:rPr>
              <w:t xml:space="preserve"> out </w:t>
            </w:r>
            <w:r w:rsidR="00180FC4" w:rsidRPr="00244D65">
              <w:rPr>
                <w:rFonts w:ascii="Times New Roman" w:eastAsia="MS Mincho" w:hAnsi="Times New Roman" w:cs="Times New Roman"/>
                <w:noProof/>
                <w:sz w:val="22"/>
                <w:szCs w:val="22"/>
                <w:lang w:eastAsia="en-GB"/>
              </w:rPr>
              <w:t>after 2030 in PO1</w:t>
            </w:r>
            <w:r w:rsidR="008130CE" w:rsidRPr="00244D65">
              <w:rPr>
                <w:rFonts w:ascii="Times New Roman" w:eastAsia="MS Mincho" w:hAnsi="Times New Roman" w:cs="Times New Roman"/>
                <w:noProof/>
                <w:sz w:val="22"/>
                <w:szCs w:val="22"/>
                <w:lang w:eastAsia="en-GB"/>
              </w:rPr>
              <w:t xml:space="preserve"> (</w:t>
            </w:r>
            <w:r w:rsidR="00180FC4" w:rsidRPr="00244D65">
              <w:rPr>
                <w:rFonts w:ascii="Times New Roman" w:eastAsia="MS Mincho" w:hAnsi="Times New Roman" w:cs="Times New Roman"/>
                <w:noProof/>
                <w:sz w:val="22"/>
                <w:szCs w:val="22"/>
                <w:lang w:eastAsia="en-GB"/>
              </w:rPr>
              <w:t xml:space="preserve">representing </w:t>
            </w:r>
            <w:r w:rsidR="008130CE" w:rsidRPr="00244D65">
              <w:rPr>
                <w:rFonts w:ascii="Times New Roman" w:eastAsia="MS Mincho" w:hAnsi="Times New Roman" w:cs="Times New Roman"/>
                <w:noProof/>
                <w:sz w:val="22"/>
                <w:szCs w:val="22"/>
                <w:lang w:eastAsia="en-GB"/>
              </w:rPr>
              <w:t xml:space="preserve">5% of </w:t>
            </w:r>
            <w:r w:rsidR="00C73AFB" w:rsidRPr="00244D65">
              <w:rPr>
                <w:rFonts w:ascii="Times New Roman" w:eastAsia="MS Mincho" w:hAnsi="Times New Roman" w:cs="Times New Roman"/>
                <w:noProof/>
                <w:sz w:val="22"/>
                <w:szCs w:val="22"/>
                <w:lang w:eastAsia="en-GB"/>
              </w:rPr>
              <w:t xml:space="preserve">maritime </w:t>
            </w:r>
            <w:r w:rsidR="008130CE" w:rsidRPr="00244D65">
              <w:rPr>
                <w:rFonts w:ascii="Times New Roman" w:eastAsia="MS Mincho" w:hAnsi="Times New Roman" w:cs="Times New Roman"/>
                <w:noProof/>
                <w:sz w:val="22"/>
                <w:szCs w:val="22"/>
                <w:lang w:eastAsia="en-GB"/>
              </w:rPr>
              <w:t>GHG emissions</w:t>
            </w:r>
            <w:r w:rsidR="00AC2D34" w:rsidRPr="00244D65">
              <w:rPr>
                <w:rFonts w:ascii="Times New Roman" w:eastAsia="MS Mincho" w:hAnsi="Times New Roman" w:cs="Times New Roman"/>
                <w:noProof/>
                <w:sz w:val="22"/>
                <w:szCs w:val="22"/>
                <w:lang w:eastAsia="en-GB"/>
              </w:rPr>
              <w:t xml:space="preserve"> under the ETS cope</w:t>
            </w:r>
            <w:r w:rsidR="008130CE" w:rsidRPr="00244D65">
              <w:rPr>
                <w:rFonts w:ascii="Times New Roman" w:eastAsia="MS Mincho" w:hAnsi="Times New Roman" w:cs="Times New Roman"/>
                <w:noProof/>
                <w:sz w:val="22"/>
                <w:szCs w:val="22"/>
                <w:lang w:eastAsia="en-GB"/>
              </w:rPr>
              <w:t>).</w:t>
            </w:r>
          </w:p>
          <w:p w14:paraId="35C48D77" w14:textId="52ACF596" w:rsidR="008130CE" w:rsidRPr="00244D65" w:rsidRDefault="008130CE" w:rsidP="0085595C">
            <w:pPr>
              <w:pStyle w:val="BodyText"/>
              <w:spacing w:line="240" w:lineRule="auto"/>
              <w:rPr>
                <w:rFonts w:ascii="Times New Roman" w:eastAsia="MS Mincho" w:hAnsi="Times New Roman" w:cs="Times New Roman"/>
                <w:noProof/>
                <w:sz w:val="22"/>
                <w:szCs w:val="22"/>
                <w:lang w:eastAsia="en-GB"/>
              </w:rPr>
            </w:pPr>
            <w:r w:rsidRPr="00244D65">
              <w:rPr>
                <w:rFonts w:ascii="Times New Roman" w:eastAsia="MS Mincho" w:hAnsi="Times New Roman" w:cs="Times New Roman"/>
                <w:noProof/>
                <w:sz w:val="22"/>
                <w:szCs w:val="22"/>
                <w:lang w:eastAsia="en-GB"/>
              </w:rPr>
              <w:t>Weak</w:t>
            </w:r>
            <w:r w:rsidR="00E8660F" w:rsidRPr="00244D65">
              <w:rPr>
                <w:rFonts w:ascii="Times New Roman" w:eastAsia="MS Mincho" w:hAnsi="Times New Roman" w:cs="Times New Roman"/>
                <w:noProof/>
                <w:sz w:val="22"/>
                <w:szCs w:val="22"/>
                <w:lang w:eastAsia="en-GB"/>
              </w:rPr>
              <w:t>ly</w:t>
            </w:r>
            <w:r w:rsidRPr="00244D65">
              <w:rPr>
                <w:rFonts w:ascii="Times New Roman" w:eastAsia="MS Mincho" w:hAnsi="Times New Roman" w:cs="Times New Roman"/>
                <w:noProof/>
                <w:sz w:val="22"/>
                <w:szCs w:val="22"/>
                <w:lang w:eastAsia="en-GB"/>
              </w:rPr>
              <w:t xml:space="preserve"> positive impact of costs savings due </w:t>
            </w:r>
            <w:r w:rsidR="2CD80883" w:rsidRPr="00244D65">
              <w:rPr>
                <w:rFonts w:ascii="Times New Roman" w:eastAsia="MS Mincho" w:hAnsi="Times New Roman" w:cs="Times New Roman"/>
                <w:noProof/>
                <w:sz w:val="22"/>
                <w:szCs w:val="22"/>
                <w:lang w:eastAsia="en-GB"/>
              </w:rPr>
              <w:t>to simplification</w:t>
            </w:r>
            <w:r w:rsidRPr="00244D65">
              <w:rPr>
                <w:rFonts w:ascii="Times New Roman" w:eastAsia="MS Mincho" w:hAnsi="Times New Roman" w:cs="Times New Roman"/>
                <w:noProof/>
                <w:sz w:val="22"/>
                <w:szCs w:val="22"/>
                <w:lang w:eastAsia="en-GB"/>
              </w:rPr>
              <w:t xml:space="preserve"> and process enhancement measures (</w:t>
            </w:r>
            <w:r w:rsidR="00802759" w:rsidRPr="00244D65">
              <w:rPr>
                <w:rFonts w:ascii="Times New Roman" w:eastAsia="MS Mincho" w:hAnsi="Times New Roman" w:cs="Times New Roman"/>
                <w:noProof/>
                <w:sz w:val="22"/>
                <w:szCs w:val="22"/>
                <w:lang w:eastAsia="en-GB"/>
              </w:rPr>
              <w:t xml:space="preserve">up to </w:t>
            </w:r>
            <w:r w:rsidR="00180FC4" w:rsidRPr="00244D65">
              <w:rPr>
                <w:rFonts w:ascii="Times New Roman" w:eastAsia="MS Mincho" w:hAnsi="Times New Roman" w:cs="Times New Roman"/>
                <w:noProof/>
                <w:sz w:val="22"/>
                <w:szCs w:val="22"/>
                <w:lang w:eastAsia="en-GB"/>
              </w:rPr>
              <w:t xml:space="preserve">EUR </w:t>
            </w:r>
            <w:r w:rsidR="00802759" w:rsidRPr="00244D65">
              <w:rPr>
                <w:rFonts w:ascii="Times New Roman" w:eastAsia="MS Mincho" w:hAnsi="Times New Roman" w:cs="Times New Roman"/>
                <w:noProof/>
                <w:sz w:val="22"/>
                <w:szCs w:val="22"/>
                <w:lang w:eastAsia="en-GB"/>
              </w:rPr>
              <w:t>9</w:t>
            </w:r>
            <w:r w:rsidRPr="00244D65">
              <w:rPr>
                <w:rFonts w:ascii="Times New Roman" w:eastAsia="MS Mincho" w:hAnsi="Times New Roman" w:cs="Times New Roman"/>
                <w:noProof/>
                <w:sz w:val="22"/>
                <w:szCs w:val="22"/>
                <w:lang w:eastAsia="en-GB"/>
              </w:rPr>
              <w:t xml:space="preserve"> million /year)</w:t>
            </w:r>
          </w:p>
          <w:p w14:paraId="529117A1" w14:textId="25BFB0FA" w:rsidR="00C33D15" w:rsidRPr="00244D65" w:rsidRDefault="00C33D15" w:rsidP="0085595C">
            <w:pPr>
              <w:pStyle w:val="BodyText"/>
              <w:spacing w:line="240" w:lineRule="auto"/>
              <w:rPr>
                <w:rFonts w:ascii="Times New Roman" w:eastAsia="MS Mincho" w:hAnsi="Times New Roman" w:cs="Times New Roman"/>
                <w:noProof/>
                <w:sz w:val="22"/>
                <w:szCs w:val="22"/>
                <w:lang w:eastAsia="en-GB"/>
              </w:rPr>
            </w:pPr>
          </w:p>
        </w:tc>
        <w:tc>
          <w:tcPr>
            <w:tcW w:w="1654" w:type="pct"/>
            <w:tcBorders>
              <w:top w:val="single" w:sz="4" w:space="0" w:color="auto"/>
              <w:left w:val="single" w:sz="4" w:space="0" w:color="auto"/>
              <w:bottom w:val="single" w:sz="4" w:space="0" w:color="auto"/>
              <w:right w:val="single" w:sz="4" w:space="0" w:color="auto"/>
            </w:tcBorders>
            <w:shd w:val="clear" w:color="auto" w:fill="00B050"/>
          </w:tcPr>
          <w:p w14:paraId="63518B40" w14:textId="1BC60E45" w:rsidR="00C83FCC" w:rsidRPr="00244D65" w:rsidRDefault="00ED4B7E" w:rsidP="0085595C">
            <w:pPr>
              <w:pStyle w:val="BodyText"/>
              <w:spacing w:line="240" w:lineRule="auto"/>
              <w:rPr>
                <w:rFonts w:ascii="Times New Roman" w:eastAsia="MS Mincho" w:hAnsi="Times New Roman" w:cs="Times New Roman"/>
                <w:noProof/>
                <w:sz w:val="22"/>
                <w:szCs w:val="22"/>
                <w:lang w:eastAsia="en-GB"/>
              </w:rPr>
            </w:pPr>
            <w:r w:rsidRPr="00244D65">
              <w:rPr>
                <w:rFonts w:ascii="Times New Roman" w:eastAsia="MS Mincho" w:hAnsi="Times New Roman" w:cs="Times New Roman"/>
                <w:noProof/>
                <w:sz w:val="22"/>
                <w:szCs w:val="22"/>
                <w:lang w:eastAsia="en-GB"/>
              </w:rPr>
              <w:t>P</w:t>
            </w:r>
            <w:r w:rsidR="00C33D15" w:rsidRPr="00244D65">
              <w:rPr>
                <w:rFonts w:ascii="Times New Roman" w:eastAsia="MS Mincho" w:hAnsi="Times New Roman" w:cs="Times New Roman"/>
                <w:noProof/>
                <w:sz w:val="22"/>
                <w:szCs w:val="22"/>
                <w:lang w:eastAsia="en-GB"/>
              </w:rPr>
              <w:t xml:space="preserve">ositive impact on emissions </w:t>
            </w:r>
            <w:r w:rsidR="001B28B6" w:rsidRPr="00244D65">
              <w:rPr>
                <w:rFonts w:ascii="Times New Roman" w:eastAsia="MS Mincho" w:hAnsi="Times New Roman" w:cs="Times New Roman"/>
                <w:noProof/>
                <w:sz w:val="22"/>
                <w:szCs w:val="22"/>
                <w:lang w:eastAsia="en-GB"/>
              </w:rPr>
              <w:t>with</w:t>
            </w:r>
            <w:r w:rsidR="00C33D15" w:rsidRPr="00244D65">
              <w:rPr>
                <w:rFonts w:ascii="Times New Roman" w:eastAsia="MS Mincho" w:hAnsi="Times New Roman" w:cs="Times New Roman"/>
                <w:noProof/>
                <w:sz w:val="22"/>
                <w:szCs w:val="22"/>
                <w:lang w:eastAsia="en-GB"/>
              </w:rPr>
              <w:t xml:space="preserve"> cumulative </w:t>
            </w:r>
            <w:r w:rsidR="001B28B6" w:rsidRPr="00244D65">
              <w:rPr>
                <w:rFonts w:ascii="Times New Roman" w:eastAsia="MS Mincho" w:hAnsi="Times New Roman" w:cs="Times New Roman"/>
                <w:noProof/>
                <w:sz w:val="22"/>
                <w:szCs w:val="22"/>
                <w:lang w:eastAsia="en-GB"/>
              </w:rPr>
              <w:t xml:space="preserve">GHG maritime </w:t>
            </w:r>
            <w:r w:rsidR="00414173" w:rsidRPr="00244D65">
              <w:rPr>
                <w:rFonts w:ascii="Times New Roman" w:eastAsia="MS Mincho" w:hAnsi="Times New Roman" w:cs="Times New Roman"/>
                <w:noProof/>
                <w:sz w:val="22"/>
                <w:szCs w:val="22"/>
                <w:lang w:eastAsia="en-GB"/>
              </w:rPr>
              <w:t xml:space="preserve">emissions </w:t>
            </w:r>
            <w:r w:rsidR="00C33D15" w:rsidRPr="00244D65">
              <w:rPr>
                <w:rFonts w:ascii="Times New Roman" w:eastAsia="MS Mincho" w:hAnsi="Times New Roman" w:cs="Times New Roman"/>
                <w:noProof/>
                <w:sz w:val="22"/>
                <w:szCs w:val="22"/>
                <w:lang w:eastAsia="en-GB"/>
              </w:rPr>
              <w:t>over 2030-2050</w:t>
            </w:r>
            <w:r w:rsidR="00D46645" w:rsidRPr="00244D65">
              <w:rPr>
                <w:rFonts w:ascii="Times New Roman" w:eastAsia="MS Mincho" w:hAnsi="Times New Roman" w:cs="Times New Roman"/>
                <w:noProof/>
                <w:sz w:val="22"/>
                <w:szCs w:val="22"/>
                <w:lang w:eastAsia="en-GB"/>
              </w:rPr>
              <w:t xml:space="preserve"> of</w:t>
            </w:r>
            <w:r w:rsidR="00C33D15" w:rsidRPr="00244D65">
              <w:rPr>
                <w:rFonts w:ascii="Times New Roman" w:eastAsia="MS Mincho" w:hAnsi="Times New Roman" w:cs="Times New Roman"/>
                <w:noProof/>
                <w:sz w:val="22"/>
                <w:szCs w:val="22"/>
                <w:lang w:eastAsia="en-GB"/>
              </w:rPr>
              <w:t xml:space="preserve"> 1,</w:t>
            </w:r>
            <w:r w:rsidR="003A3B4B" w:rsidRPr="00244D65">
              <w:rPr>
                <w:rFonts w:ascii="Times New Roman" w:eastAsia="MS Mincho" w:hAnsi="Times New Roman" w:cs="Times New Roman"/>
                <w:noProof/>
                <w:sz w:val="22"/>
                <w:szCs w:val="22"/>
                <w:lang w:eastAsia="en-GB"/>
              </w:rPr>
              <w:t xml:space="preserve">890 </w:t>
            </w:r>
            <w:r w:rsidR="00C33D15" w:rsidRPr="00244D65">
              <w:rPr>
                <w:rFonts w:ascii="Times New Roman" w:eastAsia="MS Mincho" w:hAnsi="Times New Roman" w:cs="Times New Roman"/>
                <w:noProof/>
                <w:sz w:val="22"/>
                <w:szCs w:val="22"/>
                <w:lang w:eastAsia="en-GB"/>
              </w:rPr>
              <w:t>MtCO</w:t>
            </w:r>
            <w:r w:rsidR="00C33D15" w:rsidRPr="00244D65">
              <w:rPr>
                <w:rFonts w:ascii="Times New Roman" w:eastAsia="MS Mincho" w:hAnsi="Times New Roman" w:cs="Times New Roman"/>
                <w:noProof/>
                <w:sz w:val="22"/>
                <w:szCs w:val="22"/>
                <w:vertAlign w:val="subscript"/>
                <w:lang w:eastAsia="en-GB"/>
              </w:rPr>
              <w:t>2</w:t>
            </w:r>
            <w:r w:rsidR="00C33D15" w:rsidRPr="00244D65">
              <w:rPr>
                <w:rFonts w:ascii="Times New Roman" w:eastAsia="MS Mincho" w:hAnsi="Times New Roman" w:cs="Times New Roman"/>
                <w:noProof/>
                <w:sz w:val="22"/>
                <w:szCs w:val="22"/>
                <w:lang w:eastAsia="en-GB"/>
              </w:rPr>
              <w:t>e (5.</w:t>
            </w:r>
            <w:r w:rsidR="00D713B2" w:rsidRPr="00244D65">
              <w:rPr>
                <w:rFonts w:ascii="Times New Roman" w:eastAsia="MS Mincho" w:hAnsi="Times New Roman" w:cs="Times New Roman"/>
                <w:noProof/>
                <w:sz w:val="22"/>
                <w:szCs w:val="22"/>
                <w:lang w:eastAsia="en-GB"/>
              </w:rPr>
              <w:t>0</w:t>
            </w:r>
            <w:r w:rsidR="00C33D15" w:rsidRPr="00244D65">
              <w:rPr>
                <w:rFonts w:ascii="Times New Roman" w:eastAsia="MS Mincho" w:hAnsi="Times New Roman" w:cs="Times New Roman"/>
                <w:noProof/>
                <w:sz w:val="22"/>
                <w:szCs w:val="22"/>
                <w:lang w:eastAsia="en-GB"/>
              </w:rPr>
              <w:t>% reduction compared to PO1) and residual GHG emissions of 12 MtCO</w:t>
            </w:r>
            <w:r w:rsidR="00C33D15" w:rsidRPr="00244D65">
              <w:rPr>
                <w:rFonts w:ascii="Times New Roman" w:eastAsia="MS Mincho" w:hAnsi="Times New Roman" w:cs="Times New Roman"/>
                <w:noProof/>
                <w:sz w:val="22"/>
                <w:szCs w:val="22"/>
                <w:vertAlign w:val="subscript"/>
                <w:lang w:eastAsia="en-GB"/>
              </w:rPr>
              <w:t>2</w:t>
            </w:r>
            <w:r w:rsidR="00C33D15" w:rsidRPr="00244D65">
              <w:rPr>
                <w:rFonts w:ascii="Times New Roman" w:eastAsia="MS Mincho" w:hAnsi="Times New Roman" w:cs="Times New Roman"/>
                <w:noProof/>
                <w:sz w:val="22"/>
                <w:szCs w:val="22"/>
                <w:lang w:eastAsia="en-GB"/>
              </w:rPr>
              <w:t xml:space="preserve">e in 2050. </w:t>
            </w:r>
          </w:p>
          <w:p w14:paraId="56200209" w14:textId="0946AE18" w:rsidR="00917E17" w:rsidRPr="00244D65" w:rsidRDefault="002C7922" w:rsidP="0085595C">
            <w:pPr>
              <w:pStyle w:val="BodyText"/>
              <w:spacing w:line="240" w:lineRule="auto"/>
              <w:rPr>
                <w:rFonts w:ascii="Times New Roman" w:eastAsia="MS Mincho" w:hAnsi="Times New Roman" w:cs="Times New Roman"/>
                <w:noProof/>
                <w:sz w:val="22"/>
                <w:szCs w:val="22"/>
                <w:lang w:eastAsia="en-GB"/>
              </w:rPr>
            </w:pPr>
            <w:r w:rsidRPr="00244D65">
              <w:rPr>
                <w:rFonts w:ascii="Times New Roman" w:eastAsia="MS Mincho" w:hAnsi="Times New Roman" w:cs="Times New Roman"/>
                <w:noProof/>
                <w:sz w:val="22"/>
                <w:szCs w:val="22"/>
                <w:lang w:eastAsia="en-GB"/>
              </w:rPr>
              <w:t>P</w:t>
            </w:r>
            <w:r w:rsidR="00917E17" w:rsidRPr="00244D65">
              <w:rPr>
                <w:rFonts w:ascii="Times New Roman" w:eastAsia="MS Mincho" w:hAnsi="Times New Roman" w:cs="Times New Roman"/>
                <w:noProof/>
                <w:sz w:val="22"/>
                <w:szCs w:val="22"/>
                <w:lang w:eastAsia="en-GB"/>
              </w:rPr>
              <w:t xml:space="preserve">ositive effects </w:t>
            </w:r>
            <w:r w:rsidR="002E642C" w:rsidRPr="00244D65">
              <w:rPr>
                <w:rFonts w:ascii="Times New Roman" w:eastAsia="MS Mincho" w:hAnsi="Times New Roman" w:cs="Times New Roman"/>
                <w:noProof/>
                <w:sz w:val="22"/>
                <w:szCs w:val="22"/>
                <w:lang w:eastAsia="en-GB"/>
              </w:rPr>
              <w:t xml:space="preserve">in terms of regulatory </w:t>
            </w:r>
            <w:r w:rsidR="008F4685" w:rsidRPr="00244D65">
              <w:rPr>
                <w:rFonts w:ascii="Times New Roman" w:eastAsia="MS Mincho" w:hAnsi="Times New Roman" w:cs="Times New Roman"/>
                <w:noProof/>
                <w:sz w:val="22"/>
                <w:szCs w:val="22"/>
                <w:lang w:eastAsia="en-GB"/>
              </w:rPr>
              <w:t>efficiency</w:t>
            </w:r>
            <w:r w:rsidR="00917E17" w:rsidRPr="00244D65">
              <w:rPr>
                <w:rFonts w:ascii="Times New Roman" w:eastAsia="MS Mincho" w:hAnsi="Times New Roman" w:cs="Times New Roman"/>
                <w:noProof/>
                <w:sz w:val="22"/>
                <w:szCs w:val="22"/>
                <w:lang w:eastAsia="en-GB"/>
              </w:rPr>
              <w:t xml:space="preserve"> as the </w:t>
            </w:r>
            <w:r w:rsidR="00286B42" w:rsidRPr="00244D65">
              <w:rPr>
                <w:rFonts w:ascii="Times New Roman" w:eastAsia="MS Mincho" w:hAnsi="Times New Roman" w:cs="Times New Roman"/>
                <w:noProof/>
                <w:sz w:val="22"/>
                <w:szCs w:val="22"/>
                <w:lang w:eastAsia="en-GB"/>
              </w:rPr>
              <w:t>deduction</w:t>
            </w:r>
            <w:r w:rsidR="00917E17" w:rsidRPr="00244D65">
              <w:rPr>
                <w:rFonts w:ascii="Times New Roman" w:eastAsia="MS Mincho" w:hAnsi="Times New Roman" w:cs="Times New Roman"/>
                <w:noProof/>
                <w:sz w:val="22"/>
                <w:szCs w:val="22"/>
                <w:lang w:eastAsia="en-GB"/>
              </w:rPr>
              <w:t xml:space="preserve"> </w:t>
            </w:r>
            <w:r w:rsidR="0084280E" w:rsidRPr="00244D65">
              <w:rPr>
                <w:rFonts w:ascii="Times New Roman" w:eastAsia="MS Mincho" w:hAnsi="Times New Roman" w:cs="Times New Roman"/>
                <w:noProof/>
                <w:sz w:val="22"/>
                <w:szCs w:val="22"/>
                <w:lang w:eastAsia="en-GB"/>
              </w:rPr>
              <w:t>avoids</w:t>
            </w:r>
            <w:r w:rsidR="00917E17" w:rsidRPr="00244D65">
              <w:rPr>
                <w:rFonts w:ascii="Times New Roman" w:eastAsia="MS Mincho" w:hAnsi="Times New Roman" w:cs="Times New Roman"/>
                <w:noProof/>
                <w:sz w:val="22"/>
                <w:szCs w:val="22"/>
                <w:lang w:eastAsia="en-GB"/>
              </w:rPr>
              <w:t xml:space="preserve"> the double </w:t>
            </w:r>
            <w:r w:rsidR="581723AB" w:rsidRPr="00244D65">
              <w:rPr>
                <w:rFonts w:ascii="Times New Roman" w:eastAsia="MS Mincho" w:hAnsi="Times New Roman" w:cs="Times New Roman"/>
                <w:noProof/>
                <w:sz w:val="22"/>
                <w:szCs w:val="22"/>
                <w:lang w:eastAsia="en-GB"/>
              </w:rPr>
              <w:t>pricing</w:t>
            </w:r>
            <w:r w:rsidR="00917E17" w:rsidRPr="00244D65">
              <w:rPr>
                <w:rFonts w:ascii="Times New Roman" w:eastAsia="MS Mincho" w:hAnsi="Times New Roman" w:cs="Times New Roman"/>
                <w:noProof/>
                <w:sz w:val="22"/>
                <w:szCs w:val="22"/>
                <w:lang w:eastAsia="en-GB"/>
              </w:rPr>
              <w:t xml:space="preserve"> </w:t>
            </w:r>
            <w:r w:rsidR="0084280E" w:rsidRPr="00244D65">
              <w:rPr>
                <w:rFonts w:ascii="Times New Roman" w:eastAsia="MS Mincho" w:hAnsi="Times New Roman" w:cs="Times New Roman"/>
                <w:noProof/>
                <w:sz w:val="22"/>
                <w:szCs w:val="22"/>
                <w:lang w:eastAsia="en-GB"/>
              </w:rPr>
              <w:t>under</w:t>
            </w:r>
            <w:r w:rsidR="00917E17" w:rsidRPr="00244D65">
              <w:rPr>
                <w:rFonts w:ascii="Times New Roman" w:eastAsia="MS Mincho" w:hAnsi="Times New Roman" w:cs="Times New Roman"/>
                <w:noProof/>
                <w:sz w:val="22"/>
                <w:szCs w:val="22"/>
                <w:lang w:eastAsia="en-GB"/>
              </w:rPr>
              <w:t xml:space="preserve"> the IMO </w:t>
            </w:r>
            <w:r w:rsidR="5D528009" w:rsidRPr="00244D65">
              <w:rPr>
                <w:rFonts w:ascii="Times New Roman" w:eastAsia="MS Mincho" w:hAnsi="Times New Roman" w:cs="Times New Roman"/>
                <w:noProof/>
                <w:sz w:val="22"/>
                <w:szCs w:val="22"/>
                <w:lang w:eastAsia="en-GB"/>
              </w:rPr>
              <w:t xml:space="preserve">measure (once adopted) </w:t>
            </w:r>
            <w:r w:rsidR="0084280E" w:rsidRPr="00244D65">
              <w:rPr>
                <w:rFonts w:ascii="Times New Roman" w:eastAsia="MS Mincho" w:hAnsi="Times New Roman" w:cs="Times New Roman"/>
                <w:noProof/>
                <w:sz w:val="22"/>
                <w:szCs w:val="22"/>
                <w:lang w:eastAsia="en-GB"/>
              </w:rPr>
              <w:t>and</w:t>
            </w:r>
            <w:r w:rsidR="00917E17" w:rsidRPr="00244D65">
              <w:rPr>
                <w:rFonts w:ascii="Times New Roman" w:eastAsia="MS Mincho" w:hAnsi="Times New Roman" w:cs="Times New Roman"/>
                <w:noProof/>
                <w:sz w:val="22"/>
                <w:szCs w:val="22"/>
                <w:lang w:eastAsia="en-GB"/>
              </w:rPr>
              <w:t xml:space="preserve"> EU ETS</w:t>
            </w:r>
            <w:r w:rsidR="003169D4" w:rsidRPr="00244D65">
              <w:rPr>
                <w:rFonts w:ascii="Times New Roman" w:eastAsia="MS Mincho" w:hAnsi="Times New Roman" w:cs="Times New Roman"/>
                <w:noProof/>
                <w:sz w:val="22"/>
                <w:szCs w:val="22"/>
                <w:lang w:eastAsia="en-GB"/>
              </w:rPr>
              <w:t>.</w:t>
            </w:r>
            <w:r w:rsidR="00917E17" w:rsidRPr="00244D65">
              <w:rPr>
                <w:rFonts w:ascii="Times New Roman" w:eastAsia="MS Mincho" w:hAnsi="Times New Roman" w:cs="Times New Roman"/>
                <w:noProof/>
                <w:sz w:val="22"/>
                <w:szCs w:val="22"/>
                <w:lang w:eastAsia="en-GB"/>
              </w:rPr>
              <w:t xml:space="preserve"> </w:t>
            </w:r>
          </w:p>
          <w:p w14:paraId="48D8F43A" w14:textId="04A49286" w:rsidR="00917E17" w:rsidRPr="00244D65" w:rsidRDefault="00917E17" w:rsidP="0085595C">
            <w:pPr>
              <w:pStyle w:val="BodyText"/>
              <w:spacing w:line="240" w:lineRule="auto"/>
              <w:rPr>
                <w:rFonts w:ascii="Times New Roman" w:eastAsia="MS Mincho" w:hAnsi="Times New Roman" w:cs="Times New Roman"/>
                <w:noProof/>
                <w:sz w:val="22"/>
                <w:szCs w:val="22"/>
                <w:lang w:eastAsia="en-GB"/>
              </w:rPr>
            </w:pPr>
            <w:r w:rsidRPr="00244D65">
              <w:rPr>
                <w:rFonts w:ascii="Times New Roman" w:eastAsia="MS Mincho" w:hAnsi="Times New Roman" w:cs="Times New Roman"/>
                <w:noProof/>
                <w:sz w:val="22"/>
                <w:szCs w:val="22"/>
                <w:lang w:eastAsia="en-GB"/>
              </w:rPr>
              <w:t xml:space="preserve">Recycling of ETS revenues is expected to improve the economic case for complying with ETS and the IMO </w:t>
            </w:r>
            <w:r w:rsidR="00755930" w:rsidRPr="00244D65">
              <w:rPr>
                <w:rFonts w:ascii="Times New Roman" w:eastAsia="MS Mincho" w:hAnsi="Times New Roman" w:cs="Times New Roman"/>
                <w:noProof/>
                <w:sz w:val="22"/>
                <w:szCs w:val="22"/>
                <w:lang w:eastAsia="en-GB"/>
              </w:rPr>
              <w:t>measure</w:t>
            </w:r>
            <w:r w:rsidRPr="00244D65">
              <w:rPr>
                <w:rFonts w:ascii="Times New Roman" w:eastAsia="MS Mincho" w:hAnsi="Times New Roman" w:cs="Times New Roman"/>
                <w:noProof/>
                <w:sz w:val="22"/>
                <w:szCs w:val="22"/>
                <w:lang w:eastAsia="en-GB"/>
              </w:rPr>
              <w:t>.</w:t>
            </w:r>
          </w:p>
          <w:p w14:paraId="2F4371F2" w14:textId="31EC3860" w:rsidR="0051581B" w:rsidRPr="00244D65" w:rsidRDefault="0051581B" w:rsidP="0085595C">
            <w:pPr>
              <w:pStyle w:val="BodyText"/>
              <w:spacing w:line="240" w:lineRule="auto"/>
              <w:rPr>
                <w:rFonts w:ascii="Times New Roman" w:eastAsia="MS Mincho" w:hAnsi="Times New Roman" w:cs="Times New Roman"/>
                <w:noProof/>
                <w:sz w:val="22"/>
                <w:szCs w:val="22"/>
                <w:lang w:eastAsia="en-GB"/>
              </w:rPr>
            </w:pPr>
            <w:r w:rsidRPr="00244D65">
              <w:rPr>
                <w:rFonts w:ascii="Times New Roman" w:eastAsia="MS Mincho" w:hAnsi="Times New Roman" w:cs="Times New Roman"/>
                <w:noProof/>
                <w:sz w:val="22"/>
                <w:szCs w:val="22"/>
                <w:lang w:eastAsia="en-GB"/>
              </w:rPr>
              <w:t>Additional weak positive impacts of cost savings due to simplification and enhancement measures (</w:t>
            </w:r>
            <w:r w:rsidR="00B003DA" w:rsidRPr="00244D65">
              <w:rPr>
                <w:rFonts w:ascii="Times New Roman" w:eastAsia="MS Mincho" w:hAnsi="Times New Roman" w:cs="Times New Roman"/>
                <w:noProof/>
                <w:sz w:val="22"/>
                <w:szCs w:val="22"/>
                <w:lang w:eastAsia="en-GB"/>
              </w:rPr>
              <w:t>up to 9</w:t>
            </w:r>
            <w:r w:rsidRPr="00244D65">
              <w:rPr>
                <w:rFonts w:ascii="Times New Roman" w:eastAsia="MS Mincho" w:hAnsi="Times New Roman" w:cs="Times New Roman"/>
                <w:noProof/>
                <w:sz w:val="22"/>
                <w:szCs w:val="22"/>
                <w:lang w:eastAsia="en-GB"/>
              </w:rPr>
              <w:t xml:space="preserve"> million EU/year).</w:t>
            </w:r>
          </w:p>
          <w:p w14:paraId="39E2F5E8" w14:textId="20BBBEA8" w:rsidR="00C96C0F" w:rsidRPr="00244D65" w:rsidRDefault="00C96C0F" w:rsidP="0085595C">
            <w:pPr>
              <w:pStyle w:val="BodyText"/>
              <w:spacing w:line="240" w:lineRule="auto"/>
              <w:rPr>
                <w:rFonts w:ascii="Times New Roman" w:eastAsia="MS Mincho" w:hAnsi="Times New Roman" w:cs="Times New Roman"/>
                <w:noProof/>
                <w:sz w:val="22"/>
                <w:szCs w:val="22"/>
                <w:lang w:eastAsia="en-GB"/>
              </w:rPr>
            </w:pPr>
            <w:r w:rsidRPr="00244D65">
              <w:rPr>
                <w:rFonts w:ascii="Times New Roman" w:eastAsia="MS Mincho" w:hAnsi="Times New Roman" w:cs="Times New Roman"/>
                <w:noProof/>
                <w:sz w:val="22"/>
                <w:szCs w:val="22"/>
                <w:lang w:eastAsia="en-GB"/>
              </w:rPr>
              <w:t>Positive impact by</w:t>
            </w:r>
            <w:r w:rsidR="00170AAC" w:rsidRPr="00244D65">
              <w:rPr>
                <w:rFonts w:ascii="Times New Roman" w:eastAsia="MS Mincho" w:hAnsi="Times New Roman" w:cs="Times New Roman"/>
                <w:noProof/>
                <w:sz w:val="22"/>
                <w:szCs w:val="22"/>
                <w:lang w:eastAsia="en-GB"/>
              </w:rPr>
              <w:t xml:space="preserve"> </w:t>
            </w:r>
            <w:r w:rsidRPr="00244D65">
              <w:rPr>
                <w:rFonts w:ascii="Times New Roman" w:eastAsia="MS Mincho" w:hAnsi="Times New Roman" w:cs="Times New Roman"/>
                <w:noProof/>
                <w:sz w:val="22"/>
                <w:szCs w:val="22"/>
                <w:lang w:eastAsia="en-GB"/>
              </w:rPr>
              <w:t xml:space="preserve">inclusion of </w:t>
            </w:r>
            <w:r w:rsidR="00170AAC" w:rsidRPr="00244D65">
              <w:rPr>
                <w:rFonts w:ascii="Times New Roman" w:eastAsia="MS Mincho" w:hAnsi="Times New Roman" w:cs="Times New Roman"/>
                <w:noProof/>
                <w:sz w:val="22"/>
                <w:szCs w:val="22"/>
                <w:lang w:eastAsia="en-GB"/>
              </w:rPr>
              <w:t xml:space="preserve">smaller ships </w:t>
            </w:r>
            <w:r w:rsidR="0096493A" w:rsidRPr="00244D65">
              <w:rPr>
                <w:rFonts w:ascii="Times New Roman" w:eastAsia="MS Mincho" w:hAnsi="Times New Roman" w:cs="Times New Roman"/>
                <w:noProof/>
                <w:sz w:val="22"/>
                <w:szCs w:val="22"/>
                <w:lang w:eastAsia="en-GB"/>
              </w:rPr>
              <w:t>from</w:t>
            </w:r>
            <w:r w:rsidR="0077357C" w:rsidRPr="00244D65">
              <w:rPr>
                <w:rFonts w:ascii="Times New Roman" w:eastAsia="MS Mincho" w:hAnsi="Times New Roman" w:cs="Times New Roman"/>
                <w:noProof/>
                <w:sz w:val="22"/>
                <w:szCs w:val="22"/>
                <w:lang w:eastAsia="en-GB"/>
              </w:rPr>
              <w:t xml:space="preserve"> the categories emitting the most</w:t>
            </w:r>
            <w:r w:rsidR="00DF3603" w:rsidRPr="00244D65">
              <w:rPr>
                <w:rFonts w:ascii="Times New Roman" w:eastAsia="MS Mincho" w:hAnsi="Times New Roman" w:cs="Times New Roman"/>
                <w:noProof/>
                <w:sz w:val="22"/>
                <w:szCs w:val="22"/>
                <w:lang w:eastAsia="en-GB"/>
              </w:rPr>
              <w:t>, representing</w:t>
            </w:r>
            <w:r w:rsidR="003A3B4B" w:rsidRPr="00244D65">
              <w:rPr>
                <w:rFonts w:ascii="Times New Roman" w:eastAsia="MS Mincho" w:hAnsi="Times New Roman" w:cs="Times New Roman"/>
                <w:noProof/>
                <w:sz w:val="22"/>
                <w:szCs w:val="22"/>
                <w:lang w:eastAsia="en-GB"/>
              </w:rPr>
              <w:t xml:space="preserve"> </w:t>
            </w:r>
            <w:r w:rsidRPr="00244D65">
              <w:rPr>
                <w:rFonts w:ascii="Times New Roman" w:eastAsia="MS Mincho" w:hAnsi="Times New Roman" w:cs="Times New Roman"/>
                <w:noProof/>
                <w:sz w:val="22"/>
                <w:szCs w:val="22"/>
                <w:lang w:eastAsia="en-GB"/>
              </w:rPr>
              <w:t xml:space="preserve">13% of ETS emissions in 2023. </w:t>
            </w:r>
          </w:p>
          <w:p w14:paraId="23B0176D" w14:textId="181E39B9" w:rsidR="00C96C0F" w:rsidRPr="00244D65" w:rsidRDefault="00C96C0F" w:rsidP="0085595C">
            <w:pPr>
              <w:pStyle w:val="BodyText"/>
              <w:spacing w:line="240" w:lineRule="auto"/>
              <w:rPr>
                <w:rFonts w:ascii="Times New Roman" w:eastAsia="MS Mincho" w:hAnsi="Times New Roman" w:cs="Times New Roman"/>
                <w:noProof/>
                <w:color w:val="000000" w:themeColor="text1"/>
                <w:sz w:val="22"/>
                <w:szCs w:val="22"/>
                <w:lang w:eastAsia="en-GB"/>
              </w:rPr>
            </w:pPr>
            <w:r w:rsidRPr="00244D65">
              <w:rPr>
                <w:rFonts w:ascii="Times New Roman" w:eastAsia="MS Mincho" w:hAnsi="Times New Roman" w:cs="Times New Roman"/>
                <w:noProof/>
                <w:sz w:val="22"/>
                <w:szCs w:val="22"/>
                <w:lang w:eastAsia="en-GB"/>
              </w:rPr>
              <w:t>Weak</w:t>
            </w:r>
            <w:r w:rsidR="00920790" w:rsidRPr="00244D65">
              <w:rPr>
                <w:rFonts w:ascii="Times New Roman" w:eastAsia="MS Mincho" w:hAnsi="Times New Roman" w:cs="Times New Roman"/>
                <w:noProof/>
                <w:sz w:val="22"/>
                <w:szCs w:val="22"/>
                <w:lang w:eastAsia="en-GB"/>
              </w:rPr>
              <w:t>ly</w:t>
            </w:r>
            <w:r w:rsidRPr="00244D65">
              <w:rPr>
                <w:rFonts w:ascii="Times New Roman" w:eastAsia="MS Mincho" w:hAnsi="Times New Roman" w:cs="Times New Roman"/>
                <w:noProof/>
                <w:sz w:val="22"/>
                <w:szCs w:val="22"/>
                <w:lang w:eastAsia="en-GB"/>
              </w:rPr>
              <w:t xml:space="preserve"> negative impact as derogations will diminish the emissions subject to ETS by 5%</w:t>
            </w:r>
            <w:r w:rsidR="72809BB0" w:rsidRPr="00244D65">
              <w:rPr>
                <w:rFonts w:ascii="Times New Roman" w:eastAsia="MS Mincho" w:hAnsi="Times New Roman" w:cs="Times New Roman"/>
                <w:noProof/>
                <w:sz w:val="22"/>
                <w:szCs w:val="22"/>
                <w:lang w:eastAsia="en-GB"/>
              </w:rPr>
              <w:t>.</w:t>
            </w:r>
            <w:r w:rsidR="72809BB0" w:rsidRPr="00244D65">
              <w:rPr>
                <w:rFonts w:ascii="Times New Roman" w:eastAsia="MS Mincho" w:hAnsi="Times New Roman" w:cs="Times New Roman"/>
                <w:noProof/>
                <w:color w:val="000000" w:themeColor="text1"/>
                <w:sz w:val="22"/>
                <w:szCs w:val="22"/>
                <w:lang w:eastAsia="en-GB"/>
              </w:rPr>
              <w:t xml:space="preserve"> More than half </w:t>
            </w:r>
            <w:r w:rsidR="56C13B21" w:rsidRPr="00244D65">
              <w:rPr>
                <w:rFonts w:ascii="Times New Roman" w:eastAsia="MS Mincho" w:hAnsi="Times New Roman" w:cs="Times New Roman"/>
                <w:noProof/>
                <w:color w:val="000000" w:themeColor="text1"/>
                <w:sz w:val="22"/>
                <w:szCs w:val="22"/>
                <w:lang w:eastAsia="en-GB"/>
              </w:rPr>
              <w:t>(50</w:t>
            </w:r>
            <w:r w:rsidR="003A3B4B" w:rsidRPr="00244D65">
              <w:rPr>
                <w:rFonts w:ascii="Times New Roman" w:eastAsia="MS Mincho" w:hAnsi="Times New Roman" w:cs="Times New Roman"/>
                <w:noProof/>
                <w:color w:val="000000" w:themeColor="text1"/>
                <w:sz w:val="22"/>
                <w:szCs w:val="22"/>
                <w:lang w:eastAsia="en-GB"/>
              </w:rPr>
              <w:t>.</w:t>
            </w:r>
            <w:r w:rsidR="56C13B21" w:rsidRPr="00244D65">
              <w:rPr>
                <w:rFonts w:ascii="Times New Roman" w:eastAsia="MS Mincho" w:hAnsi="Times New Roman" w:cs="Times New Roman"/>
                <w:noProof/>
                <w:color w:val="000000" w:themeColor="text1"/>
                <w:sz w:val="22"/>
                <w:szCs w:val="22"/>
                <w:lang w:eastAsia="en-GB"/>
              </w:rPr>
              <w:t>8%)</w:t>
            </w:r>
            <w:r w:rsidR="03DEE156" w:rsidRPr="00244D65">
              <w:rPr>
                <w:rFonts w:ascii="Times New Roman" w:eastAsia="MS Mincho" w:hAnsi="Times New Roman" w:cs="Times New Roman"/>
                <w:noProof/>
                <w:color w:val="000000" w:themeColor="text1"/>
                <w:sz w:val="22"/>
                <w:szCs w:val="22"/>
                <w:lang w:eastAsia="en-GB"/>
              </w:rPr>
              <w:t xml:space="preserve"> </w:t>
            </w:r>
            <w:r w:rsidR="72809BB0" w:rsidRPr="00244D65">
              <w:rPr>
                <w:rFonts w:ascii="Times New Roman" w:eastAsia="MS Mincho" w:hAnsi="Times New Roman" w:cs="Times New Roman"/>
                <w:noProof/>
                <w:color w:val="000000" w:themeColor="text1"/>
                <w:sz w:val="22"/>
                <w:szCs w:val="22"/>
                <w:lang w:eastAsia="en-GB"/>
              </w:rPr>
              <w:t>of them benefit outermost regions and around a third benefit small island.</w:t>
            </w:r>
          </w:p>
          <w:p w14:paraId="23446178" w14:textId="249BFF08" w:rsidR="00C33D15" w:rsidRPr="00244D65" w:rsidRDefault="00C33D15" w:rsidP="0085595C">
            <w:pPr>
              <w:pStyle w:val="BodyText"/>
              <w:spacing w:line="240" w:lineRule="auto"/>
              <w:rPr>
                <w:rFonts w:ascii="Times New Roman" w:eastAsia="MS Mincho" w:hAnsi="Times New Roman" w:cs="Times New Roman"/>
                <w:noProof/>
                <w:sz w:val="22"/>
                <w:szCs w:val="22"/>
                <w:lang w:eastAsia="en-GB"/>
              </w:rPr>
            </w:pPr>
          </w:p>
        </w:tc>
        <w:tc>
          <w:tcPr>
            <w:tcW w:w="1461" w:type="pct"/>
            <w:tcBorders>
              <w:top w:val="single" w:sz="4" w:space="0" w:color="auto"/>
              <w:left w:val="single" w:sz="4" w:space="0" w:color="auto"/>
              <w:bottom w:val="single" w:sz="4" w:space="0" w:color="auto"/>
              <w:right w:val="single" w:sz="4" w:space="0" w:color="auto"/>
            </w:tcBorders>
            <w:shd w:val="clear" w:color="auto" w:fill="00B050"/>
          </w:tcPr>
          <w:p w14:paraId="00241279" w14:textId="3493C00A" w:rsidR="00C33D15" w:rsidRPr="00244D65" w:rsidRDefault="00F94E7B" w:rsidP="0085595C">
            <w:pPr>
              <w:pStyle w:val="BodyText"/>
              <w:spacing w:line="240" w:lineRule="auto"/>
              <w:rPr>
                <w:rFonts w:ascii="Times New Roman" w:eastAsia="MS Mincho" w:hAnsi="Times New Roman" w:cs="Times New Roman"/>
                <w:noProof/>
                <w:sz w:val="22"/>
                <w:szCs w:val="22"/>
                <w:lang w:eastAsia="en-GB"/>
              </w:rPr>
            </w:pPr>
            <w:r w:rsidRPr="00244D65">
              <w:rPr>
                <w:rFonts w:ascii="Times New Roman" w:eastAsia="MS Mincho" w:hAnsi="Times New Roman" w:cs="Times New Roman"/>
                <w:noProof/>
                <w:sz w:val="22"/>
                <w:szCs w:val="22"/>
                <w:lang w:eastAsia="en-GB"/>
              </w:rPr>
              <w:t>P</w:t>
            </w:r>
            <w:r w:rsidR="00C33D15" w:rsidRPr="00244D65">
              <w:rPr>
                <w:rFonts w:ascii="Times New Roman" w:eastAsia="MS Mincho" w:hAnsi="Times New Roman" w:cs="Times New Roman"/>
                <w:noProof/>
                <w:sz w:val="22"/>
                <w:szCs w:val="22"/>
                <w:lang w:eastAsia="en-GB"/>
              </w:rPr>
              <w:t xml:space="preserve">ositive impact on emissions </w:t>
            </w:r>
            <w:r w:rsidRPr="00244D65">
              <w:rPr>
                <w:rFonts w:ascii="Times New Roman" w:eastAsia="MS Mincho" w:hAnsi="Times New Roman" w:cs="Times New Roman"/>
                <w:noProof/>
                <w:sz w:val="22"/>
                <w:szCs w:val="22"/>
                <w:lang w:eastAsia="en-GB"/>
              </w:rPr>
              <w:t xml:space="preserve">with </w:t>
            </w:r>
            <w:r w:rsidR="00C33D15" w:rsidRPr="00244D65">
              <w:rPr>
                <w:rFonts w:ascii="Times New Roman" w:eastAsia="MS Mincho" w:hAnsi="Times New Roman" w:cs="Times New Roman"/>
                <w:noProof/>
                <w:sz w:val="22"/>
                <w:szCs w:val="22"/>
                <w:lang w:eastAsia="en-GB"/>
              </w:rPr>
              <w:t xml:space="preserve">cumulative </w:t>
            </w:r>
            <w:r w:rsidR="00414173" w:rsidRPr="00244D65">
              <w:rPr>
                <w:rFonts w:ascii="Times New Roman" w:eastAsia="MS Mincho" w:hAnsi="Times New Roman" w:cs="Times New Roman"/>
                <w:noProof/>
                <w:sz w:val="22"/>
                <w:szCs w:val="22"/>
                <w:lang w:eastAsia="en-GB"/>
              </w:rPr>
              <w:t xml:space="preserve">GHG maritime emission </w:t>
            </w:r>
            <w:r w:rsidR="00C33D15" w:rsidRPr="00244D65">
              <w:rPr>
                <w:rFonts w:ascii="Times New Roman" w:eastAsia="MS Mincho" w:hAnsi="Times New Roman" w:cs="Times New Roman"/>
                <w:noProof/>
                <w:sz w:val="22"/>
                <w:szCs w:val="22"/>
                <w:lang w:eastAsia="en-GB"/>
              </w:rPr>
              <w:t xml:space="preserve">over 2030-2050 </w:t>
            </w:r>
            <w:r w:rsidR="008D60AA" w:rsidRPr="00244D65">
              <w:rPr>
                <w:rFonts w:ascii="Times New Roman" w:eastAsia="MS Mincho" w:hAnsi="Times New Roman" w:cs="Times New Roman"/>
                <w:noProof/>
                <w:sz w:val="22"/>
                <w:szCs w:val="22"/>
                <w:lang w:eastAsia="en-GB"/>
              </w:rPr>
              <w:t>of</w:t>
            </w:r>
            <w:r w:rsidR="00C33D15" w:rsidRPr="00244D65">
              <w:rPr>
                <w:rFonts w:ascii="Times New Roman" w:eastAsia="MS Mincho" w:hAnsi="Times New Roman" w:cs="Times New Roman"/>
                <w:noProof/>
                <w:sz w:val="22"/>
                <w:szCs w:val="22"/>
                <w:lang w:eastAsia="en-GB"/>
              </w:rPr>
              <w:t xml:space="preserve"> 1,</w:t>
            </w:r>
            <w:r w:rsidR="00D713B2" w:rsidRPr="00244D65">
              <w:rPr>
                <w:rFonts w:ascii="Times New Roman" w:eastAsia="MS Mincho" w:hAnsi="Times New Roman" w:cs="Times New Roman"/>
                <w:noProof/>
                <w:sz w:val="22"/>
                <w:szCs w:val="22"/>
                <w:lang w:eastAsia="en-GB"/>
              </w:rPr>
              <w:t>86</w:t>
            </w:r>
            <w:r w:rsidRPr="00244D65">
              <w:rPr>
                <w:rFonts w:ascii="Times New Roman" w:eastAsia="MS Mincho" w:hAnsi="Times New Roman" w:cs="Times New Roman"/>
                <w:noProof/>
                <w:sz w:val="22"/>
                <w:szCs w:val="22"/>
                <w:lang w:eastAsia="en-GB"/>
              </w:rPr>
              <w:t>5</w:t>
            </w:r>
            <w:r w:rsidR="00D713B2" w:rsidRPr="00244D65">
              <w:rPr>
                <w:rFonts w:ascii="Times New Roman" w:eastAsia="MS Mincho" w:hAnsi="Times New Roman" w:cs="Times New Roman"/>
                <w:noProof/>
                <w:sz w:val="22"/>
                <w:szCs w:val="22"/>
                <w:lang w:eastAsia="en-GB"/>
              </w:rPr>
              <w:t xml:space="preserve"> </w:t>
            </w:r>
            <w:r w:rsidR="00C33D15" w:rsidRPr="00244D65">
              <w:rPr>
                <w:rFonts w:ascii="Times New Roman" w:eastAsia="MS Mincho" w:hAnsi="Times New Roman" w:cs="Times New Roman"/>
                <w:noProof/>
                <w:sz w:val="22"/>
                <w:szCs w:val="22"/>
                <w:lang w:eastAsia="en-GB"/>
              </w:rPr>
              <w:t>MtCO</w:t>
            </w:r>
            <w:r w:rsidR="00C33D15" w:rsidRPr="00244D65">
              <w:rPr>
                <w:rFonts w:ascii="Times New Roman" w:eastAsia="MS Mincho" w:hAnsi="Times New Roman" w:cs="Times New Roman"/>
                <w:noProof/>
                <w:sz w:val="22"/>
                <w:szCs w:val="22"/>
                <w:vertAlign w:val="subscript"/>
                <w:lang w:eastAsia="en-GB"/>
              </w:rPr>
              <w:t>2</w:t>
            </w:r>
            <w:r w:rsidR="00C33D15" w:rsidRPr="00244D65">
              <w:rPr>
                <w:rFonts w:ascii="Times New Roman" w:eastAsia="MS Mincho" w:hAnsi="Times New Roman" w:cs="Times New Roman"/>
                <w:noProof/>
                <w:sz w:val="22"/>
                <w:szCs w:val="22"/>
                <w:lang w:eastAsia="en-GB"/>
              </w:rPr>
              <w:t>e (</w:t>
            </w:r>
            <w:r w:rsidR="00D713B2" w:rsidRPr="00244D65">
              <w:rPr>
                <w:rFonts w:ascii="Times New Roman" w:eastAsia="MS Mincho" w:hAnsi="Times New Roman" w:cs="Times New Roman"/>
                <w:noProof/>
                <w:sz w:val="22"/>
                <w:szCs w:val="22"/>
                <w:lang w:eastAsia="en-GB"/>
              </w:rPr>
              <w:t>6</w:t>
            </w:r>
            <w:r w:rsidR="00C33D15" w:rsidRPr="00244D65">
              <w:rPr>
                <w:rFonts w:ascii="Times New Roman" w:eastAsia="MS Mincho" w:hAnsi="Times New Roman" w:cs="Times New Roman"/>
                <w:noProof/>
                <w:sz w:val="22"/>
                <w:szCs w:val="22"/>
                <w:lang w:eastAsia="en-GB"/>
              </w:rPr>
              <w:t>.2% reduction compared to PO1) and residual GHG emissions of 11 MtCO</w:t>
            </w:r>
            <w:r w:rsidR="00C33D15" w:rsidRPr="00244D65">
              <w:rPr>
                <w:rFonts w:ascii="Times New Roman" w:eastAsia="MS Mincho" w:hAnsi="Times New Roman" w:cs="Times New Roman"/>
                <w:noProof/>
                <w:sz w:val="22"/>
                <w:szCs w:val="22"/>
                <w:vertAlign w:val="subscript"/>
                <w:lang w:eastAsia="en-GB"/>
              </w:rPr>
              <w:t>2</w:t>
            </w:r>
            <w:r w:rsidR="00C33D15" w:rsidRPr="00244D65">
              <w:rPr>
                <w:rFonts w:ascii="Times New Roman" w:eastAsia="MS Mincho" w:hAnsi="Times New Roman" w:cs="Times New Roman"/>
                <w:noProof/>
                <w:sz w:val="22"/>
                <w:szCs w:val="22"/>
                <w:lang w:eastAsia="en-GB"/>
              </w:rPr>
              <w:t>e in 2050.</w:t>
            </w:r>
          </w:p>
          <w:p w14:paraId="5B51BF9F" w14:textId="5C8143B8" w:rsidR="00672DE8" w:rsidRPr="00244D65" w:rsidRDefault="00400BBD" w:rsidP="0085595C">
            <w:pPr>
              <w:pStyle w:val="BodyText"/>
              <w:spacing w:line="240" w:lineRule="auto"/>
              <w:rPr>
                <w:rFonts w:ascii="Times New Roman" w:eastAsia="MS Mincho" w:hAnsi="Times New Roman" w:cs="Times New Roman"/>
                <w:noProof/>
                <w:sz w:val="22"/>
                <w:szCs w:val="22"/>
                <w:lang w:eastAsia="en-GB"/>
              </w:rPr>
            </w:pPr>
            <w:r w:rsidRPr="00244D65">
              <w:rPr>
                <w:rFonts w:ascii="Times New Roman" w:eastAsia="MS Mincho" w:hAnsi="Times New Roman" w:cs="Times New Roman"/>
                <w:noProof/>
                <w:sz w:val="22"/>
                <w:szCs w:val="22"/>
                <w:lang w:eastAsia="en-GB"/>
              </w:rPr>
              <w:t>P</w:t>
            </w:r>
            <w:r w:rsidR="00672DE8" w:rsidRPr="00244D65">
              <w:rPr>
                <w:rFonts w:ascii="Times New Roman" w:eastAsia="MS Mincho" w:hAnsi="Times New Roman" w:cs="Times New Roman"/>
                <w:noProof/>
                <w:sz w:val="22"/>
                <w:szCs w:val="22"/>
                <w:lang w:eastAsia="en-GB"/>
              </w:rPr>
              <w:t xml:space="preserve">ositive effects </w:t>
            </w:r>
            <w:r w:rsidR="004F5C9A" w:rsidRPr="00244D65">
              <w:rPr>
                <w:rFonts w:ascii="Times New Roman" w:eastAsia="MS Mincho" w:hAnsi="Times New Roman" w:cs="Times New Roman"/>
                <w:noProof/>
                <w:sz w:val="22"/>
                <w:szCs w:val="22"/>
                <w:lang w:eastAsia="en-GB"/>
              </w:rPr>
              <w:t>in terms of regulatory efficiency</w:t>
            </w:r>
            <w:r w:rsidR="00672DE8" w:rsidRPr="00244D65">
              <w:rPr>
                <w:rFonts w:ascii="Times New Roman" w:eastAsia="MS Mincho" w:hAnsi="Times New Roman" w:cs="Times New Roman"/>
                <w:noProof/>
                <w:sz w:val="22"/>
                <w:szCs w:val="22"/>
                <w:lang w:eastAsia="en-GB"/>
              </w:rPr>
              <w:t xml:space="preserve"> as the </w:t>
            </w:r>
            <w:r w:rsidR="00286B42" w:rsidRPr="00244D65">
              <w:rPr>
                <w:rFonts w:ascii="Times New Roman" w:eastAsia="MS Mincho" w:hAnsi="Times New Roman" w:cs="Times New Roman"/>
                <w:noProof/>
                <w:sz w:val="22"/>
                <w:szCs w:val="22"/>
                <w:lang w:eastAsia="en-GB"/>
              </w:rPr>
              <w:t>deduction</w:t>
            </w:r>
            <w:r w:rsidR="00672DE8" w:rsidRPr="00244D65">
              <w:rPr>
                <w:rFonts w:ascii="Times New Roman" w:eastAsia="MS Mincho" w:hAnsi="Times New Roman" w:cs="Times New Roman"/>
                <w:noProof/>
                <w:sz w:val="22"/>
                <w:szCs w:val="22"/>
                <w:lang w:eastAsia="en-GB"/>
              </w:rPr>
              <w:t xml:space="preserve"> </w:t>
            </w:r>
            <w:r w:rsidR="001410F2" w:rsidRPr="00244D65">
              <w:rPr>
                <w:rFonts w:ascii="Times New Roman" w:eastAsia="MS Mincho" w:hAnsi="Times New Roman" w:cs="Times New Roman"/>
                <w:noProof/>
                <w:sz w:val="22"/>
                <w:szCs w:val="22"/>
                <w:lang w:eastAsia="en-GB"/>
              </w:rPr>
              <w:t>avoids</w:t>
            </w:r>
            <w:r w:rsidR="00672DE8" w:rsidRPr="00244D65">
              <w:rPr>
                <w:rFonts w:ascii="Times New Roman" w:eastAsia="MS Mincho" w:hAnsi="Times New Roman" w:cs="Times New Roman"/>
                <w:noProof/>
                <w:sz w:val="22"/>
                <w:szCs w:val="22"/>
                <w:lang w:eastAsia="en-GB"/>
              </w:rPr>
              <w:t xml:space="preserve"> the double </w:t>
            </w:r>
            <w:r w:rsidR="6BF6E5F6" w:rsidRPr="00244D65">
              <w:rPr>
                <w:rFonts w:ascii="Times New Roman" w:eastAsia="MS Mincho" w:hAnsi="Times New Roman" w:cs="Times New Roman"/>
                <w:noProof/>
                <w:sz w:val="22"/>
                <w:szCs w:val="22"/>
                <w:lang w:eastAsia="en-GB"/>
              </w:rPr>
              <w:t>pricing</w:t>
            </w:r>
            <w:r w:rsidR="00672DE8" w:rsidRPr="00244D65">
              <w:rPr>
                <w:rFonts w:ascii="Times New Roman" w:eastAsia="MS Mincho" w:hAnsi="Times New Roman" w:cs="Times New Roman"/>
                <w:noProof/>
                <w:sz w:val="22"/>
                <w:szCs w:val="22"/>
                <w:lang w:eastAsia="en-GB"/>
              </w:rPr>
              <w:t xml:space="preserve"> </w:t>
            </w:r>
            <w:r w:rsidR="001410F2" w:rsidRPr="00244D65">
              <w:rPr>
                <w:rFonts w:ascii="Times New Roman" w:eastAsia="MS Mincho" w:hAnsi="Times New Roman" w:cs="Times New Roman"/>
                <w:noProof/>
                <w:sz w:val="22"/>
                <w:szCs w:val="22"/>
                <w:lang w:eastAsia="en-GB"/>
              </w:rPr>
              <w:t>under</w:t>
            </w:r>
            <w:r w:rsidR="00672DE8" w:rsidRPr="00244D65">
              <w:rPr>
                <w:rFonts w:ascii="Times New Roman" w:eastAsia="MS Mincho" w:hAnsi="Times New Roman" w:cs="Times New Roman"/>
                <w:noProof/>
                <w:sz w:val="22"/>
                <w:szCs w:val="22"/>
                <w:lang w:eastAsia="en-GB"/>
              </w:rPr>
              <w:t xml:space="preserve"> the IMO </w:t>
            </w:r>
            <w:r w:rsidR="22E35226" w:rsidRPr="00244D65">
              <w:rPr>
                <w:rFonts w:ascii="Times New Roman" w:eastAsia="MS Mincho" w:hAnsi="Times New Roman" w:cs="Times New Roman"/>
                <w:noProof/>
                <w:sz w:val="22"/>
                <w:szCs w:val="22"/>
                <w:lang w:eastAsia="en-GB"/>
              </w:rPr>
              <w:t>measure (once adopted)</w:t>
            </w:r>
            <w:r w:rsidR="00672DE8" w:rsidRPr="00244D65">
              <w:rPr>
                <w:rFonts w:ascii="Times New Roman" w:eastAsia="MS Mincho" w:hAnsi="Times New Roman" w:cs="Times New Roman"/>
                <w:noProof/>
                <w:sz w:val="22"/>
                <w:szCs w:val="22"/>
                <w:lang w:eastAsia="en-GB"/>
              </w:rPr>
              <w:t xml:space="preserve"> </w:t>
            </w:r>
            <w:r w:rsidR="001410F2" w:rsidRPr="00244D65">
              <w:rPr>
                <w:rFonts w:ascii="Times New Roman" w:eastAsia="MS Mincho" w:hAnsi="Times New Roman" w:cs="Times New Roman"/>
                <w:noProof/>
                <w:sz w:val="22"/>
                <w:szCs w:val="22"/>
                <w:lang w:eastAsia="en-GB"/>
              </w:rPr>
              <w:t>and</w:t>
            </w:r>
            <w:r w:rsidR="00672DE8" w:rsidRPr="00244D65">
              <w:rPr>
                <w:rFonts w:ascii="Times New Roman" w:eastAsia="MS Mincho" w:hAnsi="Times New Roman" w:cs="Times New Roman"/>
                <w:noProof/>
                <w:sz w:val="22"/>
                <w:szCs w:val="22"/>
                <w:lang w:eastAsia="en-GB"/>
              </w:rPr>
              <w:t xml:space="preserve"> EU ETS</w:t>
            </w:r>
            <w:r w:rsidRPr="00244D65">
              <w:rPr>
                <w:rFonts w:ascii="Times New Roman" w:eastAsia="MS Mincho" w:hAnsi="Times New Roman" w:cs="Times New Roman"/>
                <w:noProof/>
                <w:sz w:val="22"/>
                <w:szCs w:val="22"/>
                <w:lang w:eastAsia="en-GB"/>
              </w:rPr>
              <w:t>.</w:t>
            </w:r>
            <w:r w:rsidR="00672DE8" w:rsidRPr="00244D65">
              <w:rPr>
                <w:rFonts w:ascii="Times New Roman" w:eastAsia="MS Mincho" w:hAnsi="Times New Roman" w:cs="Times New Roman"/>
                <w:noProof/>
                <w:sz w:val="22"/>
                <w:szCs w:val="22"/>
                <w:lang w:eastAsia="en-GB"/>
              </w:rPr>
              <w:t xml:space="preserve"> </w:t>
            </w:r>
          </w:p>
          <w:p w14:paraId="6D39CD3F" w14:textId="77777777" w:rsidR="004D162C" w:rsidRPr="00244D65" w:rsidRDefault="00672DE8" w:rsidP="0085595C">
            <w:pPr>
              <w:pStyle w:val="BodyText"/>
              <w:spacing w:line="240" w:lineRule="auto"/>
              <w:rPr>
                <w:rFonts w:ascii="Times New Roman" w:eastAsia="MS Mincho" w:hAnsi="Times New Roman" w:cs="Times New Roman"/>
                <w:noProof/>
                <w:sz w:val="22"/>
                <w:szCs w:val="22"/>
                <w:lang w:eastAsia="en-GB"/>
              </w:rPr>
            </w:pPr>
            <w:r w:rsidRPr="00244D65">
              <w:rPr>
                <w:rFonts w:ascii="Times New Roman" w:eastAsia="MS Mincho" w:hAnsi="Times New Roman" w:cs="Times New Roman"/>
                <w:noProof/>
                <w:sz w:val="22"/>
                <w:szCs w:val="22"/>
                <w:lang w:eastAsia="en-GB"/>
              </w:rPr>
              <w:t xml:space="preserve">Recycling of ETS revenues is expected to improve the economic case for complying with the IMO </w:t>
            </w:r>
            <w:r w:rsidR="00400BBD" w:rsidRPr="00244D65">
              <w:rPr>
                <w:rFonts w:ascii="Times New Roman" w:eastAsia="MS Mincho" w:hAnsi="Times New Roman" w:cs="Times New Roman"/>
                <w:noProof/>
                <w:sz w:val="22"/>
                <w:szCs w:val="22"/>
                <w:lang w:eastAsia="en-GB"/>
              </w:rPr>
              <w:t>measure</w:t>
            </w:r>
            <w:r w:rsidRPr="00244D65">
              <w:rPr>
                <w:rFonts w:ascii="Times New Roman" w:eastAsia="MS Mincho" w:hAnsi="Times New Roman" w:cs="Times New Roman"/>
                <w:noProof/>
                <w:sz w:val="22"/>
                <w:szCs w:val="22"/>
                <w:lang w:eastAsia="en-GB"/>
              </w:rPr>
              <w:t xml:space="preserve">. </w:t>
            </w:r>
          </w:p>
          <w:p w14:paraId="3616933E" w14:textId="660FC481" w:rsidR="00672DE8" w:rsidRPr="00244D65" w:rsidRDefault="00672DE8" w:rsidP="0085595C">
            <w:pPr>
              <w:pStyle w:val="BodyText"/>
              <w:spacing w:line="240" w:lineRule="auto"/>
              <w:rPr>
                <w:rFonts w:ascii="Times New Roman" w:eastAsia="MS Mincho" w:hAnsi="Times New Roman" w:cs="Times New Roman"/>
                <w:noProof/>
                <w:sz w:val="22"/>
                <w:szCs w:val="22"/>
                <w:lang w:eastAsia="en-GB"/>
              </w:rPr>
            </w:pPr>
            <w:r w:rsidRPr="00244D65">
              <w:rPr>
                <w:rFonts w:ascii="Times New Roman" w:eastAsia="MS Mincho" w:hAnsi="Times New Roman" w:cs="Times New Roman"/>
                <w:noProof/>
                <w:sz w:val="22"/>
                <w:szCs w:val="22"/>
                <w:lang w:eastAsia="en-GB"/>
              </w:rPr>
              <w:t>Additional weak positive impacts of costs savings due to simplification and enhancement measures (up to 9 million EU/year)</w:t>
            </w:r>
          </w:p>
          <w:p w14:paraId="0AA17473" w14:textId="79FF81FC" w:rsidR="00C96C0F" w:rsidRPr="00244D65" w:rsidRDefault="00C96C0F" w:rsidP="0085595C">
            <w:pPr>
              <w:pStyle w:val="BodyText"/>
              <w:spacing w:line="240" w:lineRule="auto"/>
              <w:rPr>
                <w:rFonts w:ascii="Times New Roman" w:eastAsia="MS Mincho" w:hAnsi="Times New Roman" w:cs="Times New Roman"/>
                <w:noProof/>
                <w:sz w:val="22"/>
                <w:szCs w:val="22"/>
                <w:lang w:eastAsia="en-GB"/>
              </w:rPr>
            </w:pPr>
            <w:r w:rsidRPr="00244D65">
              <w:rPr>
                <w:rFonts w:ascii="Times New Roman" w:eastAsia="MS Mincho" w:hAnsi="Times New Roman" w:cs="Times New Roman"/>
                <w:noProof/>
                <w:sz w:val="22"/>
                <w:szCs w:val="22"/>
                <w:lang w:eastAsia="en-GB"/>
              </w:rPr>
              <w:t>Positive impact by inclusion of all small ships (1</w:t>
            </w:r>
            <w:r w:rsidR="00524135" w:rsidRPr="00244D65">
              <w:rPr>
                <w:rFonts w:ascii="Times New Roman" w:eastAsia="MS Mincho" w:hAnsi="Times New Roman" w:cs="Times New Roman"/>
                <w:noProof/>
                <w:sz w:val="22"/>
                <w:szCs w:val="22"/>
                <w:lang w:eastAsia="en-GB"/>
              </w:rPr>
              <w:t>7</w:t>
            </w:r>
            <w:r w:rsidRPr="00244D65">
              <w:rPr>
                <w:rFonts w:ascii="Times New Roman" w:eastAsia="MS Mincho" w:hAnsi="Times New Roman" w:cs="Times New Roman"/>
                <w:noProof/>
                <w:sz w:val="22"/>
                <w:szCs w:val="22"/>
                <w:lang w:eastAsia="en-GB"/>
              </w:rPr>
              <w:t>% of ETS emissions in 2023).</w:t>
            </w:r>
          </w:p>
          <w:p w14:paraId="4DD07DC9" w14:textId="01F18272" w:rsidR="00C33D15" w:rsidRPr="00244D65" w:rsidRDefault="00C96C0F" w:rsidP="0085595C">
            <w:pPr>
              <w:pStyle w:val="BodyText"/>
              <w:spacing w:line="240" w:lineRule="auto"/>
              <w:rPr>
                <w:rFonts w:ascii="Times New Roman" w:eastAsia="MS Mincho" w:hAnsi="Times New Roman" w:cs="Times New Roman"/>
                <w:noProof/>
                <w:color w:val="000000" w:themeColor="text1"/>
                <w:sz w:val="22"/>
                <w:szCs w:val="22"/>
                <w:lang w:eastAsia="en-GB"/>
              </w:rPr>
            </w:pPr>
            <w:r w:rsidRPr="00244D65">
              <w:rPr>
                <w:rFonts w:ascii="Times New Roman" w:eastAsia="MS Mincho" w:hAnsi="Times New Roman" w:cs="Times New Roman"/>
                <w:noProof/>
                <w:sz w:val="22"/>
                <w:szCs w:val="22"/>
                <w:lang w:eastAsia="en-GB"/>
              </w:rPr>
              <w:t>Weak</w:t>
            </w:r>
            <w:r w:rsidR="00920790" w:rsidRPr="00244D65">
              <w:rPr>
                <w:rFonts w:ascii="Times New Roman" w:eastAsia="MS Mincho" w:hAnsi="Times New Roman" w:cs="Times New Roman"/>
                <w:noProof/>
                <w:sz w:val="22"/>
                <w:szCs w:val="22"/>
                <w:lang w:eastAsia="en-GB"/>
              </w:rPr>
              <w:t>ly</w:t>
            </w:r>
            <w:r w:rsidRPr="00244D65">
              <w:rPr>
                <w:rFonts w:ascii="Times New Roman" w:eastAsia="MS Mincho" w:hAnsi="Times New Roman" w:cs="Times New Roman"/>
                <w:noProof/>
                <w:sz w:val="22"/>
                <w:szCs w:val="22"/>
                <w:lang w:eastAsia="en-GB"/>
              </w:rPr>
              <w:t xml:space="preserve"> negative impact as derogations will diminish the emissions subject to ETS by 5%</w:t>
            </w:r>
            <w:r w:rsidR="75AD808C" w:rsidRPr="00244D65">
              <w:rPr>
                <w:rFonts w:ascii="Times New Roman" w:eastAsia="MS Mincho" w:hAnsi="Times New Roman" w:cs="Times New Roman"/>
                <w:noProof/>
                <w:sz w:val="22"/>
                <w:szCs w:val="22"/>
                <w:lang w:eastAsia="en-GB"/>
              </w:rPr>
              <w:t xml:space="preserve">. </w:t>
            </w:r>
            <w:r w:rsidR="75AD808C" w:rsidRPr="00244D65">
              <w:rPr>
                <w:rFonts w:ascii="Times New Roman" w:eastAsia="MS Mincho" w:hAnsi="Times New Roman" w:cs="Times New Roman"/>
                <w:noProof/>
                <w:color w:val="000000" w:themeColor="text1"/>
                <w:sz w:val="22"/>
                <w:szCs w:val="22"/>
                <w:lang w:eastAsia="en-GB"/>
              </w:rPr>
              <w:t>More than half of them benefit outermost regions and around a third benefit small island.</w:t>
            </w:r>
          </w:p>
          <w:p w14:paraId="115BF43D" w14:textId="7E71067D" w:rsidR="00C96C0F" w:rsidRPr="00244D65" w:rsidRDefault="00C96C0F" w:rsidP="0085595C">
            <w:pPr>
              <w:pStyle w:val="BodyText"/>
              <w:spacing w:line="240" w:lineRule="auto"/>
              <w:rPr>
                <w:rFonts w:ascii="Times New Roman" w:eastAsia="MS Mincho" w:hAnsi="Times New Roman" w:cs="Times New Roman"/>
                <w:noProof/>
                <w:sz w:val="22"/>
                <w:szCs w:val="22"/>
                <w:lang w:eastAsia="en-GB"/>
              </w:rPr>
            </w:pPr>
          </w:p>
        </w:tc>
      </w:tr>
      <w:tr w:rsidR="00C05195" w:rsidRPr="00244D65" w14:paraId="4A64F021" w14:textId="77777777" w:rsidTr="00C937C4">
        <w:trPr>
          <w:trHeight w:val="300"/>
        </w:trPr>
        <w:tc>
          <w:tcPr>
            <w:tcW w:w="5000" w:type="pct"/>
            <w:gridSpan w:val="4"/>
            <w:tcBorders>
              <w:top w:val="single" w:sz="4" w:space="0" w:color="auto"/>
              <w:left w:val="single" w:sz="4" w:space="0" w:color="auto"/>
              <w:bottom w:val="single" w:sz="4" w:space="0" w:color="auto"/>
              <w:right w:val="single" w:sz="4" w:space="0" w:color="auto"/>
            </w:tcBorders>
          </w:tcPr>
          <w:p w14:paraId="048DAE50" w14:textId="18E63A22" w:rsidR="00C05195" w:rsidRPr="00244D65" w:rsidRDefault="00C05195" w:rsidP="0085595C">
            <w:pPr>
              <w:pStyle w:val="BodyText"/>
              <w:spacing w:line="240" w:lineRule="auto"/>
              <w:rPr>
                <w:rFonts w:ascii="Times New Roman" w:eastAsia="MS Mincho" w:hAnsi="Times New Roman" w:cs="Times New Roman"/>
                <w:noProof/>
                <w:sz w:val="22"/>
                <w:szCs w:val="22"/>
                <w:lang w:eastAsia="en-GB"/>
              </w:rPr>
            </w:pPr>
            <w:r w:rsidRPr="00244D65">
              <w:rPr>
                <w:rFonts w:ascii="Times New Roman" w:eastAsia="MS Mincho" w:hAnsi="Times New Roman" w:cs="Times New Roman"/>
                <w:noProof/>
                <w:sz w:val="22"/>
                <w:szCs w:val="22"/>
                <w:lang w:eastAsia="en-GB"/>
              </w:rPr>
              <w:t>General objective 2.1:</w:t>
            </w:r>
            <w:r w:rsidR="000C653C" w:rsidRPr="00244D65">
              <w:rPr>
                <w:rFonts w:ascii="Times New Roman" w:eastAsia="MS Mincho" w:hAnsi="Times New Roman" w:cs="Times New Roman"/>
                <w:noProof/>
                <w:sz w:val="22"/>
                <w:szCs w:val="22"/>
                <w:lang w:eastAsia="en-GB"/>
              </w:rPr>
              <w:t xml:space="preserve"> </w:t>
            </w:r>
            <w:r w:rsidRPr="00244D65">
              <w:rPr>
                <w:rFonts w:ascii="Times New Roman" w:eastAsia="MS Mincho" w:hAnsi="Times New Roman" w:cs="Times New Roman"/>
                <w:noProof/>
                <w:sz w:val="22"/>
                <w:szCs w:val="22"/>
                <w:lang w:eastAsia="en-GB"/>
              </w:rPr>
              <w:t>Ensure efficient market functioning</w:t>
            </w:r>
          </w:p>
        </w:tc>
      </w:tr>
      <w:tr w:rsidR="00A3415E" w:rsidRPr="00244D65" w14:paraId="1E807E15" w14:textId="77777777" w:rsidTr="00C937C4">
        <w:trPr>
          <w:trHeight w:val="300"/>
        </w:trPr>
        <w:tc>
          <w:tcPr>
            <w:tcW w:w="412" w:type="pct"/>
            <w:tcBorders>
              <w:top w:val="single" w:sz="4" w:space="0" w:color="auto"/>
              <w:left w:val="single" w:sz="4" w:space="0" w:color="auto"/>
              <w:bottom w:val="single" w:sz="4" w:space="0" w:color="auto"/>
              <w:right w:val="single" w:sz="4" w:space="0" w:color="auto"/>
            </w:tcBorders>
          </w:tcPr>
          <w:p w14:paraId="28ADCB97" w14:textId="5135266A" w:rsidR="00C05195" w:rsidRPr="00244D65" w:rsidRDefault="00C05195" w:rsidP="0085595C">
            <w:pPr>
              <w:pStyle w:val="BodyText"/>
              <w:spacing w:line="240" w:lineRule="auto"/>
              <w:rPr>
                <w:rFonts w:ascii="Times New Roman" w:eastAsia="MS Mincho" w:hAnsi="Times New Roman" w:cs="Times New Roman"/>
                <w:noProof/>
                <w:sz w:val="22"/>
                <w:szCs w:val="22"/>
                <w:lang w:eastAsia="en-GB"/>
              </w:rPr>
            </w:pPr>
            <w:r w:rsidRPr="00244D65">
              <w:rPr>
                <w:rFonts w:ascii="Times New Roman" w:eastAsia="MS Mincho" w:hAnsi="Times New Roman" w:cs="Times New Roman"/>
                <w:noProof/>
                <w:sz w:val="22"/>
                <w:szCs w:val="22"/>
                <w:lang w:eastAsia="en-GB"/>
              </w:rPr>
              <w:t>Increase size of the market</w:t>
            </w:r>
          </w:p>
          <w:p w14:paraId="0141F45E" w14:textId="2E6838CC" w:rsidR="00C05195" w:rsidRPr="00244D65" w:rsidRDefault="00C05195" w:rsidP="0085595C">
            <w:pPr>
              <w:pStyle w:val="BodyText"/>
              <w:spacing w:line="240" w:lineRule="auto"/>
              <w:rPr>
                <w:rFonts w:ascii="Times New Roman" w:eastAsia="MS Mincho" w:hAnsi="Times New Roman" w:cs="Times New Roman"/>
                <w:noProof/>
                <w:sz w:val="22"/>
                <w:szCs w:val="22"/>
                <w:lang w:eastAsia="en-GB"/>
              </w:rPr>
            </w:pPr>
            <w:r w:rsidRPr="00244D65">
              <w:rPr>
                <w:rFonts w:ascii="Times New Roman" w:eastAsia="MS Mincho" w:hAnsi="Times New Roman" w:cs="Times New Roman"/>
                <w:noProof/>
                <w:sz w:val="22"/>
                <w:szCs w:val="22"/>
                <w:lang w:eastAsia="en-GB"/>
              </w:rPr>
              <w:t>(SO.2.1.1)</w:t>
            </w:r>
          </w:p>
        </w:tc>
        <w:tc>
          <w:tcPr>
            <w:tcW w:w="1472" w:type="pct"/>
            <w:tcBorders>
              <w:top w:val="single" w:sz="4" w:space="0" w:color="auto"/>
              <w:left w:val="single" w:sz="4" w:space="0" w:color="auto"/>
              <w:bottom w:val="single" w:sz="4" w:space="0" w:color="auto"/>
              <w:right w:val="single" w:sz="4" w:space="0" w:color="auto"/>
            </w:tcBorders>
            <w:shd w:val="clear" w:color="auto" w:fill="92D050"/>
          </w:tcPr>
          <w:p w14:paraId="5A485B6B" w14:textId="541FC961" w:rsidR="00C05195" w:rsidRPr="00244D65" w:rsidRDefault="00C05195" w:rsidP="0085595C">
            <w:pPr>
              <w:pStyle w:val="BodyText"/>
              <w:spacing w:line="240" w:lineRule="auto"/>
              <w:rPr>
                <w:rFonts w:ascii="Times New Roman" w:eastAsia="MS Mincho" w:hAnsi="Times New Roman" w:cs="Times New Roman"/>
                <w:noProof/>
                <w:sz w:val="22"/>
                <w:szCs w:val="22"/>
                <w:lang w:eastAsia="en-GB"/>
              </w:rPr>
            </w:pPr>
            <w:r w:rsidRPr="00244D65">
              <w:rPr>
                <w:rFonts w:ascii="Times New Roman" w:eastAsia="MS Mincho" w:hAnsi="Times New Roman" w:cs="Times New Roman"/>
                <w:noProof/>
                <w:sz w:val="22"/>
                <w:szCs w:val="22"/>
                <w:lang w:eastAsia="en-GB"/>
              </w:rPr>
              <w:t xml:space="preserve">No impact on the increase in the size of the market in relation to waste management </w:t>
            </w:r>
            <w:r w:rsidR="00ED725B" w:rsidRPr="00244D65">
              <w:rPr>
                <w:rFonts w:ascii="Times New Roman" w:eastAsia="MS Mincho" w:hAnsi="Times New Roman" w:cs="Times New Roman"/>
                <w:noProof/>
                <w:sz w:val="22"/>
                <w:szCs w:val="22"/>
                <w:lang w:eastAsia="en-GB"/>
              </w:rPr>
              <w:t>and aviation</w:t>
            </w:r>
            <w:r w:rsidRPr="00244D65">
              <w:rPr>
                <w:rFonts w:ascii="Times New Roman" w:eastAsia="MS Mincho" w:hAnsi="Times New Roman" w:cs="Times New Roman"/>
                <w:noProof/>
                <w:sz w:val="22"/>
                <w:szCs w:val="22"/>
                <w:lang w:eastAsia="en-GB"/>
              </w:rPr>
              <w:t xml:space="preserve"> as no further extension of the scope occurs in PO1. Integration of removals in PO1 is a net cap integration, but the public authority commits to purchasing the removals, resulting in the emissions space of the gross cap as in PO3. The risk of removals generation falls on the public authority</w:t>
            </w:r>
            <w:r w:rsidR="00384F13" w:rsidRPr="00244D65">
              <w:rPr>
                <w:rFonts w:ascii="Times New Roman" w:eastAsia="MS Mincho" w:hAnsi="Times New Roman" w:cs="Times New Roman"/>
                <w:noProof/>
                <w:sz w:val="22"/>
                <w:szCs w:val="22"/>
                <w:lang w:eastAsia="en-GB"/>
              </w:rPr>
              <w:t>, with a positive impact for the size of the market</w:t>
            </w:r>
            <w:r w:rsidRPr="00244D65">
              <w:rPr>
                <w:rFonts w:ascii="Times New Roman" w:eastAsia="MS Mincho" w:hAnsi="Times New Roman" w:cs="Times New Roman"/>
                <w:noProof/>
                <w:sz w:val="22"/>
                <w:szCs w:val="22"/>
                <w:lang w:eastAsia="en-GB"/>
              </w:rPr>
              <w:t>.</w:t>
            </w:r>
          </w:p>
        </w:tc>
        <w:tc>
          <w:tcPr>
            <w:tcW w:w="1654" w:type="pct"/>
            <w:tcBorders>
              <w:top w:val="single" w:sz="4" w:space="0" w:color="auto"/>
              <w:left w:val="single" w:sz="4" w:space="0" w:color="auto"/>
              <w:bottom w:val="single" w:sz="4" w:space="0" w:color="auto"/>
              <w:right w:val="single" w:sz="4" w:space="0" w:color="auto"/>
            </w:tcBorders>
            <w:shd w:val="clear" w:color="auto" w:fill="92D050"/>
          </w:tcPr>
          <w:p w14:paraId="4F32BAC7" w14:textId="6446128D" w:rsidR="00C05195" w:rsidRPr="00244D65" w:rsidRDefault="00C05195" w:rsidP="0085595C">
            <w:pPr>
              <w:pStyle w:val="BodyText"/>
              <w:spacing w:line="240" w:lineRule="auto"/>
              <w:rPr>
                <w:rFonts w:ascii="Times New Roman" w:eastAsia="MS Mincho" w:hAnsi="Times New Roman" w:cs="Times New Roman"/>
                <w:noProof/>
                <w:sz w:val="22"/>
                <w:szCs w:val="22"/>
                <w:lang w:eastAsia="en-GB"/>
              </w:rPr>
            </w:pPr>
            <w:r w:rsidRPr="00244D65">
              <w:rPr>
                <w:rFonts w:ascii="Times New Roman" w:eastAsia="MS Mincho" w:hAnsi="Times New Roman" w:cs="Times New Roman"/>
                <w:noProof/>
                <w:sz w:val="22"/>
                <w:szCs w:val="22"/>
                <w:lang w:eastAsia="en-GB"/>
              </w:rPr>
              <w:t>Positive effect on the increase in the size of the market but PO2 is less ambitious than PO3 as scope is only extended to all municipal waste incinerator installations.</w:t>
            </w:r>
            <w:r w:rsidR="000C653C" w:rsidRPr="00244D65">
              <w:rPr>
                <w:rFonts w:ascii="Times New Roman" w:eastAsia="MS Mincho" w:hAnsi="Times New Roman" w:cs="Times New Roman"/>
                <w:noProof/>
                <w:sz w:val="22"/>
                <w:szCs w:val="22"/>
                <w:lang w:eastAsia="en-GB"/>
              </w:rPr>
              <w:t xml:space="preserve"> </w:t>
            </w:r>
            <w:r w:rsidR="00ED725B" w:rsidRPr="00244D65">
              <w:rPr>
                <w:rFonts w:ascii="Times New Roman" w:eastAsia="MS Mincho" w:hAnsi="Times New Roman" w:cs="Times New Roman"/>
                <w:noProof/>
                <w:sz w:val="22"/>
                <w:szCs w:val="22"/>
                <w:lang w:eastAsia="en-GB"/>
              </w:rPr>
              <w:t xml:space="preserve">For aviation, positive effect </w:t>
            </w:r>
            <w:r w:rsidR="004350FF" w:rsidRPr="00244D65">
              <w:rPr>
                <w:rFonts w:ascii="Times New Roman" w:eastAsia="MS Mincho" w:hAnsi="Times New Roman" w:cs="Times New Roman"/>
                <w:noProof/>
                <w:sz w:val="22"/>
                <w:szCs w:val="22"/>
                <w:lang w:eastAsia="en-GB"/>
              </w:rPr>
              <w:t xml:space="preserve">compared to PO1 </w:t>
            </w:r>
            <w:r w:rsidR="00ED725B" w:rsidRPr="00244D65">
              <w:rPr>
                <w:rFonts w:ascii="Times New Roman" w:eastAsia="MS Mincho" w:hAnsi="Times New Roman" w:cs="Times New Roman"/>
                <w:noProof/>
                <w:sz w:val="22"/>
                <w:szCs w:val="22"/>
                <w:lang w:eastAsia="en-GB"/>
              </w:rPr>
              <w:t>as the size of the market is increased to departing flights.</w:t>
            </w:r>
          </w:p>
          <w:p w14:paraId="1CC30A22" w14:textId="61C391CC" w:rsidR="00C05195" w:rsidRPr="00244D65" w:rsidRDefault="00C05195" w:rsidP="0085595C">
            <w:pPr>
              <w:pStyle w:val="BodyText"/>
              <w:spacing w:line="240" w:lineRule="auto"/>
              <w:rPr>
                <w:rFonts w:ascii="Times New Roman" w:eastAsia="MS Mincho" w:hAnsi="Times New Roman" w:cs="Times New Roman"/>
                <w:noProof/>
                <w:sz w:val="22"/>
                <w:szCs w:val="22"/>
                <w:lang w:eastAsia="en-GB"/>
              </w:rPr>
            </w:pPr>
            <w:r w:rsidRPr="00244D65">
              <w:rPr>
                <w:rFonts w:ascii="Times New Roman" w:eastAsia="MS Mincho" w:hAnsi="Times New Roman" w:cs="Times New Roman"/>
                <w:noProof/>
                <w:sz w:val="22"/>
                <w:szCs w:val="22"/>
                <w:lang w:eastAsia="en-GB"/>
              </w:rPr>
              <w:t xml:space="preserve">Integration of removals in PO2 allows the market to increase with the integration of removals by operators. The cap is set at the net </w:t>
            </w:r>
            <w:r w:rsidR="0013549A" w:rsidRPr="00244D65">
              <w:rPr>
                <w:rFonts w:ascii="Times New Roman" w:eastAsia="MS Mincho" w:hAnsi="Times New Roman" w:cs="Times New Roman"/>
                <w:noProof/>
                <w:sz w:val="22"/>
                <w:szCs w:val="22"/>
                <w:lang w:eastAsia="en-GB"/>
              </w:rPr>
              <w:t>level,</w:t>
            </w:r>
            <w:r w:rsidRPr="00244D65">
              <w:rPr>
                <w:rFonts w:ascii="Times New Roman" w:eastAsia="MS Mincho" w:hAnsi="Times New Roman" w:cs="Times New Roman"/>
                <w:noProof/>
                <w:sz w:val="22"/>
                <w:szCs w:val="22"/>
                <w:lang w:eastAsia="en-GB"/>
              </w:rPr>
              <w:t xml:space="preserve"> and the gross depends on the cost competitiveness of removals and support policies. </w:t>
            </w:r>
          </w:p>
          <w:p w14:paraId="24E7FB39" w14:textId="68D48781" w:rsidR="00C05195" w:rsidRPr="00244D65" w:rsidRDefault="009A04F3" w:rsidP="0085595C">
            <w:pPr>
              <w:pStyle w:val="BodyText"/>
              <w:spacing w:line="240" w:lineRule="auto"/>
              <w:rPr>
                <w:rFonts w:ascii="Times New Roman" w:eastAsia="MS Mincho" w:hAnsi="Times New Roman" w:cs="Times New Roman"/>
                <w:noProof/>
                <w:sz w:val="22"/>
                <w:szCs w:val="22"/>
                <w:lang w:eastAsia="en-GB"/>
              </w:rPr>
            </w:pPr>
            <w:r w:rsidRPr="00244D65">
              <w:rPr>
                <w:rFonts w:ascii="Times New Roman" w:eastAsia="MS Mincho" w:hAnsi="Times New Roman" w:cs="Times New Roman"/>
                <w:noProof/>
                <w:sz w:val="22"/>
                <w:szCs w:val="22"/>
                <w:lang w:eastAsia="en-GB"/>
              </w:rPr>
              <w:t>Positive effect as the ship categories emitting the most among smaller ships are included</w:t>
            </w:r>
            <w:r w:rsidR="000C653C" w:rsidRPr="00244D65">
              <w:rPr>
                <w:rFonts w:ascii="Times New Roman" w:eastAsia="MS Mincho" w:hAnsi="Times New Roman" w:cs="Times New Roman"/>
                <w:noProof/>
                <w:sz w:val="22"/>
                <w:szCs w:val="22"/>
                <w:lang w:eastAsia="en-GB"/>
              </w:rPr>
              <w:t xml:space="preserve"> </w:t>
            </w:r>
          </w:p>
        </w:tc>
        <w:tc>
          <w:tcPr>
            <w:tcW w:w="1461" w:type="pct"/>
            <w:tcBorders>
              <w:top w:val="single" w:sz="4" w:space="0" w:color="auto"/>
              <w:left w:val="single" w:sz="4" w:space="0" w:color="auto"/>
              <w:bottom w:val="single" w:sz="4" w:space="0" w:color="auto"/>
              <w:right w:val="single" w:sz="4" w:space="0" w:color="auto"/>
            </w:tcBorders>
            <w:shd w:val="clear" w:color="auto" w:fill="00B050"/>
          </w:tcPr>
          <w:p w14:paraId="36C4D596" w14:textId="59B1DA29" w:rsidR="00C05195" w:rsidRPr="00244D65" w:rsidRDefault="00C05195" w:rsidP="0085595C">
            <w:pPr>
              <w:pStyle w:val="BodyText"/>
              <w:spacing w:line="240" w:lineRule="auto"/>
              <w:rPr>
                <w:rFonts w:ascii="Times New Roman" w:eastAsia="MS Mincho" w:hAnsi="Times New Roman" w:cs="Times New Roman"/>
                <w:noProof/>
                <w:sz w:val="22"/>
                <w:szCs w:val="22"/>
                <w:lang w:eastAsia="en-GB"/>
              </w:rPr>
            </w:pPr>
            <w:r w:rsidRPr="00244D65">
              <w:rPr>
                <w:rFonts w:ascii="Times New Roman" w:eastAsia="MS Mincho" w:hAnsi="Times New Roman" w:cs="Times New Roman"/>
                <w:noProof/>
                <w:sz w:val="22"/>
                <w:szCs w:val="22"/>
                <w:lang w:eastAsia="en-GB"/>
              </w:rPr>
              <w:t>Positive effect on the increase in the size of the market with PO3 extending the scope of the EU</w:t>
            </w:r>
            <w:r w:rsidR="000C653C" w:rsidRPr="00244D65">
              <w:rPr>
                <w:rFonts w:ascii="Times New Roman" w:eastAsia="MS Mincho" w:hAnsi="Times New Roman" w:cs="Times New Roman"/>
                <w:noProof/>
                <w:sz w:val="22"/>
                <w:szCs w:val="22"/>
                <w:lang w:eastAsia="en-GB"/>
              </w:rPr>
              <w:t xml:space="preserve"> </w:t>
            </w:r>
            <w:r w:rsidR="00F909E3" w:rsidRPr="00244D65">
              <w:rPr>
                <w:rFonts w:ascii="Times New Roman" w:eastAsia="MS Mincho" w:hAnsi="Times New Roman" w:cs="Times New Roman"/>
                <w:noProof/>
                <w:sz w:val="22"/>
                <w:szCs w:val="22"/>
                <w:lang w:eastAsia="en-GB"/>
              </w:rPr>
              <w:t>ETS</w:t>
            </w:r>
            <w:r w:rsidRPr="00244D65">
              <w:rPr>
                <w:rFonts w:ascii="Times New Roman" w:eastAsia="MS Mincho" w:hAnsi="Times New Roman" w:cs="Times New Roman"/>
                <w:noProof/>
                <w:sz w:val="22"/>
                <w:szCs w:val="22"/>
                <w:lang w:eastAsia="en-GB"/>
              </w:rPr>
              <w:t xml:space="preserve"> to all municipal and hazardous waste incinerator installations and landfilling of non-hazardous waste.</w:t>
            </w:r>
            <w:r w:rsidR="000C653C" w:rsidRPr="00244D65">
              <w:rPr>
                <w:rFonts w:ascii="Times New Roman" w:eastAsia="MS Mincho" w:hAnsi="Times New Roman" w:cs="Times New Roman"/>
                <w:noProof/>
                <w:sz w:val="22"/>
                <w:szCs w:val="22"/>
                <w:lang w:eastAsia="en-GB"/>
              </w:rPr>
              <w:t xml:space="preserve"> </w:t>
            </w:r>
            <w:r w:rsidR="00ED725B" w:rsidRPr="00244D65">
              <w:rPr>
                <w:rFonts w:ascii="Times New Roman" w:eastAsia="MS Mincho" w:hAnsi="Times New Roman" w:cs="Times New Roman"/>
                <w:noProof/>
                <w:sz w:val="22"/>
                <w:szCs w:val="22"/>
                <w:lang w:eastAsia="en-GB"/>
              </w:rPr>
              <w:t xml:space="preserve">For aviation, positive effect </w:t>
            </w:r>
            <w:r w:rsidR="00163C24" w:rsidRPr="00244D65">
              <w:rPr>
                <w:rFonts w:ascii="Times New Roman" w:eastAsia="MS Mincho" w:hAnsi="Times New Roman" w:cs="Times New Roman"/>
                <w:noProof/>
                <w:sz w:val="22"/>
                <w:szCs w:val="22"/>
                <w:lang w:eastAsia="en-GB"/>
              </w:rPr>
              <w:t>as the size of the market is increased to departing flights</w:t>
            </w:r>
            <w:r w:rsidR="00ED725B" w:rsidRPr="00244D65">
              <w:rPr>
                <w:rFonts w:ascii="Times New Roman" w:eastAsia="MS Mincho" w:hAnsi="Times New Roman" w:cs="Times New Roman"/>
                <w:noProof/>
                <w:sz w:val="22"/>
                <w:szCs w:val="22"/>
                <w:lang w:eastAsia="en-GB"/>
              </w:rPr>
              <w:t>.</w:t>
            </w:r>
          </w:p>
          <w:p w14:paraId="2E8B449C" w14:textId="2FE55D43" w:rsidR="00C05195" w:rsidRPr="00244D65" w:rsidRDefault="00C05195" w:rsidP="0085595C">
            <w:pPr>
              <w:pStyle w:val="BodyText"/>
              <w:spacing w:line="240" w:lineRule="auto"/>
              <w:rPr>
                <w:rFonts w:ascii="Times New Roman" w:eastAsia="MS Mincho" w:hAnsi="Times New Roman" w:cs="Times New Roman"/>
                <w:noProof/>
                <w:sz w:val="22"/>
                <w:szCs w:val="22"/>
                <w:lang w:eastAsia="en-GB"/>
              </w:rPr>
            </w:pPr>
            <w:r w:rsidRPr="00244D65">
              <w:rPr>
                <w:rFonts w:ascii="Times New Roman" w:eastAsia="MS Mincho" w:hAnsi="Times New Roman" w:cs="Times New Roman"/>
                <w:noProof/>
                <w:sz w:val="22"/>
                <w:szCs w:val="22"/>
                <w:lang w:eastAsia="en-GB"/>
              </w:rPr>
              <w:t xml:space="preserve">Integration of removals in PO3 results in the cap being set at the gross level. The uncertainty in the removals generation </w:t>
            </w:r>
            <w:r w:rsidR="00AF4AAD" w:rsidRPr="00244D65">
              <w:rPr>
                <w:rFonts w:ascii="Times New Roman" w:eastAsia="MS Mincho" w:hAnsi="Times New Roman" w:cs="Times New Roman"/>
                <w:noProof/>
                <w:sz w:val="22"/>
                <w:szCs w:val="22"/>
                <w:lang w:eastAsia="en-GB"/>
              </w:rPr>
              <w:t xml:space="preserve">falls on the climate ambition, as </w:t>
            </w:r>
            <w:r w:rsidRPr="00244D65">
              <w:rPr>
                <w:rFonts w:ascii="Times New Roman" w:eastAsia="MS Mincho" w:hAnsi="Times New Roman" w:cs="Times New Roman"/>
                <w:noProof/>
                <w:sz w:val="22"/>
                <w:szCs w:val="22"/>
                <w:lang w:eastAsia="en-GB"/>
              </w:rPr>
              <w:t>the attainment of the net objective is uncertain</w:t>
            </w:r>
            <w:r w:rsidR="00AF4AAD" w:rsidRPr="00244D65">
              <w:rPr>
                <w:rFonts w:ascii="Times New Roman" w:eastAsia="MS Mincho" w:hAnsi="Times New Roman" w:cs="Times New Roman"/>
                <w:noProof/>
                <w:sz w:val="22"/>
                <w:szCs w:val="22"/>
                <w:lang w:eastAsia="en-GB"/>
              </w:rPr>
              <w:t>, with a positive impact for the size of the market</w:t>
            </w:r>
            <w:r w:rsidRPr="00244D65">
              <w:rPr>
                <w:rFonts w:ascii="Times New Roman" w:eastAsia="MS Mincho" w:hAnsi="Times New Roman" w:cs="Times New Roman"/>
                <w:noProof/>
                <w:sz w:val="22"/>
                <w:szCs w:val="22"/>
                <w:lang w:eastAsia="en-GB"/>
              </w:rPr>
              <w:t>.</w:t>
            </w:r>
          </w:p>
          <w:p w14:paraId="729D7AE4" w14:textId="4A6EA697" w:rsidR="00C05195" w:rsidRPr="00244D65" w:rsidRDefault="009A04F3" w:rsidP="0085595C">
            <w:pPr>
              <w:pStyle w:val="BodyText"/>
              <w:spacing w:line="240" w:lineRule="auto"/>
              <w:rPr>
                <w:rFonts w:ascii="Times New Roman" w:eastAsia="MS Mincho" w:hAnsi="Times New Roman" w:cs="Times New Roman"/>
                <w:noProof/>
                <w:sz w:val="22"/>
                <w:szCs w:val="22"/>
                <w:lang w:eastAsia="en-GB"/>
              </w:rPr>
            </w:pPr>
            <w:r w:rsidRPr="00244D65">
              <w:rPr>
                <w:rFonts w:ascii="Times New Roman" w:eastAsia="MS Mincho" w:hAnsi="Times New Roman" w:cs="Times New Roman"/>
                <w:noProof/>
                <w:sz w:val="22"/>
                <w:szCs w:val="22"/>
                <w:lang w:eastAsia="en-GB"/>
              </w:rPr>
              <w:t xml:space="preserve">Strong positive impact as all vessel types non-exempted from MRV, plus fishing vessels </w:t>
            </w:r>
            <w:r w:rsidR="00A47565" w:rsidRPr="00244D65">
              <w:rPr>
                <w:rFonts w:ascii="Times New Roman" w:eastAsia="MS Mincho" w:hAnsi="Times New Roman" w:cs="Times New Roman"/>
                <w:noProof/>
                <w:sz w:val="22"/>
                <w:szCs w:val="22"/>
                <w:lang w:eastAsia="en-GB"/>
              </w:rPr>
              <w:t>and non-commercial yachts</w:t>
            </w:r>
            <w:r w:rsidRPr="00244D65">
              <w:rPr>
                <w:rFonts w:ascii="Times New Roman" w:eastAsia="MS Mincho" w:hAnsi="Times New Roman" w:cs="Times New Roman"/>
                <w:noProof/>
                <w:sz w:val="22"/>
                <w:szCs w:val="22"/>
                <w:lang w:eastAsia="en-GB"/>
              </w:rPr>
              <w:t xml:space="preserve"> are in the scope</w:t>
            </w:r>
          </w:p>
        </w:tc>
      </w:tr>
      <w:tr w:rsidR="00A3415E" w:rsidRPr="00244D65" w14:paraId="2C412924" w14:textId="77777777" w:rsidTr="00C937C4">
        <w:trPr>
          <w:trHeight w:val="300"/>
        </w:trPr>
        <w:tc>
          <w:tcPr>
            <w:tcW w:w="41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1F6026" w14:textId="47E52697" w:rsidR="00C05195" w:rsidRPr="00244D65" w:rsidRDefault="00C05195" w:rsidP="0085595C">
            <w:pPr>
              <w:pStyle w:val="BodyText"/>
              <w:spacing w:line="240" w:lineRule="auto"/>
              <w:jc w:val="center"/>
              <w:rPr>
                <w:rFonts w:ascii="Times New Roman" w:eastAsia="MS Mincho" w:hAnsi="Times New Roman" w:cs="Times New Roman"/>
                <w:noProof/>
                <w:sz w:val="22"/>
                <w:szCs w:val="22"/>
                <w:lang w:eastAsia="en-GB"/>
              </w:rPr>
            </w:pPr>
            <w:r w:rsidRPr="00244D65">
              <w:rPr>
                <w:rFonts w:ascii="Times New Roman" w:eastAsia="MS Mincho" w:hAnsi="Times New Roman" w:cs="Times New Roman"/>
                <w:noProof/>
                <w:sz w:val="22"/>
                <w:szCs w:val="22"/>
                <w:lang w:eastAsia="en-GB"/>
              </w:rPr>
              <w:t>Adjust MSR parameters</w:t>
            </w:r>
          </w:p>
          <w:p w14:paraId="09C976F7" w14:textId="46B87B87" w:rsidR="00C05195" w:rsidRPr="00244D65" w:rsidRDefault="00C05195" w:rsidP="0085595C">
            <w:pPr>
              <w:pStyle w:val="BodyText"/>
              <w:spacing w:line="240" w:lineRule="auto"/>
              <w:jc w:val="center"/>
              <w:rPr>
                <w:rFonts w:ascii="Times New Roman" w:eastAsia="MS Mincho" w:hAnsi="Times New Roman" w:cs="Times New Roman"/>
                <w:noProof/>
                <w:sz w:val="22"/>
                <w:szCs w:val="22"/>
                <w:lang w:eastAsia="en-GB"/>
              </w:rPr>
            </w:pPr>
            <w:r w:rsidRPr="00244D65">
              <w:rPr>
                <w:rFonts w:ascii="Times New Roman" w:eastAsia="MS Mincho" w:hAnsi="Times New Roman" w:cs="Times New Roman"/>
                <w:noProof/>
                <w:sz w:val="22"/>
                <w:szCs w:val="22"/>
                <w:lang w:eastAsia="en-GB"/>
              </w:rPr>
              <w:t>(SO.2.1.2)</w:t>
            </w:r>
          </w:p>
        </w:tc>
        <w:tc>
          <w:tcPr>
            <w:tcW w:w="1472" w:type="pct"/>
            <w:tcBorders>
              <w:top w:val="single" w:sz="4" w:space="0" w:color="auto"/>
              <w:left w:val="single" w:sz="4" w:space="0" w:color="auto"/>
              <w:bottom w:val="single" w:sz="4" w:space="0" w:color="auto"/>
              <w:right w:val="single" w:sz="4" w:space="0" w:color="auto"/>
            </w:tcBorders>
            <w:shd w:val="clear" w:color="auto" w:fill="92D050"/>
            <w:vAlign w:val="bottom"/>
          </w:tcPr>
          <w:p w14:paraId="6B68B9C4" w14:textId="5A991AB7" w:rsidR="00AD080B" w:rsidRPr="00244D65" w:rsidRDefault="00CA4862" w:rsidP="0085595C">
            <w:pPr>
              <w:pStyle w:val="BodyText"/>
              <w:spacing w:line="240" w:lineRule="auto"/>
              <w:jc w:val="left"/>
              <w:rPr>
                <w:rFonts w:ascii="Times New Roman" w:hAnsi="Times New Roman" w:cs="Times New Roman"/>
                <w:noProof/>
                <w:sz w:val="22"/>
                <w:szCs w:val="22"/>
              </w:rPr>
            </w:pPr>
            <w:r w:rsidRPr="00244D65">
              <w:rPr>
                <w:rFonts w:ascii="Times New Roman" w:hAnsi="Times New Roman" w:cs="Times New Roman"/>
                <w:noProof/>
                <w:sz w:val="22"/>
                <w:szCs w:val="22"/>
              </w:rPr>
              <w:t xml:space="preserve">Weakly positive as </w:t>
            </w:r>
            <w:r w:rsidR="008837D3" w:rsidRPr="00244D65">
              <w:rPr>
                <w:rFonts w:ascii="Times New Roman" w:hAnsi="Times New Roman" w:cs="Times New Roman"/>
                <w:noProof/>
                <w:sz w:val="22"/>
                <w:szCs w:val="22"/>
              </w:rPr>
              <w:t>P</w:t>
            </w:r>
            <w:r w:rsidR="00AD080B" w:rsidRPr="00244D65">
              <w:rPr>
                <w:rFonts w:ascii="Times New Roman" w:hAnsi="Times New Roman" w:cs="Times New Roman"/>
                <w:noProof/>
                <w:sz w:val="22"/>
                <w:szCs w:val="22"/>
              </w:rPr>
              <w:t xml:space="preserve">O1 </w:t>
            </w:r>
            <w:r w:rsidR="008F4685" w:rsidRPr="00244D65">
              <w:rPr>
                <w:rFonts w:ascii="Times New Roman" w:hAnsi="Times New Roman" w:cs="Times New Roman"/>
                <w:noProof/>
                <w:sz w:val="22"/>
                <w:szCs w:val="22"/>
              </w:rPr>
              <w:t>broadly</w:t>
            </w:r>
            <w:r w:rsidR="008837D3" w:rsidRPr="00244D65">
              <w:rPr>
                <w:rFonts w:ascii="Times New Roman" w:hAnsi="Times New Roman" w:cs="Times New Roman"/>
                <w:noProof/>
                <w:sz w:val="22"/>
                <w:szCs w:val="22"/>
              </w:rPr>
              <w:t xml:space="preserve"> achieves the two primary objectives of the MSR. First,</w:t>
            </w:r>
            <w:r w:rsidR="008D5F55" w:rsidRPr="00244D65">
              <w:rPr>
                <w:rFonts w:ascii="Times New Roman" w:hAnsi="Times New Roman" w:cs="Times New Roman"/>
                <w:noProof/>
                <w:sz w:val="22"/>
                <w:szCs w:val="22"/>
              </w:rPr>
              <w:t xml:space="preserve"> the MSR contributes</w:t>
            </w:r>
            <w:r w:rsidR="008837D3" w:rsidRPr="00244D65">
              <w:rPr>
                <w:rFonts w:ascii="Times New Roman" w:hAnsi="Times New Roman" w:cs="Times New Roman"/>
                <w:noProof/>
                <w:sz w:val="22"/>
                <w:szCs w:val="22"/>
              </w:rPr>
              <w:t xml:space="preserve"> to reduc</w:t>
            </w:r>
            <w:r w:rsidR="008D5F55" w:rsidRPr="00244D65">
              <w:rPr>
                <w:rFonts w:ascii="Times New Roman" w:hAnsi="Times New Roman" w:cs="Times New Roman"/>
                <w:noProof/>
                <w:sz w:val="22"/>
                <w:szCs w:val="22"/>
              </w:rPr>
              <w:t>ing</w:t>
            </w:r>
            <w:r w:rsidR="008837D3" w:rsidRPr="00244D65">
              <w:rPr>
                <w:rFonts w:ascii="Times New Roman" w:hAnsi="Times New Roman" w:cs="Times New Roman"/>
                <w:noProof/>
                <w:sz w:val="22"/>
                <w:szCs w:val="22"/>
              </w:rPr>
              <w:t xml:space="preserve"> the historical surplus of allowances </w:t>
            </w:r>
            <w:r w:rsidR="00102237" w:rsidRPr="00244D65">
              <w:rPr>
                <w:rFonts w:ascii="Times New Roman" w:hAnsi="Times New Roman" w:cs="Times New Roman"/>
                <w:noProof/>
                <w:sz w:val="22"/>
                <w:szCs w:val="22"/>
              </w:rPr>
              <w:t xml:space="preserve">by </w:t>
            </w:r>
            <w:r w:rsidR="008D5F55" w:rsidRPr="00244D65">
              <w:rPr>
                <w:rFonts w:ascii="Times New Roman" w:hAnsi="Times New Roman" w:cs="Times New Roman"/>
                <w:noProof/>
                <w:sz w:val="22"/>
                <w:szCs w:val="22"/>
              </w:rPr>
              <w:t xml:space="preserve">removing supply of </w:t>
            </w:r>
            <w:r w:rsidR="008F4685" w:rsidRPr="00244D65">
              <w:rPr>
                <w:rFonts w:ascii="Times New Roman" w:hAnsi="Times New Roman" w:cs="Times New Roman"/>
                <w:noProof/>
                <w:sz w:val="22"/>
                <w:szCs w:val="22"/>
              </w:rPr>
              <w:t>allowances</w:t>
            </w:r>
            <w:r w:rsidR="008D5F55" w:rsidRPr="00244D65">
              <w:rPr>
                <w:rFonts w:ascii="Times New Roman" w:hAnsi="Times New Roman" w:cs="Times New Roman"/>
                <w:noProof/>
                <w:sz w:val="22"/>
                <w:szCs w:val="22"/>
              </w:rPr>
              <w:t xml:space="preserve"> and</w:t>
            </w:r>
            <w:r w:rsidR="00102237" w:rsidRPr="00244D65">
              <w:rPr>
                <w:rFonts w:ascii="Times New Roman" w:hAnsi="Times New Roman" w:cs="Times New Roman"/>
                <w:noProof/>
                <w:sz w:val="22"/>
                <w:szCs w:val="22"/>
              </w:rPr>
              <w:t xml:space="preserve"> preventing a drop in</w:t>
            </w:r>
            <w:r w:rsidR="008837D3" w:rsidRPr="00244D65">
              <w:rPr>
                <w:rFonts w:ascii="Times New Roman" w:hAnsi="Times New Roman" w:cs="Times New Roman"/>
                <w:noProof/>
                <w:sz w:val="22"/>
                <w:szCs w:val="22"/>
              </w:rPr>
              <w:t xml:space="preserve"> carbon prices and weakened investment signals for low-carbon technologies</w:t>
            </w:r>
            <w:r w:rsidR="00A0641E" w:rsidRPr="00244D65">
              <w:rPr>
                <w:rFonts w:ascii="Times New Roman" w:hAnsi="Times New Roman" w:cs="Times New Roman"/>
                <w:noProof/>
                <w:sz w:val="22"/>
                <w:szCs w:val="22"/>
              </w:rPr>
              <w:t>.</w:t>
            </w:r>
            <w:r w:rsidR="008837D3" w:rsidRPr="00244D65">
              <w:rPr>
                <w:rFonts w:ascii="Times New Roman" w:hAnsi="Times New Roman" w:cs="Times New Roman"/>
                <w:noProof/>
                <w:sz w:val="22"/>
                <w:szCs w:val="22"/>
              </w:rPr>
              <w:t xml:space="preserve"> </w:t>
            </w:r>
            <w:r w:rsidR="00AD080B" w:rsidRPr="00244D65">
              <w:rPr>
                <w:rFonts w:ascii="Times New Roman" w:hAnsi="Times New Roman" w:cs="Times New Roman"/>
                <w:noProof/>
                <w:sz w:val="22"/>
                <w:szCs w:val="22"/>
              </w:rPr>
              <w:t xml:space="preserve">Under PO1 </w:t>
            </w:r>
            <w:r w:rsidR="00A0641E" w:rsidRPr="00244D65">
              <w:rPr>
                <w:rFonts w:ascii="Times New Roman" w:hAnsi="Times New Roman" w:cs="Times New Roman"/>
                <w:noProof/>
                <w:sz w:val="22"/>
                <w:szCs w:val="22"/>
              </w:rPr>
              <w:t xml:space="preserve">the </w:t>
            </w:r>
            <w:r w:rsidR="00AD080B" w:rsidRPr="00244D65">
              <w:rPr>
                <w:rFonts w:ascii="Times New Roman" w:hAnsi="Times New Roman" w:cs="Times New Roman"/>
                <w:noProof/>
                <w:sz w:val="22"/>
                <w:szCs w:val="22"/>
              </w:rPr>
              <w:t xml:space="preserve">MSR </w:t>
            </w:r>
            <w:r w:rsidR="00A0641E" w:rsidRPr="00244D65">
              <w:rPr>
                <w:rFonts w:ascii="Times New Roman" w:hAnsi="Times New Roman" w:cs="Times New Roman"/>
                <w:noProof/>
                <w:sz w:val="22"/>
                <w:szCs w:val="22"/>
              </w:rPr>
              <w:t>starts releasing</w:t>
            </w:r>
            <w:r w:rsidR="00AD080B" w:rsidRPr="00244D65">
              <w:rPr>
                <w:rFonts w:ascii="Times New Roman" w:hAnsi="Times New Roman" w:cs="Times New Roman"/>
                <w:noProof/>
                <w:sz w:val="22"/>
                <w:szCs w:val="22"/>
              </w:rPr>
              <w:t xml:space="preserve"> allowances </w:t>
            </w:r>
            <w:r w:rsidR="008837D3" w:rsidRPr="00244D65">
              <w:rPr>
                <w:rFonts w:ascii="Times New Roman" w:hAnsi="Times New Roman" w:cs="Times New Roman"/>
                <w:noProof/>
                <w:sz w:val="22"/>
                <w:szCs w:val="22"/>
              </w:rPr>
              <w:t xml:space="preserve">to </w:t>
            </w:r>
            <w:r w:rsidR="00077A4B" w:rsidRPr="00244D65">
              <w:rPr>
                <w:rFonts w:ascii="Times New Roman" w:hAnsi="Times New Roman" w:cs="Times New Roman"/>
                <w:noProof/>
                <w:sz w:val="22"/>
                <w:szCs w:val="22"/>
              </w:rPr>
              <w:t xml:space="preserve">keep the market balanced. </w:t>
            </w:r>
            <w:r w:rsidR="00A0641E" w:rsidRPr="00244D65">
              <w:rPr>
                <w:rFonts w:ascii="Times New Roman" w:hAnsi="Times New Roman" w:cs="Times New Roman"/>
                <w:noProof/>
                <w:sz w:val="22"/>
                <w:szCs w:val="22"/>
              </w:rPr>
              <w:t xml:space="preserve">However, </w:t>
            </w:r>
            <w:r w:rsidR="00CB71E3" w:rsidRPr="00244D65">
              <w:rPr>
                <w:rFonts w:ascii="Times New Roman" w:hAnsi="Times New Roman" w:cs="Times New Roman"/>
                <w:noProof/>
                <w:sz w:val="22"/>
                <w:szCs w:val="22"/>
              </w:rPr>
              <w:t xml:space="preserve">while in the </w:t>
            </w:r>
            <w:r w:rsidR="00DE3923" w:rsidRPr="00244D65">
              <w:rPr>
                <w:rFonts w:ascii="Times New Roman" w:hAnsi="Times New Roman" w:cs="Times New Roman"/>
                <w:noProof/>
                <w:sz w:val="22"/>
                <w:szCs w:val="22"/>
              </w:rPr>
              <w:t>short-term</w:t>
            </w:r>
            <w:r w:rsidR="00CB71E3" w:rsidRPr="00244D65">
              <w:rPr>
                <w:rFonts w:ascii="Times New Roman" w:hAnsi="Times New Roman" w:cs="Times New Roman"/>
                <w:noProof/>
                <w:sz w:val="22"/>
                <w:szCs w:val="22"/>
              </w:rPr>
              <w:t xml:space="preserve"> prices are evolving </w:t>
            </w:r>
            <w:bookmarkStart w:id="290" w:name="_Int_lwzZumlO"/>
            <w:r w:rsidR="00CB71E3" w:rsidRPr="00244D65">
              <w:rPr>
                <w:rFonts w:ascii="Times New Roman" w:hAnsi="Times New Roman" w:cs="Times New Roman"/>
                <w:noProof/>
                <w:sz w:val="22"/>
                <w:szCs w:val="22"/>
              </w:rPr>
              <w:t>relatively stable</w:t>
            </w:r>
            <w:bookmarkEnd w:id="290"/>
            <w:r w:rsidR="009137B3" w:rsidRPr="00244D65">
              <w:rPr>
                <w:rFonts w:ascii="Times New Roman" w:hAnsi="Times New Roman" w:cs="Times New Roman"/>
                <w:noProof/>
                <w:sz w:val="22"/>
                <w:szCs w:val="22"/>
              </w:rPr>
              <w:t xml:space="preserve"> until 2034</w:t>
            </w:r>
            <w:r w:rsidR="00CB71E3" w:rsidRPr="00244D65">
              <w:rPr>
                <w:rFonts w:ascii="Times New Roman" w:hAnsi="Times New Roman" w:cs="Times New Roman"/>
                <w:noProof/>
                <w:sz w:val="22"/>
                <w:szCs w:val="22"/>
              </w:rPr>
              <w:t xml:space="preserve">, as from </w:t>
            </w:r>
            <w:r w:rsidR="00222793" w:rsidRPr="00244D65">
              <w:rPr>
                <w:rFonts w:ascii="Times New Roman" w:hAnsi="Times New Roman" w:cs="Times New Roman"/>
                <w:noProof/>
                <w:sz w:val="22"/>
                <w:szCs w:val="22"/>
              </w:rPr>
              <w:t xml:space="preserve">2035 </w:t>
            </w:r>
            <w:r w:rsidR="00CB71E3" w:rsidRPr="00244D65">
              <w:rPr>
                <w:rFonts w:ascii="Times New Roman" w:hAnsi="Times New Roman" w:cs="Times New Roman"/>
                <w:noProof/>
                <w:sz w:val="22"/>
                <w:szCs w:val="22"/>
              </w:rPr>
              <w:t>PO1 observe a relative steeper increase of ETS prices as compared to PO2 and PO3</w:t>
            </w:r>
            <w:r w:rsidR="00077A4B" w:rsidRPr="00244D65">
              <w:rPr>
                <w:rFonts w:ascii="Times New Roman" w:hAnsi="Times New Roman" w:cs="Times New Roman"/>
                <w:noProof/>
                <w:sz w:val="22"/>
                <w:szCs w:val="22"/>
              </w:rPr>
              <w:t xml:space="preserve">. </w:t>
            </w:r>
            <w:r w:rsidR="00CB71E3" w:rsidRPr="00244D65">
              <w:rPr>
                <w:rFonts w:ascii="Times New Roman" w:hAnsi="Times New Roman" w:cs="Times New Roman"/>
                <w:noProof/>
                <w:sz w:val="22"/>
                <w:szCs w:val="22"/>
              </w:rPr>
              <w:t xml:space="preserve">Second, </w:t>
            </w:r>
            <w:r w:rsidR="00077A4B" w:rsidRPr="00244D65">
              <w:rPr>
                <w:rFonts w:ascii="Times New Roman" w:hAnsi="Times New Roman" w:cs="Times New Roman"/>
                <w:noProof/>
                <w:sz w:val="22"/>
                <w:szCs w:val="22"/>
              </w:rPr>
              <w:t>PO</w:t>
            </w:r>
            <w:r w:rsidR="00CB71E3" w:rsidRPr="00244D65">
              <w:rPr>
                <w:rFonts w:ascii="Times New Roman" w:hAnsi="Times New Roman" w:cs="Times New Roman"/>
                <w:noProof/>
                <w:sz w:val="22"/>
                <w:szCs w:val="22"/>
              </w:rPr>
              <w:t>1</w:t>
            </w:r>
            <w:r w:rsidR="00077A4B" w:rsidRPr="00244D65">
              <w:rPr>
                <w:rFonts w:ascii="Times New Roman" w:hAnsi="Times New Roman" w:cs="Times New Roman"/>
                <w:noProof/>
                <w:sz w:val="22"/>
                <w:szCs w:val="22"/>
              </w:rPr>
              <w:t xml:space="preserve"> </w:t>
            </w:r>
            <w:r w:rsidR="008837D3" w:rsidRPr="00244D65">
              <w:rPr>
                <w:rFonts w:ascii="Times New Roman" w:hAnsi="Times New Roman" w:cs="Times New Roman"/>
                <w:noProof/>
                <w:sz w:val="22"/>
                <w:szCs w:val="22"/>
              </w:rPr>
              <w:t>enhance</w:t>
            </w:r>
            <w:r w:rsidR="00077A4B" w:rsidRPr="00244D65">
              <w:rPr>
                <w:rFonts w:ascii="Times New Roman" w:hAnsi="Times New Roman" w:cs="Times New Roman"/>
                <w:noProof/>
                <w:sz w:val="22"/>
                <w:szCs w:val="22"/>
              </w:rPr>
              <w:t>s</w:t>
            </w:r>
            <w:r w:rsidR="008837D3" w:rsidRPr="00244D65">
              <w:rPr>
                <w:rFonts w:ascii="Times New Roman" w:hAnsi="Times New Roman" w:cs="Times New Roman"/>
                <w:noProof/>
                <w:sz w:val="22"/>
                <w:szCs w:val="22"/>
              </w:rPr>
              <w:t xml:space="preserve"> the resilience of the EU ETS </w:t>
            </w:r>
            <w:r w:rsidR="0019774A" w:rsidRPr="00244D65">
              <w:rPr>
                <w:rFonts w:ascii="Times New Roman" w:hAnsi="Times New Roman" w:cs="Times New Roman"/>
                <w:noProof/>
                <w:sz w:val="22"/>
                <w:szCs w:val="22"/>
              </w:rPr>
              <w:t xml:space="preserve">and </w:t>
            </w:r>
            <w:r w:rsidR="008F4685" w:rsidRPr="00244D65">
              <w:rPr>
                <w:rFonts w:ascii="Times New Roman" w:hAnsi="Times New Roman" w:cs="Times New Roman"/>
                <w:noProof/>
                <w:sz w:val="22"/>
                <w:szCs w:val="22"/>
              </w:rPr>
              <w:t>performs</w:t>
            </w:r>
            <w:r w:rsidR="0019774A" w:rsidRPr="00244D65">
              <w:rPr>
                <w:rFonts w:ascii="Times New Roman" w:hAnsi="Times New Roman" w:cs="Times New Roman"/>
                <w:noProof/>
                <w:sz w:val="22"/>
                <w:szCs w:val="22"/>
              </w:rPr>
              <w:t xml:space="preserve"> well in response</w:t>
            </w:r>
            <w:r w:rsidR="008837D3" w:rsidRPr="00244D65">
              <w:rPr>
                <w:rFonts w:ascii="Times New Roman" w:hAnsi="Times New Roman" w:cs="Times New Roman"/>
                <w:noProof/>
                <w:sz w:val="22"/>
                <w:szCs w:val="22"/>
              </w:rPr>
              <w:t xml:space="preserve"> to future demand shocks.</w:t>
            </w:r>
          </w:p>
          <w:p w14:paraId="10E587B9" w14:textId="1C6290EA" w:rsidR="00C05195" w:rsidRPr="00244D65" w:rsidRDefault="00C05195" w:rsidP="0085595C">
            <w:pPr>
              <w:pStyle w:val="BodyText"/>
              <w:spacing w:line="240" w:lineRule="auto"/>
              <w:jc w:val="left"/>
              <w:rPr>
                <w:rFonts w:ascii="Times New Roman" w:eastAsia="MS Mincho" w:hAnsi="Times New Roman" w:cs="Times New Roman"/>
                <w:noProof/>
                <w:sz w:val="22"/>
                <w:szCs w:val="22"/>
                <w:lang w:eastAsia="en-GB"/>
              </w:rPr>
            </w:pPr>
          </w:p>
        </w:tc>
        <w:tc>
          <w:tcPr>
            <w:tcW w:w="1654" w:type="pct"/>
            <w:tcBorders>
              <w:top w:val="single" w:sz="4" w:space="0" w:color="auto"/>
              <w:left w:val="single" w:sz="4" w:space="0" w:color="auto"/>
              <w:bottom w:val="single" w:sz="4" w:space="0" w:color="auto"/>
              <w:right w:val="single" w:sz="4" w:space="0" w:color="auto"/>
            </w:tcBorders>
            <w:shd w:val="clear" w:color="auto" w:fill="00B050"/>
          </w:tcPr>
          <w:p w14:paraId="7B3EDD97" w14:textId="217E55AB" w:rsidR="0019774A" w:rsidRPr="00244D65" w:rsidRDefault="0019774A" w:rsidP="0085595C">
            <w:pPr>
              <w:pStyle w:val="BodyText"/>
              <w:spacing w:line="240" w:lineRule="auto"/>
              <w:jc w:val="left"/>
              <w:rPr>
                <w:rFonts w:ascii="Times New Roman" w:hAnsi="Times New Roman" w:cs="Times New Roman"/>
                <w:noProof/>
                <w:sz w:val="22"/>
                <w:szCs w:val="22"/>
              </w:rPr>
            </w:pPr>
            <w:r w:rsidRPr="00244D65">
              <w:rPr>
                <w:rFonts w:ascii="Times New Roman" w:hAnsi="Times New Roman" w:cs="Times New Roman"/>
                <w:noProof/>
                <w:sz w:val="22"/>
                <w:szCs w:val="22"/>
              </w:rPr>
              <w:t>Strongly positive as PO</w:t>
            </w:r>
            <w:r w:rsidR="009F2EB8" w:rsidRPr="00244D65">
              <w:rPr>
                <w:rFonts w:ascii="Times New Roman" w:hAnsi="Times New Roman" w:cs="Times New Roman"/>
                <w:noProof/>
                <w:sz w:val="22"/>
                <w:szCs w:val="22"/>
              </w:rPr>
              <w:t xml:space="preserve">2 </w:t>
            </w:r>
            <w:r w:rsidR="0022201B" w:rsidRPr="00244D65">
              <w:rPr>
                <w:rFonts w:ascii="Times New Roman" w:hAnsi="Times New Roman" w:cs="Times New Roman"/>
                <w:noProof/>
                <w:sz w:val="22"/>
                <w:szCs w:val="22"/>
              </w:rPr>
              <w:t xml:space="preserve">and fully </w:t>
            </w:r>
            <w:r w:rsidR="009F2EB8" w:rsidRPr="00244D65">
              <w:rPr>
                <w:rFonts w:ascii="Times New Roman" w:hAnsi="Times New Roman" w:cs="Times New Roman"/>
                <w:noProof/>
                <w:sz w:val="22"/>
                <w:szCs w:val="22"/>
              </w:rPr>
              <w:t>achie</w:t>
            </w:r>
            <w:r w:rsidR="0022201B" w:rsidRPr="00244D65">
              <w:rPr>
                <w:rFonts w:ascii="Times New Roman" w:hAnsi="Times New Roman" w:cs="Times New Roman"/>
                <w:noProof/>
                <w:sz w:val="22"/>
                <w:szCs w:val="22"/>
              </w:rPr>
              <w:t>ves</w:t>
            </w:r>
            <w:r w:rsidRPr="00244D65">
              <w:rPr>
                <w:rFonts w:ascii="Times New Roman" w:hAnsi="Times New Roman" w:cs="Times New Roman"/>
                <w:noProof/>
                <w:sz w:val="22"/>
                <w:szCs w:val="22"/>
              </w:rPr>
              <w:t xml:space="preserve"> the two primary objectives of the MSR. First, the MSR contributes to reducing the historical surplus of allowances by removing supply of </w:t>
            </w:r>
            <w:r w:rsidR="008F4685" w:rsidRPr="00244D65">
              <w:rPr>
                <w:rFonts w:ascii="Times New Roman" w:hAnsi="Times New Roman" w:cs="Times New Roman"/>
                <w:noProof/>
                <w:sz w:val="22"/>
                <w:szCs w:val="22"/>
              </w:rPr>
              <w:t>allowances</w:t>
            </w:r>
            <w:r w:rsidRPr="00244D65">
              <w:rPr>
                <w:rFonts w:ascii="Times New Roman" w:hAnsi="Times New Roman" w:cs="Times New Roman"/>
                <w:noProof/>
                <w:sz w:val="22"/>
                <w:szCs w:val="22"/>
              </w:rPr>
              <w:t xml:space="preserve"> and preventing a drop in carbon prices and weakened investment signals for low-carbon technologies. Under PO</w:t>
            </w:r>
            <w:r w:rsidR="009F2EB8" w:rsidRPr="00244D65">
              <w:rPr>
                <w:rFonts w:ascii="Times New Roman" w:hAnsi="Times New Roman" w:cs="Times New Roman"/>
                <w:noProof/>
                <w:sz w:val="22"/>
                <w:szCs w:val="22"/>
              </w:rPr>
              <w:t>2</w:t>
            </w:r>
            <w:r w:rsidRPr="00244D65">
              <w:rPr>
                <w:rFonts w:ascii="Times New Roman" w:hAnsi="Times New Roman" w:cs="Times New Roman"/>
                <w:noProof/>
                <w:sz w:val="22"/>
                <w:szCs w:val="22"/>
              </w:rPr>
              <w:t xml:space="preserve"> the MSR starts releasing allowances to keep the market balanced. Second, </w:t>
            </w:r>
            <w:r w:rsidR="00DC1B58" w:rsidRPr="00244D65">
              <w:rPr>
                <w:rFonts w:ascii="Times New Roman" w:hAnsi="Times New Roman" w:cs="Times New Roman"/>
                <w:noProof/>
                <w:sz w:val="22"/>
                <w:szCs w:val="22"/>
              </w:rPr>
              <w:t xml:space="preserve">PO2 </w:t>
            </w:r>
            <w:r w:rsidRPr="00244D65">
              <w:rPr>
                <w:rFonts w:ascii="Times New Roman" w:hAnsi="Times New Roman" w:cs="Times New Roman"/>
                <w:noProof/>
                <w:sz w:val="22"/>
                <w:szCs w:val="22"/>
              </w:rPr>
              <w:t xml:space="preserve">enhances the resilience of the EU ETS and </w:t>
            </w:r>
            <w:r w:rsidR="008F4685" w:rsidRPr="00244D65">
              <w:rPr>
                <w:rFonts w:ascii="Times New Roman" w:hAnsi="Times New Roman" w:cs="Times New Roman"/>
                <w:noProof/>
                <w:sz w:val="22"/>
                <w:szCs w:val="22"/>
              </w:rPr>
              <w:t>performs</w:t>
            </w:r>
            <w:r w:rsidRPr="00244D65">
              <w:rPr>
                <w:rFonts w:ascii="Times New Roman" w:hAnsi="Times New Roman" w:cs="Times New Roman"/>
                <w:noProof/>
                <w:sz w:val="22"/>
                <w:szCs w:val="22"/>
              </w:rPr>
              <w:t xml:space="preserve"> well in response to future demand shocks.</w:t>
            </w:r>
          </w:p>
          <w:p w14:paraId="50947B34" w14:textId="37B1BE88" w:rsidR="00C05195" w:rsidRPr="00244D65" w:rsidRDefault="00C05195" w:rsidP="0085595C">
            <w:pPr>
              <w:pStyle w:val="BodyText"/>
              <w:spacing w:line="240" w:lineRule="auto"/>
              <w:jc w:val="left"/>
              <w:rPr>
                <w:rFonts w:ascii="Times New Roman" w:eastAsia="MS Mincho" w:hAnsi="Times New Roman" w:cs="Times New Roman"/>
                <w:noProof/>
                <w:sz w:val="22"/>
                <w:szCs w:val="22"/>
                <w:lang w:eastAsia="en-GB"/>
              </w:rPr>
            </w:pPr>
          </w:p>
        </w:tc>
        <w:tc>
          <w:tcPr>
            <w:tcW w:w="1461" w:type="pct"/>
            <w:tcBorders>
              <w:top w:val="single" w:sz="4" w:space="0" w:color="auto"/>
              <w:left w:val="single" w:sz="4" w:space="0" w:color="auto"/>
              <w:bottom w:val="single" w:sz="4" w:space="0" w:color="auto"/>
              <w:right w:val="single" w:sz="4" w:space="0" w:color="auto"/>
            </w:tcBorders>
            <w:shd w:val="clear" w:color="auto" w:fill="00B050"/>
          </w:tcPr>
          <w:p w14:paraId="6B47602A" w14:textId="24606203" w:rsidR="00C05195" w:rsidRPr="00244D65" w:rsidRDefault="00671C04" w:rsidP="0085595C">
            <w:pPr>
              <w:pStyle w:val="BodyText"/>
              <w:spacing w:line="240" w:lineRule="auto"/>
              <w:jc w:val="left"/>
              <w:rPr>
                <w:rFonts w:ascii="Times New Roman" w:eastAsia="MS Mincho" w:hAnsi="Times New Roman" w:cs="Times New Roman"/>
                <w:noProof/>
                <w:sz w:val="22"/>
                <w:szCs w:val="22"/>
                <w:lang w:eastAsia="en-GB"/>
              </w:rPr>
            </w:pPr>
            <w:r w:rsidRPr="00244D65">
              <w:rPr>
                <w:rFonts w:ascii="Times New Roman" w:eastAsia="MS Mincho" w:hAnsi="Times New Roman" w:cs="Times New Roman"/>
                <w:noProof/>
                <w:sz w:val="22"/>
                <w:szCs w:val="22"/>
                <w:lang w:eastAsia="en-GB"/>
              </w:rPr>
              <w:t xml:space="preserve">Strongly positive as </w:t>
            </w:r>
            <w:r w:rsidR="00DA76D8" w:rsidRPr="00244D65">
              <w:rPr>
                <w:rFonts w:ascii="Times New Roman" w:eastAsia="MS Mincho" w:hAnsi="Times New Roman" w:cs="Times New Roman"/>
                <w:noProof/>
                <w:sz w:val="22"/>
                <w:szCs w:val="22"/>
                <w:lang w:eastAsia="en-GB"/>
              </w:rPr>
              <w:t>PO3 as it entails the same design features</w:t>
            </w:r>
            <w:r w:rsidR="005012A3" w:rsidRPr="00244D65">
              <w:rPr>
                <w:rFonts w:ascii="Times New Roman" w:eastAsia="MS Mincho" w:hAnsi="Times New Roman" w:cs="Times New Roman"/>
                <w:noProof/>
                <w:sz w:val="22"/>
                <w:szCs w:val="22"/>
                <w:lang w:eastAsia="en-GB"/>
              </w:rPr>
              <w:t xml:space="preserve"> for the MSR</w:t>
            </w:r>
            <w:r w:rsidR="00536D6F" w:rsidRPr="00244D65">
              <w:rPr>
                <w:rFonts w:ascii="Times New Roman" w:eastAsia="MS Mincho" w:hAnsi="Times New Roman" w:cs="Times New Roman"/>
                <w:noProof/>
                <w:sz w:val="22"/>
                <w:szCs w:val="22"/>
                <w:lang w:eastAsia="en-GB"/>
              </w:rPr>
              <w:t xml:space="preserve"> as PO2</w:t>
            </w:r>
            <w:r w:rsidR="00DA76D8" w:rsidRPr="00244D65">
              <w:rPr>
                <w:rFonts w:ascii="Times New Roman" w:eastAsia="MS Mincho" w:hAnsi="Times New Roman" w:cs="Times New Roman"/>
                <w:noProof/>
                <w:sz w:val="22"/>
                <w:szCs w:val="22"/>
                <w:lang w:eastAsia="en-GB"/>
              </w:rPr>
              <w:t xml:space="preserve">. </w:t>
            </w:r>
            <w:r w:rsidR="008F4685" w:rsidRPr="00244D65">
              <w:rPr>
                <w:rFonts w:ascii="Times New Roman" w:hAnsi="Times New Roman" w:cs="Times New Roman"/>
                <w:noProof/>
                <w:sz w:val="22"/>
                <w:szCs w:val="22"/>
              </w:rPr>
              <w:t>Therefore</w:t>
            </w:r>
            <w:r w:rsidR="00DA76D8" w:rsidRPr="00244D65">
              <w:rPr>
                <w:rFonts w:ascii="Times New Roman" w:eastAsia="MS Mincho" w:hAnsi="Times New Roman" w:cs="Times New Roman"/>
                <w:noProof/>
                <w:sz w:val="22"/>
                <w:szCs w:val="22"/>
                <w:lang w:eastAsia="en-GB"/>
              </w:rPr>
              <w:t xml:space="preserve">, PO3 </w:t>
            </w:r>
            <w:r w:rsidR="0022201B" w:rsidRPr="00244D65">
              <w:rPr>
                <w:rFonts w:ascii="Times New Roman" w:eastAsia="MS Mincho" w:hAnsi="Times New Roman" w:cs="Times New Roman"/>
                <w:noProof/>
                <w:sz w:val="22"/>
                <w:szCs w:val="22"/>
                <w:lang w:eastAsia="en-GB"/>
              </w:rPr>
              <w:t>fully</w:t>
            </w:r>
            <w:r w:rsidR="00DA76D8" w:rsidRPr="00244D65">
              <w:rPr>
                <w:rFonts w:ascii="Times New Roman" w:eastAsia="MS Mincho" w:hAnsi="Times New Roman" w:cs="Times New Roman"/>
                <w:noProof/>
                <w:sz w:val="22"/>
                <w:szCs w:val="22"/>
                <w:lang w:eastAsia="en-GB"/>
              </w:rPr>
              <w:t xml:space="preserve"> achieves the two primary objectives of MSR as it employs the same MSR parameters. </w:t>
            </w:r>
            <w:r w:rsidR="00DA76D8" w:rsidRPr="00244D65">
              <w:rPr>
                <w:rFonts w:ascii="Times New Roman" w:hAnsi="Times New Roman" w:cs="Times New Roman"/>
                <w:noProof/>
                <w:sz w:val="22"/>
                <w:szCs w:val="22"/>
              </w:rPr>
              <w:t xml:space="preserve">First, the PO3 contributes to reducing the historical surplus and provides for the most stable and steady price evolution until 2040. </w:t>
            </w:r>
            <w:r w:rsidR="0001152F" w:rsidRPr="00244D65">
              <w:rPr>
                <w:rFonts w:ascii="Times New Roman" w:hAnsi="Times New Roman" w:cs="Times New Roman"/>
                <w:noProof/>
                <w:sz w:val="22"/>
                <w:szCs w:val="22"/>
              </w:rPr>
              <w:t xml:space="preserve">Second, </w:t>
            </w:r>
            <w:r w:rsidR="00DA76D8" w:rsidRPr="00244D65">
              <w:rPr>
                <w:rFonts w:ascii="Times New Roman" w:hAnsi="Times New Roman" w:cs="Times New Roman"/>
                <w:noProof/>
                <w:sz w:val="22"/>
                <w:szCs w:val="22"/>
              </w:rPr>
              <w:t>PO3 also</w:t>
            </w:r>
            <w:r w:rsidR="0001152F" w:rsidRPr="00244D65">
              <w:rPr>
                <w:rFonts w:ascii="Times New Roman" w:hAnsi="Times New Roman" w:cs="Times New Roman"/>
                <w:noProof/>
                <w:sz w:val="22"/>
                <w:szCs w:val="22"/>
              </w:rPr>
              <w:t xml:space="preserve"> enhances the resilience of the EU ETS and </w:t>
            </w:r>
            <w:r w:rsidR="008F4685" w:rsidRPr="00244D65">
              <w:rPr>
                <w:rFonts w:ascii="Times New Roman" w:hAnsi="Times New Roman" w:cs="Times New Roman"/>
                <w:noProof/>
                <w:sz w:val="22"/>
                <w:szCs w:val="22"/>
              </w:rPr>
              <w:t>performs</w:t>
            </w:r>
            <w:r w:rsidR="0001152F" w:rsidRPr="00244D65">
              <w:rPr>
                <w:rFonts w:ascii="Times New Roman" w:hAnsi="Times New Roman" w:cs="Times New Roman"/>
                <w:noProof/>
                <w:sz w:val="22"/>
                <w:szCs w:val="22"/>
              </w:rPr>
              <w:t xml:space="preserve"> well in response to future demand shocks.</w:t>
            </w:r>
          </w:p>
        </w:tc>
      </w:tr>
      <w:bookmarkEnd w:id="286"/>
      <w:bookmarkEnd w:id="287"/>
    </w:tbl>
    <w:p w14:paraId="12B4B1C0" w14:textId="77777777" w:rsidR="009C3243" w:rsidRPr="00244D65" w:rsidRDefault="009C3243" w:rsidP="0085595C">
      <w:pPr>
        <w:pStyle w:val="BodyText"/>
        <w:spacing w:line="240" w:lineRule="auto"/>
        <w:rPr>
          <w:rFonts w:ascii="Times New Roman" w:hAnsi="Times New Roman" w:cs="Times New Roman"/>
          <w:noProof/>
          <w:lang w:eastAsia="en-GB"/>
        </w:rPr>
        <w:sectPr w:rsidR="009C3243" w:rsidRPr="00244D65" w:rsidSect="003F1F2E">
          <w:headerReference w:type="default" r:id="rId33"/>
          <w:footerReference w:type="default" r:id="rId34"/>
          <w:headerReference w:type="first" r:id="rId35"/>
          <w:footerReference w:type="first" r:id="rId36"/>
          <w:pgSz w:w="16838" w:h="11906" w:orient="landscape"/>
          <w:pgMar w:top="1588" w:right="1021" w:bottom="1559" w:left="1021" w:header="624" w:footer="720" w:gutter="0"/>
          <w:cols w:space="720"/>
          <w:titlePg/>
          <w:docGrid w:linePitch="326"/>
        </w:sectPr>
      </w:pPr>
    </w:p>
    <w:p w14:paraId="7861EE27" w14:textId="4987EB3D" w:rsidR="00DF3F17" w:rsidRPr="00244D65" w:rsidRDefault="00DF3F17" w:rsidP="0085595C">
      <w:pPr>
        <w:pStyle w:val="Heading2"/>
        <w:rPr>
          <w:noProof/>
        </w:rPr>
      </w:pPr>
      <w:bookmarkStart w:id="291" w:name="_Toc234949758"/>
      <w:bookmarkStart w:id="292" w:name="_Toc232752514"/>
      <w:r w:rsidRPr="00244D65">
        <w:rPr>
          <w:noProof/>
        </w:rPr>
        <w:t>Efficiency</w:t>
      </w:r>
      <w:bookmarkEnd w:id="291"/>
      <w:bookmarkEnd w:id="292"/>
    </w:p>
    <w:p w14:paraId="5FFA487D" w14:textId="7419FBB5" w:rsidR="00233FE2" w:rsidRPr="00244D65" w:rsidRDefault="00233FE2" w:rsidP="0085595C">
      <w:pPr>
        <w:rPr>
          <w:noProof/>
        </w:rPr>
      </w:pPr>
      <w:r w:rsidRPr="00244D65">
        <w:rPr>
          <w:noProof/>
        </w:rPr>
        <w:t>The efficiency of each policy option can be assessed by comparing the expected benefits (i.e., reduction of direct costs or externalities) against the respective expected costs incurred for the delivery of each the policy options. Therefore, efficiency concerns the extent to which objectives can be achieved for a given level of resource/at least cost.</w:t>
      </w:r>
      <w:r w:rsidR="000C653C" w:rsidRPr="00244D65">
        <w:rPr>
          <w:noProof/>
        </w:rPr>
        <w:t xml:space="preserve"> </w:t>
      </w:r>
    </w:p>
    <w:p w14:paraId="1FBBBE73" w14:textId="06323AB7" w:rsidR="00233FE2" w:rsidRPr="00244D65" w:rsidRDefault="00233FE2" w:rsidP="0085595C">
      <w:pPr>
        <w:rPr>
          <w:noProof/>
        </w:rPr>
      </w:pPr>
      <w:r w:rsidRPr="00244D65">
        <w:rPr>
          <w:noProof/>
        </w:rPr>
        <w:t xml:space="preserve">The combined measures under the different POs have economic, </w:t>
      </w:r>
      <w:r w:rsidR="270CA49F" w:rsidRPr="00244D65">
        <w:rPr>
          <w:noProof/>
        </w:rPr>
        <w:t>social,</w:t>
      </w:r>
      <w:r w:rsidRPr="00244D65">
        <w:rPr>
          <w:noProof/>
        </w:rPr>
        <w:t xml:space="preserve"> and environmental impacts. The major costs of the policy options come in the form of an increase in the adjustment costs, administrative and indirect costs for the private sector to implement the requirements of the policy options. Additionally, EU Member State authorities are expected to benefit from an increase in revenues from higher volumes of auctioned allowances and this will offset costs associated with the implementation of the reforms</w:t>
      </w:r>
      <w:r w:rsidR="00E92D73" w:rsidRPr="00244D65">
        <w:rPr>
          <w:noProof/>
        </w:rPr>
        <w:t>.</w:t>
      </w:r>
      <w:r w:rsidRPr="00244D65">
        <w:rPr>
          <w:noProof/>
        </w:rPr>
        <w:t xml:space="preserve"> </w:t>
      </w:r>
    </w:p>
    <w:p w14:paraId="73E23A7E" w14:textId="25B70163" w:rsidR="00233FE2" w:rsidRPr="00244D65" w:rsidRDefault="008067A3" w:rsidP="0085595C">
      <w:pPr>
        <w:rPr>
          <w:noProof/>
        </w:rPr>
      </w:pPr>
      <w:r w:rsidRPr="00244D65">
        <w:rPr>
          <w:noProof/>
        </w:rPr>
        <w:t>Given that all policy options envisage a less stringent ETS cap, the costs</w:t>
      </w:r>
      <w:r w:rsidR="009B419A" w:rsidRPr="00244D65">
        <w:rPr>
          <w:noProof/>
        </w:rPr>
        <w:t xml:space="preserve"> and investments</w:t>
      </w:r>
      <w:r w:rsidRPr="00244D65">
        <w:rPr>
          <w:noProof/>
        </w:rPr>
        <w:t xml:space="preserve"> are expected to be less compared to the </w:t>
      </w:r>
      <w:r w:rsidR="00B217A1" w:rsidRPr="00244D65">
        <w:rPr>
          <w:noProof/>
        </w:rPr>
        <w:t>baseline</w:t>
      </w:r>
      <w:r w:rsidRPr="00244D65">
        <w:rPr>
          <w:noProof/>
        </w:rPr>
        <w:t xml:space="preserve">. </w:t>
      </w:r>
      <w:r w:rsidR="001474E5" w:rsidRPr="00244D65">
        <w:rPr>
          <w:noProof/>
        </w:rPr>
        <w:t>These</w:t>
      </w:r>
      <w:r w:rsidR="008718F7" w:rsidRPr="00244D65">
        <w:rPr>
          <w:noProof/>
        </w:rPr>
        <w:t xml:space="preserve"> l</w:t>
      </w:r>
      <w:r w:rsidR="00233FE2" w:rsidRPr="00244D65">
        <w:rPr>
          <w:noProof/>
        </w:rPr>
        <w:t>ower system costs</w:t>
      </w:r>
      <w:r w:rsidR="009B0D87" w:rsidRPr="00244D65">
        <w:rPr>
          <w:noProof/>
        </w:rPr>
        <w:t xml:space="preserve"> (excluding auction payments)</w:t>
      </w:r>
      <w:r w:rsidR="00233FE2" w:rsidRPr="00244D65">
        <w:rPr>
          <w:noProof/>
        </w:rPr>
        <w:t xml:space="preserve"> in PO1 and PO2 are </w:t>
      </w:r>
      <w:bookmarkStart w:id="293" w:name="_Int_NLHX7KsI"/>
      <w:r w:rsidR="00233FE2" w:rsidRPr="00244D65">
        <w:rPr>
          <w:noProof/>
        </w:rPr>
        <w:t>mainly driven</w:t>
      </w:r>
      <w:bookmarkEnd w:id="293"/>
      <w:r w:rsidR="00233FE2" w:rsidRPr="00244D65">
        <w:rPr>
          <w:noProof/>
        </w:rPr>
        <w:t xml:space="preserve"> by changes in the cumulative annual expenses borne by final energy users, which include operating and capital expenditures as well as taxes.</w:t>
      </w:r>
    </w:p>
    <w:p w14:paraId="48EAF600" w14:textId="4ECBA842" w:rsidR="00233FE2" w:rsidRPr="00244D65" w:rsidRDefault="00A766B8" w:rsidP="0085595C">
      <w:pPr>
        <w:rPr>
          <w:noProof/>
        </w:rPr>
      </w:pPr>
      <w:r w:rsidRPr="00244D65">
        <w:rPr>
          <w:noProof/>
        </w:rPr>
        <w:t xml:space="preserve">In PO1 providing certainty and thus lower capital costs for removals will benefit both removals producers and consumers. However, it does result in a burden placed on the public authority to either deliver on the removals or face non-attainment of the environmental objective. </w:t>
      </w:r>
      <w:r w:rsidR="00EE0EDB" w:rsidRPr="00244D65">
        <w:rPr>
          <w:noProof/>
        </w:rPr>
        <w:t>If a limit is applied</w:t>
      </w:r>
      <w:r w:rsidR="00765D9A" w:rsidRPr="00244D65">
        <w:rPr>
          <w:noProof/>
        </w:rPr>
        <w:t xml:space="preserve"> </w:t>
      </w:r>
      <w:r w:rsidR="002A5CD0" w:rsidRPr="00244D65">
        <w:rPr>
          <w:noProof/>
        </w:rPr>
        <w:t>to the removals that can be purchased</w:t>
      </w:r>
      <w:r w:rsidR="00765D9A" w:rsidRPr="00244D65">
        <w:rPr>
          <w:noProof/>
        </w:rPr>
        <w:t xml:space="preserve"> </w:t>
      </w:r>
      <w:r w:rsidR="00052603" w:rsidRPr="00244D65">
        <w:rPr>
          <w:noProof/>
        </w:rPr>
        <w:t xml:space="preserve">the </w:t>
      </w:r>
      <w:r w:rsidR="005F55E4" w:rsidRPr="00244D65">
        <w:rPr>
          <w:noProof/>
        </w:rPr>
        <w:t xml:space="preserve">full </w:t>
      </w:r>
      <w:r w:rsidR="00052603" w:rsidRPr="00244D65">
        <w:rPr>
          <w:noProof/>
        </w:rPr>
        <w:t xml:space="preserve">theoretical economic </w:t>
      </w:r>
      <w:r w:rsidR="00572239" w:rsidRPr="00244D65">
        <w:rPr>
          <w:noProof/>
        </w:rPr>
        <w:t>benefit</w:t>
      </w:r>
      <w:r w:rsidR="00052603" w:rsidRPr="00244D65">
        <w:rPr>
          <w:noProof/>
        </w:rPr>
        <w:t>s</w:t>
      </w:r>
      <w:r w:rsidR="00572239" w:rsidRPr="00244D65">
        <w:rPr>
          <w:noProof/>
        </w:rPr>
        <w:t xml:space="preserve"> would </w:t>
      </w:r>
      <w:r w:rsidR="005F55E4" w:rsidRPr="00244D65">
        <w:rPr>
          <w:noProof/>
        </w:rPr>
        <w:t>also be limited to a maximum</w:t>
      </w:r>
      <w:r w:rsidR="00572239" w:rsidRPr="00244D65">
        <w:rPr>
          <w:noProof/>
        </w:rPr>
        <w:t xml:space="preserve">, although </w:t>
      </w:r>
      <w:r w:rsidR="00765D9A" w:rsidRPr="00244D65">
        <w:rPr>
          <w:noProof/>
        </w:rPr>
        <w:t>the guaranteed availability of removals would allow higher gross emissions, as well</w:t>
      </w:r>
      <w:r w:rsidR="00572239" w:rsidRPr="00244D65">
        <w:rPr>
          <w:noProof/>
        </w:rPr>
        <w:t xml:space="preserve"> </w:t>
      </w:r>
      <w:r w:rsidR="003A44A8" w:rsidRPr="00244D65">
        <w:rPr>
          <w:noProof/>
        </w:rPr>
        <w:t>as lower prices for the removals.</w:t>
      </w:r>
      <w:r w:rsidR="00233FE2" w:rsidRPr="00244D65">
        <w:rPr>
          <w:noProof/>
        </w:rPr>
        <w:t xml:space="preserve"> </w:t>
      </w:r>
    </w:p>
    <w:p w14:paraId="78EC2C26" w14:textId="6EC93D8C" w:rsidR="00233FE2" w:rsidRPr="00244D65" w:rsidRDefault="00233FE2" w:rsidP="0085595C">
      <w:pPr>
        <w:rPr>
          <w:noProof/>
        </w:rPr>
      </w:pPr>
      <w:r w:rsidRPr="00244D65">
        <w:rPr>
          <w:noProof/>
        </w:rPr>
        <w:t xml:space="preserve">In PO2, </w:t>
      </w:r>
      <w:r w:rsidR="00840312" w:rsidRPr="00244D65">
        <w:rPr>
          <w:noProof/>
        </w:rPr>
        <w:t>the higher uncertainty for removals producers leads to higher discount rates and lower volumes. As a result</w:t>
      </w:r>
      <w:r w:rsidR="00D2367E" w:rsidRPr="00244D65">
        <w:rPr>
          <w:noProof/>
        </w:rPr>
        <w:t>,</w:t>
      </w:r>
      <w:r w:rsidR="00840312" w:rsidRPr="00244D65">
        <w:rPr>
          <w:noProof/>
        </w:rPr>
        <w:t xml:space="preserve"> </w:t>
      </w:r>
      <w:r w:rsidRPr="00244D65">
        <w:rPr>
          <w:noProof/>
        </w:rPr>
        <w:t>abatement efforts</w:t>
      </w:r>
      <w:r w:rsidR="005F55E4" w:rsidRPr="00244D65">
        <w:rPr>
          <w:noProof/>
        </w:rPr>
        <w:t xml:space="preserve"> expected to be</w:t>
      </w:r>
      <w:r w:rsidRPr="00244D65">
        <w:rPr>
          <w:noProof/>
        </w:rPr>
        <w:t xml:space="preserve"> higher, particularly in industry (as reflected in higher capital costs relative to the baseline), </w:t>
      </w:r>
      <w:r w:rsidR="00840312" w:rsidRPr="00244D65">
        <w:rPr>
          <w:noProof/>
        </w:rPr>
        <w:t>but</w:t>
      </w:r>
      <w:r w:rsidRPr="00244D65">
        <w:rPr>
          <w:noProof/>
        </w:rPr>
        <w:t xml:space="preserve"> the </w:t>
      </w:r>
      <w:r w:rsidR="76197C54" w:rsidRPr="00244D65">
        <w:rPr>
          <w:noProof/>
        </w:rPr>
        <w:t xml:space="preserve">total </w:t>
      </w:r>
      <w:r w:rsidRPr="00244D65">
        <w:rPr>
          <w:noProof/>
        </w:rPr>
        <w:t xml:space="preserve">costs of removals are lower, </w:t>
      </w:r>
      <w:bookmarkStart w:id="294" w:name="_Int_JmgY6jHX"/>
      <w:r w:rsidR="00EE0F99" w:rsidRPr="00244D65">
        <w:rPr>
          <w:noProof/>
        </w:rPr>
        <w:t>as a result of</w:t>
      </w:r>
      <w:bookmarkEnd w:id="294"/>
      <w:r w:rsidRPr="00244D65">
        <w:rPr>
          <w:noProof/>
        </w:rPr>
        <w:t xml:space="preserve"> smaller removal volumes. The higher </w:t>
      </w:r>
      <w:r w:rsidR="00F909E3" w:rsidRPr="00244D65">
        <w:rPr>
          <w:noProof/>
        </w:rPr>
        <w:t>EU ETS</w:t>
      </w:r>
      <w:r w:rsidRPr="00244D65">
        <w:rPr>
          <w:noProof/>
        </w:rPr>
        <w:t xml:space="preserve"> price </w:t>
      </w:r>
      <w:r w:rsidR="005A001C" w:rsidRPr="00244D65">
        <w:rPr>
          <w:noProof/>
        </w:rPr>
        <w:t>in such a</w:t>
      </w:r>
      <w:r w:rsidRPr="00244D65">
        <w:rPr>
          <w:noProof/>
        </w:rPr>
        <w:t xml:space="preserve"> scenario increases auction revenues, which c</w:t>
      </w:r>
      <w:r w:rsidR="004C61CC" w:rsidRPr="00244D65">
        <w:rPr>
          <w:noProof/>
        </w:rPr>
        <w:t>ould</w:t>
      </w:r>
      <w:r w:rsidRPr="00244D65">
        <w:rPr>
          <w:noProof/>
        </w:rPr>
        <w:t xml:space="preserve"> be recycled into the economy</w:t>
      </w:r>
      <w:r w:rsidR="004C61CC" w:rsidRPr="00244D65">
        <w:rPr>
          <w:noProof/>
        </w:rPr>
        <w:t>, also</w:t>
      </w:r>
      <w:r w:rsidRPr="00244D65">
        <w:rPr>
          <w:noProof/>
        </w:rPr>
        <w:t xml:space="preserve"> to support or expand removal activities. This feedback could partially offset the higher </w:t>
      </w:r>
      <w:r w:rsidR="00F909E3" w:rsidRPr="00244D65">
        <w:rPr>
          <w:noProof/>
        </w:rPr>
        <w:t>EU ETS</w:t>
      </w:r>
      <w:r w:rsidRPr="00244D65">
        <w:rPr>
          <w:noProof/>
        </w:rPr>
        <w:t xml:space="preserve"> price, though the net effect remains uncertain due to efficiency and transaction cost considerations.</w:t>
      </w:r>
      <w:r w:rsidR="00E50F33" w:rsidRPr="00244D65">
        <w:rPr>
          <w:noProof/>
        </w:rPr>
        <w:t xml:space="preserve"> </w:t>
      </w:r>
      <w:r w:rsidR="00EE0F99" w:rsidRPr="00244D65">
        <w:rPr>
          <w:noProof/>
        </w:rPr>
        <w:t>When i</w:t>
      </w:r>
      <w:r w:rsidR="00E50F33" w:rsidRPr="00244D65">
        <w:rPr>
          <w:noProof/>
        </w:rPr>
        <w:t>ncluding auction payments, system costs would be higher.</w:t>
      </w:r>
    </w:p>
    <w:p w14:paraId="3F33F67D" w14:textId="1FBA9DB3" w:rsidR="00BA39E3" w:rsidRPr="00244D65" w:rsidRDefault="00BA39E3" w:rsidP="0085595C">
      <w:pPr>
        <w:rPr>
          <w:noProof/>
        </w:rPr>
      </w:pPr>
      <w:r w:rsidRPr="00244D65">
        <w:rPr>
          <w:noProof/>
        </w:rPr>
        <w:t>In PO3 modelling results</w:t>
      </w:r>
      <w:r w:rsidR="001474E5" w:rsidRPr="00244D65">
        <w:rPr>
          <w:noProof/>
        </w:rPr>
        <w:t xml:space="preserve"> for removals</w:t>
      </w:r>
      <w:r w:rsidRPr="00244D65">
        <w:rPr>
          <w:noProof/>
        </w:rPr>
        <w:t xml:space="preserve"> </w:t>
      </w:r>
      <w:r w:rsidR="00220C88" w:rsidRPr="00244D65">
        <w:rPr>
          <w:noProof/>
        </w:rPr>
        <w:t>would be</w:t>
      </w:r>
      <w:r w:rsidRPr="00244D65">
        <w:rPr>
          <w:noProof/>
        </w:rPr>
        <w:t xml:space="preserve"> driven by the constraint of </w:t>
      </w:r>
      <w:r w:rsidR="006A5ECA" w:rsidRPr="00244D65">
        <w:rPr>
          <w:noProof/>
        </w:rPr>
        <w:t xml:space="preserve">attaining the targets for 2040 and 2050. </w:t>
      </w:r>
      <w:r w:rsidR="00895B51" w:rsidRPr="00244D65">
        <w:rPr>
          <w:noProof/>
        </w:rPr>
        <w:t>However</w:t>
      </w:r>
      <w:r w:rsidR="006A5ECA" w:rsidRPr="00244D65">
        <w:rPr>
          <w:noProof/>
        </w:rPr>
        <w:t xml:space="preserve">, the higher uncertainty for removals and the lack of incentive for reducing </w:t>
      </w:r>
      <w:r w:rsidR="006C4F87" w:rsidRPr="00244D65">
        <w:rPr>
          <w:noProof/>
        </w:rPr>
        <w:t xml:space="preserve">below the gross emissions cap might well lead </w:t>
      </w:r>
      <w:r w:rsidR="00730A25" w:rsidRPr="00244D65">
        <w:rPr>
          <w:noProof/>
        </w:rPr>
        <w:t>to an underachievement of the removal objective and therefore an underachievement of the</w:t>
      </w:r>
      <w:r w:rsidR="0056017E" w:rsidRPr="00244D65">
        <w:rPr>
          <w:noProof/>
        </w:rPr>
        <w:t xml:space="preserve"> 2040</w:t>
      </w:r>
      <w:r w:rsidR="00730A25" w:rsidRPr="00244D65">
        <w:rPr>
          <w:noProof/>
        </w:rPr>
        <w:t xml:space="preserve"> target.</w:t>
      </w:r>
      <w:r w:rsidR="007C46D3" w:rsidRPr="00244D65">
        <w:rPr>
          <w:noProof/>
        </w:rPr>
        <w:t xml:space="preserve"> As this consideration is not modellable, it should be acknowledged qualitatively.</w:t>
      </w:r>
      <w:r w:rsidR="00220C88" w:rsidRPr="00244D65">
        <w:rPr>
          <w:noProof/>
        </w:rPr>
        <w:t xml:space="preserve"> </w:t>
      </w:r>
    </w:p>
    <w:p w14:paraId="4F636116" w14:textId="7CF02A3D" w:rsidR="0056017E" w:rsidRPr="00244D65" w:rsidRDefault="0056017E" w:rsidP="0085595C">
      <w:pPr>
        <w:rPr>
          <w:noProof/>
        </w:rPr>
      </w:pPr>
      <w:r w:rsidRPr="00244D65">
        <w:rPr>
          <w:noProof/>
        </w:rPr>
        <w:t xml:space="preserve">In sum, </w:t>
      </w:r>
      <w:r w:rsidR="009B373A" w:rsidRPr="00244D65">
        <w:rPr>
          <w:noProof/>
        </w:rPr>
        <w:t xml:space="preserve">the most efficient option for removals would be PO1, </w:t>
      </w:r>
      <w:r w:rsidR="008160F7" w:rsidRPr="00244D65">
        <w:rPr>
          <w:noProof/>
        </w:rPr>
        <w:t xml:space="preserve">as this option gives highest certainty to the removals sector allowing it to scale and learn, and as it </w:t>
      </w:r>
      <w:r w:rsidR="001E5DE9" w:rsidRPr="00244D65">
        <w:rPr>
          <w:noProof/>
        </w:rPr>
        <w:t xml:space="preserve">gives gross emissions space to </w:t>
      </w:r>
      <w:r w:rsidR="00F909E3" w:rsidRPr="00244D65">
        <w:rPr>
          <w:noProof/>
        </w:rPr>
        <w:t>EU ETS</w:t>
      </w:r>
      <w:r w:rsidR="001E5DE9" w:rsidRPr="00244D65">
        <w:rPr>
          <w:noProof/>
        </w:rPr>
        <w:t xml:space="preserve"> operators. </w:t>
      </w:r>
    </w:p>
    <w:p w14:paraId="176698F4" w14:textId="78BD04A2" w:rsidR="00233FE2" w:rsidRPr="00244D65" w:rsidRDefault="04AE518F" w:rsidP="0085595C">
      <w:pPr>
        <w:rPr>
          <w:noProof/>
        </w:rPr>
      </w:pPr>
      <w:r w:rsidRPr="00244D65">
        <w:rPr>
          <w:noProof/>
        </w:rPr>
        <w:t xml:space="preserve">In addition to the costs and benefits from </w:t>
      </w:r>
      <w:r w:rsidR="00735DBE" w:rsidRPr="00244D65">
        <w:rPr>
          <w:noProof/>
        </w:rPr>
        <w:t xml:space="preserve">the cap, waste management integration and carbon removals, </w:t>
      </w:r>
      <w:r w:rsidR="004B496F" w:rsidRPr="00244D65">
        <w:rPr>
          <w:noProof/>
        </w:rPr>
        <w:t>results have</w:t>
      </w:r>
      <w:r w:rsidRPr="00244D65">
        <w:rPr>
          <w:noProof/>
        </w:rPr>
        <w:t xml:space="preserve"> </w:t>
      </w:r>
      <w:r w:rsidR="004E790B" w:rsidRPr="00244D65">
        <w:rPr>
          <w:noProof/>
        </w:rPr>
        <w:t>been integrated</w:t>
      </w:r>
      <w:r w:rsidRPr="00244D65">
        <w:rPr>
          <w:noProof/>
        </w:rPr>
        <w:t xml:space="preserve"> in this impact assessment </w:t>
      </w:r>
      <w:r w:rsidR="004E790B" w:rsidRPr="00244D65">
        <w:rPr>
          <w:noProof/>
        </w:rPr>
        <w:t>through</w:t>
      </w:r>
      <w:r w:rsidRPr="00244D65">
        <w:rPr>
          <w:noProof/>
        </w:rPr>
        <w:t xml:space="preserve"> GEM-E3 </w:t>
      </w:r>
      <w:r w:rsidR="004E790B" w:rsidRPr="00244D65">
        <w:rPr>
          <w:noProof/>
        </w:rPr>
        <w:t xml:space="preserve">modelling </w:t>
      </w:r>
      <w:r w:rsidRPr="00244D65">
        <w:rPr>
          <w:noProof/>
        </w:rPr>
        <w:t xml:space="preserve">that focuses on the macro-economic costs and benefits that focuses on a comparison of PO1 to the </w:t>
      </w:r>
      <w:r w:rsidR="004E790B" w:rsidRPr="00244D65">
        <w:rPr>
          <w:noProof/>
        </w:rPr>
        <w:t>85% PRIMES scenario</w:t>
      </w:r>
      <w:r w:rsidR="003F1F2E" w:rsidRPr="00244D65">
        <w:rPr>
          <w:noProof/>
        </w:rPr>
        <w:t>.</w:t>
      </w:r>
      <w:r w:rsidRPr="00244D65">
        <w:rPr>
          <w:noProof/>
        </w:rPr>
        <w:t xml:space="preserve"> </w:t>
      </w:r>
      <w:r w:rsidR="00947C7F" w:rsidRPr="00244D65">
        <w:rPr>
          <w:noProof/>
        </w:rPr>
        <w:t>T</w:t>
      </w:r>
      <w:r w:rsidR="00DF3F17" w:rsidRPr="00244D65">
        <w:rPr>
          <w:noProof/>
        </w:rPr>
        <w:t xml:space="preserve">he impact of changes to free allocation envisaged under PO2 and PO3 are reflected </w:t>
      </w:r>
      <w:r w:rsidR="00EE1A9B" w:rsidRPr="00244D65">
        <w:rPr>
          <w:noProof/>
        </w:rPr>
        <w:t xml:space="preserve">and </w:t>
      </w:r>
      <w:r w:rsidR="00DF3F17" w:rsidRPr="00244D65">
        <w:rPr>
          <w:noProof/>
        </w:rPr>
        <w:t xml:space="preserve">the modelling output does take into account the potential change of scope (i.e. </w:t>
      </w:r>
      <w:r w:rsidRPr="00244D65">
        <w:rPr>
          <w:noProof/>
        </w:rPr>
        <w:t xml:space="preserve">inclusion of waste </w:t>
      </w:r>
      <w:r w:rsidR="68C5A792" w:rsidRPr="00244D65">
        <w:rPr>
          <w:noProof/>
        </w:rPr>
        <w:t xml:space="preserve">management </w:t>
      </w:r>
      <w:r w:rsidRPr="00244D65">
        <w:rPr>
          <w:noProof/>
        </w:rPr>
        <w:t>activities)</w:t>
      </w:r>
      <w:r w:rsidR="00B3565D" w:rsidRPr="00244D65">
        <w:rPr>
          <w:noProof/>
        </w:rPr>
        <w:t xml:space="preserve">, but not of other measures included in </w:t>
      </w:r>
      <w:r w:rsidR="00EE1A9B" w:rsidRPr="00244D65">
        <w:rPr>
          <w:noProof/>
        </w:rPr>
        <w:t xml:space="preserve">policy measures </w:t>
      </w:r>
      <w:r w:rsidR="001B4826" w:rsidRPr="00244D65">
        <w:rPr>
          <w:noProof/>
        </w:rPr>
        <w:t>PO1-3</w:t>
      </w:r>
      <w:r w:rsidR="00916A86" w:rsidRPr="00244D65">
        <w:rPr>
          <w:noProof/>
        </w:rPr>
        <w:t>.</w:t>
      </w:r>
      <w:r w:rsidR="00EE1A9B" w:rsidRPr="00244D65">
        <w:rPr>
          <w:noProof/>
        </w:rPr>
        <w:t xml:space="preserve"> </w:t>
      </w:r>
      <w:r w:rsidRPr="00244D65">
        <w:rPr>
          <w:noProof/>
        </w:rPr>
        <w:t xml:space="preserve"> </w:t>
      </w:r>
    </w:p>
    <w:p w14:paraId="35C0CCF6" w14:textId="14142587" w:rsidR="00233FE2" w:rsidRPr="00244D65" w:rsidRDefault="00233FE2" w:rsidP="005E4778">
      <w:pPr>
        <w:pStyle w:val="Tabletitle"/>
        <w:rPr>
          <w:noProof/>
        </w:rPr>
      </w:pPr>
      <w:bookmarkStart w:id="295" w:name="_Toc231400803"/>
      <w:bookmarkStart w:id="296" w:name="_Toc234496395"/>
      <w:bookmarkStart w:id="297" w:name="_Toc232754575"/>
      <w:bookmarkEnd w:id="295"/>
      <w:r w:rsidRPr="00244D65">
        <w:rPr>
          <w:noProof/>
        </w:rPr>
        <w:t xml:space="preserve">Summary of costs and benefits per policy option compared to the </w:t>
      </w:r>
      <w:r w:rsidR="00A1359C" w:rsidRPr="00244D65">
        <w:rPr>
          <w:noProof/>
        </w:rPr>
        <w:t xml:space="preserve">85% PRIMES scenario </w:t>
      </w:r>
      <w:r w:rsidRPr="00244D65">
        <w:rPr>
          <w:noProof/>
        </w:rPr>
        <w:t>based on GEM-E3</w:t>
      </w:r>
      <w:bookmarkEnd w:id="296"/>
      <w:bookmarkEnd w:id="29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0"/>
        <w:gridCol w:w="774"/>
        <w:gridCol w:w="960"/>
        <w:gridCol w:w="1418"/>
        <w:gridCol w:w="959"/>
      </w:tblGrid>
      <w:tr w:rsidR="00DE334E" w:rsidRPr="00244D65" w14:paraId="71728BAA" w14:textId="77777777">
        <w:tc>
          <w:tcPr>
            <w:tcW w:w="4640" w:type="dxa"/>
          </w:tcPr>
          <w:p w14:paraId="2F0DBC78" w14:textId="77777777" w:rsidR="00DE334E" w:rsidRPr="00244D65" w:rsidRDefault="00DE334E" w:rsidP="0085595C">
            <w:pPr>
              <w:rPr>
                <w:noProof/>
                <w:sz w:val="22"/>
                <w:szCs w:val="22"/>
              </w:rPr>
            </w:pPr>
          </w:p>
        </w:tc>
        <w:tc>
          <w:tcPr>
            <w:tcW w:w="774" w:type="dxa"/>
          </w:tcPr>
          <w:p w14:paraId="3D04204F" w14:textId="77777777" w:rsidR="00DE334E" w:rsidRPr="00244D65" w:rsidRDefault="00DE334E" w:rsidP="0085595C">
            <w:pPr>
              <w:rPr>
                <w:b/>
                <w:bCs/>
                <w:noProof/>
                <w:sz w:val="22"/>
                <w:szCs w:val="22"/>
              </w:rPr>
            </w:pPr>
          </w:p>
        </w:tc>
        <w:tc>
          <w:tcPr>
            <w:tcW w:w="3337" w:type="dxa"/>
            <w:gridSpan w:val="3"/>
          </w:tcPr>
          <w:p w14:paraId="625852EF" w14:textId="77777777" w:rsidR="00DE334E" w:rsidRPr="00244D65" w:rsidRDefault="00DE334E" w:rsidP="0085595C">
            <w:pPr>
              <w:rPr>
                <w:b/>
                <w:bCs/>
                <w:noProof/>
                <w:sz w:val="22"/>
                <w:szCs w:val="22"/>
              </w:rPr>
            </w:pPr>
            <w:r w:rsidRPr="00244D65">
              <w:rPr>
                <w:b/>
                <w:bCs/>
                <w:noProof/>
                <w:sz w:val="22"/>
                <w:szCs w:val="22"/>
              </w:rPr>
              <w:t>Difference to the baseline</w:t>
            </w:r>
          </w:p>
        </w:tc>
      </w:tr>
      <w:tr w:rsidR="00DE334E" w:rsidRPr="00244D65" w14:paraId="739FD3A2" w14:textId="77777777" w:rsidTr="000C653C">
        <w:tc>
          <w:tcPr>
            <w:tcW w:w="4640" w:type="dxa"/>
          </w:tcPr>
          <w:p w14:paraId="5264E7BA" w14:textId="77777777" w:rsidR="00DE334E" w:rsidRPr="00244D65" w:rsidRDefault="00DE334E" w:rsidP="0085595C">
            <w:pPr>
              <w:rPr>
                <w:noProof/>
                <w:sz w:val="22"/>
                <w:szCs w:val="22"/>
              </w:rPr>
            </w:pPr>
          </w:p>
        </w:tc>
        <w:tc>
          <w:tcPr>
            <w:tcW w:w="774" w:type="dxa"/>
          </w:tcPr>
          <w:p w14:paraId="041AA4DD" w14:textId="77777777" w:rsidR="00DE334E" w:rsidRPr="00244D65" w:rsidRDefault="00DE334E" w:rsidP="0085595C">
            <w:pPr>
              <w:rPr>
                <w:b/>
                <w:bCs/>
                <w:noProof/>
                <w:sz w:val="22"/>
                <w:szCs w:val="22"/>
              </w:rPr>
            </w:pPr>
            <w:r w:rsidRPr="00244D65">
              <w:rPr>
                <w:b/>
                <w:bCs/>
                <w:noProof/>
                <w:sz w:val="22"/>
                <w:szCs w:val="22"/>
              </w:rPr>
              <w:t>Unit</w:t>
            </w:r>
          </w:p>
        </w:tc>
        <w:tc>
          <w:tcPr>
            <w:tcW w:w="960" w:type="dxa"/>
          </w:tcPr>
          <w:p w14:paraId="0D33610B" w14:textId="77777777" w:rsidR="00DE334E" w:rsidRPr="00244D65" w:rsidRDefault="00DE334E" w:rsidP="0085595C">
            <w:pPr>
              <w:jc w:val="center"/>
              <w:rPr>
                <w:b/>
                <w:bCs/>
                <w:noProof/>
                <w:sz w:val="22"/>
                <w:szCs w:val="22"/>
              </w:rPr>
            </w:pPr>
            <w:r w:rsidRPr="00244D65">
              <w:rPr>
                <w:b/>
                <w:bCs/>
                <w:noProof/>
                <w:sz w:val="22"/>
                <w:szCs w:val="22"/>
              </w:rPr>
              <w:t>PO1</w:t>
            </w:r>
          </w:p>
        </w:tc>
        <w:tc>
          <w:tcPr>
            <w:tcW w:w="1418" w:type="dxa"/>
          </w:tcPr>
          <w:p w14:paraId="071EA3AA" w14:textId="77777777" w:rsidR="00DE334E" w:rsidRPr="00244D65" w:rsidRDefault="00DE334E" w:rsidP="0085595C">
            <w:pPr>
              <w:jc w:val="center"/>
              <w:rPr>
                <w:b/>
                <w:bCs/>
                <w:noProof/>
                <w:sz w:val="22"/>
                <w:szCs w:val="22"/>
              </w:rPr>
            </w:pPr>
            <w:r w:rsidRPr="00244D65">
              <w:rPr>
                <w:b/>
                <w:bCs/>
                <w:noProof/>
                <w:sz w:val="22"/>
                <w:szCs w:val="22"/>
              </w:rPr>
              <w:t>PO2</w:t>
            </w:r>
          </w:p>
        </w:tc>
        <w:tc>
          <w:tcPr>
            <w:tcW w:w="959" w:type="dxa"/>
          </w:tcPr>
          <w:p w14:paraId="3D795ADE" w14:textId="77777777" w:rsidR="00DE334E" w:rsidRPr="00244D65" w:rsidRDefault="00DE334E" w:rsidP="0085595C">
            <w:pPr>
              <w:jc w:val="center"/>
              <w:rPr>
                <w:b/>
                <w:bCs/>
                <w:noProof/>
                <w:sz w:val="22"/>
                <w:szCs w:val="22"/>
              </w:rPr>
            </w:pPr>
            <w:r w:rsidRPr="00244D65">
              <w:rPr>
                <w:b/>
                <w:bCs/>
                <w:noProof/>
                <w:sz w:val="22"/>
                <w:szCs w:val="22"/>
              </w:rPr>
              <w:t>PO3</w:t>
            </w:r>
          </w:p>
        </w:tc>
      </w:tr>
      <w:tr w:rsidR="00DE334E" w:rsidRPr="00244D65" w14:paraId="6E2C7AF0" w14:textId="77777777" w:rsidTr="000C653C">
        <w:tc>
          <w:tcPr>
            <w:tcW w:w="4640" w:type="dxa"/>
          </w:tcPr>
          <w:p w14:paraId="5586D7A6" w14:textId="77777777" w:rsidR="00DE334E" w:rsidRPr="00244D65" w:rsidRDefault="00DE334E" w:rsidP="0085595C">
            <w:pPr>
              <w:rPr>
                <w:b/>
                <w:bCs/>
                <w:noProof/>
                <w:sz w:val="22"/>
                <w:szCs w:val="22"/>
              </w:rPr>
            </w:pPr>
            <w:r w:rsidRPr="00244D65">
              <w:rPr>
                <w:b/>
                <w:bCs/>
                <w:noProof/>
                <w:sz w:val="22"/>
                <w:szCs w:val="22"/>
              </w:rPr>
              <w:t xml:space="preserve">Operators </w:t>
            </w:r>
          </w:p>
        </w:tc>
        <w:tc>
          <w:tcPr>
            <w:tcW w:w="774" w:type="dxa"/>
          </w:tcPr>
          <w:p w14:paraId="310BE76D" w14:textId="77777777" w:rsidR="00DE334E" w:rsidRPr="00244D65" w:rsidRDefault="00DE334E" w:rsidP="0085595C">
            <w:pPr>
              <w:rPr>
                <w:noProof/>
                <w:sz w:val="22"/>
                <w:szCs w:val="22"/>
              </w:rPr>
            </w:pPr>
          </w:p>
        </w:tc>
        <w:tc>
          <w:tcPr>
            <w:tcW w:w="960" w:type="dxa"/>
          </w:tcPr>
          <w:p w14:paraId="30BA1E8F" w14:textId="77777777" w:rsidR="00DE334E" w:rsidRPr="00244D65" w:rsidRDefault="00DE334E" w:rsidP="0085595C">
            <w:pPr>
              <w:rPr>
                <w:noProof/>
                <w:sz w:val="22"/>
                <w:szCs w:val="22"/>
              </w:rPr>
            </w:pPr>
          </w:p>
        </w:tc>
        <w:tc>
          <w:tcPr>
            <w:tcW w:w="1418" w:type="dxa"/>
          </w:tcPr>
          <w:p w14:paraId="6F33253E" w14:textId="77777777" w:rsidR="00DE334E" w:rsidRPr="00244D65" w:rsidRDefault="00DE334E" w:rsidP="0085595C">
            <w:pPr>
              <w:rPr>
                <w:noProof/>
                <w:sz w:val="22"/>
                <w:szCs w:val="22"/>
              </w:rPr>
            </w:pPr>
          </w:p>
        </w:tc>
        <w:tc>
          <w:tcPr>
            <w:tcW w:w="959" w:type="dxa"/>
          </w:tcPr>
          <w:p w14:paraId="1828BECD" w14:textId="77777777" w:rsidR="00DE334E" w:rsidRPr="00244D65" w:rsidRDefault="00DE334E" w:rsidP="0085595C">
            <w:pPr>
              <w:rPr>
                <w:noProof/>
                <w:sz w:val="22"/>
                <w:szCs w:val="22"/>
              </w:rPr>
            </w:pPr>
          </w:p>
        </w:tc>
      </w:tr>
      <w:tr w:rsidR="00DE334E" w:rsidRPr="00244D65" w14:paraId="20FA5A40" w14:textId="77777777" w:rsidTr="000C653C">
        <w:tc>
          <w:tcPr>
            <w:tcW w:w="4640" w:type="dxa"/>
          </w:tcPr>
          <w:p w14:paraId="3B75396E" w14:textId="77777777" w:rsidR="00DE334E" w:rsidRPr="00244D65" w:rsidRDefault="00DE334E" w:rsidP="0085595C">
            <w:pPr>
              <w:rPr>
                <w:b/>
                <w:bCs/>
                <w:i/>
                <w:iCs/>
                <w:noProof/>
                <w:sz w:val="22"/>
                <w:szCs w:val="22"/>
              </w:rPr>
            </w:pPr>
            <w:r w:rsidRPr="00244D65">
              <w:rPr>
                <w:b/>
                <w:bCs/>
                <w:noProof/>
                <w:sz w:val="22"/>
                <w:szCs w:val="22"/>
              </w:rPr>
              <w:t>Adjustment cost</w:t>
            </w:r>
          </w:p>
        </w:tc>
        <w:tc>
          <w:tcPr>
            <w:tcW w:w="774" w:type="dxa"/>
          </w:tcPr>
          <w:p w14:paraId="1B290EB3" w14:textId="77777777" w:rsidR="00DE334E" w:rsidRPr="00244D65" w:rsidRDefault="00DE334E" w:rsidP="0085595C">
            <w:pPr>
              <w:rPr>
                <w:noProof/>
                <w:sz w:val="22"/>
                <w:szCs w:val="22"/>
              </w:rPr>
            </w:pPr>
          </w:p>
        </w:tc>
        <w:tc>
          <w:tcPr>
            <w:tcW w:w="960" w:type="dxa"/>
          </w:tcPr>
          <w:p w14:paraId="1125A56C" w14:textId="77777777" w:rsidR="00DE334E" w:rsidRPr="00244D65" w:rsidRDefault="00DE334E" w:rsidP="0085595C">
            <w:pPr>
              <w:rPr>
                <w:noProof/>
                <w:sz w:val="22"/>
                <w:szCs w:val="22"/>
              </w:rPr>
            </w:pPr>
          </w:p>
        </w:tc>
        <w:tc>
          <w:tcPr>
            <w:tcW w:w="1418" w:type="dxa"/>
          </w:tcPr>
          <w:p w14:paraId="6C47E325" w14:textId="77777777" w:rsidR="00DE334E" w:rsidRPr="00244D65" w:rsidRDefault="00DE334E" w:rsidP="0085595C">
            <w:pPr>
              <w:rPr>
                <w:noProof/>
                <w:sz w:val="22"/>
                <w:szCs w:val="22"/>
              </w:rPr>
            </w:pPr>
          </w:p>
        </w:tc>
        <w:tc>
          <w:tcPr>
            <w:tcW w:w="959" w:type="dxa"/>
          </w:tcPr>
          <w:p w14:paraId="1CE1E426" w14:textId="77777777" w:rsidR="00DE334E" w:rsidRPr="00244D65" w:rsidRDefault="00DE334E" w:rsidP="0085595C">
            <w:pPr>
              <w:rPr>
                <w:noProof/>
                <w:sz w:val="22"/>
                <w:szCs w:val="22"/>
              </w:rPr>
            </w:pPr>
          </w:p>
        </w:tc>
      </w:tr>
      <w:tr w:rsidR="00DE334E" w:rsidRPr="00244D65" w14:paraId="60DF643C" w14:textId="77777777" w:rsidTr="000C653C">
        <w:tc>
          <w:tcPr>
            <w:tcW w:w="4640" w:type="dxa"/>
          </w:tcPr>
          <w:p w14:paraId="3F6517ED" w14:textId="77777777" w:rsidR="00DE334E" w:rsidRPr="00244D65" w:rsidRDefault="00DE334E" w:rsidP="0085595C">
            <w:pPr>
              <w:rPr>
                <w:b/>
                <w:bCs/>
                <w:noProof/>
                <w:sz w:val="22"/>
                <w:szCs w:val="22"/>
              </w:rPr>
            </w:pPr>
            <w:r w:rsidRPr="00244D65">
              <w:rPr>
                <w:b/>
                <w:bCs/>
                <w:noProof/>
                <w:sz w:val="22"/>
                <w:szCs w:val="22"/>
              </w:rPr>
              <w:t>Unit cost of production</w:t>
            </w:r>
          </w:p>
        </w:tc>
        <w:tc>
          <w:tcPr>
            <w:tcW w:w="774" w:type="dxa"/>
          </w:tcPr>
          <w:p w14:paraId="2453AE4D" w14:textId="77777777" w:rsidR="00DE334E" w:rsidRPr="00244D65" w:rsidRDefault="00DE334E" w:rsidP="0085595C">
            <w:pPr>
              <w:rPr>
                <w:noProof/>
                <w:sz w:val="22"/>
                <w:szCs w:val="22"/>
              </w:rPr>
            </w:pPr>
            <w:r w:rsidRPr="00244D65">
              <w:rPr>
                <w:noProof/>
                <w:sz w:val="22"/>
                <w:szCs w:val="22"/>
              </w:rPr>
              <w:t>%</w:t>
            </w:r>
          </w:p>
        </w:tc>
        <w:tc>
          <w:tcPr>
            <w:tcW w:w="960" w:type="dxa"/>
          </w:tcPr>
          <w:p w14:paraId="39527339" w14:textId="77777777" w:rsidR="00DE334E" w:rsidRPr="00244D65" w:rsidRDefault="00DE334E" w:rsidP="0085595C">
            <w:pPr>
              <w:rPr>
                <w:noProof/>
                <w:sz w:val="22"/>
                <w:szCs w:val="22"/>
              </w:rPr>
            </w:pPr>
            <w:r w:rsidRPr="00244D65">
              <w:rPr>
                <w:noProof/>
                <w:sz w:val="22"/>
                <w:szCs w:val="22"/>
              </w:rPr>
              <w:t>0.02</w:t>
            </w:r>
          </w:p>
        </w:tc>
        <w:tc>
          <w:tcPr>
            <w:tcW w:w="1418" w:type="dxa"/>
          </w:tcPr>
          <w:p w14:paraId="2B1B34D7" w14:textId="77777777" w:rsidR="00DE334E" w:rsidRPr="00244D65" w:rsidRDefault="00DE334E" w:rsidP="0085595C">
            <w:pPr>
              <w:rPr>
                <w:noProof/>
                <w:sz w:val="22"/>
                <w:szCs w:val="22"/>
              </w:rPr>
            </w:pPr>
            <w:r w:rsidRPr="00244D65">
              <w:rPr>
                <w:noProof/>
                <w:sz w:val="22"/>
                <w:szCs w:val="22"/>
              </w:rPr>
              <w:t>-0.04, -0.02</w:t>
            </w:r>
          </w:p>
        </w:tc>
        <w:tc>
          <w:tcPr>
            <w:tcW w:w="959" w:type="dxa"/>
          </w:tcPr>
          <w:p w14:paraId="4DC6DB7F" w14:textId="77777777" w:rsidR="00DE334E" w:rsidRPr="00244D65" w:rsidRDefault="00DE334E" w:rsidP="0085595C">
            <w:pPr>
              <w:rPr>
                <w:noProof/>
                <w:sz w:val="22"/>
                <w:szCs w:val="22"/>
              </w:rPr>
            </w:pPr>
            <w:r w:rsidRPr="00244D65">
              <w:rPr>
                <w:noProof/>
                <w:sz w:val="22"/>
                <w:szCs w:val="22"/>
              </w:rPr>
              <w:t>-0.12</w:t>
            </w:r>
          </w:p>
        </w:tc>
      </w:tr>
      <w:tr w:rsidR="00DE334E" w:rsidRPr="00244D65" w14:paraId="5EDCA658" w14:textId="77777777" w:rsidTr="000C653C">
        <w:tc>
          <w:tcPr>
            <w:tcW w:w="4640" w:type="dxa"/>
          </w:tcPr>
          <w:p w14:paraId="75154E7A" w14:textId="77777777" w:rsidR="00DE334E" w:rsidRPr="00244D65" w:rsidRDefault="00DE334E" w:rsidP="0085595C">
            <w:pPr>
              <w:rPr>
                <w:b/>
                <w:bCs/>
                <w:noProof/>
                <w:sz w:val="22"/>
                <w:szCs w:val="22"/>
              </w:rPr>
            </w:pPr>
            <w:r w:rsidRPr="00244D65">
              <w:rPr>
                <w:b/>
                <w:bCs/>
                <w:noProof/>
                <w:sz w:val="22"/>
                <w:szCs w:val="22"/>
              </w:rPr>
              <w:t>Public authorities</w:t>
            </w:r>
          </w:p>
        </w:tc>
        <w:tc>
          <w:tcPr>
            <w:tcW w:w="774" w:type="dxa"/>
          </w:tcPr>
          <w:p w14:paraId="4D7081C0" w14:textId="77777777" w:rsidR="00DE334E" w:rsidRPr="00244D65" w:rsidRDefault="00DE334E" w:rsidP="0085595C">
            <w:pPr>
              <w:rPr>
                <w:noProof/>
                <w:sz w:val="22"/>
                <w:szCs w:val="22"/>
              </w:rPr>
            </w:pPr>
          </w:p>
        </w:tc>
        <w:tc>
          <w:tcPr>
            <w:tcW w:w="960" w:type="dxa"/>
          </w:tcPr>
          <w:p w14:paraId="702E7E16" w14:textId="77777777" w:rsidR="00DE334E" w:rsidRPr="00244D65" w:rsidRDefault="00DE334E" w:rsidP="0085595C">
            <w:pPr>
              <w:rPr>
                <w:noProof/>
                <w:sz w:val="22"/>
                <w:szCs w:val="22"/>
              </w:rPr>
            </w:pPr>
          </w:p>
        </w:tc>
        <w:tc>
          <w:tcPr>
            <w:tcW w:w="1418" w:type="dxa"/>
          </w:tcPr>
          <w:p w14:paraId="42A7FBF1" w14:textId="77777777" w:rsidR="00DE334E" w:rsidRPr="00244D65" w:rsidRDefault="00DE334E" w:rsidP="0085595C">
            <w:pPr>
              <w:rPr>
                <w:noProof/>
                <w:sz w:val="22"/>
                <w:szCs w:val="22"/>
              </w:rPr>
            </w:pPr>
          </w:p>
        </w:tc>
        <w:tc>
          <w:tcPr>
            <w:tcW w:w="959" w:type="dxa"/>
          </w:tcPr>
          <w:p w14:paraId="41792065" w14:textId="77777777" w:rsidR="00DE334E" w:rsidRPr="00244D65" w:rsidRDefault="00DE334E" w:rsidP="0085595C">
            <w:pPr>
              <w:rPr>
                <w:noProof/>
                <w:sz w:val="22"/>
                <w:szCs w:val="22"/>
              </w:rPr>
            </w:pPr>
          </w:p>
        </w:tc>
      </w:tr>
      <w:tr w:rsidR="00DE334E" w:rsidRPr="00244D65" w14:paraId="5CD325C2" w14:textId="77777777" w:rsidTr="000C653C">
        <w:tc>
          <w:tcPr>
            <w:tcW w:w="4640" w:type="dxa"/>
          </w:tcPr>
          <w:p w14:paraId="51E66E23" w14:textId="77777777" w:rsidR="00DE334E" w:rsidRPr="00244D65" w:rsidRDefault="00DE334E" w:rsidP="0085595C">
            <w:pPr>
              <w:rPr>
                <w:b/>
                <w:bCs/>
                <w:noProof/>
                <w:sz w:val="22"/>
                <w:szCs w:val="22"/>
              </w:rPr>
            </w:pPr>
            <w:r w:rsidRPr="00244D65">
              <w:rPr>
                <w:b/>
                <w:bCs/>
                <w:noProof/>
                <w:sz w:val="22"/>
                <w:szCs w:val="22"/>
              </w:rPr>
              <w:t>GDP change</w:t>
            </w:r>
          </w:p>
        </w:tc>
        <w:tc>
          <w:tcPr>
            <w:tcW w:w="774" w:type="dxa"/>
          </w:tcPr>
          <w:p w14:paraId="101C0B56" w14:textId="77777777" w:rsidR="00DE334E" w:rsidRPr="00244D65" w:rsidRDefault="00DE334E" w:rsidP="0085595C">
            <w:pPr>
              <w:rPr>
                <w:noProof/>
                <w:sz w:val="22"/>
                <w:szCs w:val="22"/>
              </w:rPr>
            </w:pPr>
            <w:r w:rsidRPr="00244D65">
              <w:rPr>
                <w:noProof/>
                <w:sz w:val="22"/>
                <w:szCs w:val="22"/>
              </w:rPr>
              <w:t>%</w:t>
            </w:r>
          </w:p>
        </w:tc>
        <w:tc>
          <w:tcPr>
            <w:tcW w:w="960" w:type="dxa"/>
          </w:tcPr>
          <w:p w14:paraId="1EEB94D2" w14:textId="77777777" w:rsidR="00DE334E" w:rsidRPr="00244D65" w:rsidRDefault="00DE334E" w:rsidP="0085595C">
            <w:pPr>
              <w:rPr>
                <w:noProof/>
                <w:sz w:val="22"/>
                <w:szCs w:val="22"/>
              </w:rPr>
            </w:pPr>
            <w:r w:rsidRPr="00244D65">
              <w:rPr>
                <w:noProof/>
                <w:sz w:val="22"/>
                <w:szCs w:val="22"/>
              </w:rPr>
              <w:t>0.01</w:t>
            </w:r>
          </w:p>
        </w:tc>
        <w:tc>
          <w:tcPr>
            <w:tcW w:w="1418" w:type="dxa"/>
          </w:tcPr>
          <w:p w14:paraId="4EB90711" w14:textId="77777777" w:rsidR="00DE334E" w:rsidRPr="00244D65" w:rsidRDefault="00DE334E" w:rsidP="0085595C">
            <w:pPr>
              <w:rPr>
                <w:noProof/>
                <w:sz w:val="22"/>
                <w:szCs w:val="22"/>
              </w:rPr>
            </w:pPr>
            <w:r w:rsidRPr="00244D65">
              <w:rPr>
                <w:noProof/>
                <w:sz w:val="22"/>
                <w:szCs w:val="22"/>
              </w:rPr>
              <w:t>-0.01, 0.00</w:t>
            </w:r>
          </w:p>
        </w:tc>
        <w:tc>
          <w:tcPr>
            <w:tcW w:w="959" w:type="dxa"/>
          </w:tcPr>
          <w:p w14:paraId="2B50FBA8" w14:textId="77777777" w:rsidR="00DE334E" w:rsidRPr="00244D65" w:rsidRDefault="00DE334E" w:rsidP="0085595C">
            <w:pPr>
              <w:rPr>
                <w:noProof/>
                <w:sz w:val="22"/>
                <w:szCs w:val="22"/>
              </w:rPr>
            </w:pPr>
            <w:r w:rsidRPr="00244D65">
              <w:rPr>
                <w:noProof/>
                <w:sz w:val="22"/>
                <w:szCs w:val="22"/>
              </w:rPr>
              <w:t>0.02</w:t>
            </w:r>
          </w:p>
        </w:tc>
      </w:tr>
      <w:tr w:rsidR="00DE334E" w:rsidRPr="00244D65" w14:paraId="2AA619D1" w14:textId="77777777" w:rsidTr="000C653C">
        <w:tc>
          <w:tcPr>
            <w:tcW w:w="4640" w:type="dxa"/>
          </w:tcPr>
          <w:p w14:paraId="2B5C797D" w14:textId="77777777" w:rsidR="00DE334E" w:rsidRPr="00244D65" w:rsidRDefault="00DE334E" w:rsidP="0085595C">
            <w:pPr>
              <w:rPr>
                <w:b/>
                <w:bCs/>
                <w:noProof/>
                <w:sz w:val="22"/>
                <w:szCs w:val="22"/>
              </w:rPr>
            </w:pPr>
            <w:r w:rsidRPr="00244D65">
              <w:rPr>
                <w:b/>
                <w:bCs/>
                <w:noProof/>
                <w:sz w:val="22"/>
                <w:szCs w:val="22"/>
              </w:rPr>
              <w:t>Sectoral Employment - ETS sectors (% change from baseline)</w:t>
            </w:r>
          </w:p>
        </w:tc>
        <w:tc>
          <w:tcPr>
            <w:tcW w:w="774" w:type="dxa"/>
          </w:tcPr>
          <w:p w14:paraId="15AD8D79" w14:textId="77777777" w:rsidR="00DE334E" w:rsidRPr="00244D65" w:rsidRDefault="00DE334E" w:rsidP="0085595C">
            <w:pPr>
              <w:rPr>
                <w:noProof/>
                <w:sz w:val="22"/>
                <w:szCs w:val="22"/>
              </w:rPr>
            </w:pPr>
            <w:r w:rsidRPr="00244D65">
              <w:rPr>
                <w:noProof/>
                <w:sz w:val="22"/>
                <w:szCs w:val="22"/>
              </w:rPr>
              <w:t>%</w:t>
            </w:r>
          </w:p>
        </w:tc>
        <w:tc>
          <w:tcPr>
            <w:tcW w:w="960" w:type="dxa"/>
          </w:tcPr>
          <w:p w14:paraId="3E19255C" w14:textId="77777777" w:rsidR="00DE334E" w:rsidRPr="00244D65" w:rsidRDefault="00DE334E" w:rsidP="0085595C">
            <w:pPr>
              <w:rPr>
                <w:noProof/>
                <w:sz w:val="22"/>
                <w:szCs w:val="22"/>
              </w:rPr>
            </w:pPr>
            <w:r w:rsidRPr="00244D65">
              <w:rPr>
                <w:noProof/>
                <w:sz w:val="22"/>
                <w:szCs w:val="22"/>
              </w:rPr>
              <w:t>0.01</w:t>
            </w:r>
          </w:p>
        </w:tc>
        <w:tc>
          <w:tcPr>
            <w:tcW w:w="1418" w:type="dxa"/>
          </w:tcPr>
          <w:p w14:paraId="65BB226C" w14:textId="77777777" w:rsidR="00DE334E" w:rsidRPr="00244D65" w:rsidRDefault="00DE334E" w:rsidP="0085595C">
            <w:pPr>
              <w:rPr>
                <w:noProof/>
                <w:sz w:val="22"/>
                <w:szCs w:val="22"/>
              </w:rPr>
            </w:pPr>
            <w:r w:rsidRPr="00244D65">
              <w:rPr>
                <w:noProof/>
                <w:sz w:val="22"/>
                <w:szCs w:val="22"/>
              </w:rPr>
              <w:t>-0.05, -0.03</w:t>
            </w:r>
          </w:p>
        </w:tc>
        <w:tc>
          <w:tcPr>
            <w:tcW w:w="959" w:type="dxa"/>
          </w:tcPr>
          <w:p w14:paraId="57246791" w14:textId="77777777" w:rsidR="00DE334E" w:rsidRPr="00244D65" w:rsidRDefault="00DE334E" w:rsidP="0085595C">
            <w:pPr>
              <w:rPr>
                <w:noProof/>
                <w:sz w:val="22"/>
                <w:szCs w:val="22"/>
              </w:rPr>
            </w:pPr>
            <w:r w:rsidRPr="00244D65">
              <w:rPr>
                <w:noProof/>
                <w:sz w:val="22"/>
                <w:szCs w:val="22"/>
              </w:rPr>
              <w:t>-0.06</w:t>
            </w:r>
          </w:p>
        </w:tc>
      </w:tr>
      <w:tr w:rsidR="00DE334E" w:rsidRPr="00244D65" w14:paraId="66ABB259" w14:textId="77777777" w:rsidTr="000C653C">
        <w:tc>
          <w:tcPr>
            <w:tcW w:w="4640" w:type="dxa"/>
          </w:tcPr>
          <w:p w14:paraId="41392F3B" w14:textId="77777777" w:rsidR="00DE334E" w:rsidRPr="00244D65" w:rsidRDefault="00DE334E" w:rsidP="0085595C">
            <w:pPr>
              <w:rPr>
                <w:b/>
                <w:bCs/>
                <w:i/>
                <w:iCs/>
                <w:noProof/>
                <w:sz w:val="22"/>
                <w:szCs w:val="22"/>
              </w:rPr>
            </w:pPr>
            <w:r w:rsidRPr="00244D65">
              <w:rPr>
                <w:b/>
                <w:bCs/>
                <w:noProof/>
                <w:sz w:val="22"/>
                <w:szCs w:val="22"/>
              </w:rPr>
              <w:t>Households</w:t>
            </w:r>
          </w:p>
        </w:tc>
        <w:tc>
          <w:tcPr>
            <w:tcW w:w="774" w:type="dxa"/>
          </w:tcPr>
          <w:p w14:paraId="49D5CF23" w14:textId="77777777" w:rsidR="00DE334E" w:rsidRPr="00244D65" w:rsidRDefault="00DE334E" w:rsidP="0085595C">
            <w:pPr>
              <w:rPr>
                <w:noProof/>
                <w:sz w:val="22"/>
                <w:szCs w:val="22"/>
              </w:rPr>
            </w:pPr>
          </w:p>
        </w:tc>
        <w:tc>
          <w:tcPr>
            <w:tcW w:w="960" w:type="dxa"/>
          </w:tcPr>
          <w:p w14:paraId="2A78505A" w14:textId="77777777" w:rsidR="00DE334E" w:rsidRPr="00244D65" w:rsidRDefault="00DE334E" w:rsidP="0085595C">
            <w:pPr>
              <w:rPr>
                <w:noProof/>
                <w:sz w:val="22"/>
                <w:szCs w:val="22"/>
              </w:rPr>
            </w:pPr>
          </w:p>
        </w:tc>
        <w:tc>
          <w:tcPr>
            <w:tcW w:w="1418" w:type="dxa"/>
          </w:tcPr>
          <w:p w14:paraId="64AF4FFB" w14:textId="77777777" w:rsidR="00DE334E" w:rsidRPr="00244D65" w:rsidRDefault="00DE334E" w:rsidP="0085595C">
            <w:pPr>
              <w:rPr>
                <w:noProof/>
                <w:sz w:val="22"/>
                <w:szCs w:val="22"/>
              </w:rPr>
            </w:pPr>
          </w:p>
        </w:tc>
        <w:tc>
          <w:tcPr>
            <w:tcW w:w="959" w:type="dxa"/>
          </w:tcPr>
          <w:p w14:paraId="349C2E5F" w14:textId="77777777" w:rsidR="00DE334E" w:rsidRPr="00244D65" w:rsidRDefault="00DE334E" w:rsidP="0085595C">
            <w:pPr>
              <w:rPr>
                <w:noProof/>
                <w:sz w:val="22"/>
                <w:szCs w:val="22"/>
              </w:rPr>
            </w:pPr>
          </w:p>
        </w:tc>
      </w:tr>
      <w:tr w:rsidR="00DE334E" w:rsidRPr="00244D65" w14:paraId="5644A770" w14:textId="77777777" w:rsidTr="000C653C">
        <w:tc>
          <w:tcPr>
            <w:tcW w:w="4640" w:type="dxa"/>
          </w:tcPr>
          <w:p w14:paraId="63E5F73E" w14:textId="77777777" w:rsidR="00DE334E" w:rsidRPr="00244D65" w:rsidRDefault="00DE334E" w:rsidP="0085595C">
            <w:pPr>
              <w:rPr>
                <w:b/>
                <w:bCs/>
                <w:i/>
                <w:iCs/>
                <w:noProof/>
                <w:sz w:val="22"/>
                <w:szCs w:val="22"/>
              </w:rPr>
            </w:pPr>
            <w:r w:rsidRPr="00244D65">
              <w:rPr>
                <w:b/>
                <w:bCs/>
                <w:noProof/>
                <w:sz w:val="22"/>
                <w:szCs w:val="22"/>
              </w:rPr>
              <w:t>Total private consumption (% change from baseline)</w:t>
            </w:r>
          </w:p>
        </w:tc>
        <w:tc>
          <w:tcPr>
            <w:tcW w:w="774" w:type="dxa"/>
          </w:tcPr>
          <w:p w14:paraId="084AE97B" w14:textId="77777777" w:rsidR="00DE334E" w:rsidRPr="00244D65" w:rsidRDefault="00DE334E" w:rsidP="0085595C">
            <w:pPr>
              <w:rPr>
                <w:noProof/>
                <w:sz w:val="22"/>
                <w:szCs w:val="22"/>
              </w:rPr>
            </w:pPr>
            <w:r w:rsidRPr="00244D65">
              <w:rPr>
                <w:noProof/>
                <w:sz w:val="22"/>
                <w:szCs w:val="22"/>
              </w:rPr>
              <w:t>%</w:t>
            </w:r>
          </w:p>
        </w:tc>
        <w:tc>
          <w:tcPr>
            <w:tcW w:w="960" w:type="dxa"/>
          </w:tcPr>
          <w:p w14:paraId="3CEBD300" w14:textId="77777777" w:rsidR="00DE334E" w:rsidRPr="00244D65" w:rsidRDefault="00DE334E" w:rsidP="0085595C">
            <w:pPr>
              <w:rPr>
                <w:noProof/>
                <w:sz w:val="22"/>
                <w:szCs w:val="22"/>
              </w:rPr>
            </w:pPr>
            <w:r w:rsidRPr="00244D65">
              <w:rPr>
                <w:noProof/>
                <w:sz w:val="22"/>
                <w:szCs w:val="22"/>
              </w:rPr>
              <w:t>0.02</w:t>
            </w:r>
          </w:p>
        </w:tc>
        <w:tc>
          <w:tcPr>
            <w:tcW w:w="1418" w:type="dxa"/>
          </w:tcPr>
          <w:p w14:paraId="3E0A6D22" w14:textId="77777777" w:rsidR="00DE334E" w:rsidRPr="00244D65" w:rsidRDefault="00DE334E" w:rsidP="0085595C">
            <w:pPr>
              <w:rPr>
                <w:noProof/>
                <w:sz w:val="22"/>
                <w:szCs w:val="22"/>
              </w:rPr>
            </w:pPr>
            <w:r w:rsidRPr="00244D65">
              <w:rPr>
                <w:noProof/>
                <w:sz w:val="22"/>
                <w:szCs w:val="22"/>
              </w:rPr>
              <w:t>-0.08, -0.05</w:t>
            </w:r>
          </w:p>
        </w:tc>
        <w:tc>
          <w:tcPr>
            <w:tcW w:w="959" w:type="dxa"/>
          </w:tcPr>
          <w:p w14:paraId="31098BCB" w14:textId="77777777" w:rsidR="00DE334E" w:rsidRPr="00244D65" w:rsidRDefault="00DE334E" w:rsidP="0085595C">
            <w:pPr>
              <w:rPr>
                <w:noProof/>
                <w:sz w:val="22"/>
                <w:szCs w:val="22"/>
              </w:rPr>
            </w:pPr>
            <w:r w:rsidRPr="00244D65">
              <w:rPr>
                <w:noProof/>
                <w:sz w:val="22"/>
                <w:szCs w:val="22"/>
              </w:rPr>
              <w:t>-0.10</w:t>
            </w:r>
          </w:p>
        </w:tc>
      </w:tr>
    </w:tbl>
    <w:p w14:paraId="4083B90E" w14:textId="1242D890" w:rsidR="00233FE2" w:rsidRPr="00244D65" w:rsidRDefault="00233FE2" w:rsidP="0085595C">
      <w:pPr>
        <w:rPr>
          <w:noProof/>
        </w:rPr>
      </w:pPr>
      <w:r w:rsidRPr="00244D65">
        <w:rPr>
          <w:noProof/>
        </w:rPr>
        <w:t xml:space="preserve">To supplement the modelling outputs, further </w:t>
      </w:r>
      <w:r w:rsidR="00756EA6" w:rsidRPr="00244D65">
        <w:rPr>
          <w:noProof/>
        </w:rPr>
        <w:t xml:space="preserve">quantitative analysis </w:t>
      </w:r>
      <w:r w:rsidRPr="00244D65">
        <w:rPr>
          <w:noProof/>
        </w:rPr>
        <w:t xml:space="preserve">has been undertaken to understand further the costs and benefits associated with the policy options. In terms of the administrative costs, it is envisaged that PO2 will result in </w:t>
      </w:r>
      <w:r w:rsidR="00D04280" w:rsidRPr="00244D65">
        <w:rPr>
          <w:noProof/>
        </w:rPr>
        <w:t>some</w:t>
      </w:r>
      <w:r w:rsidR="00BF0AAC" w:rsidRPr="00244D65">
        <w:rPr>
          <w:noProof/>
        </w:rPr>
        <w:t xml:space="preserve"> increase in </w:t>
      </w:r>
      <w:r w:rsidRPr="00244D65">
        <w:rPr>
          <w:noProof/>
        </w:rPr>
        <w:t xml:space="preserve">administrative costs </w:t>
      </w:r>
      <w:r w:rsidR="00BF0AAC" w:rsidRPr="00244D65">
        <w:rPr>
          <w:noProof/>
        </w:rPr>
        <w:t xml:space="preserve">compared </w:t>
      </w:r>
      <w:r w:rsidR="008F4685" w:rsidRPr="00244D65">
        <w:rPr>
          <w:noProof/>
        </w:rPr>
        <w:t>with</w:t>
      </w:r>
      <w:r w:rsidRPr="00244D65">
        <w:rPr>
          <w:noProof/>
        </w:rPr>
        <w:t xml:space="preserve"> the baseline as it will involve changes to free allocation with further conditionality requirements included</w:t>
      </w:r>
      <w:r w:rsidR="00D04280" w:rsidRPr="00244D65">
        <w:rPr>
          <w:noProof/>
        </w:rPr>
        <w:t>,</w:t>
      </w:r>
      <w:r w:rsidRPr="00244D65">
        <w:rPr>
          <w:noProof/>
        </w:rPr>
        <w:t xml:space="preserve"> as well as additional MRV costs for waste incineration installations (the later would also be an additional cost for PO3). These estimates for administrative cost have been transparently calculated based on existing literature and stakeholder input (i.e. survey and interview processes). Importantly it is expected that the potential maximum revenues that will be generated from each of the policy options </w:t>
      </w:r>
      <w:r w:rsidR="00CE240C" w:rsidRPr="00244D65">
        <w:rPr>
          <w:noProof/>
        </w:rPr>
        <w:t xml:space="preserve">are </w:t>
      </w:r>
      <w:r w:rsidRPr="00244D65">
        <w:rPr>
          <w:noProof/>
        </w:rPr>
        <w:t xml:space="preserve">likely to offset these additional administrative costs. </w:t>
      </w:r>
    </w:p>
    <w:p w14:paraId="6964C235" w14:textId="685574F0" w:rsidR="00233FE2" w:rsidRPr="00244D65" w:rsidRDefault="003C7443" w:rsidP="005E4778">
      <w:pPr>
        <w:pStyle w:val="Tabletitle"/>
        <w:rPr>
          <w:noProof/>
        </w:rPr>
      </w:pPr>
      <w:bookmarkStart w:id="298" w:name="_Toc234496396"/>
      <w:bookmarkStart w:id="299" w:name="_Toc232754576"/>
      <w:r w:rsidRPr="00244D65">
        <w:rPr>
          <w:noProof/>
        </w:rPr>
        <w:t>S</w:t>
      </w:r>
      <w:r w:rsidR="00233FE2" w:rsidRPr="00244D65">
        <w:rPr>
          <w:noProof/>
        </w:rPr>
        <w:t>ummary of costs and benefits per policy option compared to the baseline based on further quantitative estimates</w:t>
      </w:r>
      <w:bookmarkEnd w:id="298"/>
      <w:bookmarkEnd w:id="29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29"/>
        <w:gridCol w:w="1094"/>
        <w:gridCol w:w="726"/>
        <w:gridCol w:w="1029"/>
        <w:gridCol w:w="1173"/>
      </w:tblGrid>
      <w:tr w:rsidR="002D4E92" w:rsidRPr="00244D65" w14:paraId="38EF4349" w14:textId="77777777" w:rsidTr="000C653C">
        <w:tc>
          <w:tcPr>
            <w:tcW w:w="2702" w:type="pct"/>
          </w:tcPr>
          <w:p w14:paraId="77A9088B" w14:textId="77777777" w:rsidR="002D4E92" w:rsidRPr="00244D65" w:rsidRDefault="002D4E92" w:rsidP="0085595C">
            <w:pPr>
              <w:rPr>
                <w:noProof/>
                <w:sz w:val="22"/>
                <w:szCs w:val="22"/>
              </w:rPr>
            </w:pPr>
          </w:p>
        </w:tc>
        <w:tc>
          <w:tcPr>
            <w:tcW w:w="625" w:type="pct"/>
          </w:tcPr>
          <w:p w14:paraId="2AB9B7E8" w14:textId="77777777" w:rsidR="002D4E92" w:rsidRPr="00244D65" w:rsidRDefault="002D4E92" w:rsidP="0085595C">
            <w:pPr>
              <w:rPr>
                <w:b/>
                <w:bCs/>
                <w:noProof/>
                <w:sz w:val="22"/>
                <w:szCs w:val="22"/>
              </w:rPr>
            </w:pPr>
          </w:p>
        </w:tc>
        <w:tc>
          <w:tcPr>
            <w:tcW w:w="1674" w:type="pct"/>
            <w:gridSpan w:val="3"/>
          </w:tcPr>
          <w:p w14:paraId="31D0F90D" w14:textId="77777777" w:rsidR="002D4E92" w:rsidRPr="00244D65" w:rsidRDefault="002D4E92" w:rsidP="0085595C">
            <w:pPr>
              <w:jc w:val="center"/>
              <w:rPr>
                <w:b/>
                <w:noProof/>
                <w:sz w:val="22"/>
                <w:szCs w:val="22"/>
              </w:rPr>
            </w:pPr>
            <w:r>
              <w:rPr>
                <w:b/>
                <w:bCs/>
                <w:noProof/>
                <w:sz w:val="22"/>
                <w:szCs w:val="22"/>
              </w:rPr>
              <w:t>Difference to the baseline</w:t>
            </w:r>
          </w:p>
        </w:tc>
      </w:tr>
      <w:tr w:rsidR="002D4E92" w:rsidRPr="00244D65" w14:paraId="7F2872AC" w14:textId="77777777" w:rsidTr="000C653C">
        <w:tc>
          <w:tcPr>
            <w:tcW w:w="2702" w:type="pct"/>
          </w:tcPr>
          <w:p w14:paraId="4DF52002" w14:textId="77777777" w:rsidR="002D4E92" w:rsidRPr="00244D65" w:rsidRDefault="002D4E92" w:rsidP="0085595C">
            <w:pPr>
              <w:rPr>
                <w:noProof/>
                <w:sz w:val="22"/>
                <w:szCs w:val="22"/>
              </w:rPr>
            </w:pPr>
          </w:p>
        </w:tc>
        <w:tc>
          <w:tcPr>
            <w:tcW w:w="625" w:type="pct"/>
          </w:tcPr>
          <w:p w14:paraId="4FD9DA6C" w14:textId="77777777" w:rsidR="002D4E92" w:rsidRPr="00244D65" w:rsidRDefault="002D4E92" w:rsidP="00545B9E">
            <w:pPr>
              <w:jc w:val="center"/>
              <w:rPr>
                <w:b/>
                <w:bCs/>
                <w:noProof/>
                <w:sz w:val="22"/>
                <w:szCs w:val="22"/>
              </w:rPr>
            </w:pPr>
            <w:r>
              <w:rPr>
                <w:b/>
                <w:bCs/>
                <w:noProof/>
                <w:sz w:val="22"/>
                <w:szCs w:val="22"/>
              </w:rPr>
              <w:t>Unit</w:t>
            </w:r>
          </w:p>
        </w:tc>
        <w:tc>
          <w:tcPr>
            <w:tcW w:w="415" w:type="pct"/>
          </w:tcPr>
          <w:p w14:paraId="739D3813" w14:textId="77777777" w:rsidR="002D4E92" w:rsidRPr="00244D65" w:rsidRDefault="002D4E92" w:rsidP="0035423D">
            <w:pPr>
              <w:jc w:val="center"/>
              <w:rPr>
                <w:b/>
                <w:bCs/>
                <w:noProof/>
                <w:sz w:val="22"/>
                <w:szCs w:val="22"/>
              </w:rPr>
            </w:pPr>
            <w:r>
              <w:rPr>
                <w:b/>
                <w:bCs/>
                <w:noProof/>
                <w:sz w:val="22"/>
                <w:szCs w:val="22"/>
              </w:rPr>
              <w:t>PO1</w:t>
            </w:r>
          </w:p>
        </w:tc>
        <w:tc>
          <w:tcPr>
            <w:tcW w:w="588" w:type="pct"/>
          </w:tcPr>
          <w:p w14:paraId="717D1EBF" w14:textId="77777777" w:rsidR="002D4E92" w:rsidRPr="00244D65" w:rsidRDefault="002D4E92" w:rsidP="0035423D">
            <w:pPr>
              <w:jc w:val="center"/>
              <w:rPr>
                <w:b/>
                <w:bCs/>
                <w:noProof/>
                <w:sz w:val="22"/>
                <w:szCs w:val="22"/>
              </w:rPr>
            </w:pPr>
            <w:r>
              <w:rPr>
                <w:b/>
                <w:bCs/>
                <w:noProof/>
                <w:sz w:val="22"/>
                <w:szCs w:val="22"/>
              </w:rPr>
              <w:t>PO2</w:t>
            </w:r>
          </w:p>
        </w:tc>
        <w:tc>
          <w:tcPr>
            <w:tcW w:w="670" w:type="pct"/>
          </w:tcPr>
          <w:p w14:paraId="68116A50" w14:textId="77777777" w:rsidR="002D4E92" w:rsidRPr="00244D65" w:rsidRDefault="002D4E92" w:rsidP="0035423D">
            <w:pPr>
              <w:jc w:val="center"/>
              <w:rPr>
                <w:b/>
                <w:bCs/>
                <w:noProof/>
                <w:sz w:val="22"/>
                <w:szCs w:val="22"/>
              </w:rPr>
            </w:pPr>
            <w:r>
              <w:rPr>
                <w:b/>
                <w:bCs/>
                <w:noProof/>
                <w:sz w:val="22"/>
                <w:szCs w:val="22"/>
              </w:rPr>
              <w:t>PO3</w:t>
            </w:r>
          </w:p>
        </w:tc>
      </w:tr>
      <w:tr w:rsidR="002D4E92" w:rsidRPr="00244D65" w14:paraId="70B31E74" w14:textId="77777777" w:rsidTr="000C653C">
        <w:tc>
          <w:tcPr>
            <w:tcW w:w="2702" w:type="pct"/>
          </w:tcPr>
          <w:p w14:paraId="4DC43B1A" w14:textId="77777777" w:rsidR="002D4E92" w:rsidRPr="00244D65" w:rsidRDefault="002D4E92" w:rsidP="0085595C">
            <w:pPr>
              <w:rPr>
                <w:b/>
                <w:bCs/>
                <w:noProof/>
                <w:sz w:val="22"/>
                <w:szCs w:val="22"/>
              </w:rPr>
            </w:pPr>
            <w:r>
              <w:rPr>
                <w:b/>
                <w:bCs/>
                <w:noProof/>
                <w:sz w:val="22"/>
                <w:szCs w:val="22"/>
              </w:rPr>
              <w:t xml:space="preserve">Operators </w:t>
            </w:r>
          </w:p>
        </w:tc>
        <w:tc>
          <w:tcPr>
            <w:tcW w:w="625" w:type="pct"/>
          </w:tcPr>
          <w:p w14:paraId="7C1C2FC8" w14:textId="77777777" w:rsidR="002D4E92" w:rsidRPr="00244D65" w:rsidRDefault="002D4E92" w:rsidP="00545B9E">
            <w:pPr>
              <w:jc w:val="center"/>
              <w:rPr>
                <w:noProof/>
                <w:sz w:val="22"/>
                <w:szCs w:val="22"/>
              </w:rPr>
            </w:pPr>
          </w:p>
        </w:tc>
        <w:tc>
          <w:tcPr>
            <w:tcW w:w="415" w:type="pct"/>
          </w:tcPr>
          <w:p w14:paraId="6061F59A" w14:textId="77777777" w:rsidR="002D4E92" w:rsidRPr="00244D65" w:rsidRDefault="002D4E92" w:rsidP="00545B9E">
            <w:pPr>
              <w:jc w:val="center"/>
              <w:rPr>
                <w:noProof/>
                <w:sz w:val="22"/>
                <w:szCs w:val="22"/>
              </w:rPr>
            </w:pPr>
          </w:p>
        </w:tc>
        <w:tc>
          <w:tcPr>
            <w:tcW w:w="588" w:type="pct"/>
          </w:tcPr>
          <w:p w14:paraId="29180F28" w14:textId="77777777" w:rsidR="002D4E92" w:rsidRPr="00244D65" w:rsidRDefault="002D4E92" w:rsidP="00545B9E">
            <w:pPr>
              <w:jc w:val="center"/>
              <w:rPr>
                <w:noProof/>
                <w:sz w:val="22"/>
                <w:szCs w:val="22"/>
              </w:rPr>
            </w:pPr>
          </w:p>
        </w:tc>
        <w:tc>
          <w:tcPr>
            <w:tcW w:w="670" w:type="pct"/>
          </w:tcPr>
          <w:p w14:paraId="1B0A2ED3" w14:textId="77777777" w:rsidR="002D4E92" w:rsidRPr="00244D65" w:rsidRDefault="002D4E92" w:rsidP="00545B9E">
            <w:pPr>
              <w:jc w:val="center"/>
              <w:rPr>
                <w:noProof/>
                <w:sz w:val="22"/>
                <w:szCs w:val="22"/>
              </w:rPr>
            </w:pPr>
          </w:p>
        </w:tc>
      </w:tr>
      <w:tr w:rsidR="002D4E92" w:rsidRPr="00244D65" w14:paraId="6F39315D" w14:textId="77777777" w:rsidTr="000C653C">
        <w:tc>
          <w:tcPr>
            <w:tcW w:w="2702" w:type="pct"/>
          </w:tcPr>
          <w:p w14:paraId="22A44520" w14:textId="77777777" w:rsidR="002D4E92" w:rsidRPr="00244D65" w:rsidRDefault="002D4E92" w:rsidP="0085595C">
            <w:pPr>
              <w:rPr>
                <w:b/>
                <w:bCs/>
                <w:i/>
                <w:iCs/>
                <w:noProof/>
                <w:sz w:val="22"/>
                <w:szCs w:val="22"/>
              </w:rPr>
            </w:pPr>
            <w:r>
              <w:rPr>
                <w:b/>
                <w:bCs/>
                <w:noProof/>
                <w:sz w:val="22"/>
                <w:szCs w:val="22"/>
              </w:rPr>
              <w:t>Adjustment cost</w:t>
            </w:r>
          </w:p>
        </w:tc>
        <w:tc>
          <w:tcPr>
            <w:tcW w:w="625" w:type="pct"/>
          </w:tcPr>
          <w:p w14:paraId="12FC8F34" w14:textId="77777777" w:rsidR="002D4E92" w:rsidRPr="00244D65" w:rsidRDefault="002D4E92" w:rsidP="00545B9E">
            <w:pPr>
              <w:jc w:val="center"/>
              <w:rPr>
                <w:noProof/>
                <w:sz w:val="22"/>
                <w:szCs w:val="22"/>
              </w:rPr>
            </w:pPr>
          </w:p>
        </w:tc>
        <w:tc>
          <w:tcPr>
            <w:tcW w:w="415" w:type="pct"/>
          </w:tcPr>
          <w:p w14:paraId="7E0E88AA" w14:textId="77777777" w:rsidR="002D4E92" w:rsidRPr="00244D65" w:rsidRDefault="002D4E92" w:rsidP="00545B9E">
            <w:pPr>
              <w:jc w:val="center"/>
              <w:rPr>
                <w:noProof/>
                <w:sz w:val="22"/>
                <w:szCs w:val="22"/>
              </w:rPr>
            </w:pPr>
          </w:p>
        </w:tc>
        <w:tc>
          <w:tcPr>
            <w:tcW w:w="588" w:type="pct"/>
          </w:tcPr>
          <w:p w14:paraId="0E9DEC9A" w14:textId="77777777" w:rsidR="002D4E92" w:rsidRPr="00244D65" w:rsidRDefault="002D4E92" w:rsidP="00545B9E">
            <w:pPr>
              <w:jc w:val="center"/>
              <w:rPr>
                <w:noProof/>
                <w:sz w:val="22"/>
                <w:szCs w:val="22"/>
              </w:rPr>
            </w:pPr>
          </w:p>
        </w:tc>
        <w:tc>
          <w:tcPr>
            <w:tcW w:w="670" w:type="pct"/>
          </w:tcPr>
          <w:p w14:paraId="5B8A99C0" w14:textId="77777777" w:rsidR="002D4E92" w:rsidRPr="00244D65" w:rsidRDefault="002D4E92" w:rsidP="00545B9E">
            <w:pPr>
              <w:jc w:val="center"/>
              <w:rPr>
                <w:noProof/>
                <w:sz w:val="22"/>
                <w:szCs w:val="22"/>
              </w:rPr>
            </w:pPr>
          </w:p>
        </w:tc>
      </w:tr>
      <w:tr w:rsidR="002D4E92" w:rsidRPr="00244D65" w14:paraId="1CF93C46" w14:textId="77777777" w:rsidTr="000C653C">
        <w:tc>
          <w:tcPr>
            <w:tcW w:w="2702" w:type="pct"/>
          </w:tcPr>
          <w:p w14:paraId="0027BC18" w14:textId="77777777" w:rsidR="002D4E92" w:rsidRPr="00244D65" w:rsidRDefault="002D4E92" w:rsidP="0085595C">
            <w:pPr>
              <w:rPr>
                <w:b/>
                <w:bCs/>
                <w:noProof/>
                <w:sz w:val="22"/>
                <w:szCs w:val="22"/>
              </w:rPr>
            </w:pPr>
            <w:r>
              <w:rPr>
                <w:b/>
                <w:bCs/>
                <w:noProof/>
                <w:sz w:val="22"/>
                <w:szCs w:val="22"/>
              </w:rPr>
              <w:t>Cost of phasing out free allocation</w:t>
            </w:r>
          </w:p>
        </w:tc>
        <w:tc>
          <w:tcPr>
            <w:tcW w:w="625" w:type="pct"/>
          </w:tcPr>
          <w:p w14:paraId="0F678936" w14:textId="77777777" w:rsidR="002D4E92" w:rsidRPr="00244D65" w:rsidRDefault="002D4E92" w:rsidP="00545B9E">
            <w:pPr>
              <w:jc w:val="center"/>
              <w:rPr>
                <w:noProof/>
                <w:sz w:val="22"/>
                <w:szCs w:val="22"/>
              </w:rPr>
            </w:pPr>
            <w:r>
              <w:rPr>
                <w:noProof/>
                <w:sz w:val="22"/>
                <w:szCs w:val="22"/>
              </w:rPr>
              <w:t>Bn EUR</w:t>
            </w:r>
          </w:p>
        </w:tc>
        <w:tc>
          <w:tcPr>
            <w:tcW w:w="415" w:type="pct"/>
          </w:tcPr>
          <w:p w14:paraId="1207A1B5" w14:textId="77777777" w:rsidR="002D4E92" w:rsidRPr="00244D65" w:rsidRDefault="002D4E92" w:rsidP="00545B9E">
            <w:pPr>
              <w:jc w:val="center"/>
              <w:rPr>
                <w:noProof/>
                <w:sz w:val="22"/>
                <w:szCs w:val="22"/>
              </w:rPr>
            </w:pPr>
            <w:r>
              <w:rPr>
                <w:noProof/>
                <w:sz w:val="22"/>
                <w:szCs w:val="22"/>
              </w:rPr>
              <w:t>-55</w:t>
            </w:r>
          </w:p>
        </w:tc>
        <w:tc>
          <w:tcPr>
            <w:tcW w:w="588" w:type="pct"/>
          </w:tcPr>
          <w:p w14:paraId="49D34A5E" w14:textId="77777777" w:rsidR="002D4E92" w:rsidRPr="00244D65" w:rsidRDefault="002D4E92" w:rsidP="00545B9E">
            <w:pPr>
              <w:jc w:val="center"/>
              <w:rPr>
                <w:noProof/>
                <w:sz w:val="22"/>
                <w:szCs w:val="22"/>
              </w:rPr>
            </w:pPr>
            <w:r>
              <w:rPr>
                <w:noProof/>
                <w:sz w:val="22"/>
                <w:szCs w:val="22"/>
              </w:rPr>
              <w:t>-67</w:t>
            </w:r>
          </w:p>
        </w:tc>
        <w:tc>
          <w:tcPr>
            <w:tcW w:w="670" w:type="pct"/>
          </w:tcPr>
          <w:p w14:paraId="49D8CB3A" w14:textId="77777777" w:rsidR="002D4E92" w:rsidRPr="00244D65" w:rsidRDefault="002D4E92" w:rsidP="00545B9E">
            <w:pPr>
              <w:jc w:val="center"/>
              <w:rPr>
                <w:noProof/>
                <w:sz w:val="22"/>
                <w:szCs w:val="22"/>
              </w:rPr>
            </w:pPr>
            <w:r>
              <w:rPr>
                <w:noProof/>
                <w:sz w:val="22"/>
                <w:szCs w:val="22"/>
              </w:rPr>
              <w:t>49</w:t>
            </w:r>
          </w:p>
        </w:tc>
      </w:tr>
      <w:tr w:rsidR="002D4E92" w:rsidRPr="00244D65" w14:paraId="7A11C7AB" w14:textId="77777777" w:rsidTr="000C653C">
        <w:tc>
          <w:tcPr>
            <w:tcW w:w="2702" w:type="pct"/>
          </w:tcPr>
          <w:p w14:paraId="208A18DB" w14:textId="77777777" w:rsidR="002D4E92" w:rsidRPr="00244D65" w:rsidRDefault="002D4E92" w:rsidP="0085595C">
            <w:pPr>
              <w:rPr>
                <w:b/>
                <w:bCs/>
                <w:noProof/>
                <w:sz w:val="22"/>
                <w:szCs w:val="22"/>
              </w:rPr>
            </w:pPr>
            <w:r>
              <w:rPr>
                <w:b/>
                <w:bCs/>
                <w:noProof/>
                <w:sz w:val="22"/>
                <w:szCs w:val="22"/>
              </w:rPr>
              <w:t>Administrative costs</w:t>
            </w:r>
          </w:p>
        </w:tc>
        <w:tc>
          <w:tcPr>
            <w:tcW w:w="625" w:type="pct"/>
          </w:tcPr>
          <w:p w14:paraId="6CE851B6" w14:textId="77777777" w:rsidR="002D4E92" w:rsidRPr="00244D65" w:rsidRDefault="002D4E92" w:rsidP="00545B9E">
            <w:pPr>
              <w:jc w:val="center"/>
              <w:rPr>
                <w:noProof/>
                <w:sz w:val="22"/>
                <w:szCs w:val="22"/>
              </w:rPr>
            </w:pPr>
          </w:p>
        </w:tc>
        <w:tc>
          <w:tcPr>
            <w:tcW w:w="415" w:type="pct"/>
          </w:tcPr>
          <w:p w14:paraId="2793B040" w14:textId="77777777" w:rsidR="002D4E92" w:rsidRPr="00244D65" w:rsidRDefault="002D4E92" w:rsidP="00545B9E">
            <w:pPr>
              <w:jc w:val="center"/>
              <w:rPr>
                <w:noProof/>
                <w:sz w:val="22"/>
                <w:szCs w:val="22"/>
              </w:rPr>
            </w:pPr>
          </w:p>
        </w:tc>
        <w:tc>
          <w:tcPr>
            <w:tcW w:w="588" w:type="pct"/>
          </w:tcPr>
          <w:p w14:paraId="67DD47E9" w14:textId="77777777" w:rsidR="002D4E92" w:rsidRPr="00244D65" w:rsidRDefault="002D4E92" w:rsidP="00545B9E">
            <w:pPr>
              <w:jc w:val="center"/>
              <w:rPr>
                <w:noProof/>
                <w:sz w:val="22"/>
                <w:szCs w:val="22"/>
              </w:rPr>
            </w:pPr>
          </w:p>
        </w:tc>
        <w:tc>
          <w:tcPr>
            <w:tcW w:w="670" w:type="pct"/>
          </w:tcPr>
          <w:p w14:paraId="2F1CAC7B" w14:textId="77777777" w:rsidR="002D4E92" w:rsidRPr="00244D65" w:rsidRDefault="002D4E92" w:rsidP="00545B9E">
            <w:pPr>
              <w:jc w:val="center"/>
              <w:rPr>
                <w:noProof/>
                <w:sz w:val="22"/>
                <w:szCs w:val="22"/>
              </w:rPr>
            </w:pPr>
          </w:p>
        </w:tc>
      </w:tr>
      <w:tr w:rsidR="002D4E92" w:rsidRPr="00244D65" w14:paraId="1A419FD2" w14:textId="77777777" w:rsidTr="000C653C">
        <w:tc>
          <w:tcPr>
            <w:tcW w:w="2702" w:type="pct"/>
          </w:tcPr>
          <w:p w14:paraId="1725D4EC" w14:textId="77777777" w:rsidR="002D4E92" w:rsidRPr="00244D65" w:rsidRDefault="002D4E92" w:rsidP="0085595C">
            <w:pPr>
              <w:rPr>
                <w:b/>
                <w:bCs/>
                <w:noProof/>
                <w:sz w:val="22"/>
                <w:szCs w:val="22"/>
              </w:rPr>
            </w:pPr>
            <w:r>
              <w:rPr>
                <w:b/>
                <w:bCs/>
                <w:noProof/>
                <w:sz w:val="22"/>
                <w:szCs w:val="22"/>
              </w:rPr>
              <w:t>Applying for free allocation cost</w:t>
            </w:r>
          </w:p>
        </w:tc>
        <w:tc>
          <w:tcPr>
            <w:tcW w:w="625" w:type="pct"/>
          </w:tcPr>
          <w:p w14:paraId="2166277F" w14:textId="77777777" w:rsidR="002D4E92" w:rsidRPr="00244D65" w:rsidRDefault="002D4E92" w:rsidP="00545B9E">
            <w:pPr>
              <w:jc w:val="center"/>
              <w:rPr>
                <w:noProof/>
                <w:sz w:val="22"/>
                <w:szCs w:val="22"/>
              </w:rPr>
            </w:pPr>
            <w:r>
              <w:rPr>
                <w:noProof/>
                <w:sz w:val="22"/>
                <w:szCs w:val="22"/>
              </w:rPr>
              <w:t>M EUR</w:t>
            </w:r>
          </w:p>
        </w:tc>
        <w:tc>
          <w:tcPr>
            <w:tcW w:w="415" w:type="pct"/>
          </w:tcPr>
          <w:p w14:paraId="6705EABB" w14:textId="77777777" w:rsidR="002D4E92" w:rsidRPr="00244D65" w:rsidRDefault="002D4E92" w:rsidP="00545B9E">
            <w:pPr>
              <w:jc w:val="center"/>
              <w:rPr>
                <w:noProof/>
                <w:sz w:val="22"/>
                <w:szCs w:val="22"/>
              </w:rPr>
            </w:pPr>
            <w:r>
              <w:rPr>
                <w:noProof/>
                <w:sz w:val="22"/>
                <w:szCs w:val="22"/>
              </w:rPr>
              <w:t>0</w:t>
            </w:r>
          </w:p>
        </w:tc>
        <w:tc>
          <w:tcPr>
            <w:tcW w:w="588" w:type="pct"/>
          </w:tcPr>
          <w:p w14:paraId="690AFF98" w14:textId="77777777" w:rsidR="002D4E92" w:rsidRPr="00244D65" w:rsidRDefault="002D4E92" w:rsidP="00545B9E">
            <w:pPr>
              <w:jc w:val="center"/>
              <w:rPr>
                <w:noProof/>
                <w:sz w:val="22"/>
                <w:szCs w:val="22"/>
              </w:rPr>
            </w:pPr>
            <w:r>
              <w:rPr>
                <w:noProof/>
                <w:sz w:val="22"/>
                <w:szCs w:val="22"/>
              </w:rPr>
              <w:t>8</w:t>
            </w:r>
          </w:p>
        </w:tc>
        <w:tc>
          <w:tcPr>
            <w:tcW w:w="670" w:type="pct"/>
          </w:tcPr>
          <w:p w14:paraId="65FC4721" w14:textId="77777777" w:rsidR="002D4E92" w:rsidRPr="00244D65" w:rsidRDefault="002D4E92" w:rsidP="00545B9E">
            <w:pPr>
              <w:jc w:val="center"/>
              <w:rPr>
                <w:noProof/>
                <w:sz w:val="22"/>
                <w:szCs w:val="22"/>
              </w:rPr>
            </w:pPr>
            <w:r>
              <w:rPr>
                <w:noProof/>
                <w:sz w:val="22"/>
                <w:szCs w:val="22"/>
              </w:rPr>
              <w:t>0</w:t>
            </w:r>
          </w:p>
        </w:tc>
      </w:tr>
      <w:tr w:rsidR="002D4E92" w:rsidRPr="00244D65" w14:paraId="04A5157D" w14:textId="77777777" w:rsidTr="000C653C">
        <w:tc>
          <w:tcPr>
            <w:tcW w:w="2702" w:type="pct"/>
          </w:tcPr>
          <w:p w14:paraId="629D052B" w14:textId="77777777" w:rsidR="002D4E92" w:rsidRPr="00244D65" w:rsidRDefault="002D4E92" w:rsidP="0085595C">
            <w:pPr>
              <w:rPr>
                <w:b/>
                <w:bCs/>
                <w:noProof/>
                <w:sz w:val="22"/>
                <w:szCs w:val="22"/>
              </w:rPr>
            </w:pPr>
            <w:r>
              <w:rPr>
                <w:b/>
                <w:bCs/>
                <w:noProof/>
                <w:sz w:val="22"/>
                <w:szCs w:val="22"/>
              </w:rPr>
              <w:t>MRV costs for inclusion of waste activities</w:t>
            </w:r>
          </w:p>
        </w:tc>
        <w:tc>
          <w:tcPr>
            <w:tcW w:w="625" w:type="pct"/>
          </w:tcPr>
          <w:p w14:paraId="3CDC2035" w14:textId="77777777" w:rsidR="002D4E92" w:rsidRPr="00244D65" w:rsidRDefault="002D4E92" w:rsidP="00545B9E">
            <w:pPr>
              <w:jc w:val="center"/>
              <w:rPr>
                <w:noProof/>
                <w:sz w:val="22"/>
                <w:szCs w:val="22"/>
              </w:rPr>
            </w:pPr>
            <w:r>
              <w:rPr>
                <w:noProof/>
                <w:sz w:val="22"/>
                <w:szCs w:val="22"/>
              </w:rPr>
              <w:t>M EUR</w:t>
            </w:r>
          </w:p>
        </w:tc>
        <w:tc>
          <w:tcPr>
            <w:tcW w:w="415" w:type="pct"/>
          </w:tcPr>
          <w:p w14:paraId="63CC6612" w14:textId="77777777" w:rsidR="002D4E92" w:rsidRPr="00244D65" w:rsidRDefault="002D4E92" w:rsidP="00545B9E">
            <w:pPr>
              <w:jc w:val="center"/>
              <w:rPr>
                <w:noProof/>
                <w:sz w:val="22"/>
                <w:szCs w:val="22"/>
              </w:rPr>
            </w:pPr>
            <w:r>
              <w:rPr>
                <w:noProof/>
                <w:sz w:val="22"/>
                <w:szCs w:val="22"/>
              </w:rPr>
              <w:t>0</w:t>
            </w:r>
          </w:p>
        </w:tc>
        <w:tc>
          <w:tcPr>
            <w:tcW w:w="588" w:type="pct"/>
          </w:tcPr>
          <w:p w14:paraId="3374B20E" w14:textId="77777777" w:rsidR="002D4E92" w:rsidRPr="00244D65" w:rsidRDefault="002D4E92" w:rsidP="00545B9E">
            <w:pPr>
              <w:jc w:val="center"/>
              <w:rPr>
                <w:noProof/>
                <w:sz w:val="22"/>
                <w:szCs w:val="22"/>
              </w:rPr>
            </w:pPr>
            <w:r>
              <w:rPr>
                <w:noProof/>
                <w:sz w:val="22"/>
                <w:szCs w:val="22"/>
              </w:rPr>
              <w:t>7.8 - 78</w:t>
            </w:r>
          </w:p>
        </w:tc>
        <w:tc>
          <w:tcPr>
            <w:tcW w:w="670" w:type="pct"/>
          </w:tcPr>
          <w:p w14:paraId="1EDFA40C" w14:textId="77777777" w:rsidR="002D4E92" w:rsidRPr="00244D65" w:rsidRDefault="002D4E92" w:rsidP="00545B9E">
            <w:pPr>
              <w:jc w:val="center"/>
              <w:rPr>
                <w:noProof/>
                <w:sz w:val="22"/>
                <w:szCs w:val="22"/>
              </w:rPr>
            </w:pPr>
            <w:r>
              <w:rPr>
                <w:noProof/>
                <w:sz w:val="22"/>
                <w:szCs w:val="22"/>
              </w:rPr>
              <w:t>&lt;7.8 - 78</w:t>
            </w:r>
          </w:p>
        </w:tc>
      </w:tr>
      <w:tr w:rsidR="002D4E92" w:rsidRPr="00244D65" w14:paraId="2A065B8B" w14:textId="77777777" w:rsidTr="000C653C">
        <w:tc>
          <w:tcPr>
            <w:tcW w:w="2702" w:type="pct"/>
          </w:tcPr>
          <w:p w14:paraId="4C360792" w14:textId="77777777" w:rsidR="002D4E92" w:rsidRPr="00244D65" w:rsidRDefault="002D4E92" w:rsidP="0085595C">
            <w:pPr>
              <w:rPr>
                <w:b/>
                <w:bCs/>
                <w:noProof/>
                <w:sz w:val="22"/>
                <w:szCs w:val="22"/>
              </w:rPr>
            </w:pPr>
            <w:r>
              <w:rPr>
                <w:b/>
                <w:bCs/>
                <w:noProof/>
                <w:sz w:val="22"/>
                <w:szCs w:val="22"/>
              </w:rPr>
              <w:t>Public authorities</w:t>
            </w:r>
          </w:p>
        </w:tc>
        <w:tc>
          <w:tcPr>
            <w:tcW w:w="625" w:type="pct"/>
          </w:tcPr>
          <w:p w14:paraId="4FCD377E" w14:textId="77777777" w:rsidR="002D4E92" w:rsidRPr="00244D65" w:rsidRDefault="002D4E92" w:rsidP="00545B9E">
            <w:pPr>
              <w:jc w:val="center"/>
              <w:rPr>
                <w:noProof/>
                <w:sz w:val="22"/>
                <w:szCs w:val="22"/>
              </w:rPr>
            </w:pPr>
          </w:p>
        </w:tc>
        <w:tc>
          <w:tcPr>
            <w:tcW w:w="415" w:type="pct"/>
          </w:tcPr>
          <w:p w14:paraId="0ED6B33E" w14:textId="77777777" w:rsidR="002D4E92" w:rsidRPr="00244D65" w:rsidRDefault="002D4E92" w:rsidP="00545B9E">
            <w:pPr>
              <w:jc w:val="center"/>
              <w:rPr>
                <w:noProof/>
                <w:sz w:val="22"/>
                <w:szCs w:val="22"/>
              </w:rPr>
            </w:pPr>
          </w:p>
        </w:tc>
        <w:tc>
          <w:tcPr>
            <w:tcW w:w="588" w:type="pct"/>
          </w:tcPr>
          <w:p w14:paraId="5DA71C86" w14:textId="77777777" w:rsidR="002D4E92" w:rsidRPr="00244D65" w:rsidRDefault="002D4E92" w:rsidP="00545B9E">
            <w:pPr>
              <w:jc w:val="center"/>
              <w:rPr>
                <w:noProof/>
                <w:sz w:val="22"/>
                <w:szCs w:val="22"/>
              </w:rPr>
            </w:pPr>
          </w:p>
        </w:tc>
        <w:tc>
          <w:tcPr>
            <w:tcW w:w="670" w:type="pct"/>
          </w:tcPr>
          <w:p w14:paraId="6EFE3A10" w14:textId="77777777" w:rsidR="002D4E92" w:rsidRPr="00244D65" w:rsidRDefault="002D4E92" w:rsidP="00545B9E">
            <w:pPr>
              <w:jc w:val="center"/>
              <w:rPr>
                <w:noProof/>
                <w:sz w:val="22"/>
                <w:szCs w:val="22"/>
              </w:rPr>
            </w:pPr>
          </w:p>
        </w:tc>
      </w:tr>
      <w:tr w:rsidR="002D4E92" w:rsidRPr="00244D65" w14:paraId="27A508DA" w14:textId="77777777" w:rsidTr="000C653C">
        <w:tc>
          <w:tcPr>
            <w:tcW w:w="2702" w:type="pct"/>
          </w:tcPr>
          <w:p w14:paraId="50F2B458" w14:textId="77777777" w:rsidR="002D4E92" w:rsidRPr="00244D65" w:rsidRDefault="002D4E92" w:rsidP="0085595C">
            <w:pPr>
              <w:rPr>
                <w:b/>
                <w:bCs/>
                <w:noProof/>
                <w:sz w:val="22"/>
                <w:szCs w:val="22"/>
              </w:rPr>
            </w:pPr>
            <w:r>
              <w:rPr>
                <w:b/>
                <w:bCs/>
                <w:noProof/>
                <w:sz w:val="22"/>
                <w:szCs w:val="22"/>
              </w:rPr>
              <w:t>Benefits</w:t>
            </w:r>
          </w:p>
        </w:tc>
        <w:tc>
          <w:tcPr>
            <w:tcW w:w="625" w:type="pct"/>
          </w:tcPr>
          <w:p w14:paraId="09FD6D70" w14:textId="77777777" w:rsidR="002D4E92" w:rsidRPr="00244D65" w:rsidRDefault="002D4E92" w:rsidP="00545B9E">
            <w:pPr>
              <w:jc w:val="center"/>
              <w:rPr>
                <w:noProof/>
                <w:sz w:val="22"/>
                <w:szCs w:val="22"/>
              </w:rPr>
            </w:pPr>
          </w:p>
        </w:tc>
        <w:tc>
          <w:tcPr>
            <w:tcW w:w="415" w:type="pct"/>
          </w:tcPr>
          <w:p w14:paraId="5A5C1084" w14:textId="77777777" w:rsidR="002D4E92" w:rsidRPr="00244D65" w:rsidRDefault="002D4E92" w:rsidP="00545B9E">
            <w:pPr>
              <w:jc w:val="center"/>
              <w:rPr>
                <w:noProof/>
                <w:sz w:val="22"/>
                <w:szCs w:val="22"/>
              </w:rPr>
            </w:pPr>
          </w:p>
        </w:tc>
        <w:tc>
          <w:tcPr>
            <w:tcW w:w="588" w:type="pct"/>
          </w:tcPr>
          <w:p w14:paraId="18F285F3" w14:textId="77777777" w:rsidR="002D4E92" w:rsidRPr="00244D65" w:rsidRDefault="002D4E92" w:rsidP="00545B9E">
            <w:pPr>
              <w:jc w:val="center"/>
              <w:rPr>
                <w:noProof/>
                <w:sz w:val="22"/>
                <w:szCs w:val="22"/>
              </w:rPr>
            </w:pPr>
          </w:p>
        </w:tc>
        <w:tc>
          <w:tcPr>
            <w:tcW w:w="670" w:type="pct"/>
          </w:tcPr>
          <w:p w14:paraId="2B0987A2" w14:textId="77777777" w:rsidR="002D4E92" w:rsidRPr="00244D65" w:rsidRDefault="002D4E92" w:rsidP="00545B9E">
            <w:pPr>
              <w:jc w:val="center"/>
              <w:rPr>
                <w:noProof/>
                <w:sz w:val="22"/>
                <w:szCs w:val="22"/>
              </w:rPr>
            </w:pPr>
          </w:p>
        </w:tc>
      </w:tr>
      <w:tr w:rsidR="00B02ADE" w:rsidRPr="00244D65" w14:paraId="14D1E256" w14:textId="77777777" w:rsidTr="000C653C">
        <w:tc>
          <w:tcPr>
            <w:tcW w:w="2702" w:type="pct"/>
          </w:tcPr>
          <w:p w14:paraId="0151531D" w14:textId="77777777" w:rsidR="002D4E92" w:rsidRPr="00244D65" w:rsidRDefault="002D4E92" w:rsidP="0085595C">
            <w:pPr>
              <w:rPr>
                <w:b/>
                <w:bCs/>
                <w:noProof/>
                <w:sz w:val="22"/>
                <w:szCs w:val="22"/>
              </w:rPr>
            </w:pPr>
            <w:r>
              <w:rPr>
                <w:b/>
                <w:bCs/>
                <w:noProof/>
                <w:sz w:val="22"/>
                <w:szCs w:val="22"/>
              </w:rPr>
              <w:t>Revenues</w:t>
            </w:r>
          </w:p>
        </w:tc>
        <w:tc>
          <w:tcPr>
            <w:tcW w:w="625" w:type="pct"/>
          </w:tcPr>
          <w:p w14:paraId="27EE30B1" w14:textId="77777777" w:rsidR="002D4E92" w:rsidRPr="00244D65" w:rsidRDefault="002D4E92" w:rsidP="00545B9E">
            <w:pPr>
              <w:jc w:val="center"/>
              <w:rPr>
                <w:noProof/>
                <w:sz w:val="22"/>
                <w:szCs w:val="22"/>
              </w:rPr>
            </w:pPr>
            <w:r>
              <w:rPr>
                <w:noProof/>
                <w:sz w:val="22"/>
                <w:szCs w:val="22"/>
              </w:rPr>
              <w:t>Bn EUR</w:t>
            </w:r>
          </w:p>
        </w:tc>
        <w:tc>
          <w:tcPr>
            <w:tcW w:w="415" w:type="pct"/>
          </w:tcPr>
          <w:p w14:paraId="77CEAFC5" w14:textId="062B3A85" w:rsidR="002D4E92" w:rsidRPr="00244D65" w:rsidRDefault="003976FE" w:rsidP="00545B9E">
            <w:pPr>
              <w:jc w:val="center"/>
              <w:rPr>
                <w:noProof/>
                <w:sz w:val="22"/>
                <w:szCs w:val="22"/>
              </w:rPr>
            </w:pPr>
            <w:r>
              <w:rPr>
                <w:noProof/>
                <w:sz w:val="22"/>
                <w:szCs w:val="22"/>
              </w:rPr>
              <w:t>315</w:t>
            </w:r>
          </w:p>
        </w:tc>
        <w:tc>
          <w:tcPr>
            <w:tcW w:w="588" w:type="pct"/>
          </w:tcPr>
          <w:p w14:paraId="4F3A0A1F" w14:textId="4370A27C" w:rsidR="002D4E92" w:rsidRPr="00244D65" w:rsidRDefault="00D8298F" w:rsidP="00545B9E">
            <w:pPr>
              <w:jc w:val="center"/>
              <w:rPr>
                <w:noProof/>
                <w:sz w:val="22"/>
                <w:szCs w:val="22"/>
              </w:rPr>
            </w:pPr>
            <w:r>
              <w:rPr>
                <w:noProof/>
                <w:sz w:val="22"/>
                <w:szCs w:val="22"/>
              </w:rPr>
              <w:t>335</w:t>
            </w:r>
          </w:p>
        </w:tc>
        <w:tc>
          <w:tcPr>
            <w:tcW w:w="670" w:type="pct"/>
          </w:tcPr>
          <w:p w14:paraId="00A31890" w14:textId="5316424B" w:rsidR="002D4E92" w:rsidRPr="00244D65" w:rsidRDefault="009A6316" w:rsidP="00545B9E">
            <w:pPr>
              <w:jc w:val="center"/>
              <w:rPr>
                <w:noProof/>
                <w:sz w:val="22"/>
                <w:szCs w:val="22"/>
              </w:rPr>
            </w:pPr>
            <w:r>
              <w:rPr>
                <w:noProof/>
                <w:sz w:val="22"/>
                <w:szCs w:val="22"/>
              </w:rPr>
              <w:t>540</w:t>
            </w:r>
          </w:p>
        </w:tc>
      </w:tr>
    </w:tbl>
    <w:p w14:paraId="597B61E9" w14:textId="2119D6BE" w:rsidR="00233FE2" w:rsidRPr="00244D65" w:rsidRDefault="00233FE2" w:rsidP="0085595C">
      <w:pPr>
        <w:rPr>
          <w:rFonts w:eastAsia="Times New Roman"/>
          <w:noProof/>
        </w:rPr>
      </w:pPr>
      <w:r w:rsidRPr="00244D65">
        <w:rPr>
          <w:noProof/>
        </w:rPr>
        <w:t xml:space="preserve">Overall, all policy options result in </w:t>
      </w:r>
      <w:r w:rsidRPr="00244D65">
        <w:rPr>
          <w:b/>
          <w:bCs/>
          <w:noProof/>
        </w:rPr>
        <w:t>net benefits</w:t>
      </w:r>
      <w:r w:rsidRPr="00244D65">
        <w:rPr>
          <w:noProof/>
        </w:rPr>
        <w:t xml:space="preserve"> relative to the baseline</w:t>
      </w:r>
      <w:r w:rsidR="00344642" w:rsidRPr="00244D65">
        <w:rPr>
          <w:noProof/>
        </w:rPr>
        <w:t>, on these elements</w:t>
      </w:r>
      <w:r w:rsidR="00DF3F17" w:rsidRPr="00244D65">
        <w:rPr>
          <w:noProof/>
        </w:rPr>
        <w:t>.</w:t>
      </w:r>
      <w:r w:rsidRPr="00244D65">
        <w:rPr>
          <w:noProof/>
        </w:rPr>
        <w:t xml:space="preserve"> This is evident from the output from the modelling runs from PRIMES and GEM-E3 as well as the further quantitative esti</w:t>
      </w:r>
      <w:r w:rsidRPr="00244D65">
        <w:rPr>
          <w:rFonts w:eastAsia="Times New Roman"/>
          <w:noProof/>
        </w:rPr>
        <w:t>mates</w:t>
      </w:r>
      <w:r w:rsidR="007F0A09" w:rsidRPr="00244D65">
        <w:rPr>
          <w:rFonts w:eastAsia="Times New Roman"/>
          <w:noProof/>
        </w:rPr>
        <w:t>.</w:t>
      </w:r>
    </w:p>
    <w:p w14:paraId="41BEB767" w14:textId="0E08BB9E" w:rsidR="007F0AB5" w:rsidRPr="00244D65" w:rsidRDefault="007F0AB5" w:rsidP="0085595C">
      <w:pPr>
        <w:rPr>
          <w:rFonts w:eastAsia="Times New Roman"/>
          <w:noProof/>
        </w:rPr>
      </w:pPr>
      <w:r w:rsidRPr="00244D65">
        <w:rPr>
          <w:rFonts w:eastAsia="Times New Roman"/>
          <w:noProof/>
        </w:rPr>
        <w:t xml:space="preserve">For aviation, </w:t>
      </w:r>
      <w:r w:rsidR="00D10172" w:rsidRPr="00244D65">
        <w:rPr>
          <w:rFonts w:eastAsia="Times New Roman"/>
          <w:noProof/>
        </w:rPr>
        <w:t xml:space="preserve">PO2 is the most efficient policy option because </w:t>
      </w:r>
      <w:r w:rsidR="003936A0" w:rsidRPr="00244D65">
        <w:rPr>
          <w:rFonts w:eastAsia="Times New Roman"/>
          <w:noProof/>
        </w:rPr>
        <w:t xml:space="preserve">(other than the baseline) </w:t>
      </w:r>
      <w:r w:rsidR="00D10172" w:rsidRPr="00244D65">
        <w:rPr>
          <w:rFonts w:eastAsia="Times New Roman"/>
          <w:noProof/>
        </w:rPr>
        <w:t xml:space="preserve">it results in </w:t>
      </w:r>
      <w:r w:rsidR="003936A0" w:rsidRPr="00244D65">
        <w:rPr>
          <w:rFonts w:eastAsia="Times New Roman"/>
          <w:noProof/>
        </w:rPr>
        <w:t xml:space="preserve">the highest emissions reductions and the highest revenues to be used for climate </w:t>
      </w:r>
      <w:r w:rsidR="00806BAC" w:rsidRPr="00244D65">
        <w:rPr>
          <w:rFonts w:eastAsia="Times New Roman"/>
          <w:noProof/>
        </w:rPr>
        <w:t xml:space="preserve">purposes. It also sets aside </w:t>
      </w:r>
      <w:r w:rsidR="00E26D3C" w:rsidRPr="00244D65">
        <w:rPr>
          <w:rFonts w:eastAsia="Times New Roman"/>
          <w:noProof/>
        </w:rPr>
        <w:t>more allowances for</w:t>
      </w:r>
      <w:r w:rsidR="00806BAC" w:rsidRPr="00244D65">
        <w:rPr>
          <w:rFonts w:eastAsia="Times New Roman"/>
          <w:noProof/>
        </w:rPr>
        <w:t xml:space="preserve"> ETS-financed SAF support</w:t>
      </w:r>
      <w:r w:rsidR="00D71319" w:rsidRPr="00244D65">
        <w:rPr>
          <w:rFonts w:eastAsia="Times New Roman"/>
          <w:noProof/>
        </w:rPr>
        <w:t xml:space="preserve"> than are currently available </w:t>
      </w:r>
      <w:r w:rsidR="002E5CF2" w:rsidRPr="00244D65">
        <w:rPr>
          <w:rFonts w:eastAsia="Times New Roman"/>
          <w:noProof/>
        </w:rPr>
        <w:t>or would be available in the baseline/ PO1 (which do not allow for further ETS-financed SAF support).</w:t>
      </w:r>
      <w:r w:rsidR="00DF2428" w:rsidRPr="00244D65">
        <w:rPr>
          <w:rFonts w:eastAsia="Times New Roman"/>
          <w:noProof/>
        </w:rPr>
        <w:t xml:space="preserve"> See Annex 10</w:t>
      </w:r>
      <w:r w:rsidR="00B11560" w:rsidRPr="00244D65">
        <w:rPr>
          <w:rFonts w:eastAsia="Times New Roman"/>
          <w:noProof/>
        </w:rPr>
        <w:t xml:space="preserve">, </w:t>
      </w:r>
      <w:r w:rsidR="00075027" w:rsidRPr="00244D65">
        <w:rPr>
          <w:rFonts w:eastAsia="Times New Roman"/>
          <w:noProof/>
        </w:rPr>
        <w:t>S</w:t>
      </w:r>
      <w:r w:rsidR="00B11560" w:rsidRPr="00244D65">
        <w:rPr>
          <w:rFonts w:eastAsia="Times New Roman"/>
          <w:noProof/>
        </w:rPr>
        <w:t xml:space="preserve">ection </w:t>
      </w:r>
      <w:r w:rsidR="00E528AE" w:rsidRPr="00244D65">
        <w:rPr>
          <w:rFonts w:eastAsia="Times New Roman"/>
          <w:noProof/>
        </w:rPr>
        <w:t xml:space="preserve">1.3, </w:t>
      </w:r>
      <w:r w:rsidR="00075027" w:rsidRPr="00244D65">
        <w:rPr>
          <w:rFonts w:eastAsia="Times New Roman"/>
          <w:noProof/>
        </w:rPr>
        <w:t>1</w:t>
      </w:r>
      <w:r w:rsidR="00E528AE" w:rsidRPr="00244D65">
        <w:rPr>
          <w:rFonts w:eastAsia="Times New Roman"/>
          <w:noProof/>
        </w:rPr>
        <w:t>.5, 2.3, 2.4 and 3.1</w:t>
      </w:r>
      <w:r w:rsidR="00DF2428" w:rsidRPr="00244D65">
        <w:rPr>
          <w:rFonts w:eastAsia="Times New Roman"/>
          <w:noProof/>
        </w:rPr>
        <w:t>.</w:t>
      </w:r>
    </w:p>
    <w:p w14:paraId="4D1300EE" w14:textId="075441B5" w:rsidR="00044CEA" w:rsidRPr="00244D65" w:rsidRDefault="00E02CDD" w:rsidP="0085595C">
      <w:pPr>
        <w:rPr>
          <w:rFonts w:ascii="Segoe UI" w:hAnsi="Segoe UI" w:cs="Segoe UI"/>
          <w:noProof/>
          <w:sz w:val="18"/>
          <w:szCs w:val="18"/>
          <w:lang w:eastAsia="en-IE"/>
        </w:rPr>
      </w:pPr>
      <w:r w:rsidRPr="00244D65">
        <w:rPr>
          <w:rFonts w:eastAsia="Times New Roman"/>
          <w:noProof/>
        </w:rPr>
        <w:t>Regarding maritime transport, t</w:t>
      </w:r>
      <w:r w:rsidR="00DF3F17" w:rsidRPr="00244D65">
        <w:rPr>
          <w:rFonts w:eastAsia="Times New Roman"/>
          <w:noProof/>
        </w:rPr>
        <w:t>he</w:t>
      </w:r>
      <w:r w:rsidR="00044CEA" w:rsidRPr="00244D65">
        <w:rPr>
          <w:rFonts w:eastAsia="Times New Roman"/>
          <w:noProof/>
        </w:rPr>
        <w:t xml:space="preserve"> efficiency of the different policy options is compared in terms of their social Net Present Value (NPV), which compares discounted benefits of emission savings from the maritime sector against discounted abatement costs and administrative costs. ETS</w:t>
      </w:r>
      <w:r w:rsidR="00512AB9" w:rsidRPr="00244D65">
        <w:rPr>
          <w:rFonts w:eastAsia="Times New Roman"/>
          <w:noProof/>
        </w:rPr>
        <w:t xml:space="preserve"> </w:t>
      </w:r>
      <w:r w:rsidR="00D31FC9" w:rsidRPr="00244D65">
        <w:rPr>
          <w:rFonts w:eastAsia="Times New Roman"/>
          <w:noProof/>
        </w:rPr>
        <w:t>or</w:t>
      </w:r>
      <w:r>
        <w:rPr>
          <w:rFonts w:eastAsia="Times New Roman"/>
          <w:noProof/>
        </w:rPr>
        <w:t xml:space="preserve"> possible</w:t>
      </w:r>
      <w:r w:rsidR="00D31FC9" w:rsidRPr="00244D65">
        <w:rPr>
          <w:rFonts w:eastAsia="Times New Roman"/>
          <w:noProof/>
        </w:rPr>
        <w:t xml:space="preserve"> IMO</w:t>
      </w:r>
      <w:r w:rsidR="00512AB9" w:rsidRPr="00244D65">
        <w:rPr>
          <w:rFonts w:eastAsia="Times New Roman"/>
          <w:noProof/>
        </w:rPr>
        <w:t xml:space="preserve"> </w:t>
      </w:r>
      <w:r w:rsidR="00044CEA" w:rsidRPr="00244D65">
        <w:rPr>
          <w:rFonts w:eastAsia="Times New Roman"/>
          <w:noProof/>
        </w:rPr>
        <w:t xml:space="preserve">payments are excluded from this analysis as </w:t>
      </w:r>
      <w:r w:rsidR="00E97432" w:rsidRPr="00244D65">
        <w:rPr>
          <w:rFonts w:eastAsia="Times New Roman"/>
          <w:noProof/>
        </w:rPr>
        <w:t>they</w:t>
      </w:r>
      <w:r w:rsidR="00044CEA" w:rsidRPr="00244D65">
        <w:rPr>
          <w:rFonts w:eastAsia="Times New Roman"/>
          <w:noProof/>
        </w:rPr>
        <w:t xml:space="preserve"> represent a transfer between agents from the perspective</w:t>
      </w:r>
      <w:r w:rsidR="00894D5D" w:rsidRPr="00244D65">
        <w:rPr>
          <w:rFonts w:eastAsia="Times New Roman"/>
          <w:noProof/>
        </w:rPr>
        <w:t xml:space="preserve"> of the </w:t>
      </w:r>
      <w:r w:rsidR="00044CEA" w:rsidRPr="00244D65">
        <w:rPr>
          <w:rFonts w:eastAsia="Times New Roman"/>
          <w:noProof/>
        </w:rPr>
        <w:t>societ</w:t>
      </w:r>
      <w:r w:rsidR="00894D5D" w:rsidRPr="00244D65">
        <w:rPr>
          <w:rFonts w:eastAsia="Times New Roman"/>
          <w:noProof/>
        </w:rPr>
        <w:t>y</w:t>
      </w:r>
      <w:r w:rsidR="00044CEA" w:rsidRPr="00244D65">
        <w:rPr>
          <w:rFonts w:eastAsia="Times New Roman"/>
          <w:noProof/>
        </w:rPr>
        <w:t xml:space="preserve">. Results presented in Table </w:t>
      </w:r>
      <w:r>
        <w:rPr>
          <w:rFonts w:eastAsia="Times New Roman"/>
          <w:noProof/>
        </w:rPr>
        <w:t>17</w:t>
      </w:r>
      <w:r w:rsidR="00FA0B00" w:rsidRPr="00244D65">
        <w:rPr>
          <w:noProof/>
          <w:lang w:eastAsia="en-IE"/>
        </w:rPr>
        <w:t xml:space="preserve"> </w:t>
      </w:r>
      <w:r w:rsidR="00044CEA" w:rsidRPr="00244D65">
        <w:rPr>
          <w:noProof/>
          <w:lang w:eastAsia="en-IE"/>
        </w:rPr>
        <w:t>show that both PO2 and PO3 would lead to a positive social NPV, compared to PO1. </w:t>
      </w:r>
    </w:p>
    <w:p w14:paraId="6D1787E5" w14:textId="448D4067" w:rsidR="00044CEA" w:rsidRPr="00244D65" w:rsidRDefault="00044CEA" w:rsidP="005E4778">
      <w:pPr>
        <w:pStyle w:val="Tabletitle"/>
        <w:rPr>
          <w:noProof/>
          <w:lang w:eastAsia="en-IE"/>
        </w:rPr>
      </w:pPr>
      <w:bookmarkStart w:id="300" w:name="_Toc234496397"/>
      <w:bookmarkStart w:id="301" w:name="_Toc232754577"/>
      <w:r w:rsidRPr="00244D65">
        <w:rPr>
          <w:noProof/>
        </w:rPr>
        <w:t>Social</w:t>
      </w:r>
      <w:r w:rsidRPr="00244D65">
        <w:rPr>
          <w:noProof/>
          <w:lang w:eastAsia="en-IE"/>
        </w:rPr>
        <w:t xml:space="preserve"> Net Present Value (NPV) of policy options PO2 and PO3 compared to PO1 (million EUR)</w:t>
      </w:r>
      <w:bookmarkEnd w:id="300"/>
      <w:bookmarkEnd w:id="301"/>
    </w:p>
    <w:p w14:paraId="4669783F" w14:textId="77777777" w:rsidR="00BA4E81" w:rsidRDefault="00BA4E81" w:rsidP="00C963A3">
      <w:pPr>
        <w:pStyle w:val="Tabletitle"/>
        <w:numPr>
          <w:ilvl w:val="0"/>
          <w:numId w:val="0"/>
        </w:numPr>
        <w:ind w:left="709"/>
        <w:rPr>
          <w:noProof/>
          <w:szCs w:val="22"/>
          <w:lang w:eastAsia="en-IE"/>
        </w:rPr>
      </w:pPr>
    </w:p>
    <w:tbl>
      <w:tblPr>
        <w:tblW w:w="8741"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left w:w="0" w:type="dxa"/>
          <w:right w:w="0" w:type="dxa"/>
        </w:tblCellMar>
        <w:tblLook w:val="04A0" w:firstRow="1" w:lastRow="0" w:firstColumn="1" w:lastColumn="0" w:noHBand="0" w:noVBand="1"/>
      </w:tblPr>
      <w:tblGrid>
        <w:gridCol w:w="4375"/>
        <w:gridCol w:w="2183"/>
        <w:gridCol w:w="2183"/>
      </w:tblGrid>
      <w:tr w:rsidR="00EE53B8" w:rsidRPr="00244D65" w14:paraId="0209AF5F" w14:textId="77777777">
        <w:trPr>
          <w:trHeight w:val="285"/>
        </w:trPr>
        <w:tc>
          <w:tcPr>
            <w:tcW w:w="4375" w:type="dxa"/>
            <w:hideMark/>
          </w:tcPr>
          <w:p w14:paraId="1A12FC28" w14:textId="77777777" w:rsidR="00EE53B8" w:rsidRPr="00244D65" w:rsidRDefault="00EE53B8" w:rsidP="0085595C">
            <w:pPr>
              <w:rPr>
                <w:noProof/>
                <w:color w:val="FFFFFF"/>
                <w:sz w:val="22"/>
                <w:szCs w:val="22"/>
                <w:lang w:eastAsia="en-IE"/>
              </w:rPr>
            </w:pPr>
            <w:r>
              <w:rPr>
                <w:noProof/>
                <w:sz w:val="22"/>
                <w:szCs w:val="22"/>
                <w:lang w:eastAsia="en-IE"/>
              </w:rPr>
              <w:t> </w:t>
            </w:r>
          </w:p>
        </w:tc>
        <w:tc>
          <w:tcPr>
            <w:tcW w:w="2183" w:type="dxa"/>
            <w:hideMark/>
          </w:tcPr>
          <w:p w14:paraId="65605B87" w14:textId="4750E89F" w:rsidR="00EE53B8" w:rsidRPr="00244D65" w:rsidRDefault="00EE53B8" w:rsidP="00545B9E">
            <w:pPr>
              <w:jc w:val="center"/>
              <w:rPr>
                <w:b/>
                <w:noProof/>
                <w:sz w:val="22"/>
                <w:szCs w:val="22"/>
                <w:lang w:eastAsia="en-IE"/>
              </w:rPr>
            </w:pPr>
            <w:r>
              <w:rPr>
                <w:b/>
                <w:noProof/>
                <w:sz w:val="22"/>
                <w:szCs w:val="22"/>
                <w:lang w:eastAsia="en-IE"/>
              </w:rPr>
              <w:t>PO2</w:t>
            </w:r>
          </w:p>
        </w:tc>
        <w:tc>
          <w:tcPr>
            <w:tcW w:w="2183" w:type="dxa"/>
            <w:hideMark/>
          </w:tcPr>
          <w:p w14:paraId="3CA43172" w14:textId="05F8E63F" w:rsidR="00EE53B8" w:rsidRPr="00244D65" w:rsidRDefault="00EE53B8" w:rsidP="00545B9E">
            <w:pPr>
              <w:jc w:val="center"/>
              <w:rPr>
                <w:b/>
                <w:noProof/>
                <w:sz w:val="22"/>
                <w:szCs w:val="22"/>
                <w:lang w:eastAsia="en-IE"/>
              </w:rPr>
            </w:pPr>
            <w:r>
              <w:rPr>
                <w:b/>
                <w:noProof/>
                <w:sz w:val="22"/>
                <w:szCs w:val="22"/>
                <w:lang w:eastAsia="en-IE"/>
              </w:rPr>
              <w:t>PO3</w:t>
            </w:r>
          </w:p>
        </w:tc>
      </w:tr>
      <w:tr w:rsidR="00EE53B8" w:rsidRPr="00244D65" w14:paraId="0506EB99" w14:textId="77777777">
        <w:trPr>
          <w:trHeight w:val="285"/>
        </w:trPr>
        <w:tc>
          <w:tcPr>
            <w:tcW w:w="4375" w:type="dxa"/>
            <w:hideMark/>
          </w:tcPr>
          <w:p w14:paraId="48997187" w14:textId="77777777" w:rsidR="00EE53B8" w:rsidRPr="00244D65" w:rsidRDefault="00EE53B8" w:rsidP="0085595C">
            <w:pPr>
              <w:rPr>
                <w:b/>
                <w:noProof/>
                <w:sz w:val="22"/>
                <w:szCs w:val="22"/>
                <w:lang w:eastAsia="en-IE"/>
              </w:rPr>
            </w:pPr>
            <w:r>
              <w:rPr>
                <w:b/>
                <w:noProof/>
                <w:sz w:val="22"/>
                <w:szCs w:val="22"/>
                <w:lang w:eastAsia="en-IE"/>
              </w:rPr>
              <w:t>Monetised GHG emission benefits </w:t>
            </w:r>
          </w:p>
        </w:tc>
        <w:tc>
          <w:tcPr>
            <w:tcW w:w="2183" w:type="dxa"/>
            <w:hideMark/>
          </w:tcPr>
          <w:p w14:paraId="41A533B8" w14:textId="1D203905" w:rsidR="00EE53B8" w:rsidRPr="00244D65" w:rsidRDefault="00EE53B8" w:rsidP="00545B9E">
            <w:pPr>
              <w:jc w:val="center"/>
              <w:rPr>
                <w:noProof/>
                <w:sz w:val="22"/>
                <w:szCs w:val="22"/>
                <w:lang w:eastAsia="en-IE"/>
              </w:rPr>
            </w:pPr>
            <w:r>
              <w:rPr>
                <w:noProof/>
                <w:sz w:val="22"/>
                <w:szCs w:val="22"/>
                <w:lang w:eastAsia="en-IE"/>
              </w:rPr>
              <w:t>22,075</w:t>
            </w:r>
          </w:p>
        </w:tc>
        <w:tc>
          <w:tcPr>
            <w:tcW w:w="2183" w:type="dxa"/>
            <w:hideMark/>
          </w:tcPr>
          <w:p w14:paraId="79BDE4FE" w14:textId="58177CEF" w:rsidR="00EE53B8" w:rsidRPr="00244D65" w:rsidRDefault="00EE53B8" w:rsidP="00545B9E">
            <w:pPr>
              <w:jc w:val="center"/>
              <w:rPr>
                <w:noProof/>
                <w:sz w:val="22"/>
                <w:szCs w:val="22"/>
                <w:lang w:eastAsia="en-IE"/>
              </w:rPr>
            </w:pPr>
            <w:r>
              <w:rPr>
                <w:noProof/>
                <w:sz w:val="22"/>
                <w:szCs w:val="22"/>
                <w:lang w:eastAsia="en-IE"/>
              </w:rPr>
              <w:t>27,790</w:t>
            </w:r>
          </w:p>
        </w:tc>
      </w:tr>
      <w:tr w:rsidR="00EE53B8" w:rsidRPr="00244D65" w14:paraId="39703880" w14:textId="77777777">
        <w:trPr>
          <w:trHeight w:val="285"/>
        </w:trPr>
        <w:tc>
          <w:tcPr>
            <w:tcW w:w="4375" w:type="dxa"/>
            <w:hideMark/>
          </w:tcPr>
          <w:p w14:paraId="758901DA" w14:textId="77777777" w:rsidR="00EE53B8" w:rsidRPr="00244D65" w:rsidRDefault="00EE53B8" w:rsidP="0085595C">
            <w:pPr>
              <w:rPr>
                <w:b/>
                <w:noProof/>
                <w:sz w:val="22"/>
                <w:szCs w:val="22"/>
                <w:lang w:eastAsia="en-IE"/>
              </w:rPr>
            </w:pPr>
            <w:r>
              <w:rPr>
                <w:b/>
                <w:noProof/>
                <w:sz w:val="22"/>
                <w:szCs w:val="22"/>
                <w:lang w:eastAsia="en-IE"/>
              </w:rPr>
              <w:t>Monetised air quality benefits </w:t>
            </w:r>
          </w:p>
        </w:tc>
        <w:tc>
          <w:tcPr>
            <w:tcW w:w="2183" w:type="dxa"/>
            <w:hideMark/>
          </w:tcPr>
          <w:p w14:paraId="24190E05" w14:textId="78383E05" w:rsidR="00EE53B8" w:rsidRPr="00244D65" w:rsidRDefault="00EE53B8" w:rsidP="00545B9E">
            <w:pPr>
              <w:jc w:val="center"/>
              <w:rPr>
                <w:noProof/>
                <w:sz w:val="22"/>
                <w:szCs w:val="22"/>
                <w:lang w:eastAsia="en-IE"/>
              </w:rPr>
            </w:pPr>
            <w:r>
              <w:rPr>
                <w:noProof/>
                <w:sz w:val="22"/>
                <w:szCs w:val="22"/>
                <w:lang w:eastAsia="en-IE"/>
              </w:rPr>
              <w:t>64</w:t>
            </w:r>
          </w:p>
        </w:tc>
        <w:tc>
          <w:tcPr>
            <w:tcW w:w="2183" w:type="dxa"/>
            <w:hideMark/>
          </w:tcPr>
          <w:p w14:paraId="703B992D" w14:textId="20B0316A" w:rsidR="00EE53B8" w:rsidRPr="00244D65" w:rsidRDefault="00EE53B8" w:rsidP="00545B9E">
            <w:pPr>
              <w:jc w:val="center"/>
              <w:rPr>
                <w:noProof/>
                <w:sz w:val="22"/>
                <w:szCs w:val="22"/>
                <w:lang w:eastAsia="en-IE"/>
              </w:rPr>
            </w:pPr>
            <w:r>
              <w:rPr>
                <w:noProof/>
                <w:sz w:val="22"/>
                <w:szCs w:val="22"/>
                <w:lang w:eastAsia="en-IE"/>
              </w:rPr>
              <w:t>53</w:t>
            </w:r>
          </w:p>
        </w:tc>
      </w:tr>
      <w:tr w:rsidR="00EE53B8" w:rsidRPr="00244D65" w14:paraId="548F2C15" w14:textId="77777777">
        <w:trPr>
          <w:trHeight w:val="285"/>
        </w:trPr>
        <w:tc>
          <w:tcPr>
            <w:tcW w:w="4375" w:type="dxa"/>
            <w:hideMark/>
          </w:tcPr>
          <w:p w14:paraId="213468BC" w14:textId="77777777" w:rsidR="00EE53B8" w:rsidRPr="00244D65" w:rsidRDefault="00EE53B8" w:rsidP="0085595C">
            <w:pPr>
              <w:rPr>
                <w:b/>
                <w:noProof/>
                <w:sz w:val="22"/>
                <w:szCs w:val="22"/>
                <w:lang w:val="fr-BE" w:eastAsia="en-IE"/>
              </w:rPr>
            </w:pPr>
            <w:r>
              <w:rPr>
                <w:b/>
                <w:noProof/>
                <w:sz w:val="22"/>
                <w:szCs w:val="22"/>
                <w:lang w:val="fr-BE" w:eastAsia="en-IE"/>
              </w:rPr>
              <w:t>Additional costs excl. EU ETS revenues </w:t>
            </w:r>
          </w:p>
        </w:tc>
        <w:tc>
          <w:tcPr>
            <w:tcW w:w="2183" w:type="dxa"/>
            <w:hideMark/>
          </w:tcPr>
          <w:p w14:paraId="72A2ACCA" w14:textId="2264830E" w:rsidR="00EE53B8" w:rsidRPr="00244D65" w:rsidRDefault="00EE53B8" w:rsidP="00545B9E">
            <w:pPr>
              <w:jc w:val="center"/>
              <w:rPr>
                <w:noProof/>
                <w:sz w:val="22"/>
                <w:szCs w:val="22"/>
                <w:lang w:eastAsia="en-IE"/>
              </w:rPr>
            </w:pPr>
            <w:r>
              <w:rPr>
                <w:noProof/>
                <w:sz w:val="22"/>
                <w:szCs w:val="22"/>
                <w:lang w:eastAsia="en-IE"/>
              </w:rPr>
              <w:t>-14,404</w:t>
            </w:r>
          </w:p>
        </w:tc>
        <w:tc>
          <w:tcPr>
            <w:tcW w:w="2183" w:type="dxa"/>
            <w:hideMark/>
          </w:tcPr>
          <w:p w14:paraId="65CBBFEF" w14:textId="050477DF" w:rsidR="00EE53B8" w:rsidRPr="00244D65" w:rsidRDefault="00EE53B8" w:rsidP="00545B9E">
            <w:pPr>
              <w:jc w:val="center"/>
              <w:rPr>
                <w:noProof/>
                <w:sz w:val="22"/>
                <w:szCs w:val="22"/>
                <w:lang w:eastAsia="en-IE"/>
              </w:rPr>
            </w:pPr>
            <w:r>
              <w:rPr>
                <w:noProof/>
                <w:sz w:val="22"/>
                <w:szCs w:val="22"/>
                <w:lang w:eastAsia="en-IE"/>
              </w:rPr>
              <w:t>-16,171</w:t>
            </w:r>
          </w:p>
        </w:tc>
      </w:tr>
      <w:tr w:rsidR="00EE53B8" w:rsidRPr="00244D65" w14:paraId="34F36C4D" w14:textId="77777777">
        <w:trPr>
          <w:trHeight w:val="285"/>
        </w:trPr>
        <w:tc>
          <w:tcPr>
            <w:tcW w:w="4375" w:type="dxa"/>
            <w:hideMark/>
          </w:tcPr>
          <w:p w14:paraId="139B0FED" w14:textId="77777777" w:rsidR="00EE53B8" w:rsidRPr="00244D65" w:rsidRDefault="00EE53B8" w:rsidP="0085595C">
            <w:pPr>
              <w:rPr>
                <w:b/>
                <w:noProof/>
                <w:sz w:val="22"/>
                <w:szCs w:val="22"/>
                <w:lang w:eastAsia="en-IE"/>
              </w:rPr>
            </w:pPr>
            <w:r>
              <w:rPr>
                <w:b/>
                <w:noProof/>
                <w:sz w:val="22"/>
                <w:szCs w:val="22"/>
                <w:lang w:eastAsia="en-IE"/>
              </w:rPr>
              <w:t>Administrative costs </w:t>
            </w:r>
          </w:p>
        </w:tc>
        <w:tc>
          <w:tcPr>
            <w:tcW w:w="2183" w:type="dxa"/>
            <w:hideMark/>
          </w:tcPr>
          <w:p w14:paraId="3EBEB8F6" w14:textId="177759F1" w:rsidR="00EE53B8" w:rsidRPr="00244D65" w:rsidRDefault="00EE53B8" w:rsidP="00545B9E">
            <w:pPr>
              <w:jc w:val="center"/>
              <w:rPr>
                <w:noProof/>
                <w:sz w:val="22"/>
                <w:szCs w:val="22"/>
                <w:lang w:eastAsia="en-IE"/>
              </w:rPr>
            </w:pPr>
            <w:r>
              <w:rPr>
                <w:noProof/>
                <w:sz w:val="22"/>
                <w:szCs w:val="22"/>
                <w:lang w:eastAsia="en-IE"/>
              </w:rPr>
              <w:t>-436</w:t>
            </w:r>
          </w:p>
        </w:tc>
        <w:tc>
          <w:tcPr>
            <w:tcW w:w="2183" w:type="dxa"/>
            <w:hideMark/>
          </w:tcPr>
          <w:p w14:paraId="35CA823F" w14:textId="58C2214E" w:rsidR="00EE53B8" w:rsidRPr="00244D65" w:rsidRDefault="00EE53B8" w:rsidP="00545B9E">
            <w:pPr>
              <w:jc w:val="center"/>
              <w:rPr>
                <w:noProof/>
                <w:sz w:val="22"/>
                <w:szCs w:val="22"/>
                <w:lang w:eastAsia="en-IE"/>
              </w:rPr>
            </w:pPr>
            <w:r>
              <w:rPr>
                <w:noProof/>
                <w:sz w:val="22"/>
                <w:szCs w:val="22"/>
                <w:lang w:eastAsia="en-IE"/>
              </w:rPr>
              <w:t>-860</w:t>
            </w:r>
          </w:p>
        </w:tc>
      </w:tr>
      <w:tr w:rsidR="00EE53B8" w:rsidRPr="00244D65" w14:paraId="48FB1E34" w14:textId="77777777">
        <w:trPr>
          <w:trHeight w:val="285"/>
        </w:trPr>
        <w:tc>
          <w:tcPr>
            <w:tcW w:w="4375" w:type="dxa"/>
          </w:tcPr>
          <w:p w14:paraId="798E8F66" w14:textId="77777777" w:rsidR="00EE53B8" w:rsidRPr="00244D65" w:rsidRDefault="00EE53B8" w:rsidP="0085595C">
            <w:pPr>
              <w:rPr>
                <w:b/>
                <w:noProof/>
                <w:sz w:val="22"/>
                <w:szCs w:val="22"/>
                <w:lang w:eastAsia="en-IE"/>
              </w:rPr>
            </w:pPr>
            <w:r>
              <w:rPr>
                <w:b/>
                <w:noProof/>
                <w:sz w:val="22"/>
                <w:szCs w:val="22"/>
                <w:lang w:eastAsia="en-IE"/>
              </w:rPr>
              <w:t>Administrative and enforcement costs for national authorities</w:t>
            </w:r>
          </w:p>
        </w:tc>
        <w:tc>
          <w:tcPr>
            <w:tcW w:w="2183" w:type="dxa"/>
          </w:tcPr>
          <w:p w14:paraId="6D203C8E" w14:textId="7B5DBB15" w:rsidR="00EE53B8" w:rsidRPr="00244D65" w:rsidRDefault="00EE53B8" w:rsidP="00545B9E">
            <w:pPr>
              <w:jc w:val="center"/>
              <w:rPr>
                <w:noProof/>
                <w:sz w:val="22"/>
                <w:szCs w:val="22"/>
                <w:lang w:eastAsia="en-IE"/>
              </w:rPr>
            </w:pPr>
            <w:r>
              <w:rPr>
                <w:noProof/>
                <w:sz w:val="22"/>
                <w:szCs w:val="22"/>
                <w:lang w:eastAsia="en-IE"/>
              </w:rPr>
              <w:t>-17</w:t>
            </w:r>
          </w:p>
        </w:tc>
        <w:tc>
          <w:tcPr>
            <w:tcW w:w="2183" w:type="dxa"/>
          </w:tcPr>
          <w:p w14:paraId="08C00136" w14:textId="55DF0F5C" w:rsidR="00EE53B8" w:rsidRPr="00244D65" w:rsidRDefault="00EE53B8" w:rsidP="00545B9E">
            <w:pPr>
              <w:jc w:val="center"/>
              <w:rPr>
                <w:noProof/>
                <w:sz w:val="22"/>
                <w:szCs w:val="22"/>
                <w:lang w:eastAsia="en-IE"/>
              </w:rPr>
            </w:pPr>
            <w:r>
              <w:rPr>
                <w:noProof/>
                <w:sz w:val="22"/>
                <w:szCs w:val="22"/>
                <w:lang w:eastAsia="en-IE"/>
              </w:rPr>
              <w:t>-33</w:t>
            </w:r>
          </w:p>
        </w:tc>
      </w:tr>
      <w:tr w:rsidR="00EE53B8" w:rsidRPr="00244D65" w14:paraId="2692A596" w14:textId="77777777">
        <w:trPr>
          <w:trHeight w:val="285"/>
        </w:trPr>
        <w:tc>
          <w:tcPr>
            <w:tcW w:w="4375" w:type="dxa"/>
            <w:hideMark/>
          </w:tcPr>
          <w:p w14:paraId="64C28376" w14:textId="77777777" w:rsidR="00EE53B8" w:rsidRPr="00244D65" w:rsidRDefault="00EE53B8" w:rsidP="0085595C">
            <w:pPr>
              <w:rPr>
                <w:b/>
                <w:noProof/>
                <w:sz w:val="22"/>
                <w:szCs w:val="22"/>
                <w:lang w:eastAsia="en-IE"/>
              </w:rPr>
            </w:pPr>
            <w:r>
              <w:rPr>
                <w:b/>
                <w:noProof/>
                <w:sz w:val="22"/>
                <w:szCs w:val="22"/>
                <w:lang w:eastAsia="en-IE"/>
              </w:rPr>
              <w:t>Social NPV </w:t>
            </w:r>
          </w:p>
        </w:tc>
        <w:tc>
          <w:tcPr>
            <w:tcW w:w="2183" w:type="dxa"/>
            <w:hideMark/>
          </w:tcPr>
          <w:p w14:paraId="153A2627" w14:textId="2A84945D" w:rsidR="00EE53B8" w:rsidRPr="00244D65" w:rsidRDefault="0024429F" w:rsidP="00545B9E">
            <w:pPr>
              <w:jc w:val="center"/>
              <w:rPr>
                <w:noProof/>
                <w:sz w:val="22"/>
                <w:szCs w:val="22"/>
                <w:lang w:eastAsia="en-IE"/>
              </w:rPr>
            </w:pPr>
            <w:r>
              <w:rPr>
                <w:noProof/>
                <w:sz w:val="22"/>
                <w:szCs w:val="22"/>
                <w:lang w:eastAsia="en-IE"/>
              </w:rPr>
              <w:t>7,283</w:t>
            </w:r>
          </w:p>
        </w:tc>
        <w:tc>
          <w:tcPr>
            <w:tcW w:w="2183" w:type="dxa"/>
            <w:hideMark/>
          </w:tcPr>
          <w:p w14:paraId="72D6694D" w14:textId="3B3C8442" w:rsidR="00EE53B8" w:rsidRPr="00244D65" w:rsidRDefault="0024429F" w:rsidP="00545B9E">
            <w:pPr>
              <w:jc w:val="center"/>
              <w:rPr>
                <w:noProof/>
                <w:sz w:val="22"/>
                <w:szCs w:val="22"/>
                <w:lang w:eastAsia="en-IE"/>
              </w:rPr>
            </w:pPr>
            <w:r>
              <w:rPr>
                <w:noProof/>
                <w:sz w:val="22"/>
                <w:szCs w:val="22"/>
                <w:lang w:eastAsia="en-IE"/>
              </w:rPr>
              <w:t>10,778</w:t>
            </w:r>
          </w:p>
        </w:tc>
      </w:tr>
    </w:tbl>
    <w:p w14:paraId="279E9759" w14:textId="501F6E97" w:rsidR="00D93EC4" w:rsidRPr="00244D65" w:rsidRDefault="00D93EC4" w:rsidP="0085595C">
      <w:pPr>
        <w:rPr>
          <w:rStyle w:val="eop"/>
          <w:noProof/>
        </w:rPr>
      </w:pPr>
      <w:r w:rsidRPr="00244D65">
        <w:rPr>
          <w:rStyle w:val="normaltextrun"/>
          <w:noProof/>
        </w:rPr>
        <w:t xml:space="preserve">All policy options can work in full synergy with the FuelEU maritime initiative as carbon pricing will reduce the price gap between sustainable low carbon alternative fuels and traditional fossil fuels, and it will trigger energy efficiency improvements that will make the switch to alternative fuels more affordable by reducing the overall fuel consumption. Simplification </w:t>
      </w:r>
      <w:r w:rsidR="00B63715" w:rsidRPr="00244D65">
        <w:rPr>
          <w:rStyle w:val="normaltextrun"/>
          <w:noProof/>
        </w:rPr>
        <w:t>introduced</w:t>
      </w:r>
      <w:r w:rsidRPr="00244D65">
        <w:rPr>
          <w:rStyle w:val="normaltextrun"/>
          <w:noProof/>
        </w:rPr>
        <w:t xml:space="preserve"> in all options reduces administrative burden on </w:t>
      </w:r>
      <w:r w:rsidR="00B63715" w:rsidRPr="00244D65">
        <w:rPr>
          <w:rStyle w:val="normaltextrun"/>
          <w:noProof/>
        </w:rPr>
        <w:t>shipping</w:t>
      </w:r>
      <w:r w:rsidRPr="00244D65">
        <w:rPr>
          <w:rStyle w:val="normaltextrun"/>
          <w:noProof/>
        </w:rPr>
        <w:t xml:space="preserve"> companies coherently with the requirements under FuelEU.</w:t>
      </w:r>
      <w:r w:rsidR="000C653C" w:rsidRPr="00244D65">
        <w:rPr>
          <w:rStyle w:val="normaltextrun"/>
          <w:noProof/>
        </w:rPr>
        <w:t xml:space="preserve"> </w:t>
      </w:r>
    </w:p>
    <w:p w14:paraId="191086DA" w14:textId="57A46074" w:rsidR="000C61BA" w:rsidRPr="00244D65" w:rsidRDefault="00B80ADB" w:rsidP="0085595C">
      <w:pPr>
        <w:rPr>
          <w:rStyle w:val="normaltextrun"/>
          <w:noProof/>
        </w:rPr>
      </w:pPr>
      <w:r w:rsidRPr="00244D65">
        <w:rPr>
          <w:rStyle w:val="normaltextrun"/>
          <w:noProof/>
        </w:rPr>
        <w:t>The</w:t>
      </w:r>
      <w:r w:rsidR="000E76CD" w:rsidRPr="00244D65">
        <w:rPr>
          <w:rStyle w:val="normaltextrun"/>
          <w:noProof/>
        </w:rPr>
        <w:t xml:space="preserve"> ETS funded Sustainable Maritime</w:t>
      </w:r>
      <w:r>
        <w:rPr>
          <w:rStyle w:val="normaltextrun"/>
          <w:noProof/>
        </w:rPr>
        <w:t xml:space="preserve"> Alternative</w:t>
      </w:r>
      <w:r w:rsidR="000E76CD" w:rsidRPr="00244D65">
        <w:rPr>
          <w:rStyle w:val="normaltextrun"/>
          <w:noProof/>
        </w:rPr>
        <w:t xml:space="preserve"> Propulsion </w:t>
      </w:r>
      <w:r w:rsidR="000C61BA" w:rsidRPr="00244D65">
        <w:rPr>
          <w:rStyle w:val="normaltextrun"/>
          <w:noProof/>
        </w:rPr>
        <w:t xml:space="preserve">mechanism assessed in PO2 and PO3 could be used to advance innovation and accelerate the deployment of </w:t>
      </w:r>
      <w:r w:rsidR="006C3B98" w:rsidRPr="00244D65">
        <w:rPr>
          <w:rStyle w:val="normaltextrun"/>
          <w:noProof/>
        </w:rPr>
        <w:t xml:space="preserve">renewable and low-carbon fuels, and clean propulsion technologies </w:t>
      </w:r>
      <w:r w:rsidR="000C61BA" w:rsidRPr="00244D65">
        <w:rPr>
          <w:rStyle w:val="normaltextrun"/>
          <w:noProof/>
        </w:rPr>
        <w:t xml:space="preserve">beyond the proposals submitted under the Innovation Fund calls </w:t>
      </w:r>
      <w:r w:rsidR="008F2EDE" w:rsidRPr="00244D65">
        <w:rPr>
          <w:rStyle w:val="normaltextrun"/>
          <w:noProof/>
        </w:rPr>
        <w:t xml:space="preserve">from </w:t>
      </w:r>
      <w:r w:rsidR="000C61BA" w:rsidRPr="00244D65">
        <w:rPr>
          <w:rStyle w:val="normaltextrun"/>
          <w:noProof/>
        </w:rPr>
        <w:t xml:space="preserve">2023, 2024 and 2025. </w:t>
      </w:r>
      <w:r w:rsidR="00C62808" w:rsidRPr="00244D65">
        <w:rPr>
          <w:rStyle w:val="normaltextrun"/>
          <w:noProof/>
        </w:rPr>
        <w:t>S</w:t>
      </w:r>
      <w:r w:rsidR="0014641A" w:rsidRPr="00244D65">
        <w:rPr>
          <w:rStyle w:val="normaltextrun"/>
          <w:noProof/>
        </w:rPr>
        <w:t xml:space="preserve">uch a </w:t>
      </w:r>
      <w:r w:rsidR="000C61BA" w:rsidRPr="00244D65">
        <w:rPr>
          <w:rStyle w:val="normaltextrun"/>
          <w:noProof/>
        </w:rPr>
        <w:t xml:space="preserve">dedicated support mechanism would </w:t>
      </w:r>
      <w:r w:rsidR="00FE05DB" w:rsidRPr="00244D65">
        <w:rPr>
          <w:rStyle w:val="normaltextrun"/>
          <w:noProof/>
        </w:rPr>
        <w:t xml:space="preserve">complement </w:t>
      </w:r>
      <w:r w:rsidR="006B07AA" w:rsidRPr="00244D65">
        <w:rPr>
          <w:rStyle w:val="normaltextrun"/>
          <w:noProof/>
        </w:rPr>
        <w:t>other policies (e.g. carbon pricing, fuel standards) and</w:t>
      </w:r>
      <w:r w:rsidR="000C61BA" w:rsidRPr="00244D65">
        <w:rPr>
          <w:rStyle w:val="normaltextrun"/>
          <w:noProof/>
        </w:rPr>
        <w:t xml:space="preserve"> help create a predictable demand for these fuels </w:t>
      </w:r>
      <w:r w:rsidR="006B07AA" w:rsidRPr="00244D65">
        <w:rPr>
          <w:rStyle w:val="normaltextrun"/>
          <w:noProof/>
        </w:rPr>
        <w:t>and technologies. It would</w:t>
      </w:r>
      <w:r w:rsidR="000C61BA" w:rsidRPr="00244D65">
        <w:rPr>
          <w:rStyle w:val="normaltextrun"/>
          <w:noProof/>
        </w:rPr>
        <w:t xml:space="preserve"> stimulate their selection and deployment, as well as the gradual technological improvement of yet immature solutions. In this context, </w:t>
      </w:r>
      <w:r w:rsidR="00033AC2" w:rsidRPr="00244D65">
        <w:rPr>
          <w:rStyle w:val="normaltextrun"/>
          <w:noProof/>
        </w:rPr>
        <w:t xml:space="preserve">it </w:t>
      </w:r>
      <w:r w:rsidR="000C61BA" w:rsidRPr="00244D65">
        <w:rPr>
          <w:rStyle w:val="normaltextrun"/>
          <w:noProof/>
        </w:rPr>
        <w:t xml:space="preserve">would complement the IMO measures (once adopted) by making </w:t>
      </w:r>
      <w:r w:rsidR="00866C63" w:rsidRPr="00244D65">
        <w:rPr>
          <w:rStyle w:val="normaltextrun"/>
          <w:noProof/>
        </w:rPr>
        <w:t>sustainable maritime propulsion m</w:t>
      </w:r>
      <w:r w:rsidR="000C61BA" w:rsidRPr="00244D65">
        <w:rPr>
          <w:rStyle w:val="normaltextrun"/>
          <w:noProof/>
        </w:rPr>
        <w:t>ore economically viable.</w:t>
      </w:r>
    </w:p>
    <w:p w14:paraId="36855D45" w14:textId="4C9DF9C4" w:rsidR="007507BF" w:rsidRPr="00244D65" w:rsidRDefault="00DE618B" w:rsidP="0085595C">
      <w:pPr>
        <w:rPr>
          <w:b/>
          <w:bCs/>
          <w:noProof/>
          <w:u w:val="single"/>
        </w:rPr>
      </w:pPr>
      <w:r w:rsidRPr="00244D65">
        <w:rPr>
          <w:rStyle w:val="normaltextrun"/>
          <w:noProof/>
        </w:rPr>
        <w:t xml:space="preserve">For the </w:t>
      </w:r>
      <w:r w:rsidR="003547A9" w:rsidRPr="00244D65">
        <w:rPr>
          <w:rStyle w:val="normaltextrun"/>
          <w:noProof/>
        </w:rPr>
        <w:t xml:space="preserve">Industrial Decarbonisation Bank, the </w:t>
      </w:r>
      <w:r w:rsidR="006C01A3" w:rsidRPr="00244D65">
        <w:rPr>
          <w:rStyle w:val="normaltextrun"/>
          <w:noProof/>
        </w:rPr>
        <w:t xml:space="preserve">efficiency is best achieved by the </w:t>
      </w:r>
      <w:r w:rsidR="005C73F9" w:rsidRPr="00244D65">
        <w:rPr>
          <w:rStyle w:val="normaltextrun"/>
          <w:noProof/>
        </w:rPr>
        <w:t xml:space="preserve">allocation </w:t>
      </w:r>
      <w:r w:rsidR="009848FC" w:rsidRPr="00244D65">
        <w:rPr>
          <w:rStyle w:val="normaltextrun"/>
          <w:noProof/>
        </w:rPr>
        <w:t xml:space="preserve">mechanisms </w:t>
      </w:r>
      <w:r w:rsidR="00520B0B" w:rsidRPr="00244D65">
        <w:rPr>
          <w:rStyle w:val="normaltextrun"/>
          <w:noProof/>
        </w:rPr>
        <w:t xml:space="preserve">of auctions </w:t>
      </w:r>
      <w:r w:rsidR="005C73F9" w:rsidRPr="00244D65">
        <w:rPr>
          <w:rStyle w:val="normaltextrun"/>
          <w:noProof/>
        </w:rPr>
        <w:t>as well as variable premium in terms of form of support (</w:t>
      </w:r>
      <w:r w:rsidR="00DD69D4" w:rsidRPr="00244D65">
        <w:rPr>
          <w:rStyle w:val="normaltextrun"/>
          <w:noProof/>
        </w:rPr>
        <w:t xml:space="preserve">both </w:t>
      </w:r>
      <w:r w:rsidR="003C5C02" w:rsidRPr="00244D65">
        <w:rPr>
          <w:rStyle w:val="normaltextrun"/>
          <w:noProof/>
        </w:rPr>
        <w:t xml:space="preserve">included in PO3). Still to be stressed that actual </w:t>
      </w:r>
      <w:r w:rsidR="00DD69D4" w:rsidRPr="00244D65">
        <w:rPr>
          <w:rStyle w:val="normaltextrun"/>
          <w:noProof/>
        </w:rPr>
        <w:t xml:space="preserve">efficiency of any funding mechanism will </w:t>
      </w:r>
      <w:r w:rsidR="601BEE5B" w:rsidRPr="00244D65">
        <w:rPr>
          <w:rStyle w:val="normaltextrun"/>
          <w:noProof/>
        </w:rPr>
        <w:t>rely</w:t>
      </w:r>
      <w:r w:rsidR="00DD69D4" w:rsidRPr="00244D65">
        <w:rPr>
          <w:rStyle w:val="normaltextrun"/>
          <w:noProof/>
        </w:rPr>
        <w:t xml:space="preserve"> on features </w:t>
      </w:r>
      <w:r w:rsidR="00E66AEA" w:rsidRPr="00244D65">
        <w:rPr>
          <w:rStyle w:val="normaltextrun"/>
          <w:noProof/>
        </w:rPr>
        <w:t>much more granular than addressed in this IA (e.g. completion bonds, monitoring arrangements etc)</w:t>
      </w:r>
      <w:r w:rsidR="007507BF" w:rsidRPr="00244D65">
        <w:rPr>
          <w:rStyle w:val="normaltextrun"/>
          <w:noProof/>
        </w:rPr>
        <w:t xml:space="preserve">. </w:t>
      </w:r>
      <w:r w:rsidR="1101DDD2" w:rsidRPr="00244D65">
        <w:rPr>
          <w:noProof/>
        </w:rPr>
        <w:t>Also,</w:t>
      </w:r>
      <w:r w:rsidR="007507BF" w:rsidRPr="00244D65">
        <w:rPr>
          <w:noProof/>
        </w:rPr>
        <w:t xml:space="preserve"> while PO</w:t>
      </w:r>
      <w:r w:rsidR="0051004B" w:rsidRPr="00244D65">
        <w:rPr>
          <w:noProof/>
        </w:rPr>
        <w:t>3</w:t>
      </w:r>
      <w:r w:rsidR="007507BF" w:rsidRPr="00244D65">
        <w:rPr>
          <w:noProof/>
        </w:rPr>
        <w:t xml:space="preserve"> </w:t>
      </w:r>
      <w:r w:rsidR="0051004B" w:rsidRPr="00244D65">
        <w:rPr>
          <w:noProof/>
        </w:rPr>
        <w:t xml:space="preserve">is the most </w:t>
      </w:r>
      <w:r w:rsidR="007507BF" w:rsidRPr="00244D65">
        <w:rPr>
          <w:noProof/>
        </w:rPr>
        <w:t>efficient</w:t>
      </w:r>
      <w:r w:rsidR="0051004B" w:rsidRPr="00244D65">
        <w:rPr>
          <w:noProof/>
        </w:rPr>
        <w:t>,</w:t>
      </w:r>
      <w:r w:rsidR="007507BF" w:rsidRPr="00244D65">
        <w:rPr>
          <w:noProof/>
        </w:rPr>
        <w:t xml:space="preserve"> </w:t>
      </w:r>
      <w:r w:rsidR="0051004B" w:rsidRPr="00244D65">
        <w:rPr>
          <w:noProof/>
        </w:rPr>
        <w:t xml:space="preserve">it </w:t>
      </w:r>
      <w:r w:rsidR="007507BF" w:rsidRPr="00244D65">
        <w:rPr>
          <w:noProof/>
        </w:rPr>
        <w:t xml:space="preserve">inherently </w:t>
      </w:r>
      <w:r w:rsidR="694DA34E" w:rsidRPr="00244D65">
        <w:rPr>
          <w:noProof/>
        </w:rPr>
        <w:t>attracts</w:t>
      </w:r>
      <w:r w:rsidR="007507BF" w:rsidRPr="00244D65">
        <w:rPr>
          <w:noProof/>
        </w:rPr>
        <w:t xml:space="preserve"> more risky projects that in the end might not be implemented (if faced with adverse market conditions etc)</w:t>
      </w:r>
      <w:r w:rsidR="0051004B" w:rsidRPr="00244D65">
        <w:rPr>
          <w:noProof/>
        </w:rPr>
        <w:t xml:space="preserve"> so to the detriment of effectiveness.</w:t>
      </w:r>
    </w:p>
    <w:p w14:paraId="35073CA7" w14:textId="198FDAC1" w:rsidR="00DB155A" w:rsidRPr="00244D65" w:rsidRDefault="00E63750" w:rsidP="0085595C">
      <w:pPr>
        <w:rPr>
          <w:noProof/>
        </w:rPr>
      </w:pPr>
      <w:r w:rsidRPr="00244D65">
        <w:rPr>
          <w:noProof/>
        </w:rPr>
        <w:t>For the Modernisation Fund,</w:t>
      </w:r>
      <w:r w:rsidR="00AA458C" w:rsidRPr="00244D65">
        <w:rPr>
          <w:noProof/>
        </w:rPr>
        <w:t xml:space="preserve"> </w:t>
      </w:r>
      <w:r w:rsidR="00A54A5D" w:rsidRPr="00244D65">
        <w:rPr>
          <w:noProof/>
        </w:rPr>
        <w:t>PO</w:t>
      </w:r>
      <w:r w:rsidR="00954B11" w:rsidRPr="00244D65">
        <w:rPr>
          <w:noProof/>
        </w:rPr>
        <w:t>3</w:t>
      </w:r>
      <w:r w:rsidR="008973EB" w:rsidRPr="00244D65">
        <w:rPr>
          <w:noProof/>
        </w:rPr>
        <w:t xml:space="preserve"> </w:t>
      </w:r>
      <w:r w:rsidR="00954B11" w:rsidRPr="00244D65">
        <w:rPr>
          <w:noProof/>
        </w:rPr>
        <w:t xml:space="preserve">importantly </w:t>
      </w:r>
      <w:r w:rsidR="00F50669" w:rsidRPr="00244D65">
        <w:rPr>
          <w:noProof/>
        </w:rPr>
        <w:t>increase</w:t>
      </w:r>
      <w:r w:rsidR="00954B11" w:rsidRPr="00244D65">
        <w:rPr>
          <w:noProof/>
        </w:rPr>
        <w:t>s administrative costs as</w:t>
      </w:r>
      <w:r w:rsidR="00F50669" w:rsidRPr="00244D65">
        <w:rPr>
          <w:noProof/>
        </w:rPr>
        <w:t xml:space="preserve"> subjecting all priority investments to Investment Committee governance would require a </w:t>
      </w:r>
      <w:bookmarkStart w:id="302" w:name="_Int_YNZUy8UE"/>
      <w:r w:rsidR="00F50669" w:rsidRPr="00244D65">
        <w:rPr>
          <w:noProof/>
        </w:rPr>
        <w:t>substantially heavier</w:t>
      </w:r>
      <w:bookmarkEnd w:id="302"/>
      <w:r w:rsidR="00F50669" w:rsidRPr="00244D65">
        <w:rPr>
          <w:noProof/>
        </w:rPr>
        <w:t xml:space="preserve"> process, involving many more actors. </w:t>
      </w:r>
      <w:r w:rsidR="00E84C03" w:rsidRPr="00244D65">
        <w:rPr>
          <w:noProof/>
        </w:rPr>
        <w:t xml:space="preserve">PO2 has the lowest administrative costs </w:t>
      </w:r>
      <w:r w:rsidR="00156AAA" w:rsidRPr="00244D65">
        <w:rPr>
          <w:noProof/>
        </w:rPr>
        <w:t xml:space="preserve">since it gives </w:t>
      </w:r>
      <w:r w:rsidR="00E03A49" w:rsidRPr="00244D65">
        <w:rPr>
          <w:noProof/>
        </w:rPr>
        <w:t xml:space="preserve">more </w:t>
      </w:r>
      <w:r w:rsidR="00156AAA" w:rsidRPr="00244D65">
        <w:rPr>
          <w:noProof/>
        </w:rPr>
        <w:t>limited space to non-priority investments (5% max</w:t>
      </w:r>
      <w:r w:rsidR="00E03A49" w:rsidRPr="00244D65">
        <w:rPr>
          <w:noProof/>
        </w:rPr>
        <w:t>, compared to 10% max in PO1</w:t>
      </w:r>
      <w:r w:rsidR="00156AAA" w:rsidRPr="00244D65">
        <w:rPr>
          <w:noProof/>
        </w:rPr>
        <w:t xml:space="preserve">), the approval process of which is more </w:t>
      </w:r>
      <w:r w:rsidR="00E03A49" w:rsidRPr="00244D65">
        <w:rPr>
          <w:noProof/>
        </w:rPr>
        <w:t>burdensome</w:t>
      </w:r>
      <w:r w:rsidR="006236A5" w:rsidRPr="00244D65">
        <w:rPr>
          <w:noProof/>
        </w:rPr>
        <w:t xml:space="preserve"> and no additional role to the Investment Committee.</w:t>
      </w:r>
    </w:p>
    <w:p w14:paraId="5905208A" w14:textId="59EF2E24" w:rsidR="00DE618B" w:rsidRPr="00244D65" w:rsidRDefault="00F96094" w:rsidP="0085595C">
      <w:pPr>
        <w:rPr>
          <w:noProof/>
        </w:rPr>
      </w:pPr>
      <w:r w:rsidRPr="00244D65">
        <w:rPr>
          <w:noProof/>
        </w:rPr>
        <w:t xml:space="preserve">In terms of abatement costs, </w:t>
      </w:r>
      <w:r w:rsidR="00DB155A" w:rsidRPr="00244D65">
        <w:rPr>
          <w:noProof/>
        </w:rPr>
        <w:t>PO3</w:t>
      </w:r>
      <w:r w:rsidR="00EB0A56" w:rsidRPr="00244D65">
        <w:rPr>
          <w:noProof/>
        </w:rPr>
        <w:t xml:space="preserve"> (through a total ban on gas infrastructure)</w:t>
      </w:r>
      <w:r w:rsidR="00DB155A" w:rsidRPr="00244D65">
        <w:rPr>
          <w:noProof/>
        </w:rPr>
        <w:t xml:space="preserve"> can </w:t>
      </w:r>
      <w:r w:rsidR="00BF6F9D" w:rsidRPr="00244D65">
        <w:rPr>
          <w:noProof/>
        </w:rPr>
        <w:t xml:space="preserve">gear investments of beneficiary Member States more towards </w:t>
      </w:r>
      <w:r w:rsidR="00D34A2A" w:rsidRPr="00244D65">
        <w:rPr>
          <w:noProof/>
        </w:rPr>
        <w:t xml:space="preserve">new </w:t>
      </w:r>
      <w:r w:rsidR="00BF6F9D" w:rsidRPr="00244D65">
        <w:rPr>
          <w:noProof/>
        </w:rPr>
        <w:t>renewable</w:t>
      </w:r>
      <w:r w:rsidR="00D34A2A" w:rsidRPr="00244D65">
        <w:rPr>
          <w:noProof/>
        </w:rPr>
        <w:t xml:space="preserve"> capacity</w:t>
      </w:r>
      <w:r w:rsidR="00BF6F9D" w:rsidRPr="00244D65">
        <w:rPr>
          <w:noProof/>
        </w:rPr>
        <w:t xml:space="preserve"> which </w:t>
      </w:r>
      <w:r w:rsidR="00D34A2A" w:rsidRPr="00244D65">
        <w:rPr>
          <w:noProof/>
        </w:rPr>
        <w:t xml:space="preserve">are becoming increasingly cheaper than investments in gas. </w:t>
      </w:r>
      <w:r w:rsidR="00301E14" w:rsidRPr="00244D65">
        <w:rPr>
          <w:noProof/>
        </w:rPr>
        <w:t xml:space="preserve">PO2 and PO1 also but to a </w:t>
      </w:r>
      <w:bookmarkStart w:id="303" w:name="_Int_wNovxmQQ"/>
      <w:r w:rsidR="00301E14" w:rsidRPr="00244D65">
        <w:rPr>
          <w:noProof/>
        </w:rPr>
        <w:t>relatively less</w:t>
      </w:r>
      <w:r w:rsidR="00A6644F" w:rsidRPr="00244D65">
        <w:rPr>
          <w:noProof/>
        </w:rPr>
        <w:t>er</w:t>
      </w:r>
      <w:bookmarkEnd w:id="303"/>
      <w:r w:rsidR="00A6644F" w:rsidRPr="00244D65">
        <w:rPr>
          <w:noProof/>
        </w:rPr>
        <w:t xml:space="preserve"> extent. However, the abatement costs will continue to be mostly determined by the </w:t>
      </w:r>
      <w:r w:rsidR="00072D06" w:rsidRPr="00244D65">
        <w:rPr>
          <w:noProof/>
        </w:rPr>
        <w:t>nature of the investments that Member States decide to</w:t>
      </w:r>
      <w:r w:rsidR="002E6054" w:rsidRPr="00244D65">
        <w:rPr>
          <w:noProof/>
        </w:rPr>
        <w:t xml:space="preserve"> support, within the eligible activities permitted by the Fund.</w:t>
      </w:r>
    </w:p>
    <w:p w14:paraId="28158C29" w14:textId="00A9F016" w:rsidR="005115BB" w:rsidRPr="00244D65" w:rsidRDefault="001C45AB" w:rsidP="0085595C">
      <w:pPr>
        <w:pStyle w:val="paragraph"/>
        <w:spacing w:before="120" w:beforeAutospacing="0" w:after="120" w:afterAutospacing="0"/>
        <w:jc w:val="both"/>
        <w:rPr>
          <w:noProof/>
          <w:lang w:val="en-GB"/>
        </w:rPr>
      </w:pPr>
      <w:r w:rsidRPr="00244D65">
        <w:rPr>
          <w:rStyle w:val="normaltextrun"/>
          <w:noProof/>
          <w:lang w:val="en-GB"/>
        </w:rPr>
        <w:t xml:space="preserve">Options PO2 and PO3 introduce a </w:t>
      </w:r>
      <w:r w:rsidR="00286B42" w:rsidRPr="00244D65">
        <w:rPr>
          <w:rStyle w:val="normaltextrun"/>
          <w:noProof/>
          <w:lang w:val="en-GB"/>
        </w:rPr>
        <w:t>deduction</w:t>
      </w:r>
      <w:r w:rsidRPr="00244D65">
        <w:rPr>
          <w:rStyle w:val="normaltextrun"/>
          <w:noProof/>
          <w:lang w:val="en-GB"/>
        </w:rPr>
        <w:t xml:space="preserve"> </w:t>
      </w:r>
      <w:r w:rsidR="393B795F" w:rsidRPr="00244D65">
        <w:rPr>
          <w:noProof/>
        </w:rPr>
        <w:t>from the surrendering obligations</w:t>
      </w:r>
      <w:r w:rsidRPr="00244D65">
        <w:rPr>
          <w:rStyle w:val="normaltextrun"/>
          <w:noProof/>
          <w:lang w:val="en-GB"/>
        </w:rPr>
        <w:t xml:space="preserve"> of emissions priced under IMO measures (once adopted). This</w:t>
      </w:r>
      <w:r w:rsidRPr="00244D65" w:rsidDel="003F2742">
        <w:rPr>
          <w:rStyle w:val="normaltextrun"/>
          <w:noProof/>
          <w:lang w:val="en-GB"/>
        </w:rPr>
        <w:t xml:space="preserve"> </w:t>
      </w:r>
      <w:r w:rsidR="00286B42" w:rsidRPr="00244D65">
        <w:rPr>
          <w:rStyle w:val="normaltextrun"/>
          <w:noProof/>
          <w:lang w:val="en-GB"/>
        </w:rPr>
        <w:t>deduction</w:t>
      </w:r>
      <w:r w:rsidRPr="00244D65">
        <w:rPr>
          <w:rStyle w:val="normaltextrun"/>
          <w:noProof/>
          <w:lang w:val="en-GB"/>
        </w:rPr>
        <w:t xml:space="preserve"> ensures that regional measures and global measures work efficiently together in terms of carbon pricing, preventing double </w:t>
      </w:r>
      <w:r w:rsidR="00B75AF4" w:rsidRPr="00244D65">
        <w:rPr>
          <w:rStyle w:val="normaltextrun"/>
          <w:noProof/>
          <w:lang w:val="en-GB"/>
        </w:rPr>
        <w:t>payments</w:t>
      </w:r>
      <w:r w:rsidRPr="00244D65">
        <w:rPr>
          <w:rStyle w:val="normaltextrun"/>
          <w:noProof/>
          <w:lang w:val="en-GB"/>
        </w:rPr>
        <w:t xml:space="preserve"> and allowing at the same time the EU ETS maritime to continue contributing to the implementation of the 2040 EU targets and climate policy objectives</w:t>
      </w:r>
      <w:r w:rsidR="00EE13FD" w:rsidRPr="00244D65">
        <w:rPr>
          <w:rStyle w:val="normaltextrun"/>
          <w:noProof/>
          <w:lang w:val="en-GB"/>
        </w:rPr>
        <w:t>.</w:t>
      </w:r>
    </w:p>
    <w:p w14:paraId="0F868803" w14:textId="01C08E16" w:rsidR="00B70A9A" w:rsidRPr="00244D65" w:rsidRDefault="004A4742" w:rsidP="0085595C">
      <w:pPr>
        <w:pStyle w:val="Heading2"/>
        <w:rPr>
          <w:noProof/>
        </w:rPr>
      </w:pPr>
      <w:bookmarkStart w:id="304" w:name="_Toc234949759"/>
      <w:bookmarkStart w:id="305" w:name="_Toc232752515"/>
      <w:r w:rsidRPr="00244D65">
        <w:rPr>
          <w:noProof/>
        </w:rPr>
        <w:t>Coherence</w:t>
      </w:r>
      <w:bookmarkEnd w:id="304"/>
      <w:bookmarkEnd w:id="305"/>
    </w:p>
    <w:p w14:paraId="2CE1DA82" w14:textId="77777777" w:rsidR="003A69EA" w:rsidRPr="00244D65" w:rsidRDefault="00CD0A88" w:rsidP="0085595C">
      <w:pPr>
        <w:rPr>
          <w:noProof/>
        </w:rPr>
      </w:pPr>
      <w:r w:rsidRPr="00244D65">
        <w:rPr>
          <w:noProof/>
        </w:rPr>
        <w:t xml:space="preserve">The ETS is a well-established cornerstone of the EU's policy to combat climate change and its key tool for reducing greenhouse gas emissions cost-effectively. With its focus on markets and economic emission reduction incentives, it is coherent with other EU policies which primarily address non-price barriers. </w:t>
      </w:r>
      <w:r w:rsidR="00D65CCF" w:rsidRPr="00244D65">
        <w:rPr>
          <w:noProof/>
        </w:rPr>
        <w:t xml:space="preserve">The EU ETS evaluation (see Annex 15) highlighted the coherence of the instrument with complementary policies for energy sector, such as the Renewable Energy Directive and the Energy Efficiency Directive. Together, these instruments were responsible for significative emissions reductions in the energy sector. </w:t>
      </w:r>
    </w:p>
    <w:p w14:paraId="7EEFD15E" w14:textId="34B856C6" w:rsidR="00CF7543" w:rsidRPr="00244D65" w:rsidRDefault="00CD0A88" w:rsidP="0085595C">
      <w:pPr>
        <w:rPr>
          <w:noProof/>
        </w:rPr>
      </w:pPr>
      <w:r w:rsidRPr="00244D65">
        <w:rPr>
          <w:noProof/>
        </w:rPr>
        <w:t xml:space="preserve">Increasing the environmental contribution of the ETS </w:t>
      </w:r>
      <w:r w:rsidR="00911967" w:rsidRPr="00244D65">
        <w:rPr>
          <w:noProof/>
        </w:rPr>
        <w:t>with an enlarged scope</w:t>
      </w:r>
      <w:r w:rsidR="007216E9" w:rsidRPr="00244D65">
        <w:rPr>
          <w:noProof/>
        </w:rPr>
        <w:t>, as in PO2 and more extensively in PO3,</w:t>
      </w:r>
      <w:r w:rsidR="00911967" w:rsidRPr="00244D65">
        <w:rPr>
          <w:noProof/>
        </w:rPr>
        <w:t xml:space="preserve"> </w:t>
      </w:r>
      <w:r w:rsidRPr="00244D65">
        <w:rPr>
          <w:noProof/>
        </w:rPr>
        <w:t xml:space="preserve">does not change its technology-neutral character, allowing it to continue to run alongside sector-specific policies. The Market Stability Reserve will continue to enhance policy synergies by mitigating supply/demand imbalances regardless of their origin, for instance by reducing the impact that complementary and overlapping policies </w:t>
      </w:r>
      <w:bookmarkStart w:id="306" w:name="_Int_PWXk90FM"/>
      <w:r w:rsidRPr="00244D65">
        <w:rPr>
          <w:noProof/>
        </w:rPr>
        <w:t>in the area of</w:t>
      </w:r>
      <w:bookmarkEnd w:id="306"/>
      <w:r w:rsidRPr="00244D65">
        <w:rPr>
          <w:noProof/>
        </w:rPr>
        <w:t xml:space="preserve"> renewables or energy efficiency can have on the carbon market.</w:t>
      </w:r>
      <w:r w:rsidR="00F16C1D" w:rsidRPr="00244D65">
        <w:rPr>
          <w:noProof/>
        </w:rPr>
        <w:t xml:space="preserve"> PO2 and PO3 </w:t>
      </w:r>
      <w:r w:rsidR="005D02AE" w:rsidRPr="00244D65">
        <w:rPr>
          <w:noProof/>
        </w:rPr>
        <w:t xml:space="preserve">are most coherent </w:t>
      </w:r>
      <w:r w:rsidR="005E2B80" w:rsidRPr="00244D65">
        <w:rPr>
          <w:noProof/>
        </w:rPr>
        <w:t xml:space="preserve">for the MSR </w:t>
      </w:r>
      <w:r w:rsidR="005D02AE" w:rsidRPr="00244D65">
        <w:rPr>
          <w:noProof/>
        </w:rPr>
        <w:t xml:space="preserve">as they allow to maintain </w:t>
      </w:r>
      <w:r w:rsidR="00F16C1D" w:rsidRPr="00244D65">
        <w:rPr>
          <w:noProof/>
        </w:rPr>
        <w:t>narrower TNAC-to-emissions ratios through timely releases whilst preserving deeper post-2040 intervention capacity</w:t>
      </w:r>
      <w:r w:rsidR="00E43E19" w:rsidRPr="00244D65">
        <w:rPr>
          <w:noProof/>
        </w:rPr>
        <w:t xml:space="preserve">. Both options also </w:t>
      </w:r>
      <w:r w:rsidR="00F16C1D" w:rsidRPr="00244D65">
        <w:rPr>
          <w:noProof/>
        </w:rPr>
        <w:t xml:space="preserve">demonstrate the lowest inter-annual price volatility with smooth trajectories resilient to </w:t>
      </w:r>
      <w:r w:rsidR="00B715E6" w:rsidRPr="00244D65">
        <w:rPr>
          <w:noProof/>
        </w:rPr>
        <w:t>shocks and</w:t>
      </w:r>
      <w:r w:rsidR="00F16C1D" w:rsidRPr="00244D65">
        <w:rPr>
          <w:noProof/>
        </w:rPr>
        <w:t xml:space="preserve"> provide </w:t>
      </w:r>
      <w:r w:rsidR="00BB0842" w:rsidRPr="00244D65">
        <w:rPr>
          <w:noProof/>
        </w:rPr>
        <w:t xml:space="preserve">for the most optimal </w:t>
      </w:r>
      <w:r w:rsidR="00F16C1D" w:rsidRPr="00244D65">
        <w:rPr>
          <w:noProof/>
        </w:rPr>
        <w:t>market conditions balancing responsiveness with transparency.</w:t>
      </w:r>
    </w:p>
    <w:p w14:paraId="1EBF07A6" w14:textId="7C05EE3A" w:rsidR="00224522" w:rsidRPr="00244D65" w:rsidRDefault="001541CC" w:rsidP="0085595C">
      <w:pPr>
        <w:rPr>
          <w:noProof/>
        </w:rPr>
      </w:pPr>
      <w:r w:rsidRPr="00244D65">
        <w:rPr>
          <w:noProof/>
        </w:rPr>
        <w:t>For aviation, includ</w:t>
      </w:r>
      <w:r w:rsidR="00AB4959" w:rsidRPr="00244D65">
        <w:rPr>
          <w:noProof/>
        </w:rPr>
        <w:t>ing</w:t>
      </w:r>
      <w:r w:rsidRPr="00244D65">
        <w:rPr>
          <w:noProof/>
        </w:rPr>
        <w:t xml:space="preserve"> departing flights</w:t>
      </w:r>
      <w:r w:rsidR="00DD78DC" w:rsidRPr="00244D65">
        <w:rPr>
          <w:noProof/>
        </w:rPr>
        <w:t xml:space="preserve"> under PO2 and PO3 is coherent with the scope of application of ReFuelEU </w:t>
      </w:r>
      <w:r w:rsidR="00B715E6" w:rsidRPr="00244D65">
        <w:rPr>
          <w:noProof/>
        </w:rPr>
        <w:t>Aviation and</w:t>
      </w:r>
      <w:r w:rsidR="007829AF" w:rsidRPr="00244D65">
        <w:rPr>
          <w:noProof/>
        </w:rPr>
        <w:t xml:space="preserve"> automatically unlocks additional ETS-financed support for SAF. </w:t>
      </w:r>
      <w:r w:rsidR="00CF6EB4" w:rsidRPr="00244D65">
        <w:rPr>
          <w:noProof/>
        </w:rPr>
        <w:t xml:space="preserve">Both PO2 and PO3 are supportive of multilateral action, as they allow the deduction of </w:t>
      </w:r>
      <w:r w:rsidR="00D2020A" w:rsidRPr="00244D65">
        <w:rPr>
          <w:noProof/>
        </w:rPr>
        <w:t>CORSIA offsetting costs.</w:t>
      </w:r>
      <w:r w:rsidR="00CF6EB4" w:rsidRPr="00244D65">
        <w:rPr>
          <w:noProof/>
        </w:rPr>
        <w:t xml:space="preserve"> </w:t>
      </w:r>
    </w:p>
    <w:p w14:paraId="21AEBF14" w14:textId="7E32AB79" w:rsidR="009B1D15" w:rsidRPr="00244D65" w:rsidRDefault="00C21FC3" w:rsidP="0085595C">
      <w:pPr>
        <w:rPr>
          <w:noProof/>
        </w:rPr>
      </w:pPr>
      <w:r w:rsidRPr="00244D65">
        <w:rPr>
          <w:noProof/>
        </w:rPr>
        <w:t>For maritime, all policy options are fully consistent with existing EU legislation such as the EU maritime transport MRV framework and FuelEU</w:t>
      </w:r>
      <w:r w:rsidR="002A4B14" w:rsidRPr="00244D65">
        <w:rPr>
          <w:noProof/>
        </w:rPr>
        <w:t xml:space="preserve">. </w:t>
      </w:r>
      <w:r w:rsidR="00CD11C7" w:rsidRPr="00244D65">
        <w:rPr>
          <w:noProof/>
        </w:rPr>
        <w:t xml:space="preserve">The deduction mechanism in PO1 and PO2 </w:t>
      </w:r>
      <w:r w:rsidR="006A7586" w:rsidRPr="00244D65">
        <w:rPr>
          <w:noProof/>
        </w:rPr>
        <w:t>would ensure</w:t>
      </w:r>
      <w:r w:rsidR="00CD11C7" w:rsidRPr="00244D65">
        <w:rPr>
          <w:noProof/>
        </w:rPr>
        <w:t xml:space="preserve"> coheren</w:t>
      </w:r>
      <w:r w:rsidR="006A7586" w:rsidRPr="00244D65">
        <w:rPr>
          <w:noProof/>
        </w:rPr>
        <w:t>ce</w:t>
      </w:r>
      <w:r w:rsidR="00CD11C7" w:rsidRPr="00244D65">
        <w:rPr>
          <w:noProof/>
        </w:rPr>
        <w:t xml:space="preserve"> with </w:t>
      </w:r>
      <w:r w:rsidR="00DA1ABF" w:rsidRPr="00244D65">
        <w:rPr>
          <w:noProof/>
        </w:rPr>
        <w:t>future</w:t>
      </w:r>
      <w:r w:rsidR="00CD11C7" w:rsidRPr="00244D65">
        <w:rPr>
          <w:noProof/>
        </w:rPr>
        <w:t xml:space="preserve"> IMO measures (once adopted)</w:t>
      </w:r>
    </w:p>
    <w:p w14:paraId="42EE1AFC" w14:textId="5A20865A" w:rsidR="00FE5839" w:rsidRPr="00244D65" w:rsidRDefault="00911967" w:rsidP="0085595C">
      <w:pPr>
        <w:rPr>
          <w:noProof/>
        </w:rPr>
      </w:pPr>
      <w:r w:rsidRPr="00244D65">
        <w:rPr>
          <w:noProof/>
        </w:rPr>
        <w:t xml:space="preserve">The integration of carbon removals </w:t>
      </w:r>
      <w:r w:rsidR="00CF7F9B" w:rsidRPr="00244D65">
        <w:rPr>
          <w:noProof/>
        </w:rPr>
        <w:t>in all POs</w:t>
      </w:r>
      <w:r w:rsidRPr="00244D65">
        <w:rPr>
          <w:noProof/>
        </w:rPr>
        <w:t xml:space="preserve"> and the </w:t>
      </w:r>
      <w:r w:rsidR="00F659E9" w:rsidRPr="00244D65">
        <w:rPr>
          <w:noProof/>
        </w:rPr>
        <w:t xml:space="preserve">recognition of non-permanent CCU </w:t>
      </w:r>
      <w:r w:rsidR="00B34B67" w:rsidRPr="00244D65">
        <w:rPr>
          <w:noProof/>
        </w:rPr>
        <w:t>in PO2 and PO3</w:t>
      </w:r>
      <w:r w:rsidR="00F659E9" w:rsidRPr="00244D65">
        <w:rPr>
          <w:noProof/>
        </w:rPr>
        <w:t xml:space="preserve"> are coherent with the policies being developed under the Industrial Carbon Management Strategy and the broader framework of the Clean Industrial Deal, fostering the competitiveness of the EU.</w:t>
      </w:r>
      <w:r w:rsidR="00EB5B85" w:rsidRPr="00244D65">
        <w:rPr>
          <w:noProof/>
        </w:rPr>
        <w:t xml:space="preserve"> PO1 would be most coherent </w:t>
      </w:r>
      <w:r w:rsidR="00B9550B" w:rsidRPr="00244D65">
        <w:rPr>
          <w:noProof/>
        </w:rPr>
        <w:t>as it provides the greatest support for removals while provide the greatest certainty to industry on the space available under the ETS and for the achievement of the net target, in coherence with the European Climate Law.</w:t>
      </w:r>
    </w:p>
    <w:p w14:paraId="6C5AD975" w14:textId="2C3268B2" w:rsidR="005B08E1" w:rsidRPr="00244D65" w:rsidRDefault="005B08E1" w:rsidP="0085595C">
      <w:pPr>
        <w:rPr>
          <w:noProof/>
        </w:rPr>
      </w:pPr>
      <w:r w:rsidRPr="00244D65">
        <w:rPr>
          <w:noProof/>
        </w:rPr>
        <w:t xml:space="preserve">The </w:t>
      </w:r>
      <w:r w:rsidR="00FE116B" w:rsidRPr="00244D65">
        <w:rPr>
          <w:noProof/>
        </w:rPr>
        <w:t xml:space="preserve">inclusion of the </w:t>
      </w:r>
      <w:r w:rsidR="00D5523E" w:rsidRPr="00244D65">
        <w:rPr>
          <w:noProof/>
        </w:rPr>
        <w:t xml:space="preserve">waste management </w:t>
      </w:r>
      <w:r w:rsidR="00FE116B" w:rsidRPr="00244D65">
        <w:rPr>
          <w:noProof/>
        </w:rPr>
        <w:t xml:space="preserve">sector into the EU ETS </w:t>
      </w:r>
      <w:r w:rsidR="00041A54" w:rsidRPr="00244D65">
        <w:rPr>
          <w:noProof/>
        </w:rPr>
        <w:t>in PO2 and PO3</w:t>
      </w:r>
      <w:r w:rsidR="00FE116B" w:rsidRPr="00244D65">
        <w:rPr>
          <w:noProof/>
        </w:rPr>
        <w:t xml:space="preserve"> is </w:t>
      </w:r>
      <w:r w:rsidR="00041A54" w:rsidRPr="00244D65">
        <w:rPr>
          <w:noProof/>
        </w:rPr>
        <w:t>coherent</w:t>
      </w:r>
      <w:r w:rsidR="00FE116B" w:rsidRPr="00244D65">
        <w:rPr>
          <w:noProof/>
        </w:rPr>
        <w:t xml:space="preserve"> with the objectives of Waste Framework Directive</w:t>
      </w:r>
      <w:r w:rsidR="00A56343" w:rsidRPr="00244D65">
        <w:rPr>
          <w:noProof/>
        </w:rPr>
        <w:t>, fostering the transition to a circular economy,</w:t>
      </w:r>
      <w:r w:rsidR="00DB1B82" w:rsidRPr="00244D65">
        <w:rPr>
          <w:noProof/>
        </w:rPr>
        <w:t xml:space="preserve"> and the broader </w:t>
      </w:r>
      <w:r w:rsidR="00A56343" w:rsidRPr="00244D65">
        <w:rPr>
          <w:noProof/>
        </w:rPr>
        <w:t>environmental</w:t>
      </w:r>
      <w:r w:rsidR="0047608F" w:rsidRPr="00244D65">
        <w:rPr>
          <w:noProof/>
        </w:rPr>
        <w:t xml:space="preserve"> policy framework of the EU</w:t>
      </w:r>
      <w:r w:rsidR="00FE116B" w:rsidRPr="00244D65">
        <w:rPr>
          <w:noProof/>
        </w:rPr>
        <w:t>.</w:t>
      </w:r>
      <w:r w:rsidR="00041A54" w:rsidRPr="00244D65">
        <w:rPr>
          <w:noProof/>
        </w:rPr>
        <w:t xml:space="preserve"> </w:t>
      </w:r>
    </w:p>
    <w:p w14:paraId="111E6371" w14:textId="60E28A2B" w:rsidR="008F21FA" w:rsidRPr="00244D65" w:rsidRDefault="002A6407" w:rsidP="0085595C">
      <w:pPr>
        <w:rPr>
          <w:noProof/>
        </w:rPr>
      </w:pPr>
      <w:r w:rsidRPr="00244D65">
        <w:rPr>
          <w:noProof/>
        </w:rPr>
        <w:t>There are no marked differences between the POs on Industrial Decarbonisation Bank in terms of coherence</w:t>
      </w:r>
      <w:r w:rsidR="006B26F0" w:rsidRPr="00244D65">
        <w:rPr>
          <w:noProof/>
        </w:rPr>
        <w:t xml:space="preserve">. </w:t>
      </w:r>
      <w:r w:rsidR="003772B9" w:rsidRPr="00244D65">
        <w:rPr>
          <w:noProof/>
        </w:rPr>
        <w:t>The</w:t>
      </w:r>
      <w:r w:rsidR="002D2642" w:rsidRPr="00244D65">
        <w:rPr>
          <w:noProof/>
        </w:rPr>
        <w:t xml:space="preserve"> </w:t>
      </w:r>
      <w:bookmarkStart w:id="307" w:name="_Int_i6aOx7fB"/>
      <w:r w:rsidR="002D2642" w:rsidRPr="00244D65">
        <w:rPr>
          <w:noProof/>
        </w:rPr>
        <w:t>IDB as a whole, however</w:t>
      </w:r>
      <w:bookmarkEnd w:id="307"/>
      <w:r w:rsidR="002D2642" w:rsidRPr="00244D65">
        <w:rPr>
          <w:noProof/>
        </w:rPr>
        <w:t xml:space="preserve">, needs to </w:t>
      </w:r>
      <w:r w:rsidR="00B32E2C" w:rsidRPr="00244D65">
        <w:rPr>
          <w:noProof/>
        </w:rPr>
        <w:t>ensure coherence with</w:t>
      </w:r>
      <w:r w:rsidR="006B26F0" w:rsidRPr="00244D65">
        <w:rPr>
          <w:noProof/>
        </w:rPr>
        <w:t xml:space="preserve"> </w:t>
      </w:r>
      <w:r w:rsidR="00C309F0" w:rsidRPr="00244D65">
        <w:rPr>
          <w:noProof/>
        </w:rPr>
        <w:t xml:space="preserve">other </w:t>
      </w:r>
      <w:r w:rsidR="008A1BE5" w:rsidRPr="00244D65">
        <w:rPr>
          <w:noProof/>
        </w:rPr>
        <w:t xml:space="preserve">climate policies. </w:t>
      </w:r>
      <w:r w:rsidR="00FE5839" w:rsidRPr="00244D65">
        <w:rPr>
          <w:noProof/>
        </w:rPr>
        <w:t xml:space="preserve">As </w:t>
      </w:r>
      <w:r w:rsidR="00D17C3D" w:rsidRPr="00244D65">
        <w:rPr>
          <w:noProof/>
        </w:rPr>
        <w:t>climate action</w:t>
      </w:r>
      <w:r w:rsidR="00FE5839" w:rsidRPr="00244D65">
        <w:rPr>
          <w:noProof/>
        </w:rPr>
        <w:t xml:space="preserve"> </w:t>
      </w:r>
      <w:r w:rsidR="00D17C3D" w:rsidRPr="00244D65">
        <w:rPr>
          <w:noProof/>
        </w:rPr>
        <w:t>progresses</w:t>
      </w:r>
      <w:r w:rsidR="00FE5839" w:rsidRPr="00244D65">
        <w:rPr>
          <w:noProof/>
        </w:rPr>
        <w:t xml:space="preserve"> and the </w:t>
      </w:r>
      <w:r w:rsidR="00D17C3D" w:rsidRPr="00244D65">
        <w:rPr>
          <w:noProof/>
        </w:rPr>
        <w:t xml:space="preserve">hardest to abate emissions </w:t>
      </w:r>
      <w:r w:rsidR="0039066C" w:rsidRPr="00244D65">
        <w:rPr>
          <w:noProof/>
        </w:rPr>
        <w:t xml:space="preserve">have to be </w:t>
      </w:r>
      <w:r w:rsidR="00D17C3D" w:rsidRPr="00244D65">
        <w:rPr>
          <w:noProof/>
        </w:rPr>
        <w:t>reached</w:t>
      </w:r>
      <w:r w:rsidR="00FE5839" w:rsidRPr="00244D65">
        <w:rPr>
          <w:noProof/>
        </w:rPr>
        <w:t xml:space="preserve">, the </w:t>
      </w:r>
      <w:r w:rsidR="0027573B" w:rsidRPr="00244D65">
        <w:rPr>
          <w:noProof/>
        </w:rPr>
        <w:t xml:space="preserve">use of </w:t>
      </w:r>
      <w:r w:rsidR="00FE5839" w:rsidRPr="00244D65">
        <w:rPr>
          <w:noProof/>
        </w:rPr>
        <w:t xml:space="preserve">ETS’s </w:t>
      </w:r>
      <w:r w:rsidR="0027573B" w:rsidRPr="00244D65">
        <w:rPr>
          <w:noProof/>
        </w:rPr>
        <w:t xml:space="preserve">revenues </w:t>
      </w:r>
      <w:r w:rsidR="00F66260" w:rsidRPr="00244D65">
        <w:rPr>
          <w:noProof/>
        </w:rPr>
        <w:t xml:space="preserve">to support investment </w:t>
      </w:r>
      <w:r w:rsidR="00FE5839" w:rsidRPr="00244D65">
        <w:rPr>
          <w:noProof/>
        </w:rPr>
        <w:t>become more relevant to</w:t>
      </w:r>
      <w:r w:rsidR="0039066C" w:rsidRPr="00244D65">
        <w:rPr>
          <w:noProof/>
        </w:rPr>
        <w:t xml:space="preserve"> ensure the </w:t>
      </w:r>
      <w:r w:rsidR="00560205" w:rsidRPr="00244D65">
        <w:rPr>
          <w:noProof/>
        </w:rPr>
        <w:t>investments take place</w:t>
      </w:r>
      <w:r w:rsidR="00FE5839" w:rsidRPr="00244D65">
        <w:rPr>
          <w:noProof/>
        </w:rPr>
        <w:t xml:space="preserve">. The strengthened </w:t>
      </w:r>
      <w:r w:rsidR="0091187C" w:rsidRPr="00244D65">
        <w:rPr>
          <w:noProof/>
        </w:rPr>
        <w:t>EU</w:t>
      </w:r>
      <w:r w:rsidR="000A4F12" w:rsidRPr="00244D65">
        <w:rPr>
          <w:noProof/>
        </w:rPr>
        <w:t>-level</w:t>
      </w:r>
      <w:r w:rsidR="0091187C" w:rsidRPr="00244D65">
        <w:rPr>
          <w:noProof/>
        </w:rPr>
        <w:t xml:space="preserve"> </w:t>
      </w:r>
      <w:r w:rsidR="00D17C3D" w:rsidRPr="00244D65">
        <w:rPr>
          <w:noProof/>
        </w:rPr>
        <w:t xml:space="preserve">support provided by the continuation of the </w:t>
      </w:r>
      <w:r w:rsidR="00FE5839" w:rsidRPr="00244D65">
        <w:rPr>
          <w:noProof/>
        </w:rPr>
        <w:t xml:space="preserve">Innovation Fund </w:t>
      </w:r>
      <w:r w:rsidR="00D17C3D" w:rsidRPr="00244D65">
        <w:rPr>
          <w:noProof/>
        </w:rPr>
        <w:t xml:space="preserve">and new Industrial Decarbonisation Bank </w:t>
      </w:r>
      <w:r w:rsidR="00560205" w:rsidRPr="00244D65">
        <w:rPr>
          <w:noProof/>
        </w:rPr>
        <w:t>are</w:t>
      </w:r>
      <w:r w:rsidR="00FE5839" w:rsidRPr="00244D65">
        <w:rPr>
          <w:noProof/>
        </w:rPr>
        <w:t xml:space="preserve"> </w:t>
      </w:r>
      <w:r w:rsidR="00E60B15" w:rsidRPr="00244D65">
        <w:rPr>
          <w:noProof/>
        </w:rPr>
        <w:t xml:space="preserve">from an EU single market perspective </w:t>
      </w:r>
      <w:r w:rsidR="00FE5839" w:rsidRPr="00244D65">
        <w:rPr>
          <w:noProof/>
        </w:rPr>
        <w:t xml:space="preserve">coherent with </w:t>
      </w:r>
      <w:r w:rsidR="00560205" w:rsidRPr="00244D65">
        <w:rPr>
          <w:noProof/>
        </w:rPr>
        <w:t>the carbon price signal and regulatory framework (both also driving the investments but currently not fully sufficient)</w:t>
      </w:r>
      <w:r w:rsidR="00B24920" w:rsidRPr="00244D65">
        <w:rPr>
          <w:noProof/>
        </w:rPr>
        <w:t xml:space="preserve">. </w:t>
      </w:r>
      <w:r w:rsidR="00564FD4" w:rsidRPr="00244D65">
        <w:rPr>
          <w:noProof/>
        </w:rPr>
        <w:t>Coherence</w:t>
      </w:r>
      <w:r w:rsidR="00560205" w:rsidRPr="00244D65">
        <w:rPr>
          <w:noProof/>
        </w:rPr>
        <w:t xml:space="preserve"> </w:t>
      </w:r>
      <w:r w:rsidR="00FE5839" w:rsidRPr="00244D65">
        <w:rPr>
          <w:noProof/>
        </w:rPr>
        <w:t xml:space="preserve">with other EU-wide funding mechanisms </w:t>
      </w:r>
      <w:r w:rsidR="00EE1676" w:rsidRPr="00244D65">
        <w:rPr>
          <w:noProof/>
        </w:rPr>
        <w:t>can be fostered</w:t>
      </w:r>
      <w:r w:rsidR="000C653C" w:rsidRPr="00244D65">
        <w:rPr>
          <w:noProof/>
        </w:rPr>
        <w:t xml:space="preserve"> </w:t>
      </w:r>
      <w:r w:rsidR="00564FD4" w:rsidRPr="00244D65">
        <w:rPr>
          <w:noProof/>
        </w:rPr>
        <w:t xml:space="preserve">by </w:t>
      </w:r>
      <w:r w:rsidR="00AF5D0E" w:rsidRPr="00244D65">
        <w:rPr>
          <w:noProof/>
        </w:rPr>
        <w:t xml:space="preserve">focusing on specific </w:t>
      </w:r>
      <w:r w:rsidR="00560205" w:rsidRPr="00244D65">
        <w:rPr>
          <w:noProof/>
        </w:rPr>
        <w:t>stages of the technology development or ‘investment journey’</w:t>
      </w:r>
      <w:r w:rsidR="00AF5D0E" w:rsidRPr="00244D65">
        <w:rPr>
          <w:noProof/>
        </w:rPr>
        <w:t xml:space="preserve"> </w:t>
      </w:r>
      <w:r w:rsidR="003E5054" w:rsidRPr="00244D65">
        <w:rPr>
          <w:noProof/>
        </w:rPr>
        <w:t>(avoiding overlaps with other programmes)</w:t>
      </w:r>
      <w:r w:rsidR="001623C5" w:rsidRPr="00244D65">
        <w:rPr>
          <w:noProof/>
        </w:rPr>
        <w:t xml:space="preserve"> as well as by </w:t>
      </w:r>
      <w:r w:rsidR="00600FD3" w:rsidRPr="00244D65">
        <w:rPr>
          <w:noProof/>
        </w:rPr>
        <w:t xml:space="preserve">creating </w:t>
      </w:r>
      <w:r w:rsidR="7E672BC2" w:rsidRPr="00244D65">
        <w:rPr>
          <w:noProof/>
        </w:rPr>
        <w:t>a</w:t>
      </w:r>
      <w:r w:rsidR="004D04D5" w:rsidRPr="00244D65">
        <w:rPr>
          <w:noProof/>
        </w:rPr>
        <w:t>n</w:t>
      </w:r>
      <w:r w:rsidR="007D3ACE" w:rsidRPr="00244D65">
        <w:rPr>
          <w:noProof/>
        </w:rPr>
        <w:t xml:space="preserve"> </w:t>
      </w:r>
      <w:r w:rsidR="636A09F4" w:rsidRPr="00244D65">
        <w:rPr>
          <w:noProof/>
        </w:rPr>
        <w:t xml:space="preserve">aligned </w:t>
      </w:r>
      <w:r w:rsidR="007D3ACE" w:rsidRPr="00244D65">
        <w:rPr>
          <w:noProof/>
        </w:rPr>
        <w:t>governance framework of ECF and IDB</w:t>
      </w:r>
      <w:r w:rsidR="002832C2" w:rsidRPr="00244D65">
        <w:rPr>
          <w:noProof/>
        </w:rPr>
        <w:t xml:space="preserve">. </w:t>
      </w:r>
      <w:r w:rsidR="009A268D" w:rsidRPr="00244D65">
        <w:rPr>
          <w:noProof/>
        </w:rPr>
        <w:t xml:space="preserve">The coherence </w:t>
      </w:r>
      <w:r w:rsidR="6A0CA20B" w:rsidRPr="00244D65">
        <w:rPr>
          <w:noProof/>
        </w:rPr>
        <w:t>with other</w:t>
      </w:r>
      <w:r w:rsidR="000C653C" w:rsidRPr="00244D65">
        <w:rPr>
          <w:noProof/>
        </w:rPr>
        <w:t xml:space="preserve"> </w:t>
      </w:r>
      <w:r w:rsidR="009A268D" w:rsidRPr="00244D65">
        <w:rPr>
          <w:noProof/>
        </w:rPr>
        <w:t xml:space="preserve">ETS based </w:t>
      </w:r>
      <w:r w:rsidR="6FD314D5" w:rsidRPr="00244D65">
        <w:rPr>
          <w:noProof/>
        </w:rPr>
        <w:t xml:space="preserve">support instruments and </w:t>
      </w:r>
      <w:r w:rsidR="38B6DD8F" w:rsidRPr="00244D65">
        <w:rPr>
          <w:noProof/>
        </w:rPr>
        <w:t xml:space="preserve">the </w:t>
      </w:r>
      <w:r w:rsidR="009A268D" w:rsidRPr="00244D65">
        <w:rPr>
          <w:noProof/>
        </w:rPr>
        <w:t xml:space="preserve">national </w:t>
      </w:r>
      <w:r w:rsidR="34F01380" w:rsidRPr="00244D65">
        <w:rPr>
          <w:noProof/>
        </w:rPr>
        <w:t xml:space="preserve">use of ETS revenues </w:t>
      </w:r>
      <w:r w:rsidR="009A268D" w:rsidRPr="00244D65">
        <w:rPr>
          <w:noProof/>
        </w:rPr>
        <w:t xml:space="preserve">continues to be </w:t>
      </w:r>
      <w:r w:rsidR="001623C5" w:rsidRPr="00244D65">
        <w:rPr>
          <w:noProof/>
        </w:rPr>
        <w:t>fostered</w:t>
      </w:r>
      <w:r w:rsidR="5C89809E" w:rsidRPr="00244D65">
        <w:rPr>
          <w:noProof/>
        </w:rPr>
        <w:t>, including via</w:t>
      </w:r>
      <w:r w:rsidR="000C653C" w:rsidRPr="00244D65">
        <w:rPr>
          <w:noProof/>
        </w:rPr>
        <w:t xml:space="preserve"> </w:t>
      </w:r>
      <w:r w:rsidR="00FE5839" w:rsidRPr="00244D65">
        <w:rPr>
          <w:noProof/>
        </w:rPr>
        <w:t>State aid rules</w:t>
      </w:r>
      <w:r w:rsidR="00252AF1" w:rsidRPr="00244D65">
        <w:rPr>
          <w:noProof/>
        </w:rPr>
        <w:t xml:space="preserve"> that enable the funding on the national level</w:t>
      </w:r>
      <w:r w:rsidR="00B050B4" w:rsidRPr="00244D65">
        <w:rPr>
          <w:noProof/>
        </w:rPr>
        <w:t xml:space="preserve">. </w:t>
      </w:r>
      <w:r w:rsidR="2793A5A9" w:rsidRPr="00244D65">
        <w:rPr>
          <w:noProof/>
        </w:rPr>
        <w:t>Additionally</w:t>
      </w:r>
      <w:r w:rsidR="009C59A5" w:rsidRPr="00244D65">
        <w:rPr>
          <w:noProof/>
        </w:rPr>
        <w:t>,</w:t>
      </w:r>
      <w:r w:rsidR="2793A5A9" w:rsidRPr="00244D65">
        <w:rPr>
          <w:noProof/>
        </w:rPr>
        <w:t xml:space="preserve"> the </w:t>
      </w:r>
      <w:r w:rsidR="75965D9B" w:rsidRPr="00244D65">
        <w:rPr>
          <w:noProof/>
        </w:rPr>
        <w:t>set-up</w:t>
      </w:r>
      <w:r w:rsidR="1909BACE" w:rsidRPr="00244D65">
        <w:rPr>
          <w:noProof/>
        </w:rPr>
        <w:t xml:space="preserve"> of the</w:t>
      </w:r>
      <w:r w:rsidR="000C653C" w:rsidRPr="00244D65">
        <w:rPr>
          <w:noProof/>
        </w:rPr>
        <w:t xml:space="preserve"> </w:t>
      </w:r>
      <w:r w:rsidR="00210BC1" w:rsidRPr="00244D65">
        <w:rPr>
          <w:noProof/>
        </w:rPr>
        <w:t>‘</w:t>
      </w:r>
      <w:r w:rsidR="1909BACE" w:rsidRPr="00244D65">
        <w:rPr>
          <w:noProof/>
        </w:rPr>
        <w:t>as-a-service</w:t>
      </w:r>
      <w:r w:rsidR="009C59A5" w:rsidRPr="00244D65">
        <w:rPr>
          <w:noProof/>
        </w:rPr>
        <w:t>’</w:t>
      </w:r>
      <w:r w:rsidR="1909BACE" w:rsidRPr="00244D65">
        <w:rPr>
          <w:noProof/>
        </w:rPr>
        <w:t xml:space="preserve"> feature</w:t>
      </w:r>
      <w:r w:rsidR="009C59A5" w:rsidRPr="00244D65">
        <w:rPr>
          <w:noProof/>
        </w:rPr>
        <w:t xml:space="preserve"> could enable even better integration of the State aid and EU-level funding if applied to the IDB funding instruments</w:t>
      </w:r>
      <w:r w:rsidR="00FE5839" w:rsidRPr="00244D65">
        <w:rPr>
          <w:noProof/>
        </w:rPr>
        <w:t>.</w:t>
      </w:r>
      <w:r w:rsidR="1909BACE" w:rsidRPr="00244D65">
        <w:rPr>
          <w:noProof/>
        </w:rPr>
        <w:t xml:space="preserve"> </w:t>
      </w:r>
    </w:p>
    <w:p w14:paraId="1DC283E0" w14:textId="71C62F4A" w:rsidR="00482037" w:rsidRPr="00244D65" w:rsidRDefault="00D2226E" w:rsidP="0085595C">
      <w:pPr>
        <w:rPr>
          <w:noProof/>
        </w:rPr>
      </w:pPr>
      <w:r w:rsidRPr="00244D65">
        <w:rPr>
          <w:noProof/>
        </w:rPr>
        <w:t>Expanding</w:t>
      </w:r>
      <w:r w:rsidR="00482037" w:rsidRPr="00244D65">
        <w:rPr>
          <w:noProof/>
        </w:rPr>
        <w:t xml:space="preserve"> </w:t>
      </w:r>
      <w:r w:rsidR="000E0E97" w:rsidRPr="00244D65">
        <w:rPr>
          <w:noProof/>
        </w:rPr>
        <w:t>eligibility of</w:t>
      </w:r>
      <w:r w:rsidRPr="00244D65">
        <w:rPr>
          <w:noProof/>
        </w:rPr>
        <w:t xml:space="preserve"> priority investments to</w:t>
      </w:r>
      <w:r w:rsidR="000E0E97" w:rsidRPr="00244D65">
        <w:rPr>
          <w:noProof/>
        </w:rPr>
        <w:t xml:space="preserve"> CCS and </w:t>
      </w:r>
      <w:r w:rsidRPr="00244D65">
        <w:rPr>
          <w:noProof/>
        </w:rPr>
        <w:t xml:space="preserve">direct </w:t>
      </w:r>
      <w:r w:rsidR="000E0E97" w:rsidRPr="00244D65">
        <w:rPr>
          <w:noProof/>
        </w:rPr>
        <w:t>electrification</w:t>
      </w:r>
      <w:r w:rsidRPr="00244D65">
        <w:rPr>
          <w:noProof/>
        </w:rPr>
        <w:t xml:space="preserve"> of industry</w:t>
      </w:r>
      <w:r w:rsidR="000E0E97" w:rsidRPr="00244D65">
        <w:rPr>
          <w:noProof/>
        </w:rPr>
        <w:t xml:space="preserve"> </w:t>
      </w:r>
      <w:r w:rsidR="00482037" w:rsidRPr="00244D65">
        <w:rPr>
          <w:noProof/>
        </w:rPr>
        <w:t xml:space="preserve">in all POs </w:t>
      </w:r>
      <w:r w:rsidR="009C0974" w:rsidRPr="00244D65">
        <w:rPr>
          <w:noProof/>
        </w:rPr>
        <w:t xml:space="preserve">is </w:t>
      </w:r>
      <w:r w:rsidR="00482037" w:rsidRPr="00244D65">
        <w:rPr>
          <w:noProof/>
        </w:rPr>
        <w:t>coherent with the policies being developed under the Industrial Carbon Management Strategy and the broader framework of the Clean Industrial Deal</w:t>
      </w:r>
      <w:r w:rsidR="005B031B" w:rsidRPr="00244D65">
        <w:rPr>
          <w:noProof/>
        </w:rPr>
        <w:t xml:space="preserve">. </w:t>
      </w:r>
      <w:r w:rsidR="00E96157" w:rsidRPr="00244D65">
        <w:rPr>
          <w:noProof/>
        </w:rPr>
        <w:t xml:space="preserve">After 2030, </w:t>
      </w:r>
      <w:r w:rsidR="005B031B" w:rsidRPr="00244D65">
        <w:rPr>
          <w:noProof/>
        </w:rPr>
        <w:t>hard-to-abate sectors will still need deployment of solutions like CCS and direct electrification which are costly.</w:t>
      </w:r>
      <w:r w:rsidR="00DD3014" w:rsidRPr="00244D65">
        <w:rPr>
          <w:noProof/>
        </w:rPr>
        <w:t xml:space="preserve"> </w:t>
      </w:r>
      <w:r w:rsidR="00C27BAE" w:rsidRPr="00244D65">
        <w:rPr>
          <w:noProof/>
        </w:rPr>
        <w:t xml:space="preserve">The phase out of </w:t>
      </w:r>
      <w:r w:rsidR="00706CF1" w:rsidRPr="00244D65">
        <w:rPr>
          <w:noProof/>
        </w:rPr>
        <w:t xml:space="preserve">public support to </w:t>
      </w:r>
      <w:r w:rsidR="00C27BAE" w:rsidRPr="00244D65">
        <w:rPr>
          <w:noProof/>
        </w:rPr>
        <w:t>investments involving natural gas</w:t>
      </w:r>
      <w:r w:rsidR="00DD3014" w:rsidRPr="00244D65">
        <w:rPr>
          <w:noProof/>
        </w:rPr>
        <w:t xml:space="preserve"> and waste-to-energy</w:t>
      </w:r>
      <w:r w:rsidR="00C27BAE" w:rsidRPr="00244D65">
        <w:rPr>
          <w:noProof/>
        </w:rPr>
        <w:t xml:space="preserve"> is also consistent with the EU’s </w:t>
      </w:r>
      <w:r w:rsidR="00E83F10" w:rsidRPr="00244D65">
        <w:rPr>
          <w:noProof/>
        </w:rPr>
        <w:t>2040 decarbonation targets</w:t>
      </w:r>
      <w:r w:rsidR="00B54280" w:rsidRPr="00244D65">
        <w:rPr>
          <w:noProof/>
        </w:rPr>
        <w:t xml:space="preserve"> </w:t>
      </w:r>
      <w:r w:rsidR="002E628B" w:rsidRPr="00244D65">
        <w:rPr>
          <w:noProof/>
        </w:rPr>
        <w:t>since lower-emitting altern</w:t>
      </w:r>
      <w:r w:rsidR="3D349629" w:rsidRPr="00244D65">
        <w:rPr>
          <w:noProof/>
        </w:rPr>
        <w:t>at</w:t>
      </w:r>
      <w:r w:rsidR="002E628B" w:rsidRPr="00244D65">
        <w:rPr>
          <w:noProof/>
        </w:rPr>
        <w:t>ives exist</w:t>
      </w:r>
      <w:r w:rsidR="001D7355" w:rsidRPr="00244D65">
        <w:rPr>
          <w:noProof/>
        </w:rPr>
        <w:t>.</w:t>
      </w:r>
      <w:r w:rsidR="00811176" w:rsidRPr="00244D65">
        <w:rPr>
          <w:noProof/>
        </w:rPr>
        <w:t xml:space="preserve"> In that respect, PO3 is the most consistent with the EU’s decarbonation targets, followed by PO2 and finally by PO1.</w:t>
      </w:r>
    </w:p>
    <w:p w14:paraId="14F0EBE8" w14:textId="33CE61B1" w:rsidR="006B087E" w:rsidRPr="00244D65" w:rsidRDefault="00B70A9A" w:rsidP="0085595C">
      <w:pPr>
        <w:pStyle w:val="Heading2"/>
        <w:rPr>
          <w:noProof/>
        </w:rPr>
      </w:pPr>
      <w:bookmarkStart w:id="308" w:name="_Toc234949760"/>
      <w:bookmarkStart w:id="309" w:name="_Toc232752516"/>
      <w:r w:rsidRPr="00244D65">
        <w:rPr>
          <w:noProof/>
        </w:rPr>
        <w:t>Summary</w:t>
      </w:r>
      <w:bookmarkEnd w:id="308"/>
      <w:bookmarkEnd w:id="309"/>
    </w:p>
    <w:p w14:paraId="1793A1F0" w14:textId="5840106A" w:rsidR="003A7A7A" w:rsidRPr="00244D65" w:rsidRDefault="00712078" w:rsidP="0085595C">
      <w:pPr>
        <w:rPr>
          <w:noProof/>
        </w:rPr>
      </w:pPr>
      <w:bookmarkStart w:id="310" w:name="_Ref212547397"/>
      <w:r w:rsidRPr="00244D65">
        <w:rPr>
          <w:noProof/>
        </w:rPr>
        <w:t xml:space="preserve">Table </w:t>
      </w:r>
      <w:r>
        <w:rPr>
          <w:noProof/>
        </w:rPr>
        <w:t>18</w:t>
      </w:r>
      <w:r w:rsidR="00FA0B00" w:rsidRPr="00244D65">
        <w:rPr>
          <w:noProof/>
        </w:rPr>
        <w:t xml:space="preserve"> </w:t>
      </w:r>
      <w:r w:rsidR="00C30C13" w:rsidRPr="00244D65">
        <w:rPr>
          <w:noProof/>
        </w:rPr>
        <w:t>below</w:t>
      </w:r>
      <w:r w:rsidR="003A7A7A" w:rsidRPr="00244D65">
        <w:rPr>
          <w:noProof/>
        </w:rPr>
        <w:t xml:space="preserve"> provides a summary of the comparison of the options against the baseline scenario in terms of effectiveness, </w:t>
      </w:r>
      <w:r w:rsidR="49759096" w:rsidRPr="00244D65">
        <w:rPr>
          <w:noProof/>
        </w:rPr>
        <w:t>efficiency,</w:t>
      </w:r>
      <w:r w:rsidR="003A7A7A" w:rsidRPr="00244D65">
        <w:rPr>
          <w:noProof/>
        </w:rPr>
        <w:t xml:space="preserve"> and proportionality. The following ranking symbols have been used: from '+' (more effective/efficient/</w:t>
      </w:r>
      <w:r w:rsidR="005B0F4D" w:rsidRPr="00244D65">
        <w:rPr>
          <w:noProof/>
        </w:rPr>
        <w:t xml:space="preserve">coherent </w:t>
      </w:r>
      <w:r w:rsidR="003A7A7A" w:rsidRPr="00244D65">
        <w:rPr>
          <w:noProof/>
        </w:rPr>
        <w:t>than the baseline) to '+++' (much more effective/efficient/coherent than the baseline).</w:t>
      </w:r>
    </w:p>
    <w:p w14:paraId="256AB9B8" w14:textId="1C8D4E36" w:rsidR="00191290" w:rsidRPr="00244D65" w:rsidRDefault="00400451" w:rsidP="005E4778">
      <w:pPr>
        <w:pStyle w:val="Tabletitle"/>
        <w:rPr>
          <w:noProof/>
        </w:rPr>
      </w:pPr>
      <w:bookmarkStart w:id="311" w:name="_Toc234496398"/>
      <w:bookmarkStart w:id="312" w:name="_Toc232754578"/>
      <w:bookmarkEnd w:id="310"/>
      <w:r w:rsidRPr="00244D65">
        <w:rPr>
          <w:noProof/>
        </w:rPr>
        <w:t>Summary of the comparison of the policy options against the baseline scenario</w:t>
      </w:r>
      <w:bookmarkEnd w:id="311"/>
      <w:bookmarkEnd w:id="3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87"/>
        <w:gridCol w:w="2188"/>
        <w:gridCol w:w="2188"/>
        <w:gridCol w:w="2188"/>
      </w:tblGrid>
      <w:tr w:rsidR="00432527" w:rsidRPr="00244D65" w14:paraId="30A44A8B" w14:textId="77777777" w:rsidTr="005F77FE">
        <w:trPr>
          <w:trHeight w:val="144"/>
        </w:trPr>
        <w:tc>
          <w:tcPr>
            <w:tcW w:w="1250" w:type="pct"/>
            <w:vAlign w:val="center"/>
          </w:tcPr>
          <w:p w14:paraId="567FE34A" w14:textId="77777777" w:rsidR="003A7A7A" w:rsidRPr="00244D65" w:rsidRDefault="003A7A7A" w:rsidP="0085595C">
            <w:pPr>
              <w:pStyle w:val="BodyText"/>
              <w:spacing w:line="240" w:lineRule="auto"/>
              <w:jc w:val="center"/>
              <w:rPr>
                <w:rFonts w:ascii="Times New Roman" w:eastAsia="Times New Roman" w:hAnsi="Times New Roman" w:cs="Times New Roman"/>
                <w:noProof/>
                <w:sz w:val="24"/>
                <w:szCs w:val="24"/>
                <w:lang w:eastAsia="en-GB"/>
              </w:rPr>
            </w:pPr>
          </w:p>
        </w:tc>
        <w:tc>
          <w:tcPr>
            <w:tcW w:w="1250" w:type="pct"/>
          </w:tcPr>
          <w:p w14:paraId="033F6B2C" w14:textId="16930CEA" w:rsidR="003A7A7A" w:rsidRPr="00244D65" w:rsidRDefault="00A22289" w:rsidP="0085595C">
            <w:pPr>
              <w:pStyle w:val="BodyText"/>
              <w:spacing w:line="240" w:lineRule="auto"/>
              <w:jc w:val="center"/>
              <w:rPr>
                <w:rFonts w:ascii="Times New Roman" w:eastAsia="Times New Roman" w:hAnsi="Times New Roman" w:cs="Times New Roman"/>
                <w:b/>
                <w:bCs/>
                <w:noProof/>
                <w:sz w:val="24"/>
                <w:szCs w:val="24"/>
                <w:lang w:eastAsia="en-GB"/>
              </w:rPr>
            </w:pPr>
            <w:r w:rsidRPr="00244D65">
              <w:rPr>
                <w:rFonts w:ascii="Times New Roman" w:hAnsi="Times New Roman" w:cs="Times New Roman"/>
                <w:b/>
                <w:bCs/>
                <w:noProof/>
                <w:sz w:val="22"/>
                <w:szCs w:val="22"/>
              </w:rPr>
              <w:t>PO1</w:t>
            </w:r>
          </w:p>
        </w:tc>
        <w:tc>
          <w:tcPr>
            <w:tcW w:w="1250" w:type="pct"/>
            <w:vAlign w:val="center"/>
          </w:tcPr>
          <w:p w14:paraId="32FF2FEE" w14:textId="5510AD16" w:rsidR="003A7A7A" w:rsidRPr="00244D65" w:rsidRDefault="00A22289" w:rsidP="0085595C">
            <w:pPr>
              <w:pStyle w:val="BodyText"/>
              <w:spacing w:line="240" w:lineRule="auto"/>
              <w:jc w:val="center"/>
              <w:rPr>
                <w:rFonts w:ascii="Times New Roman" w:eastAsia="Times New Roman" w:hAnsi="Times New Roman" w:cs="Times New Roman"/>
                <w:b/>
                <w:bCs/>
                <w:noProof/>
                <w:sz w:val="24"/>
                <w:szCs w:val="24"/>
                <w:lang w:eastAsia="en-GB"/>
              </w:rPr>
            </w:pPr>
            <w:r w:rsidRPr="00244D65">
              <w:rPr>
                <w:rFonts w:ascii="Times New Roman" w:hAnsi="Times New Roman" w:cs="Times New Roman"/>
                <w:b/>
                <w:bCs/>
                <w:noProof/>
                <w:sz w:val="22"/>
                <w:szCs w:val="22"/>
              </w:rPr>
              <w:t>PO2</w:t>
            </w:r>
          </w:p>
        </w:tc>
        <w:tc>
          <w:tcPr>
            <w:tcW w:w="1250" w:type="pct"/>
          </w:tcPr>
          <w:p w14:paraId="02DE991B" w14:textId="6D57330D" w:rsidR="003A7A7A" w:rsidRPr="00244D65" w:rsidRDefault="00A22289" w:rsidP="0085595C">
            <w:pPr>
              <w:pStyle w:val="BodyText"/>
              <w:spacing w:line="240" w:lineRule="auto"/>
              <w:jc w:val="center"/>
              <w:rPr>
                <w:rFonts w:ascii="Times New Roman" w:eastAsia="Times New Roman" w:hAnsi="Times New Roman" w:cs="Times New Roman"/>
                <w:b/>
                <w:bCs/>
                <w:noProof/>
                <w:sz w:val="24"/>
                <w:szCs w:val="24"/>
                <w:lang w:eastAsia="en-GB"/>
              </w:rPr>
            </w:pPr>
            <w:r w:rsidRPr="00244D65">
              <w:rPr>
                <w:rFonts w:ascii="Times New Roman" w:hAnsi="Times New Roman" w:cs="Times New Roman"/>
                <w:b/>
                <w:bCs/>
                <w:noProof/>
                <w:sz w:val="22"/>
                <w:szCs w:val="22"/>
              </w:rPr>
              <w:t>PO3</w:t>
            </w:r>
          </w:p>
        </w:tc>
      </w:tr>
      <w:tr w:rsidR="00432527" w:rsidRPr="00244D65" w14:paraId="1697CD00" w14:textId="77777777" w:rsidTr="00BE6017">
        <w:tc>
          <w:tcPr>
            <w:tcW w:w="1250" w:type="pct"/>
          </w:tcPr>
          <w:p w14:paraId="29CC9702" w14:textId="77777777" w:rsidR="003A7A7A" w:rsidRPr="00244D65" w:rsidRDefault="003A7A7A" w:rsidP="0085595C">
            <w:pPr>
              <w:pStyle w:val="BodyText"/>
              <w:spacing w:line="240" w:lineRule="auto"/>
              <w:rPr>
                <w:rFonts w:ascii="Times New Roman" w:eastAsia="Times New Roman" w:hAnsi="Times New Roman" w:cs="Times New Roman"/>
                <w:b/>
                <w:bCs/>
                <w:noProof/>
                <w:sz w:val="24"/>
                <w:szCs w:val="24"/>
                <w:lang w:eastAsia="en-GB"/>
              </w:rPr>
            </w:pPr>
            <w:r w:rsidRPr="00244D65">
              <w:rPr>
                <w:rFonts w:ascii="Times New Roman" w:eastAsia="Times New Roman" w:hAnsi="Times New Roman" w:cs="Times New Roman"/>
                <w:b/>
                <w:bCs/>
                <w:noProof/>
                <w:sz w:val="24"/>
                <w:szCs w:val="24"/>
                <w:lang w:eastAsia="en-GB"/>
              </w:rPr>
              <w:t>Effectiveness</w:t>
            </w:r>
          </w:p>
        </w:tc>
        <w:tc>
          <w:tcPr>
            <w:tcW w:w="1250" w:type="pct"/>
          </w:tcPr>
          <w:p w14:paraId="28C9F069" w14:textId="77777777" w:rsidR="003A7A7A" w:rsidRPr="00244D65" w:rsidRDefault="003A7A7A" w:rsidP="0085595C">
            <w:pPr>
              <w:pStyle w:val="BodyText"/>
              <w:spacing w:line="240" w:lineRule="auto"/>
              <w:jc w:val="center"/>
              <w:rPr>
                <w:rFonts w:ascii="Times New Roman" w:eastAsia="Times New Roman" w:hAnsi="Times New Roman" w:cs="Times New Roman"/>
                <w:noProof/>
                <w:sz w:val="24"/>
                <w:szCs w:val="24"/>
                <w:lang w:eastAsia="en-GB"/>
              </w:rPr>
            </w:pPr>
            <w:r w:rsidRPr="00244D65">
              <w:rPr>
                <w:rFonts w:ascii="Times New Roman" w:eastAsia="Times New Roman" w:hAnsi="Times New Roman" w:cs="Times New Roman"/>
                <w:noProof/>
                <w:sz w:val="24"/>
                <w:szCs w:val="24"/>
                <w:lang w:eastAsia="en-GB"/>
              </w:rPr>
              <w:t>+</w:t>
            </w:r>
          </w:p>
        </w:tc>
        <w:tc>
          <w:tcPr>
            <w:tcW w:w="1250" w:type="pct"/>
          </w:tcPr>
          <w:p w14:paraId="6618A6F6" w14:textId="1F0226CC" w:rsidR="003A7A7A" w:rsidRPr="00244D65" w:rsidRDefault="003A7A7A" w:rsidP="0085595C">
            <w:pPr>
              <w:pStyle w:val="BodyText"/>
              <w:spacing w:line="240" w:lineRule="auto"/>
              <w:jc w:val="center"/>
              <w:rPr>
                <w:rFonts w:ascii="Times New Roman" w:eastAsia="Times New Roman" w:hAnsi="Times New Roman" w:cs="Times New Roman"/>
                <w:noProof/>
                <w:sz w:val="24"/>
                <w:szCs w:val="24"/>
                <w:lang w:eastAsia="en-GB"/>
              </w:rPr>
            </w:pPr>
            <w:r w:rsidRPr="00244D65">
              <w:rPr>
                <w:rFonts w:ascii="Times New Roman" w:eastAsia="Times New Roman" w:hAnsi="Times New Roman" w:cs="Times New Roman"/>
                <w:noProof/>
                <w:sz w:val="24"/>
                <w:szCs w:val="24"/>
                <w:lang w:eastAsia="en-GB"/>
              </w:rPr>
              <w:t>++</w:t>
            </w:r>
            <w:r w:rsidR="006C3DD8" w:rsidRPr="00244D65">
              <w:rPr>
                <w:rFonts w:ascii="Times New Roman" w:eastAsia="Times New Roman" w:hAnsi="Times New Roman" w:cs="Times New Roman"/>
                <w:noProof/>
                <w:sz w:val="24"/>
                <w:szCs w:val="24"/>
                <w:lang w:eastAsia="en-GB"/>
              </w:rPr>
              <w:t>+</w:t>
            </w:r>
          </w:p>
        </w:tc>
        <w:tc>
          <w:tcPr>
            <w:tcW w:w="1250" w:type="pct"/>
          </w:tcPr>
          <w:p w14:paraId="5ACA1BC2" w14:textId="77777777" w:rsidR="003A7A7A" w:rsidRPr="00244D65" w:rsidRDefault="003A7A7A" w:rsidP="0085595C">
            <w:pPr>
              <w:pStyle w:val="BodyText"/>
              <w:spacing w:line="240" w:lineRule="auto"/>
              <w:jc w:val="center"/>
              <w:rPr>
                <w:rFonts w:ascii="Times New Roman" w:eastAsia="Times New Roman" w:hAnsi="Times New Roman" w:cs="Times New Roman"/>
                <w:noProof/>
                <w:sz w:val="24"/>
                <w:szCs w:val="24"/>
                <w:lang w:eastAsia="en-GB"/>
              </w:rPr>
            </w:pPr>
            <w:r w:rsidRPr="00244D65">
              <w:rPr>
                <w:rFonts w:ascii="Times New Roman" w:eastAsia="Times New Roman" w:hAnsi="Times New Roman" w:cs="Times New Roman"/>
                <w:noProof/>
                <w:sz w:val="24"/>
                <w:szCs w:val="24"/>
                <w:lang w:eastAsia="en-GB"/>
              </w:rPr>
              <w:t>++</w:t>
            </w:r>
          </w:p>
        </w:tc>
      </w:tr>
      <w:tr w:rsidR="00432527" w:rsidRPr="00244D65" w14:paraId="55B788E9" w14:textId="77777777" w:rsidTr="00BE6017">
        <w:tc>
          <w:tcPr>
            <w:tcW w:w="1250" w:type="pct"/>
          </w:tcPr>
          <w:p w14:paraId="58A04593" w14:textId="77777777" w:rsidR="003A7A7A" w:rsidRPr="00244D65" w:rsidRDefault="003A7A7A" w:rsidP="0085595C">
            <w:pPr>
              <w:pStyle w:val="BodyText"/>
              <w:spacing w:line="240" w:lineRule="auto"/>
              <w:rPr>
                <w:rFonts w:ascii="Times New Roman" w:eastAsia="Times New Roman" w:hAnsi="Times New Roman" w:cs="Times New Roman"/>
                <w:b/>
                <w:bCs/>
                <w:noProof/>
                <w:sz w:val="24"/>
                <w:szCs w:val="24"/>
                <w:lang w:eastAsia="en-GB"/>
              </w:rPr>
            </w:pPr>
            <w:r w:rsidRPr="00244D65">
              <w:rPr>
                <w:rFonts w:ascii="Times New Roman" w:eastAsia="Times New Roman" w:hAnsi="Times New Roman" w:cs="Times New Roman"/>
                <w:b/>
                <w:bCs/>
                <w:noProof/>
                <w:sz w:val="24"/>
                <w:szCs w:val="24"/>
                <w:lang w:eastAsia="en-GB"/>
              </w:rPr>
              <w:t>Efficiency</w:t>
            </w:r>
          </w:p>
        </w:tc>
        <w:tc>
          <w:tcPr>
            <w:tcW w:w="1250" w:type="pct"/>
          </w:tcPr>
          <w:p w14:paraId="179A0AAC" w14:textId="77777777" w:rsidR="003A7A7A" w:rsidRPr="00244D65" w:rsidRDefault="003A7A7A" w:rsidP="0085595C">
            <w:pPr>
              <w:pStyle w:val="BodyText"/>
              <w:spacing w:line="240" w:lineRule="auto"/>
              <w:jc w:val="center"/>
              <w:rPr>
                <w:rFonts w:ascii="Times New Roman" w:eastAsia="Times New Roman" w:hAnsi="Times New Roman" w:cs="Times New Roman"/>
                <w:noProof/>
                <w:sz w:val="24"/>
                <w:szCs w:val="24"/>
                <w:lang w:eastAsia="en-GB"/>
              </w:rPr>
            </w:pPr>
            <w:r w:rsidRPr="00244D65">
              <w:rPr>
                <w:rFonts w:ascii="Times New Roman" w:eastAsia="Times New Roman" w:hAnsi="Times New Roman" w:cs="Times New Roman"/>
                <w:noProof/>
                <w:sz w:val="24"/>
                <w:szCs w:val="24"/>
                <w:lang w:eastAsia="en-GB"/>
              </w:rPr>
              <w:t>++</w:t>
            </w:r>
          </w:p>
        </w:tc>
        <w:tc>
          <w:tcPr>
            <w:tcW w:w="1250" w:type="pct"/>
          </w:tcPr>
          <w:p w14:paraId="0B981C0A" w14:textId="77777777" w:rsidR="003A7A7A" w:rsidRPr="00244D65" w:rsidRDefault="003A7A7A" w:rsidP="0085595C">
            <w:pPr>
              <w:pStyle w:val="BodyText"/>
              <w:spacing w:line="240" w:lineRule="auto"/>
              <w:jc w:val="center"/>
              <w:rPr>
                <w:rFonts w:ascii="Times New Roman" w:eastAsia="Times New Roman" w:hAnsi="Times New Roman" w:cs="Times New Roman"/>
                <w:noProof/>
                <w:sz w:val="24"/>
                <w:szCs w:val="24"/>
                <w:lang w:eastAsia="en-GB"/>
              </w:rPr>
            </w:pPr>
            <w:r w:rsidRPr="00244D65">
              <w:rPr>
                <w:rFonts w:ascii="Times New Roman" w:eastAsia="Times New Roman" w:hAnsi="Times New Roman" w:cs="Times New Roman"/>
                <w:noProof/>
                <w:sz w:val="24"/>
                <w:szCs w:val="24"/>
                <w:lang w:eastAsia="en-GB"/>
              </w:rPr>
              <w:t>++</w:t>
            </w:r>
          </w:p>
        </w:tc>
        <w:tc>
          <w:tcPr>
            <w:tcW w:w="1250" w:type="pct"/>
          </w:tcPr>
          <w:p w14:paraId="65785DE8" w14:textId="77777777" w:rsidR="003A7A7A" w:rsidRPr="00244D65" w:rsidRDefault="003A7A7A" w:rsidP="0085595C">
            <w:pPr>
              <w:pStyle w:val="BodyText"/>
              <w:spacing w:line="240" w:lineRule="auto"/>
              <w:jc w:val="center"/>
              <w:rPr>
                <w:rFonts w:ascii="Times New Roman" w:eastAsia="Times New Roman" w:hAnsi="Times New Roman" w:cs="Times New Roman"/>
                <w:noProof/>
                <w:sz w:val="24"/>
                <w:szCs w:val="24"/>
                <w:lang w:eastAsia="en-GB"/>
              </w:rPr>
            </w:pPr>
            <w:r w:rsidRPr="00244D65">
              <w:rPr>
                <w:rFonts w:ascii="Times New Roman" w:eastAsia="Times New Roman" w:hAnsi="Times New Roman" w:cs="Times New Roman"/>
                <w:noProof/>
                <w:sz w:val="24"/>
                <w:szCs w:val="24"/>
                <w:lang w:eastAsia="en-GB"/>
              </w:rPr>
              <w:t>+</w:t>
            </w:r>
          </w:p>
        </w:tc>
      </w:tr>
      <w:tr w:rsidR="00432527" w:rsidRPr="00244D65" w14:paraId="6A1B0F82" w14:textId="77777777" w:rsidTr="00BE6017">
        <w:tc>
          <w:tcPr>
            <w:tcW w:w="1250" w:type="pct"/>
          </w:tcPr>
          <w:p w14:paraId="7D0C479B" w14:textId="591B20B5" w:rsidR="003A7A7A" w:rsidRPr="00244D65" w:rsidRDefault="00174542" w:rsidP="0085595C">
            <w:pPr>
              <w:pStyle w:val="BodyText"/>
              <w:spacing w:line="240" w:lineRule="auto"/>
              <w:rPr>
                <w:rFonts w:ascii="Times New Roman" w:eastAsia="Times New Roman" w:hAnsi="Times New Roman" w:cs="Times New Roman"/>
                <w:b/>
                <w:bCs/>
                <w:noProof/>
                <w:sz w:val="24"/>
                <w:szCs w:val="24"/>
                <w:lang w:eastAsia="en-GB"/>
              </w:rPr>
            </w:pPr>
            <w:r w:rsidRPr="00244D65">
              <w:rPr>
                <w:rFonts w:ascii="Times New Roman" w:eastAsia="Times New Roman" w:hAnsi="Times New Roman" w:cs="Times New Roman"/>
                <w:b/>
                <w:bCs/>
                <w:noProof/>
                <w:sz w:val="24"/>
                <w:szCs w:val="24"/>
                <w:lang w:eastAsia="en-GB"/>
              </w:rPr>
              <w:t>Coherence</w:t>
            </w:r>
          </w:p>
        </w:tc>
        <w:tc>
          <w:tcPr>
            <w:tcW w:w="1250" w:type="pct"/>
          </w:tcPr>
          <w:p w14:paraId="5B23F3E7" w14:textId="77777777" w:rsidR="003A7A7A" w:rsidRPr="00244D65" w:rsidRDefault="003A7A7A" w:rsidP="0085595C">
            <w:pPr>
              <w:pStyle w:val="BodyText"/>
              <w:spacing w:line="240" w:lineRule="auto"/>
              <w:jc w:val="center"/>
              <w:rPr>
                <w:rFonts w:ascii="Times New Roman" w:eastAsia="Times New Roman" w:hAnsi="Times New Roman" w:cs="Times New Roman"/>
                <w:noProof/>
                <w:sz w:val="24"/>
                <w:szCs w:val="24"/>
                <w:lang w:eastAsia="en-GB"/>
              </w:rPr>
            </w:pPr>
            <w:r w:rsidRPr="00244D65">
              <w:rPr>
                <w:rFonts w:ascii="Times New Roman" w:eastAsia="Times New Roman" w:hAnsi="Times New Roman" w:cs="Times New Roman"/>
                <w:noProof/>
                <w:sz w:val="24"/>
                <w:szCs w:val="24"/>
                <w:lang w:eastAsia="en-GB"/>
              </w:rPr>
              <w:t>++</w:t>
            </w:r>
          </w:p>
        </w:tc>
        <w:tc>
          <w:tcPr>
            <w:tcW w:w="1250" w:type="pct"/>
          </w:tcPr>
          <w:p w14:paraId="0D50C2A8" w14:textId="0F2FB818" w:rsidR="003A7A7A" w:rsidRPr="00244D65" w:rsidRDefault="003A7A7A" w:rsidP="0085595C">
            <w:pPr>
              <w:pStyle w:val="BodyText"/>
              <w:spacing w:line="240" w:lineRule="auto"/>
              <w:jc w:val="center"/>
              <w:rPr>
                <w:rFonts w:ascii="Times New Roman" w:eastAsia="Times New Roman" w:hAnsi="Times New Roman" w:cs="Times New Roman"/>
                <w:noProof/>
                <w:sz w:val="24"/>
                <w:szCs w:val="24"/>
                <w:lang w:eastAsia="en-GB"/>
              </w:rPr>
            </w:pPr>
            <w:r w:rsidRPr="00244D65">
              <w:rPr>
                <w:rFonts w:ascii="Times New Roman" w:eastAsia="Times New Roman" w:hAnsi="Times New Roman" w:cs="Times New Roman"/>
                <w:noProof/>
                <w:sz w:val="24"/>
                <w:szCs w:val="24"/>
                <w:lang w:eastAsia="en-GB"/>
              </w:rPr>
              <w:t>++</w:t>
            </w:r>
            <w:r w:rsidR="00174542" w:rsidRPr="00244D65">
              <w:rPr>
                <w:rFonts w:ascii="Times New Roman" w:eastAsia="Times New Roman" w:hAnsi="Times New Roman" w:cs="Times New Roman"/>
                <w:noProof/>
                <w:sz w:val="24"/>
                <w:szCs w:val="24"/>
                <w:lang w:eastAsia="en-GB"/>
              </w:rPr>
              <w:t>+</w:t>
            </w:r>
          </w:p>
        </w:tc>
        <w:tc>
          <w:tcPr>
            <w:tcW w:w="1250" w:type="pct"/>
          </w:tcPr>
          <w:p w14:paraId="6E48636C" w14:textId="77777777" w:rsidR="003A7A7A" w:rsidRPr="00244D65" w:rsidRDefault="003A7A7A" w:rsidP="0085595C">
            <w:pPr>
              <w:pStyle w:val="BodyText"/>
              <w:spacing w:line="240" w:lineRule="auto"/>
              <w:jc w:val="center"/>
              <w:rPr>
                <w:rFonts w:ascii="Times New Roman" w:eastAsia="Times New Roman" w:hAnsi="Times New Roman" w:cs="Times New Roman"/>
                <w:noProof/>
                <w:sz w:val="24"/>
                <w:szCs w:val="24"/>
                <w:lang w:eastAsia="en-GB"/>
              </w:rPr>
            </w:pPr>
            <w:r w:rsidRPr="00244D65">
              <w:rPr>
                <w:rFonts w:ascii="Times New Roman" w:eastAsia="Times New Roman" w:hAnsi="Times New Roman" w:cs="Times New Roman"/>
                <w:noProof/>
                <w:sz w:val="24"/>
                <w:szCs w:val="24"/>
                <w:lang w:eastAsia="en-GB"/>
              </w:rPr>
              <w:t>++</w:t>
            </w:r>
          </w:p>
        </w:tc>
      </w:tr>
    </w:tbl>
    <w:p w14:paraId="7F82B4C3" w14:textId="2230CF5B" w:rsidR="000A2F08" w:rsidRPr="00244D65" w:rsidRDefault="003A69EA" w:rsidP="0085595C">
      <w:pPr>
        <w:pStyle w:val="Heading1"/>
        <w:spacing w:before="120" w:after="120"/>
        <w:rPr>
          <w:noProof/>
        </w:rPr>
      </w:pPr>
      <w:bookmarkStart w:id="313" w:name="_Toc234949761"/>
      <w:bookmarkStart w:id="314" w:name="_Toc232752517"/>
      <w:r w:rsidRPr="00244D65">
        <w:rPr>
          <w:noProof/>
        </w:rPr>
        <w:t>Preferred Option</w:t>
      </w:r>
      <w:bookmarkEnd w:id="313"/>
      <w:bookmarkEnd w:id="314"/>
    </w:p>
    <w:p w14:paraId="545DA762" w14:textId="77777777" w:rsidR="000A2F08" w:rsidRPr="00244D65" w:rsidRDefault="000A2F08" w:rsidP="0085595C">
      <w:pPr>
        <w:keepNext/>
        <w:numPr>
          <w:ilvl w:val="1"/>
          <w:numId w:val="5"/>
        </w:numPr>
        <w:outlineLvl w:val="1"/>
        <w:rPr>
          <w:rFonts w:eastAsia="Times New Roman"/>
          <w:noProof/>
        </w:rPr>
      </w:pPr>
      <w:bookmarkStart w:id="315" w:name="_Toc220339331"/>
      <w:bookmarkStart w:id="316" w:name="_Toc234949762"/>
      <w:bookmarkStart w:id="317" w:name="_Toc232752518"/>
      <w:r w:rsidRPr="00244D65">
        <w:rPr>
          <w:rFonts w:eastAsia="Times New Roman"/>
          <w:noProof/>
        </w:rPr>
        <w:t>Identification of the preferred policy option</w:t>
      </w:r>
      <w:bookmarkEnd w:id="315"/>
      <w:bookmarkEnd w:id="316"/>
      <w:bookmarkEnd w:id="317"/>
    </w:p>
    <w:p w14:paraId="27EB2EE6" w14:textId="479FE17D" w:rsidR="000A2F08" w:rsidRPr="00244D65" w:rsidRDefault="000A2F08" w:rsidP="0085595C">
      <w:pPr>
        <w:rPr>
          <w:noProof/>
        </w:rPr>
      </w:pPr>
      <w:r w:rsidRPr="00244D65">
        <w:rPr>
          <w:noProof/>
        </w:rPr>
        <w:t>All policy options achieve the same ETS emissions reduction target, although for variable scope / share of the economy-wide emission with PO2 and PO3 each adding additional scope.</w:t>
      </w:r>
      <w:r w:rsidR="000C653C" w:rsidRPr="00244D65">
        <w:rPr>
          <w:noProof/>
        </w:rPr>
        <w:t xml:space="preserve"> </w:t>
      </w:r>
      <w:r w:rsidR="00F1658C" w:rsidRPr="00244D65">
        <w:rPr>
          <w:noProof/>
        </w:rPr>
        <w:t>T</w:t>
      </w:r>
      <w:r w:rsidRPr="00244D65">
        <w:rPr>
          <w:noProof/>
        </w:rPr>
        <w:t xml:space="preserve">he decision on the preferred policy option is informed by their relative effectiveness and efficiency. </w:t>
      </w:r>
      <w:r w:rsidR="0063325E" w:rsidRPr="00244D65">
        <w:rPr>
          <w:noProof/>
        </w:rPr>
        <w:t xml:space="preserve">While each PO has been primarily modelled with CAP2, </w:t>
      </w:r>
      <w:r w:rsidR="00673062" w:rsidRPr="00244D65">
        <w:rPr>
          <w:noProof/>
        </w:rPr>
        <w:t>each PO could be implemented under CAP3, with the same relative impacts as in above comparison table of the policy options relative to the baseline scenario.</w:t>
      </w:r>
    </w:p>
    <w:p w14:paraId="0472EE4C" w14:textId="7529DAC3" w:rsidR="000A2F08" w:rsidRPr="00244D65" w:rsidRDefault="000A2F08" w:rsidP="0085595C">
      <w:pPr>
        <w:rPr>
          <w:noProof/>
        </w:rPr>
      </w:pPr>
      <w:r w:rsidRPr="00244D65">
        <w:rPr>
          <w:noProof/>
        </w:rPr>
        <w:t xml:space="preserve">PO2 </w:t>
      </w:r>
      <w:bookmarkStart w:id="318" w:name="_Int_ZmbfZdKh"/>
      <w:r w:rsidRPr="00244D65">
        <w:rPr>
          <w:noProof/>
        </w:rPr>
        <w:t>was considered to be</w:t>
      </w:r>
      <w:bookmarkEnd w:id="318"/>
      <w:r w:rsidRPr="00244D65">
        <w:rPr>
          <w:noProof/>
        </w:rPr>
        <w:t xml:space="preserve"> the preferred policy option.</w:t>
      </w:r>
      <w:r w:rsidR="000C653C" w:rsidRPr="00244D65">
        <w:rPr>
          <w:noProof/>
        </w:rPr>
        <w:t xml:space="preserve"> </w:t>
      </w:r>
      <w:r w:rsidRPr="00244D65">
        <w:rPr>
          <w:noProof/>
        </w:rPr>
        <w:t>Together, its measures strengthen the environmental effectiveness of the system while maintaining proportionality, regulatory stability, and fairness across sectors</w:t>
      </w:r>
      <w:r w:rsidR="007E1056" w:rsidRPr="00244D65">
        <w:rPr>
          <w:noProof/>
        </w:rPr>
        <w:t>, and safeguarding competitiveness</w:t>
      </w:r>
      <w:r w:rsidRPr="00244D65">
        <w:rPr>
          <w:noProof/>
        </w:rPr>
        <w:t>.</w:t>
      </w:r>
    </w:p>
    <w:p w14:paraId="482C8AB0" w14:textId="1529C24F" w:rsidR="000A2F08" w:rsidRPr="00244D65" w:rsidRDefault="000A2F08" w:rsidP="0085595C">
      <w:pPr>
        <w:rPr>
          <w:noProof/>
        </w:rPr>
      </w:pPr>
      <w:r w:rsidRPr="00244D65">
        <w:rPr>
          <w:noProof/>
        </w:rPr>
        <w:t xml:space="preserve">Whilst PO3 was in some regards more effective (i.e. in terms of extending the scope further and reducing the phase out of free allocation to enhance the price signal), the efficiency of this option was </w:t>
      </w:r>
      <w:r w:rsidR="0049687F" w:rsidRPr="00244D65">
        <w:rPr>
          <w:noProof/>
        </w:rPr>
        <w:t>lower</w:t>
      </w:r>
      <w:r w:rsidRPr="00244D65">
        <w:rPr>
          <w:noProof/>
        </w:rPr>
        <w:t xml:space="preserve"> due to the additional costs in terms of adjustment and administrative </w:t>
      </w:r>
      <w:r w:rsidR="0049687F" w:rsidRPr="00244D65">
        <w:rPr>
          <w:noProof/>
        </w:rPr>
        <w:t xml:space="preserve">effort </w:t>
      </w:r>
      <w:r w:rsidRPr="00244D65">
        <w:rPr>
          <w:noProof/>
        </w:rPr>
        <w:t>compared to the other policy options.</w:t>
      </w:r>
    </w:p>
    <w:p w14:paraId="6FD15ACD" w14:textId="07C41E03" w:rsidR="000A2F08" w:rsidRPr="00244D65" w:rsidRDefault="000A2F08" w:rsidP="0085595C">
      <w:pPr>
        <w:rPr>
          <w:noProof/>
        </w:rPr>
      </w:pPr>
      <w:r w:rsidRPr="00244D65">
        <w:rPr>
          <w:noProof/>
        </w:rPr>
        <w:t xml:space="preserve">PO1 was also deemed to not be the preferred policy option as it did not achieve </w:t>
      </w:r>
      <w:r w:rsidR="09B8AD92" w:rsidRPr="00244D65">
        <w:rPr>
          <w:noProof/>
        </w:rPr>
        <w:t>all</w:t>
      </w:r>
      <w:r w:rsidRPr="00244D65">
        <w:rPr>
          <w:noProof/>
        </w:rPr>
        <w:t xml:space="preserve"> the objectives that were set for the assessment. For example, this option was not considered to be effective in addressing future concerns regarding the functioning of the market as it did not increase the size of the market to new activities such as in the waste sector</w:t>
      </w:r>
      <w:r w:rsidR="00E85DBB" w:rsidRPr="00244D65">
        <w:rPr>
          <w:noProof/>
        </w:rPr>
        <w:t xml:space="preserve">, and </w:t>
      </w:r>
      <w:r w:rsidR="001A0CCE" w:rsidRPr="00244D65">
        <w:rPr>
          <w:noProof/>
        </w:rPr>
        <w:t>it had the weakest improvements in terms of enabling investments</w:t>
      </w:r>
      <w:r w:rsidRPr="00244D65">
        <w:rPr>
          <w:noProof/>
        </w:rPr>
        <w:t>.</w:t>
      </w:r>
      <w:r w:rsidR="001A0CCE" w:rsidRPr="00244D65">
        <w:rPr>
          <w:noProof/>
        </w:rPr>
        <w:t xml:space="preserve"> It also showed the weakest results towards ensuring effectiveness of EU climate action on international transport while avoiding double effort</w:t>
      </w:r>
      <w:r w:rsidRPr="00244D65">
        <w:rPr>
          <w:noProof/>
        </w:rPr>
        <w:t>.</w:t>
      </w:r>
    </w:p>
    <w:p w14:paraId="4D9554A5" w14:textId="40FAC2CE" w:rsidR="000A2F08" w:rsidRPr="00244D65" w:rsidRDefault="000A2F08" w:rsidP="0085595C">
      <w:pPr>
        <w:rPr>
          <w:noProof/>
        </w:rPr>
      </w:pPr>
      <w:r w:rsidRPr="00244D65">
        <w:rPr>
          <w:noProof/>
        </w:rPr>
        <w:t xml:space="preserve">The proposed reforms brought by PO2 maintain the existing compliance framework of the </w:t>
      </w:r>
      <w:r w:rsidR="00F909E3" w:rsidRPr="00244D65">
        <w:rPr>
          <w:noProof/>
        </w:rPr>
        <w:t>EU ETS</w:t>
      </w:r>
      <w:r w:rsidRPr="00244D65">
        <w:rPr>
          <w:noProof/>
        </w:rPr>
        <w:t xml:space="preserve">, while introducing new obligations and funding streams, </w:t>
      </w:r>
      <w:bookmarkStart w:id="319" w:name="_Int_WlVvtIUz"/>
      <w:r w:rsidRPr="00244D65">
        <w:rPr>
          <w:noProof/>
        </w:rPr>
        <w:t>mainly during</w:t>
      </w:r>
      <w:bookmarkEnd w:id="319"/>
      <w:r w:rsidRPr="00244D65">
        <w:rPr>
          <w:noProof/>
        </w:rPr>
        <w:t xml:space="preserve"> the 2031-2040 period, that are considered the preferred options: </w:t>
      </w:r>
    </w:p>
    <w:p w14:paraId="74DD269D" w14:textId="3DD7D925" w:rsidR="000A2F08" w:rsidRPr="00244D65" w:rsidRDefault="000A2F08" w:rsidP="0085595C">
      <w:pPr>
        <w:pStyle w:val="ListParagraph"/>
        <w:numPr>
          <w:ilvl w:val="0"/>
          <w:numId w:val="1"/>
        </w:numPr>
        <w:rPr>
          <w:noProof/>
        </w:rPr>
      </w:pPr>
      <w:r w:rsidRPr="00244D65">
        <w:rPr>
          <w:noProof/>
        </w:rPr>
        <w:t>From 2031, the revised cap (and from 2028 the reformed MSR parameters) would apply to all ETS sectors, reducing the decreasing rate of cap, lowering the carbon prices and improving market predictability.</w:t>
      </w:r>
    </w:p>
    <w:p w14:paraId="631F4BB8" w14:textId="6F10384B" w:rsidR="000A2F08" w:rsidRPr="00244D65" w:rsidRDefault="00A75EBF" w:rsidP="0085595C">
      <w:pPr>
        <w:pStyle w:val="ListParagraph"/>
        <w:numPr>
          <w:ilvl w:val="0"/>
          <w:numId w:val="1"/>
        </w:numPr>
        <w:rPr>
          <w:noProof/>
        </w:rPr>
      </w:pPr>
      <w:r w:rsidRPr="00244D65">
        <w:rPr>
          <w:noProof/>
        </w:rPr>
        <w:t xml:space="preserve">Free allocation is continued as a carbon leakage prevention mechanism, but </w:t>
      </w:r>
      <w:r w:rsidR="00912A14" w:rsidRPr="00244D65">
        <w:rPr>
          <w:noProof/>
        </w:rPr>
        <w:t xml:space="preserve">part of the free allocation is gradually </w:t>
      </w:r>
      <w:r w:rsidR="004E1B0B" w:rsidRPr="00244D65">
        <w:rPr>
          <w:noProof/>
        </w:rPr>
        <w:t>made conditional on decarbonisation investments</w:t>
      </w:r>
      <w:r w:rsidR="00ED51D8" w:rsidRPr="00244D65">
        <w:rPr>
          <w:noProof/>
        </w:rPr>
        <w:t xml:space="preserve">. </w:t>
      </w:r>
      <w:r w:rsidR="59F95917" w:rsidRPr="00244D65">
        <w:rPr>
          <w:noProof/>
        </w:rPr>
        <w:t xml:space="preserve">Additional free allocation is made available to </w:t>
      </w:r>
      <w:r w:rsidR="00ED51D8" w:rsidRPr="00244D65">
        <w:rPr>
          <w:noProof/>
        </w:rPr>
        <w:t xml:space="preserve">CBAM </w:t>
      </w:r>
      <w:r w:rsidR="59F95917" w:rsidRPr="00244D65">
        <w:rPr>
          <w:noProof/>
        </w:rPr>
        <w:t>sectors</w:t>
      </w:r>
      <w:r w:rsidR="00ED51D8" w:rsidRPr="00244D65">
        <w:rPr>
          <w:noProof/>
        </w:rPr>
        <w:t xml:space="preserve"> to address residual carbon leakage risks</w:t>
      </w:r>
      <w:r w:rsidR="00EE614C" w:rsidRPr="00244D65">
        <w:rPr>
          <w:noProof/>
        </w:rPr>
        <w:t>.</w:t>
      </w:r>
    </w:p>
    <w:p w14:paraId="42A8C742" w14:textId="77777777" w:rsidR="000A2F08" w:rsidRPr="00244D65" w:rsidRDefault="000A2F08" w:rsidP="0085595C">
      <w:pPr>
        <w:pStyle w:val="ListParagraph"/>
        <w:numPr>
          <w:ilvl w:val="0"/>
          <w:numId w:val="1"/>
        </w:numPr>
        <w:rPr>
          <w:noProof/>
        </w:rPr>
      </w:pPr>
      <w:r w:rsidRPr="00244D65">
        <w:rPr>
          <w:noProof/>
        </w:rPr>
        <w:t>Public authorities, both at the national and EU level, would extend ETS registries and oversight systems to cover new operator categories and activities, and verify conditionality compliance for free allocation. These new administrative tasks are expected to build on existing processes and to be operational by 2031.</w:t>
      </w:r>
    </w:p>
    <w:p w14:paraId="5C923EE5" w14:textId="0F1A620C" w:rsidR="00FE2A90" w:rsidRPr="00244D65" w:rsidRDefault="00474AA8" w:rsidP="0085595C">
      <w:pPr>
        <w:pStyle w:val="ListParagraph"/>
        <w:numPr>
          <w:ilvl w:val="0"/>
          <w:numId w:val="1"/>
        </w:numPr>
        <w:rPr>
          <w:noProof/>
        </w:rPr>
      </w:pPr>
      <w:r w:rsidRPr="00244D65">
        <w:rPr>
          <w:noProof/>
        </w:rPr>
        <w:t xml:space="preserve">The ETS Directive would continue to encourage </w:t>
      </w:r>
      <w:r w:rsidR="009A1AE0" w:rsidRPr="00244D65">
        <w:rPr>
          <w:noProof/>
        </w:rPr>
        <w:t xml:space="preserve">Member States to compensate indirect carbon costs via State aid, </w:t>
      </w:r>
      <w:r w:rsidR="00D76FE6" w:rsidRPr="00244D65">
        <w:rPr>
          <w:noProof/>
        </w:rPr>
        <w:t xml:space="preserve">while calling for this aid to contribute to </w:t>
      </w:r>
      <w:r w:rsidR="00DC4346" w:rsidRPr="00244D65">
        <w:rPr>
          <w:noProof/>
        </w:rPr>
        <w:t xml:space="preserve">the sectors’ </w:t>
      </w:r>
      <w:r w:rsidR="00D76FE6" w:rsidRPr="00244D65">
        <w:rPr>
          <w:noProof/>
        </w:rPr>
        <w:t>decarbonisation</w:t>
      </w:r>
      <w:r w:rsidR="0023678D" w:rsidRPr="00244D65">
        <w:rPr>
          <w:noProof/>
        </w:rPr>
        <w:t>.</w:t>
      </w:r>
    </w:p>
    <w:p w14:paraId="5FF0FAA7" w14:textId="77777777" w:rsidR="000A2F08" w:rsidRPr="00244D65" w:rsidRDefault="000A2F08" w:rsidP="0085595C">
      <w:pPr>
        <w:pStyle w:val="ListParagraph"/>
        <w:numPr>
          <w:ilvl w:val="0"/>
          <w:numId w:val="1"/>
        </w:numPr>
        <w:rPr>
          <w:noProof/>
        </w:rPr>
      </w:pPr>
      <w:r w:rsidRPr="00244D65">
        <w:rPr>
          <w:noProof/>
        </w:rPr>
        <w:t>An effective carbon price would apply also to the EU’s fair share of international aviation emissions, and the approach would be coherent with the ReFuelEU Aviation scope of application. ETS support for SAF uptake would be increased compared to today, while ensuring that Member States still receive ETS revenues to tackle decarbonisation further.</w:t>
      </w:r>
    </w:p>
    <w:p w14:paraId="3ACCC40A" w14:textId="53366FCC" w:rsidR="000A2F08" w:rsidRPr="00244D65" w:rsidRDefault="00E44A3F" w:rsidP="0085595C">
      <w:pPr>
        <w:pStyle w:val="ListParagraph"/>
        <w:numPr>
          <w:ilvl w:val="0"/>
          <w:numId w:val="1"/>
        </w:numPr>
        <w:rPr>
          <w:noProof/>
        </w:rPr>
      </w:pPr>
      <w:r w:rsidRPr="00244D65">
        <w:rPr>
          <w:noProof/>
        </w:rPr>
        <w:t xml:space="preserve">The </w:t>
      </w:r>
      <w:r w:rsidR="002B69C9" w:rsidRPr="00244D65">
        <w:rPr>
          <w:noProof/>
        </w:rPr>
        <w:t>preferred approach for</w:t>
      </w:r>
      <w:r w:rsidRPr="00244D65">
        <w:rPr>
          <w:noProof/>
        </w:rPr>
        <w:t xml:space="preserve"> maritime </w:t>
      </w:r>
      <w:r w:rsidR="002B69C9" w:rsidRPr="00244D65">
        <w:rPr>
          <w:noProof/>
        </w:rPr>
        <w:t xml:space="preserve">would </w:t>
      </w:r>
      <w:r w:rsidR="00936822" w:rsidRPr="00244D65">
        <w:rPr>
          <w:noProof/>
        </w:rPr>
        <w:t>introduce an</w:t>
      </w:r>
      <w:r w:rsidR="00664FA6" w:rsidRPr="00244D65">
        <w:rPr>
          <w:noProof/>
        </w:rPr>
        <w:t xml:space="preserve"> ETS</w:t>
      </w:r>
      <w:r w:rsidR="000564D7" w:rsidRPr="00244D65">
        <w:rPr>
          <w:noProof/>
        </w:rPr>
        <w:t>-funded mechanism to</w:t>
      </w:r>
      <w:r w:rsidR="00664FA6" w:rsidRPr="00244D65">
        <w:rPr>
          <w:noProof/>
        </w:rPr>
        <w:t xml:space="preserve"> support</w:t>
      </w:r>
      <w:r w:rsidR="008F2C31" w:rsidRPr="00244D65">
        <w:rPr>
          <w:noProof/>
        </w:rPr>
        <w:t xml:space="preserve"> the uptake of sustainable fuels and clean propulsion technologies, </w:t>
      </w:r>
      <w:r w:rsidR="00DD17BF" w:rsidRPr="00244D65">
        <w:rPr>
          <w:noProof/>
        </w:rPr>
        <w:t xml:space="preserve">combined with a </w:t>
      </w:r>
      <w:r w:rsidR="00861F79" w:rsidRPr="00244D65">
        <w:rPr>
          <w:noProof/>
        </w:rPr>
        <w:t>partial ETS scope extension to smaller vessels</w:t>
      </w:r>
      <w:r w:rsidR="00B01051" w:rsidRPr="00244D65">
        <w:rPr>
          <w:noProof/>
        </w:rPr>
        <w:t>, reflecting the</w:t>
      </w:r>
      <w:r w:rsidR="00B11596" w:rsidRPr="00244D65">
        <w:rPr>
          <w:noProof/>
        </w:rPr>
        <w:t xml:space="preserve"> needed</w:t>
      </w:r>
      <w:r w:rsidR="00B01051" w:rsidRPr="00244D65">
        <w:rPr>
          <w:noProof/>
        </w:rPr>
        <w:t xml:space="preserve"> balance between</w:t>
      </w:r>
      <w:r w:rsidR="00B11596" w:rsidRPr="00244D65">
        <w:rPr>
          <w:noProof/>
        </w:rPr>
        <w:t xml:space="preserve"> environmental benefits and implementation costs</w:t>
      </w:r>
      <w:r w:rsidR="00861F79" w:rsidRPr="00244D65">
        <w:rPr>
          <w:noProof/>
        </w:rPr>
        <w:t xml:space="preserve">. </w:t>
      </w:r>
      <w:r w:rsidR="004E147C" w:rsidRPr="00244D65">
        <w:rPr>
          <w:noProof/>
        </w:rPr>
        <w:t xml:space="preserve">Simplification </w:t>
      </w:r>
      <w:r w:rsidR="00CE1D05" w:rsidRPr="00244D65">
        <w:rPr>
          <w:noProof/>
        </w:rPr>
        <w:t xml:space="preserve">and enhancement </w:t>
      </w:r>
      <w:r w:rsidR="004E147C" w:rsidRPr="00244D65">
        <w:rPr>
          <w:noProof/>
        </w:rPr>
        <w:t>measures would be implemented to improve the effective implementation of the system</w:t>
      </w:r>
      <w:r w:rsidR="00CE1D05" w:rsidRPr="00244D65">
        <w:rPr>
          <w:noProof/>
        </w:rPr>
        <w:t>, also in relation to the risk of eva</w:t>
      </w:r>
      <w:r w:rsidR="00E16434" w:rsidRPr="00244D65">
        <w:rPr>
          <w:noProof/>
        </w:rPr>
        <w:t>s</w:t>
      </w:r>
      <w:r w:rsidR="00CE1D05" w:rsidRPr="00244D65">
        <w:rPr>
          <w:noProof/>
        </w:rPr>
        <w:t>ion</w:t>
      </w:r>
      <w:r w:rsidR="009E2F9A" w:rsidRPr="00244D65">
        <w:rPr>
          <w:noProof/>
        </w:rPr>
        <w:t>,</w:t>
      </w:r>
      <w:r w:rsidR="004E147C" w:rsidRPr="00244D65">
        <w:rPr>
          <w:noProof/>
        </w:rPr>
        <w:t xml:space="preserve"> and </w:t>
      </w:r>
      <w:r w:rsidR="00621BF7" w:rsidRPr="00244D65">
        <w:rPr>
          <w:noProof/>
        </w:rPr>
        <w:t>an IMO deduction mechanism would be introduced to ensure the coherence of the ETS with future IMO global measures.</w:t>
      </w:r>
      <w:r w:rsidRPr="00244D65">
        <w:rPr>
          <w:noProof/>
        </w:rPr>
        <w:t xml:space="preserve"> </w:t>
      </w:r>
    </w:p>
    <w:p w14:paraId="37764AFD" w14:textId="77777777" w:rsidR="001F5833" w:rsidRPr="00244D65" w:rsidRDefault="000A2F08" w:rsidP="0085595C">
      <w:pPr>
        <w:pStyle w:val="ListParagraph"/>
        <w:numPr>
          <w:ilvl w:val="0"/>
          <w:numId w:val="1"/>
        </w:numPr>
        <w:rPr>
          <w:noProof/>
        </w:rPr>
      </w:pPr>
      <w:r w:rsidRPr="00244D65">
        <w:rPr>
          <w:noProof/>
        </w:rPr>
        <w:t xml:space="preserve">The inclusion of all municipal waste incinerators would enter into force from 2031, allowing to implement the hybrid </w:t>
      </w:r>
      <w:r w:rsidR="00411B9D" w:rsidRPr="00244D65">
        <w:rPr>
          <w:noProof/>
        </w:rPr>
        <w:t xml:space="preserve">downstream and </w:t>
      </w:r>
      <w:r w:rsidRPr="00244D65">
        <w:rPr>
          <w:noProof/>
        </w:rPr>
        <w:t xml:space="preserve">mid-stream accounting for </w:t>
      </w:r>
      <w:r w:rsidR="00411B9D" w:rsidRPr="00244D65">
        <w:rPr>
          <w:noProof/>
        </w:rPr>
        <w:t xml:space="preserve">non-permanent </w:t>
      </w:r>
      <w:r w:rsidRPr="00244D65">
        <w:rPr>
          <w:noProof/>
        </w:rPr>
        <w:t>CCU. New regulated operators, such as e-fuel distributors and waste incinerators must obtain ETS permits, prepare MRV plans, report verified emissions, and surrender allowances accordingly</w:t>
      </w:r>
      <w:r w:rsidR="004E6320" w:rsidRPr="00244D65">
        <w:rPr>
          <w:noProof/>
        </w:rPr>
        <w:t>.</w:t>
      </w:r>
    </w:p>
    <w:p w14:paraId="66D17F10" w14:textId="2CC2A0F4" w:rsidR="001F5833" w:rsidRPr="00244D65" w:rsidRDefault="000A2F08" w:rsidP="0085595C">
      <w:pPr>
        <w:pStyle w:val="ListParagraph"/>
        <w:numPr>
          <w:ilvl w:val="0"/>
          <w:numId w:val="1"/>
        </w:numPr>
        <w:rPr>
          <w:noProof/>
        </w:rPr>
      </w:pPr>
      <w:r w:rsidRPr="00244D65">
        <w:rPr>
          <w:noProof/>
        </w:rPr>
        <w:t xml:space="preserve">The preferred approach for implementation of the IDB </w:t>
      </w:r>
      <w:r w:rsidR="00080AD0" w:rsidRPr="00244D65">
        <w:rPr>
          <w:noProof/>
        </w:rPr>
        <w:t>would</w:t>
      </w:r>
      <w:r w:rsidRPr="00244D65">
        <w:rPr>
          <w:noProof/>
        </w:rPr>
        <w:t xml:space="preserve"> offer a toolbox of funding instruments (in terms of allocation method and type of support to be provided), allowing policymakers to tailor support to evolving policy priorities and industrial needs. With many uncertainties for the industrial decarbonisation projects, there is an urgent need to provide support that creates solid business cases, administratively simple and with predictable cash flows for the projects. This is why</w:t>
      </w:r>
      <w:r w:rsidR="00975DA1" w:rsidRPr="00244D65">
        <w:rPr>
          <w:noProof/>
        </w:rPr>
        <w:t>, in the early years of the IDB operation</w:t>
      </w:r>
      <w:r w:rsidR="005F2714" w:rsidRPr="00244D65">
        <w:rPr>
          <w:noProof/>
        </w:rPr>
        <w:t xml:space="preserve"> (i.e. the ‘Investment Booster’</w:t>
      </w:r>
      <w:r w:rsidR="00F16C3A" w:rsidRPr="00244D65">
        <w:rPr>
          <w:noProof/>
        </w:rPr>
        <w:t xml:space="preserve"> announced in March 2026</w:t>
      </w:r>
      <w:r w:rsidR="00F16C3A" w:rsidRPr="00244D65">
        <w:rPr>
          <w:rStyle w:val="FootnoteReference"/>
          <w:noProof/>
        </w:rPr>
        <w:footnoteReference w:id="106"/>
      </w:r>
      <w:r>
        <w:rPr>
          <w:noProof/>
        </w:rPr>
        <w:t>,</w:t>
      </w:r>
      <w:r w:rsidRPr="00244D65">
        <w:rPr>
          <w:noProof/>
        </w:rPr>
        <w:t xml:space="preserve"> the Commission could start with administrative schemes awarding a fixed premium </w:t>
      </w:r>
      <w:r w:rsidR="00A828C1" w:rsidRPr="00244D65">
        <w:rPr>
          <w:noProof/>
        </w:rPr>
        <w:t>and striking the balance between the EU-level competition and national allocations (notably for solidarity purposes)</w:t>
      </w:r>
      <w:r w:rsidRPr="00244D65">
        <w:rPr>
          <w:noProof/>
        </w:rPr>
        <w:t xml:space="preserve">. As technologies mature, ETS prices increase and regulatory frameworks fully take effect, the Commission could move to auctions for a </w:t>
      </w:r>
      <w:r w:rsidR="00F16C3A" w:rsidRPr="00244D65">
        <w:rPr>
          <w:noProof/>
        </w:rPr>
        <w:t xml:space="preserve">Carbon Contracts for Difference </w:t>
      </w:r>
      <w:bookmarkStart w:id="320" w:name="_Int_VHs8Utug"/>
      <w:r w:rsidRPr="00244D65">
        <w:rPr>
          <w:noProof/>
        </w:rPr>
        <w:t>in order to</w:t>
      </w:r>
      <w:bookmarkEnd w:id="320"/>
      <w:r w:rsidRPr="00244D65">
        <w:rPr>
          <w:noProof/>
        </w:rPr>
        <w:t xml:space="preserve"> maximise the efficiency of the support.</w:t>
      </w:r>
      <w:r w:rsidR="00A73523" w:rsidRPr="00244D65">
        <w:rPr>
          <w:noProof/>
        </w:rPr>
        <w:t xml:space="preserve"> This approach could be combined with stronger national allocations, in the form of ‘as a service’ contributions or by applying by the Commission ‘right of the first use’ to ensure that decarbonisation projects materialise in all countries and bring positive spillover effects to them.</w:t>
      </w:r>
    </w:p>
    <w:p w14:paraId="0022611A" w14:textId="1D871339" w:rsidR="00834409" w:rsidRPr="00244D65" w:rsidRDefault="000A2F08" w:rsidP="0085595C">
      <w:pPr>
        <w:rPr>
          <w:noProof/>
        </w:rPr>
      </w:pPr>
      <w:r w:rsidRPr="00244D65">
        <w:rPr>
          <w:noProof/>
        </w:rPr>
        <w:t xml:space="preserve">As an exception, PO1 is preferred for carbon removals, as it is considered preferable to provide certainty to the ETS sectors on the gross emissions space available and the CDR industry on the demand for carbon removals, for the benefit of the EU’s competitiveness. </w:t>
      </w:r>
    </w:p>
    <w:p w14:paraId="41A58071" w14:textId="77777777" w:rsidR="00BA4E81" w:rsidRDefault="00304E17" w:rsidP="00487728">
      <w:pPr>
        <w:rPr>
          <w:noProof/>
          <w:lang w:val="en-IE"/>
        </w:rPr>
      </w:pPr>
      <w:r>
        <w:rPr>
          <w:noProof/>
          <w:lang w:val="en-IE"/>
        </w:rPr>
        <w:t>For the cap no single option is preferred, and the decision on the cap can be analytically separated from the other issues discussed. However, a sufficiently ambitious cap in the first half of the decade would have significant advantages. From an environmental point of view carbon budgets would be lower. While energy system costs would to an extent be higher, system cost impacts could be mitigated through distribution of ETS auctioning revenues and supporting policies. Investments, when frontloaded in the decade, would be lower in the last five years. The frontloading of investments would increase the probability of faster technological developments through scaling up and learning by doing. It would allow a fast electrification of the energy system and increase Europe’s energy independence. As pointed out in the 2040 Climate Target IA, this will also depend on Europe’s ability to secure supply chains for new technologies. For the final five years of the decade, there is a higher uncertainty regarding the necessary technologies, and a greater need to provide emissions space for industry. For the pathway towards 2040 it would thus be prudent to assume the use of international credits, in order to generate sufficient emissions space for ETS operators, while still keeping an ambitious overall carbon budget.</w:t>
      </w:r>
    </w:p>
    <w:p w14:paraId="1D54264A" w14:textId="5A513F88" w:rsidR="00FA5BF9" w:rsidRPr="00244D65" w:rsidRDefault="00FA5BF9" w:rsidP="0085595C">
      <w:pPr>
        <w:rPr>
          <w:noProof/>
        </w:rPr>
      </w:pPr>
      <w:r w:rsidRPr="00244D65">
        <w:rPr>
          <w:noProof/>
        </w:rPr>
        <w:t xml:space="preserve">The assessment carried out in this impact assessment shows that the preferred option, </w:t>
      </w:r>
      <w:r w:rsidR="0F7EEA9C" w:rsidRPr="00244D65">
        <w:rPr>
          <w:noProof/>
        </w:rPr>
        <w:t>including</w:t>
      </w:r>
      <w:r w:rsidRPr="00244D65">
        <w:rPr>
          <w:noProof/>
        </w:rPr>
        <w:t xml:space="preserve"> this exception, is consistent with the European Climate Law’s objectives, as required by Article 6(4) of the European Climate Law.</w:t>
      </w:r>
      <w:r w:rsidR="628692D7" w:rsidRPr="00244D65">
        <w:rPr>
          <w:noProof/>
        </w:rPr>
        <w:t xml:space="preserve"> </w:t>
      </w:r>
      <w:r w:rsidR="1BC5FE4B" w:rsidRPr="00244D65">
        <w:rPr>
          <w:noProof/>
        </w:rPr>
        <w:t>The climate impact of the measures and in general the</w:t>
      </w:r>
      <w:r w:rsidR="628692D7" w:rsidRPr="00244D65">
        <w:rPr>
          <w:noProof/>
        </w:rPr>
        <w:t xml:space="preserve"> alignment of the ETS towards that objective and the intermediate 2040 target </w:t>
      </w:r>
      <w:r w:rsidR="3A363759" w:rsidRPr="00244D65">
        <w:rPr>
          <w:noProof/>
        </w:rPr>
        <w:t>are at the core of t</w:t>
      </w:r>
      <w:r w:rsidR="03D9071D" w:rsidRPr="00244D65">
        <w:rPr>
          <w:noProof/>
        </w:rPr>
        <w:t>his</w:t>
      </w:r>
      <w:r w:rsidR="3A363759" w:rsidRPr="00244D65">
        <w:rPr>
          <w:noProof/>
        </w:rPr>
        <w:t xml:space="preserve"> assessment</w:t>
      </w:r>
      <w:r w:rsidR="628692D7" w:rsidRPr="00244D65">
        <w:rPr>
          <w:noProof/>
        </w:rPr>
        <w:t>.  Where the measures introduce a certain level of uncertainty towards reaching the net climate contribution of the EU ETS (removals integration with a pre-increase of the cap) or can potentially create loopholes in the accounting of emissions (downstream accounting of the CCU) the level of the risks are assessed and justified towards the achievement of the climate objectives more broadly, together with the introduction of mitigating tools (on removals: the measures are justified to achieve the scale-up of removals and avoid carbon leakage, and risks are mitigated with sufficient budget for the purchase of removals; for CCU, the risks are justified to incentivise CCU while introducing mitigation measures for loopholes).</w:t>
      </w:r>
    </w:p>
    <w:p w14:paraId="115BBB16" w14:textId="77777777" w:rsidR="000A2F08" w:rsidRPr="00244D65" w:rsidRDefault="000A2F08" w:rsidP="0085595C">
      <w:pPr>
        <w:keepNext/>
        <w:numPr>
          <w:ilvl w:val="1"/>
          <w:numId w:val="4"/>
        </w:numPr>
        <w:outlineLvl w:val="1"/>
        <w:rPr>
          <w:rFonts w:eastAsia="Times New Roman"/>
          <w:noProof/>
        </w:rPr>
      </w:pPr>
      <w:bookmarkStart w:id="321" w:name="_Toc220339332"/>
      <w:bookmarkStart w:id="322" w:name="_Toc234949763"/>
      <w:bookmarkStart w:id="323" w:name="_Toc232752519"/>
      <w:r w:rsidRPr="00244D65">
        <w:rPr>
          <w:rFonts w:eastAsia="Times New Roman"/>
          <w:noProof/>
        </w:rPr>
        <w:t>REFIT (simplification and improved efficiency)</w:t>
      </w:r>
      <w:bookmarkEnd w:id="321"/>
      <w:bookmarkEnd w:id="322"/>
      <w:bookmarkEnd w:id="323"/>
    </w:p>
    <w:p w14:paraId="07250014" w14:textId="42854F8C" w:rsidR="000A2F08" w:rsidRPr="00244D65" w:rsidRDefault="000A2F08" w:rsidP="0085595C">
      <w:pPr>
        <w:tabs>
          <w:tab w:val="left" w:pos="2302"/>
        </w:tabs>
        <w:rPr>
          <w:rFonts w:eastAsia="Times New Roman"/>
          <w:noProof/>
        </w:rPr>
      </w:pPr>
      <w:r w:rsidRPr="00244D65">
        <w:rPr>
          <w:rFonts w:eastAsia="Times New Roman"/>
          <w:noProof/>
        </w:rPr>
        <w:t xml:space="preserve">Since the revision of the ETS Directive in 2018, </w:t>
      </w:r>
      <w:bookmarkStart w:id="324" w:name="_Int_Nqya45F0"/>
      <w:r w:rsidRPr="00244D65">
        <w:rPr>
          <w:rFonts w:eastAsia="Times New Roman"/>
          <w:noProof/>
        </w:rPr>
        <w:t>a number of</w:t>
      </w:r>
      <w:bookmarkEnd w:id="324"/>
      <w:r w:rsidRPr="00244D65">
        <w:rPr>
          <w:rFonts w:eastAsia="Times New Roman"/>
          <w:noProof/>
        </w:rPr>
        <w:t xml:space="preserve"> simplifications have been introduced. Article 27a was added to the Directive, allowing Member States to exclude installations emitting less </w:t>
      </w:r>
      <w:r w:rsidR="00DE3923" w:rsidRPr="00244D65">
        <w:rPr>
          <w:rFonts w:eastAsia="Times New Roman"/>
          <w:noProof/>
        </w:rPr>
        <w:t>than</w:t>
      </w:r>
      <w:r w:rsidRPr="00244D65">
        <w:rPr>
          <w:rFonts w:eastAsia="Times New Roman"/>
          <w:noProof/>
        </w:rPr>
        <w:t xml:space="preserve"> 2,500 tCO</w:t>
      </w:r>
      <w:r w:rsidRPr="00244D65">
        <w:rPr>
          <w:rFonts w:eastAsia="Times New Roman"/>
          <w:noProof/>
          <w:vertAlign w:val="subscript"/>
        </w:rPr>
        <w:t>2</w:t>
      </w:r>
      <w:r w:rsidRPr="00244D65">
        <w:rPr>
          <w:rFonts w:eastAsia="Times New Roman"/>
          <w:noProof/>
        </w:rPr>
        <w:t xml:space="preserve">e per year. In addition, </w:t>
      </w:r>
      <w:bookmarkStart w:id="325" w:name="_Int_JLGDWnW2"/>
      <w:r w:rsidRPr="00244D65">
        <w:rPr>
          <w:rFonts w:eastAsia="Times New Roman"/>
          <w:noProof/>
        </w:rPr>
        <w:t>a number of</w:t>
      </w:r>
      <w:bookmarkEnd w:id="325"/>
      <w:r w:rsidRPr="00244D65">
        <w:rPr>
          <w:rFonts w:eastAsia="Times New Roman"/>
          <w:noProof/>
        </w:rPr>
        <w:t xml:space="preserve"> simplifications, and clarifications have been made through amendments to the Monitoring and Reporting Regulation (Commission Implementing Regulation 2018/2066</w:t>
      </w:r>
      <w:r w:rsidR="1D2B3F83" w:rsidRPr="00244D65">
        <w:rPr>
          <w:rFonts w:eastAsia="Times New Roman"/>
          <w:noProof/>
        </w:rPr>
        <w:t>),</w:t>
      </w:r>
      <w:r w:rsidRPr="00244D65">
        <w:rPr>
          <w:rFonts w:eastAsia="Times New Roman"/>
          <w:noProof/>
        </w:rPr>
        <w:t xml:space="preserve"> and standardised methodologies and tools have been developed to facilitate implementation. These measures are discussed further in the Evaluation Report accompanying this Impact Assessment</w:t>
      </w:r>
      <w:r w:rsidR="00316BF9" w:rsidRPr="00244D65">
        <w:rPr>
          <w:rFonts w:eastAsia="Times New Roman"/>
          <w:noProof/>
        </w:rPr>
        <w:t xml:space="preserve">, with </w:t>
      </w:r>
      <w:bookmarkStart w:id="326" w:name="_Int_fHIqEaTA"/>
      <w:r w:rsidR="00316BF9" w:rsidRPr="00244D65">
        <w:rPr>
          <w:rFonts w:eastAsia="Times New Roman"/>
          <w:noProof/>
        </w:rPr>
        <w:t>a number of</w:t>
      </w:r>
      <w:bookmarkEnd w:id="326"/>
      <w:r w:rsidR="00316BF9" w:rsidRPr="00244D65">
        <w:rPr>
          <w:rFonts w:eastAsia="Times New Roman"/>
          <w:noProof/>
        </w:rPr>
        <w:t xml:space="preserve"> </w:t>
      </w:r>
      <w:bookmarkStart w:id="327" w:name="_Int_PmreDWZY"/>
      <w:r w:rsidR="00316BF9" w:rsidRPr="00244D65">
        <w:rPr>
          <w:rFonts w:eastAsia="Times New Roman"/>
          <w:noProof/>
        </w:rPr>
        <w:t>possible measures</w:t>
      </w:r>
      <w:bookmarkEnd w:id="327"/>
      <w:r w:rsidR="00316BF9" w:rsidRPr="00244D65">
        <w:rPr>
          <w:rFonts w:eastAsia="Times New Roman"/>
          <w:noProof/>
        </w:rPr>
        <w:t xml:space="preserve"> for additional streamlining and simplification </w:t>
      </w:r>
      <w:r w:rsidR="00E3674B" w:rsidRPr="00244D65">
        <w:rPr>
          <w:rFonts w:eastAsia="Times New Roman"/>
          <w:noProof/>
        </w:rPr>
        <w:t xml:space="preserve">being </w:t>
      </w:r>
      <w:r w:rsidR="00316BF9" w:rsidRPr="00244D65">
        <w:rPr>
          <w:rFonts w:eastAsia="Times New Roman"/>
          <w:noProof/>
        </w:rPr>
        <w:t>proposed</w:t>
      </w:r>
      <w:r w:rsidRPr="00244D65">
        <w:rPr>
          <w:rFonts w:eastAsia="Times New Roman"/>
          <w:noProof/>
        </w:rPr>
        <w:t xml:space="preserve"> (see Annex </w:t>
      </w:r>
      <w:r w:rsidR="00146178" w:rsidRPr="00244D65">
        <w:rPr>
          <w:rFonts w:eastAsia="Times New Roman"/>
          <w:noProof/>
        </w:rPr>
        <w:t>15</w:t>
      </w:r>
      <w:r w:rsidR="00201158" w:rsidRPr="00244D65">
        <w:rPr>
          <w:rFonts w:eastAsia="Times New Roman"/>
          <w:noProof/>
        </w:rPr>
        <w:t>)</w:t>
      </w:r>
      <w:r w:rsidRPr="00244D65">
        <w:rPr>
          <w:rFonts w:eastAsia="Times New Roman"/>
          <w:noProof/>
        </w:rPr>
        <w:t xml:space="preserve">. </w:t>
      </w:r>
    </w:p>
    <w:p w14:paraId="3180C4E0" w14:textId="5CBF7151" w:rsidR="000A2F08" w:rsidRPr="00244D65" w:rsidRDefault="000A2F08" w:rsidP="0085595C">
      <w:pPr>
        <w:tabs>
          <w:tab w:val="left" w:pos="2302"/>
        </w:tabs>
        <w:rPr>
          <w:rFonts w:eastAsia="Times New Roman"/>
          <w:noProof/>
        </w:rPr>
      </w:pPr>
      <w:r w:rsidRPr="00244D65">
        <w:rPr>
          <w:rFonts w:eastAsia="Times New Roman"/>
          <w:noProof/>
        </w:rPr>
        <w:t xml:space="preserve">Several of the measures in this Impact Assessment covering emissions from stationary installations </w:t>
      </w:r>
      <w:bookmarkStart w:id="328" w:name="_Int_2cWLm7zM"/>
      <w:r w:rsidRPr="00244D65">
        <w:rPr>
          <w:rFonts w:eastAsia="Times New Roman"/>
          <w:noProof/>
        </w:rPr>
        <w:t>generally do</w:t>
      </w:r>
      <w:bookmarkEnd w:id="328"/>
      <w:r w:rsidRPr="00244D65">
        <w:rPr>
          <w:rFonts w:eastAsia="Times New Roman"/>
          <w:noProof/>
        </w:rPr>
        <w:t xml:space="preserve"> not involve simplification, since they are considering expanding the scope of EU ETS. However, </w:t>
      </w:r>
      <w:r w:rsidR="00E3674B" w:rsidRPr="00244D65">
        <w:rPr>
          <w:rFonts w:eastAsia="Times New Roman"/>
          <w:noProof/>
        </w:rPr>
        <w:t>they entail a simplification from a broader perspective, as EU-wide climate action should prevent a piece-meal approach of national or subnational measures that add complexity to the internal market. In addition</w:t>
      </w:r>
      <w:r w:rsidRPr="00244D65">
        <w:rPr>
          <w:rFonts w:eastAsia="Times New Roman"/>
          <w:noProof/>
        </w:rPr>
        <w:t>, the carbon leakage prevention measures assessed consider simplifying the provision of free allocation by not updating the carbon leakage list for Phase V</w:t>
      </w:r>
      <w:r w:rsidR="00E3674B" w:rsidRPr="00244D65">
        <w:rPr>
          <w:rFonts w:eastAsia="Times New Roman"/>
          <w:noProof/>
        </w:rPr>
        <w:t xml:space="preserve"> (2031-2040)</w:t>
      </w:r>
      <w:r w:rsidRPr="00244D65">
        <w:rPr>
          <w:rFonts w:eastAsia="Times New Roman"/>
          <w:noProof/>
        </w:rPr>
        <w:t xml:space="preserve">, thereby eliminating administrative burden for operators. The option of expanding conditionality in free allocation would involve some increase in administrative effort, which has to be weighed against the environmental benefits of conditionality and the value of the free allocation (see </w:t>
      </w:r>
      <w:r w:rsidR="00075027" w:rsidRPr="00244D65">
        <w:rPr>
          <w:rFonts w:eastAsia="Times New Roman"/>
          <w:noProof/>
        </w:rPr>
        <w:t>S</w:t>
      </w:r>
      <w:r w:rsidR="001F5833" w:rsidRPr="00244D65">
        <w:rPr>
          <w:rFonts w:eastAsia="Times New Roman"/>
          <w:noProof/>
        </w:rPr>
        <w:t>ection</w:t>
      </w:r>
      <w:r w:rsidRPr="00244D65">
        <w:rPr>
          <w:rFonts w:eastAsia="Times New Roman"/>
          <w:noProof/>
        </w:rPr>
        <w:t xml:space="preserve"> 6.2.</w:t>
      </w:r>
      <w:r w:rsidR="35E8FC65" w:rsidRPr="00244D65">
        <w:rPr>
          <w:rFonts w:eastAsia="Times New Roman"/>
          <w:noProof/>
        </w:rPr>
        <w:t>1</w:t>
      </w:r>
      <w:r w:rsidRPr="00244D65">
        <w:rPr>
          <w:rFonts w:eastAsia="Times New Roman"/>
          <w:noProof/>
        </w:rPr>
        <w:t>.</w:t>
      </w:r>
      <w:r w:rsidR="1E83A014" w:rsidRPr="00244D65">
        <w:rPr>
          <w:rFonts w:eastAsia="Times New Roman"/>
          <w:noProof/>
        </w:rPr>
        <w:t>6</w:t>
      </w:r>
      <w:r w:rsidRPr="00244D65">
        <w:rPr>
          <w:rFonts w:eastAsia="Times New Roman"/>
          <w:noProof/>
        </w:rPr>
        <w:t xml:space="preserve">). Annex 12 considers the case for including more small installations within EU ETS by lowering the 20 MW thermal capacity threshold. However, it concludes that such an expansion would not be proportionate since most of the relevant emissions will be covered by EU ETS2. </w:t>
      </w:r>
    </w:p>
    <w:p w14:paraId="340D9566" w14:textId="17F4A91A" w:rsidR="000A2F08" w:rsidRPr="00244D65" w:rsidRDefault="000A2F08" w:rsidP="0085595C">
      <w:pPr>
        <w:tabs>
          <w:tab w:val="left" w:pos="2302"/>
        </w:tabs>
        <w:rPr>
          <w:rFonts w:eastAsia="Times New Roman"/>
          <w:noProof/>
          <w:szCs w:val="20"/>
        </w:rPr>
      </w:pPr>
      <w:r w:rsidRPr="00244D65">
        <w:rPr>
          <w:rFonts w:eastAsia="Times New Roman"/>
          <w:noProof/>
        </w:rPr>
        <w:t xml:space="preserve">The evaluation carried out on the implementation of the MRV Maritime Regulation </w:t>
      </w:r>
      <w:r w:rsidR="00146178" w:rsidRPr="00244D65">
        <w:rPr>
          <w:rFonts w:eastAsia="Times New Roman"/>
          <w:noProof/>
        </w:rPr>
        <w:t>(see Annex 15</w:t>
      </w:r>
      <w:r w:rsidR="004E6320" w:rsidRPr="00244D65">
        <w:rPr>
          <w:rFonts w:eastAsia="Times New Roman"/>
          <w:noProof/>
        </w:rPr>
        <w:t xml:space="preserve">) </w:t>
      </w:r>
      <w:r w:rsidRPr="00244D65">
        <w:rPr>
          <w:rFonts w:eastAsia="Times New Roman"/>
          <w:noProof/>
        </w:rPr>
        <w:t>confirmed that the MRV system functions as a robust framework, which has successfully handled the changes stemming from the 2023 revision without compromising overall data quality or usability. At the same time, the evaluation identified some divergences and duplications between the MRV system for maritime and other regulatory frameworks on shipping decarbonisation</w:t>
      </w:r>
      <w:r w:rsidRPr="00244D65">
        <w:rPr>
          <w:rFonts w:eastAsia="Times New Roman"/>
          <w:noProof/>
          <w:vertAlign w:val="superscript"/>
        </w:rPr>
        <w:footnoteReference w:id="107"/>
      </w:r>
      <w:r>
        <w:rPr>
          <w:rFonts w:eastAsia="Times New Roman"/>
          <w:noProof/>
        </w:rPr>
        <w:t>,</w:t>
      </w:r>
      <w:r w:rsidRPr="00244D65">
        <w:rPr>
          <w:rFonts w:eastAsia="Times New Roman"/>
          <w:noProof/>
        </w:rPr>
        <w:t xml:space="preserve"> which hold potential for undue burden on operators. The evaluation found that, rather than a structural overhaul of the MRV system, incremental improvements through simplification initiatives could enhance the harmonised and robust implementation of the system, minimise existing duplications and deliver efficiency gains. </w:t>
      </w:r>
    </w:p>
    <w:p w14:paraId="777C6B8B" w14:textId="2B736DBD" w:rsidR="000A2F08" w:rsidRPr="00244D65" w:rsidRDefault="000A2F08" w:rsidP="0085595C">
      <w:pPr>
        <w:tabs>
          <w:tab w:val="left" w:pos="2302"/>
        </w:tabs>
        <w:rPr>
          <w:rFonts w:eastAsia="Times New Roman"/>
          <w:noProof/>
        </w:rPr>
      </w:pPr>
      <w:r w:rsidRPr="00244D65">
        <w:rPr>
          <w:rFonts w:eastAsia="Times New Roman"/>
          <w:noProof/>
        </w:rPr>
        <w:t xml:space="preserve">Policy measure SI1 for maritime ‘Simplification, and targeted enhancement measures’ includes specific simplification elements for the MRV maritime system which would enable shipping companies to exploit untapped synergies, minimise undue burden, and </w:t>
      </w:r>
      <w:bookmarkStart w:id="329" w:name="_Int_qa0F3fRZ"/>
      <w:r w:rsidRPr="00244D65">
        <w:rPr>
          <w:rFonts w:eastAsia="Times New Roman"/>
          <w:noProof/>
        </w:rPr>
        <w:t>ultimately reduce</w:t>
      </w:r>
      <w:bookmarkEnd w:id="329"/>
      <w:r w:rsidRPr="00244D65">
        <w:rPr>
          <w:rFonts w:eastAsia="Times New Roman"/>
          <w:noProof/>
        </w:rPr>
        <w:t xml:space="preserve"> administrative compliance costs. Among other things, the measure would ensure that one entity is responsible for compliance in respect of the emissions of a given ship under the ETS/MRV maritime and the FuelEU Maritime systems and that the monitoring-and-reporting-only-once principle is implemented. The present impact assessment estimates that simplification elements for maritime could deliver to shipping </w:t>
      </w:r>
      <w:r w:rsidR="438740E6" w:rsidRPr="00244D65">
        <w:rPr>
          <w:rFonts w:eastAsia="Times New Roman"/>
          <w:noProof/>
        </w:rPr>
        <w:t>companies'</w:t>
      </w:r>
      <w:r w:rsidRPr="00244D65">
        <w:rPr>
          <w:rFonts w:eastAsia="Times New Roman"/>
          <w:noProof/>
        </w:rPr>
        <w:t xml:space="preserve"> annual savings between 10% and 20% of current annual MRV administrative compliance costs. </w:t>
      </w:r>
    </w:p>
    <w:p w14:paraId="26C7E6B1" w14:textId="77777777" w:rsidR="006B087E" w:rsidRPr="00244D65" w:rsidRDefault="006B087E" w:rsidP="0085595C">
      <w:pPr>
        <w:pStyle w:val="Heading1"/>
        <w:spacing w:before="120" w:after="120"/>
        <w:rPr>
          <w:noProof/>
        </w:rPr>
      </w:pPr>
      <w:bookmarkStart w:id="330" w:name="_Toc211963273"/>
      <w:bookmarkStart w:id="331" w:name="_Toc234949764"/>
      <w:bookmarkStart w:id="332" w:name="_Toc232752520"/>
      <w:r w:rsidRPr="00244D65">
        <w:rPr>
          <w:noProof/>
        </w:rPr>
        <w:t>How will actual impacts be monitored and evaluated?</w:t>
      </w:r>
      <w:bookmarkEnd w:id="330"/>
      <w:bookmarkEnd w:id="331"/>
      <w:bookmarkEnd w:id="332"/>
    </w:p>
    <w:p w14:paraId="53B245B2" w14:textId="46C36117" w:rsidR="00CF393F" w:rsidRPr="00244D65" w:rsidRDefault="00CF393F" w:rsidP="0085595C">
      <w:pPr>
        <w:rPr>
          <w:rFonts w:ascii="Segoe UI" w:hAnsi="Segoe UI" w:cs="Segoe UI"/>
          <w:noProof/>
          <w:sz w:val="18"/>
          <w:szCs w:val="18"/>
        </w:rPr>
      </w:pPr>
      <w:r w:rsidRPr="00244D65">
        <w:rPr>
          <w:rStyle w:val="normaltextrun"/>
          <w:noProof/>
        </w:rPr>
        <w:t xml:space="preserve">The Commission will continue to monitor and evaluate the functioning of the ETS in its annual Carbon Market Report, as foreseen under Article 10(5) of the ETS Directive. This </w:t>
      </w:r>
      <w:bookmarkStart w:id="333" w:name="_Int_gyhWOE3I"/>
      <w:r w:rsidRPr="00244D65">
        <w:rPr>
          <w:rStyle w:val="normaltextrun"/>
          <w:noProof/>
        </w:rPr>
        <w:t>covers also</w:t>
      </w:r>
      <w:bookmarkEnd w:id="333"/>
      <w:r w:rsidRPr="00244D65">
        <w:rPr>
          <w:rStyle w:val="normaltextrun"/>
          <w:noProof/>
        </w:rPr>
        <w:t xml:space="preserve"> the impacts of the current revision of the ETS.</w:t>
      </w:r>
      <w:r w:rsidR="000C653C" w:rsidRPr="00244D65">
        <w:rPr>
          <w:rStyle w:val="normaltextrun"/>
          <w:noProof/>
        </w:rPr>
        <w:t xml:space="preserve"> </w:t>
      </w:r>
    </w:p>
    <w:p w14:paraId="7928A61C" w14:textId="06F0447D" w:rsidR="00CF393F" w:rsidRPr="00244D65" w:rsidRDefault="00CF393F" w:rsidP="0085595C">
      <w:pPr>
        <w:rPr>
          <w:rFonts w:ascii="Segoe UI" w:hAnsi="Segoe UI" w:cs="Segoe UI"/>
          <w:noProof/>
          <w:sz w:val="18"/>
          <w:szCs w:val="18"/>
        </w:rPr>
      </w:pPr>
      <w:r w:rsidRPr="00244D65">
        <w:rPr>
          <w:rStyle w:val="normaltextrun"/>
          <w:noProof/>
        </w:rPr>
        <w:t>Furthermore, evaluation of progress on the application of the ETS Directive is regulated in the current Article 21, which requires M</w:t>
      </w:r>
      <w:r w:rsidR="00880FEE" w:rsidRPr="00244D65">
        <w:rPr>
          <w:rStyle w:val="normaltextrun"/>
          <w:noProof/>
        </w:rPr>
        <w:t xml:space="preserve">ember </w:t>
      </w:r>
      <w:r w:rsidRPr="00244D65">
        <w:rPr>
          <w:rStyle w:val="normaltextrun"/>
          <w:noProof/>
        </w:rPr>
        <w:t>S</w:t>
      </w:r>
      <w:r w:rsidR="00880FEE" w:rsidRPr="00244D65">
        <w:rPr>
          <w:rStyle w:val="normaltextrun"/>
          <w:noProof/>
        </w:rPr>
        <w:t>tates</w:t>
      </w:r>
      <w:r w:rsidRPr="00244D65">
        <w:rPr>
          <w:rStyle w:val="normaltextrun"/>
          <w:noProof/>
        </w:rPr>
        <w:t xml:space="preserve"> to submit to </w:t>
      </w:r>
      <w:r w:rsidR="004D68EC" w:rsidRPr="00244D65">
        <w:rPr>
          <w:rStyle w:val="normaltextrun"/>
          <w:noProof/>
        </w:rPr>
        <w:t xml:space="preserve">report to </w:t>
      </w:r>
      <w:r w:rsidRPr="00244D65">
        <w:rPr>
          <w:rStyle w:val="normaltextrun"/>
          <w:noProof/>
        </w:rPr>
        <w:t xml:space="preserve">the Commission </w:t>
      </w:r>
      <w:r w:rsidR="004D68EC" w:rsidRPr="00244D65">
        <w:rPr>
          <w:rStyle w:val="normaltextrun"/>
          <w:noProof/>
        </w:rPr>
        <w:t>on</w:t>
      </w:r>
      <w:r w:rsidRPr="00244D65">
        <w:rPr>
          <w:rStyle w:val="normaltextrun"/>
          <w:noProof/>
        </w:rPr>
        <w:t xml:space="preserve"> issues including the allocation of allowances, operation of the Registry, application of monitoring and reporting, verification and accreditation and issues relating to compliance.</w:t>
      </w:r>
      <w:r w:rsidR="000C653C" w:rsidRPr="00244D65">
        <w:rPr>
          <w:rStyle w:val="normaltextrun"/>
          <w:noProof/>
        </w:rPr>
        <w:t xml:space="preserve"> </w:t>
      </w:r>
    </w:p>
    <w:p w14:paraId="27798852" w14:textId="30B3110B" w:rsidR="00CF393F" w:rsidRPr="00244D65" w:rsidRDefault="00CF393F" w:rsidP="0085595C">
      <w:pPr>
        <w:rPr>
          <w:rFonts w:ascii="Segoe UI" w:hAnsi="Segoe UI" w:cs="Segoe UI"/>
          <w:noProof/>
          <w:sz w:val="18"/>
          <w:szCs w:val="18"/>
        </w:rPr>
      </w:pPr>
      <w:r w:rsidRPr="00244D65">
        <w:rPr>
          <w:rStyle w:val="normaltextrun"/>
          <w:noProof/>
        </w:rPr>
        <w:t>The measures above (namely the Commission’s annual Carbon Market Report and Member States report</w:t>
      </w:r>
      <w:r w:rsidR="004D68EC" w:rsidRPr="00244D65">
        <w:rPr>
          <w:rStyle w:val="normaltextrun"/>
          <w:noProof/>
        </w:rPr>
        <w:t>ing</w:t>
      </w:r>
      <w:r w:rsidRPr="00244D65">
        <w:rPr>
          <w:rStyle w:val="normaltextrun"/>
          <w:noProof/>
        </w:rPr>
        <w:t>) shall also apply to the sectors to which emissions trading is extended. The MRV data obtained through the regulation of the new sectors will be a key source for information for the Commission to evaluate progress in the sectors concerned.</w:t>
      </w:r>
      <w:r w:rsidR="000C653C" w:rsidRPr="00244D65">
        <w:rPr>
          <w:rStyle w:val="normaltextrun"/>
          <w:noProof/>
        </w:rPr>
        <w:t xml:space="preserve"> </w:t>
      </w:r>
    </w:p>
    <w:p w14:paraId="7C6F66E9" w14:textId="33F2109E" w:rsidR="00CF393F" w:rsidRPr="00244D65" w:rsidRDefault="00CF393F" w:rsidP="0085595C">
      <w:pPr>
        <w:rPr>
          <w:rFonts w:ascii="Segoe UI" w:hAnsi="Segoe UI" w:cs="Segoe UI"/>
          <w:noProof/>
          <w:sz w:val="18"/>
          <w:szCs w:val="18"/>
        </w:rPr>
      </w:pPr>
      <w:r w:rsidRPr="00244D65">
        <w:rPr>
          <w:rStyle w:val="normaltextrun"/>
          <w:noProof/>
        </w:rPr>
        <w:t>With respect to maritime transport, the Commission will notably rely on data collected through the EU maritime transport MRV system and analysis from the annual report on CO</w:t>
      </w:r>
      <w:r w:rsidRPr="00244D65">
        <w:rPr>
          <w:rStyle w:val="normaltextrun"/>
          <w:noProof/>
          <w:vertAlign w:val="subscript"/>
        </w:rPr>
        <w:t xml:space="preserve">2 </w:t>
      </w:r>
      <w:r w:rsidRPr="00244D65">
        <w:rPr>
          <w:rStyle w:val="normaltextrun"/>
          <w:noProof/>
        </w:rPr>
        <w:t>emissions from maritime transport, which provides aggregated and explained results. With respect to the possible extension to buildings and transport, the Commission will rely on data collected through the new MRV system for these sectors, while comparing them also with the corresponding GHG inventory data for these sectors.</w:t>
      </w:r>
      <w:r w:rsidR="000C653C" w:rsidRPr="00244D65">
        <w:rPr>
          <w:rStyle w:val="normaltextrun"/>
          <w:noProof/>
        </w:rPr>
        <w:t xml:space="preserve"> </w:t>
      </w:r>
    </w:p>
    <w:p w14:paraId="58CBF087" w14:textId="4E1920D0" w:rsidR="00CF393F" w:rsidRPr="00244D65" w:rsidRDefault="00CF393F" w:rsidP="0085595C">
      <w:pPr>
        <w:rPr>
          <w:rFonts w:ascii="Segoe UI" w:hAnsi="Segoe UI" w:cs="Segoe UI"/>
          <w:noProof/>
          <w:sz w:val="18"/>
          <w:szCs w:val="18"/>
        </w:rPr>
      </w:pPr>
      <w:r w:rsidRPr="00244D65">
        <w:rPr>
          <w:rStyle w:val="normaltextrun"/>
          <w:noProof/>
        </w:rPr>
        <w:t>The integrated governance and monitoring process under the Regulation on the Governance of the Energy Union and Climate action is also expected to make sure that climate and energy-related actions at European, as well as regional, national and local level, including the ETS, contribute to the EU climate neutrality and Energy Union's objectives.</w:t>
      </w:r>
      <w:r w:rsidR="000C653C" w:rsidRPr="00244D65">
        <w:rPr>
          <w:rStyle w:val="normaltextrun"/>
          <w:noProof/>
        </w:rPr>
        <w:t xml:space="preserve"> </w:t>
      </w:r>
    </w:p>
    <w:p w14:paraId="0536E04A" w14:textId="6CDF2E6F" w:rsidR="00D20FD1" w:rsidRPr="00244D65" w:rsidRDefault="00CF393F" w:rsidP="0085595C">
      <w:pPr>
        <w:rPr>
          <w:rStyle w:val="normaltextrun"/>
          <w:noProof/>
        </w:rPr>
      </w:pPr>
      <w:r w:rsidRPr="00244D65">
        <w:rPr>
          <w:rStyle w:val="normaltextrun"/>
          <w:noProof/>
        </w:rPr>
        <w:t>Several market analysts regularly closely follow various aspects of the carbon market and its functioning</w:t>
      </w:r>
      <w:r w:rsidR="003A5F87" w:rsidRPr="00244D65">
        <w:rPr>
          <w:rStyle w:val="normaltextrun"/>
          <w:noProof/>
        </w:rPr>
        <w:t>,</w:t>
      </w:r>
      <w:r w:rsidRPr="00244D65">
        <w:rPr>
          <w:rStyle w:val="normaltextrun"/>
          <w:noProof/>
        </w:rPr>
        <w:t xml:space="preserve"> and the Commission will continue to monitor this work. Also, through regular contacts with stakeholders, the Commission is alert to their views and concerns about the functioning of the ETS. ETS-related matters are discussed in a dedicated forum, the Climate Change Expert Group (CCEG) which brings together M</w:t>
      </w:r>
      <w:r w:rsidR="00880FEE" w:rsidRPr="00244D65">
        <w:rPr>
          <w:rStyle w:val="normaltextrun"/>
          <w:noProof/>
        </w:rPr>
        <w:t xml:space="preserve">ember </w:t>
      </w:r>
      <w:r w:rsidRPr="00244D65">
        <w:rPr>
          <w:rStyle w:val="normaltextrun"/>
          <w:noProof/>
        </w:rPr>
        <w:t>S</w:t>
      </w:r>
      <w:r w:rsidR="00880FEE" w:rsidRPr="00244D65">
        <w:rPr>
          <w:rStyle w:val="normaltextrun"/>
          <w:noProof/>
        </w:rPr>
        <w:t>tates</w:t>
      </w:r>
      <w:r w:rsidRPr="00244D65">
        <w:rPr>
          <w:rStyle w:val="normaltextrun"/>
          <w:noProof/>
        </w:rPr>
        <w:t xml:space="preserve"> Competent Authorities, stakeholders (industry associations and NGOs) and the Commission. In its different formations, the CCEG discusses the implementation of free allocation, auctioning and issues related to the functioning of the </w:t>
      </w:r>
      <w:r w:rsidR="007B5D4D" w:rsidRPr="00244D65">
        <w:rPr>
          <w:rStyle w:val="normaltextrun"/>
          <w:noProof/>
        </w:rPr>
        <w:t>U</w:t>
      </w:r>
      <w:r w:rsidRPr="00244D65">
        <w:rPr>
          <w:rStyle w:val="normaltextrun"/>
          <w:noProof/>
        </w:rPr>
        <w:t xml:space="preserve">nion </w:t>
      </w:r>
      <w:r w:rsidR="007B5D4D" w:rsidRPr="00244D65">
        <w:rPr>
          <w:rStyle w:val="normaltextrun"/>
          <w:noProof/>
        </w:rPr>
        <w:t>R</w:t>
      </w:r>
      <w:r w:rsidRPr="00244D65">
        <w:rPr>
          <w:rStyle w:val="normaltextrun"/>
          <w:noProof/>
        </w:rPr>
        <w:t xml:space="preserve">egistry. In addition, the ETS Compliance </w:t>
      </w:r>
      <w:r w:rsidR="00A67699" w:rsidRPr="00244D65">
        <w:rPr>
          <w:rStyle w:val="normaltextrun"/>
          <w:noProof/>
        </w:rPr>
        <w:t>F</w:t>
      </w:r>
      <w:r w:rsidRPr="00244D65">
        <w:rPr>
          <w:rStyle w:val="normaltextrun"/>
          <w:noProof/>
        </w:rPr>
        <w:t>orum provides the Competent Authorities of all ETS countries (the 27 M</w:t>
      </w:r>
      <w:r w:rsidR="00880FEE" w:rsidRPr="00244D65">
        <w:rPr>
          <w:rStyle w:val="normaltextrun"/>
          <w:noProof/>
        </w:rPr>
        <w:t xml:space="preserve">ember </w:t>
      </w:r>
      <w:r w:rsidRPr="00244D65">
        <w:rPr>
          <w:rStyle w:val="normaltextrun"/>
          <w:noProof/>
        </w:rPr>
        <w:t>S</w:t>
      </w:r>
      <w:r w:rsidR="00880FEE" w:rsidRPr="00244D65">
        <w:rPr>
          <w:rStyle w:val="normaltextrun"/>
          <w:noProof/>
        </w:rPr>
        <w:t>tates</w:t>
      </w:r>
      <w:r w:rsidRPr="00244D65">
        <w:rPr>
          <w:rStyle w:val="normaltextrun"/>
          <w:noProof/>
        </w:rPr>
        <w:t>, Norway, Iceland and Liechtenstein) with a platform for sharing information, learning and experience, leading to effective implementation of the ETS. The forum executes targeted events, such as the Compliance Forum Conference, organized annually and aimed at sharing experiences and facilitating dialogue amongst M</w:t>
      </w:r>
      <w:r w:rsidR="00880FEE" w:rsidRPr="00244D65">
        <w:rPr>
          <w:rStyle w:val="normaltextrun"/>
          <w:noProof/>
        </w:rPr>
        <w:t xml:space="preserve">ember </w:t>
      </w:r>
      <w:r w:rsidRPr="00244D65">
        <w:rPr>
          <w:rStyle w:val="normaltextrun"/>
          <w:noProof/>
        </w:rPr>
        <w:t>S</w:t>
      </w:r>
      <w:r w:rsidR="00880FEE" w:rsidRPr="00244D65">
        <w:rPr>
          <w:rStyle w:val="normaltextrun"/>
          <w:noProof/>
        </w:rPr>
        <w:t>tates</w:t>
      </w:r>
      <w:r w:rsidRPr="00244D65">
        <w:rPr>
          <w:rStyle w:val="normaltextrun"/>
          <w:noProof/>
        </w:rPr>
        <w:t xml:space="preserve"> Competent Authorities, as well as Task Forces dedicated to specific topics and training events. National Accreditation Bodies and verifiers are sometimes invited to participate to the activities of the ETS Compliance </w:t>
      </w:r>
      <w:r w:rsidR="0079210C" w:rsidRPr="00244D65">
        <w:rPr>
          <w:rStyle w:val="normaltextrun"/>
          <w:noProof/>
        </w:rPr>
        <w:t>F</w:t>
      </w:r>
      <w:r w:rsidRPr="00244D65">
        <w:rPr>
          <w:rStyle w:val="normaltextrun"/>
          <w:noProof/>
        </w:rPr>
        <w:t>orum, where relevant. Furthermore, the Technical Working Group on ETS MRVA brings together representatives of M</w:t>
      </w:r>
      <w:r w:rsidR="00880FEE" w:rsidRPr="00244D65">
        <w:rPr>
          <w:rStyle w:val="normaltextrun"/>
          <w:noProof/>
        </w:rPr>
        <w:t xml:space="preserve">ember </w:t>
      </w:r>
      <w:r w:rsidRPr="00244D65">
        <w:rPr>
          <w:rStyle w:val="normaltextrun"/>
          <w:noProof/>
        </w:rPr>
        <w:t>S</w:t>
      </w:r>
      <w:r w:rsidR="00880FEE" w:rsidRPr="00244D65">
        <w:rPr>
          <w:rStyle w:val="normaltextrun"/>
          <w:noProof/>
        </w:rPr>
        <w:t>tates</w:t>
      </w:r>
      <w:r w:rsidRPr="00244D65">
        <w:rPr>
          <w:rStyle w:val="normaltextrun"/>
          <w:noProof/>
        </w:rPr>
        <w:t xml:space="preserve"> Competent Authorities to share experiences and suggestions concerning effective and efficient implementation of Commission Implementing Regulation (EU) No 2018/2066</w:t>
      </w:r>
      <w:r w:rsidR="00391411" w:rsidRPr="00244D65">
        <w:rPr>
          <w:rStyle w:val="normaltextrun"/>
          <w:noProof/>
        </w:rPr>
        <w:t xml:space="preserve"> (Monitoring and Reporting Regulation)</w:t>
      </w:r>
      <w:r w:rsidRPr="00244D65">
        <w:rPr>
          <w:rStyle w:val="normaltextrun"/>
          <w:noProof/>
        </w:rPr>
        <w:t xml:space="preserve"> and Commission Implementing Regulation (EU) No. 2018/2067</w:t>
      </w:r>
      <w:r w:rsidR="00391411" w:rsidRPr="00244D65">
        <w:rPr>
          <w:rStyle w:val="normaltextrun"/>
          <w:noProof/>
        </w:rPr>
        <w:t xml:space="preserve"> (Accreditation and Verification Regulation)</w:t>
      </w:r>
      <w:r w:rsidRPr="00244D65">
        <w:rPr>
          <w:rStyle w:val="normaltextrun"/>
          <w:noProof/>
        </w:rPr>
        <w:t xml:space="preserve"> to discuss potential updates and improvements of the ETS MRVA Regulations</w:t>
      </w:r>
      <w:bookmarkStart w:id="334" w:name="_Toc211592639"/>
      <w:bookmarkStart w:id="335" w:name="_Toc211592782"/>
      <w:bookmarkStart w:id="336" w:name="_Toc211593475"/>
      <w:bookmarkStart w:id="337" w:name="_Toc211963297"/>
      <w:bookmarkStart w:id="338" w:name="_Toc211593476"/>
      <w:bookmarkStart w:id="339" w:name="_Toc211963298"/>
      <w:bookmarkStart w:id="340" w:name="_Toc211593477"/>
      <w:bookmarkStart w:id="341" w:name="_Toc211963299"/>
      <w:bookmarkStart w:id="342" w:name="_Toc211593478"/>
      <w:bookmarkStart w:id="343" w:name="_Toc211963300"/>
      <w:bookmarkStart w:id="344" w:name="_Toc211593479"/>
      <w:bookmarkStart w:id="345" w:name="_Toc211963301"/>
      <w:bookmarkStart w:id="346" w:name="_Toc211593480"/>
      <w:bookmarkStart w:id="347" w:name="_Toc211963302"/>
      <w:bookmarkStart w:id="348" w:name="_Toc211593483"/>
      <w:bookmarkStart w:id="349" w:name="_Toc211963310"/>
      <w:bookmarkStart w:id="350" w:name="_Toc211593484"/>
      <w:bookmarkStart w:id="351" w:name="_Toc211963311"/>
      <w:bookmarkStart w:id="352" w:name="_Toc211593485"/>
      <w:bookmarkStart w:id="353" w:name="_Toc211963312"/>
      <w:bookmarkStart w:id="354" w:name="_Toc211593486"/>
      <w:bookmarkStart w:id="355" w:name="_Toc211963313"/>
      <w:bookmarkStart w:id="356" w:name="_Toc211593487"/>
      <w:bookmarkStart w:id="357" w:name="_Toc211963314"/>
      <w:bookmarkStart w:id="358" w:name="_Toc211593488"/>
      <w:bookmarkStart w:id="359" w:name="_Toc211963315"/>
      <w:bookmarkStart w:id="360" w:name="_Toc211593489"/>
      <w:bookmarkStart w:id="361" w:name="_Toc211963316"/>
      <w:bookmarkStart w:id="362" w:name="_Toc211593490"/>
      <w:bookmarkStart w:id="363" w:name="_Toc211963317"/>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r w:rsidR="00B97154" w:rsidRPr="00244D65">
        <w:rPr>
          <w:rStyle w:val="normaltextrun"/>
          <w:noProof/>
        </w:rPr>
        <w:t>.</w:t>
      </w:r>
    </w:p>
    <w:p w14:paraId="3179D882" w14:textId="526A2B76" w:rsidR="008665AF" w:rsidRPr="00244D65" w:rsidRDefault="008665AF" w:rsidP="0085595C">
      <w:pPr>
        <w:rPr>
          <w:noProof/>
          <w:lang w:eastAsia="en-IE"/>
        </w:rPr>
      </w:pPr>
      <w:r w:rsidRPr="00244D65">
        <w:rPr>
          <w:noProof/>
          <w:lang w:eastAsia="en-IE"/>
        </w:rPr>
        <w:br w:type="page"/>
      </w:r>
    </w:p>
    <w:p w14:paraId="1C9E1BA6" w14:textId="77777777" w:rsidR="006C08BD" w:rsidRPr="00244D65" w:rsidRDefault="006C08BD" w:rsidP="006C08BD">
      <w:pPr>
        <w:pStyle w:val="Heading1"/>
        <w:numPr>
          <w:ilvl w:val="0"/>
          <w:numId w:val="0"/>
        </w:numPr>
        <w:spacing w:before="120" w:after="120"/>
        <w:ind w:left="480" w:hanging="480"/>
        <w:rPr>
          <w:noProof/>
          <w:lang w:eastAsia="en-IE"/>
        </w:rPr>
      </w:pPr>
      <w:bookmarkStart w:id="364" w:name="_Toc234949765"/>
      <w:bookmarkStart w:id="365" w:name="_Toc232752521"/>
      <w:r w:rsidRPr="00244D65">
        <w:rPr>
          <w:noProof/>
          <w:lang w:eastAsia="en-IE"/>
        </w:rPr>
        <w:t>List of Tables</w:t>
      </w:r>
      <w:bookmarkEnd w:id="364"/>
      <w:bookmarkEnd w:id="365"/>
    </w:p>
    <w:p w14:paraId="20080CD6" w14:textId="77777777" w:rsidR="00BA4E81" w:rsidRDefault="00BA4E81" w:rsidP="0085595C">
      <w:pPr>
        <w:pStyle w:val="TableofFigures"/>
        <w:tabs>
          <w:tab w:val="left" w:pos="1200"/>
          <w:tab w:val="right" w:leader="dot" w:pos="8751"/>
        </w:tabs>
        <w:rPr>
          <w:noProof/>
          <w:lang w:eastAsia="en-IE"/>
        </w:rPr>
      </w:pPr>
    </w:p>
    <w:p w14:paraId="493E654C" w14:textId="095D02C1" w:rsidR="42A7FBE8" w:rsidRPr="00244D65" w:rsidRDefault="00C72F80" w:rsidP="2A00DF22">
      <w:pPr>
        <w:pStyle w:val="TableofFigures"/>
        <w:tabs>
          <w:tab w:val="left" w:pos="1200"/>
          <w:tab w:val="right" w:leader="dot" w:pos="8751"/>
        </w:tabs>
        <w:rPr>
          <w:rFonts w:asciiTheme="minorHAnsi" w:eastAsiaTheme="minorEastAsia" w:hAnsiTheme="minorHAnsi" w:cstheme="minorBidi"/>
          <w:noProof/>
          <w:lang w:val="en-IE" w:eastAsia="en-IE"/>
        </w:rPr>
      </w:pPr>
      <w:r>
        <w:rPr>
          <w:noProof/>
          <w:lang w:eastAsia="en-IE"/>
        </w:rPr>
        <w:fldChar w:fldCharType="begin"/>
      </w:r>
      <w:r>
        <w:rPr>
          <w:noProof/>
          <w:lang w:eastAsia="en-IE"/>
        </w:rPr>
        <w:instrText xml:space="preserve"> TOC \h \z \t "Table title" \c </w:instrText>
      </w:r>
      <w:r>
        <w:rPr>
          <w:noProof/>
          <w:lang w:eastAsia="en-IE"/>
        </w:rPr>
        <w:fldChar w:fldCharType="separate"/>
      </w:r>
      <w:hyperlink w:anchor="_Toc234496381">
        <w:r>
          <w:rPr>
            <w:rStyle w:val="Hyperlink"/>
            <w:noProof/>
          </w:rPr>
          <w:t>Table 1:</w:t>
        </w:r>
        <w:r>
          <w:rPr>
            <w:noProof/>
          </w:rPr>
          <w:tab/>
        </w:r>
        <w:r>
          <w:rPr>
            <w:rStyle w:val="Hyperlink"/>
            <w:noProof/>
          </w:rPr>
          <w:t>Overview of policy measures and policy options</w:t>
        </w:r>
        <w:r>
          <w:rPr>
            <w:noProof/>
          </w:rPr>
          <w:tab/>
        </w:r>
        <w:r>
          <w:rPr>
            <w:noProof/>
          </w:rPr>
          <w:fldChar w:fldCharType="begin"/>
        </w:r>
        <w:r>
          <w:rPr>
            <w:noProof/>
          </w:rPr>
          <w:instrText xml:space="preserve"> PAGEREF _Toc234496381 \h </w:instrText>
        </w:r>
        <w:r>
          <w:rPr>
            <w:noProof/>
          </w:rPr>
        </w:r>
        <w:r>
          <w:rPr>
            <w:noProof/>
          </w:rPr>
          <w:fldChar w:fldCharType="separate"/>
        </w:r>
        <w:r>
          <w:rPr>
            <w:noProof/>
          </w:rPr>
          <w:t>17</w:t>
        </w:r>
        <w:r>
          <w:rPr>
            <w:noProof/>
          </w:rPr>
          <w:fldChar w:fldCharType="end"/>
        </w:r>
      </w:hyperlink>
    </w:p>
    <w:p w14:paraId="36F94A8B" w14:textId="2AB4D999" w:rsidR="00FA0B00" w:rsidRPr="00244D65" w:rsidRDefault="00FA0B00" w:rsidP="2A00DF22">
      <w:pPr>
        <w:pStyle w:val="TableofFigures"/>
        <w:tabs>
          <w:tab w:val="left" w:pos="1200"/>
          <w:tab w:val="right" w:leader="dot" w:pos="8751"/>
        </w:tabs>
        <w:rPr>
          <w:rFonts w:asciiTheme="minorHAnsi" w:eastAsiaTheme="minorEastAsia" w:hAnsiTheme="minorHAnsi" w:cstheme="minorBidi"/>
          <w:noProof/>
          <w:lang w:val="en-IE" w:eastAsia="en-IE"/>
        </w:rPr>
      </w:pPr>
      <w:hyperlink w:anchor="_Toc234496382">
        <w:r>
          <w:rPr>
            <w:rStyle w:val="Hyperlink"/>
            <w:noProof/>
          </w:rPr>
          <w:t>Table 2:</w:t>
        </w:r>
        <w:r>
          <w:rPr>
            <w:noProof/>
          </w:rPr>
          <w:tab/>
        </w:r>
        <w:r>
          <w:rPr>
            <w:rStyle w:val="Hyperlink"/>
            <w:noProof/>
          </w:rPr>
          <w:t>Table showing approximate cap trajectories, when including extra EEA aviation in the target</w:t>
        </w:r>
        <w:r>
          <w:rPr>
            <w:noProof/>
          </w:rPr>
          <w:tab/>
        </w:r>
        <w:r>
          <w:rPr>
            <w:noProof/>
          </w:rPr>
          <w:fldChar w:fldCharType="begin"/>
        </w:r>
        <w:r>
          <w:rPr>
            <w:noProof/>
          </w:rPr>
          <w:instrText xml:space="preserve"> PAGEREF _Toc234496382 \h </w:instrText>
        </w:r>
        <w:r>
          <w:rPr>
            <w:noProof/>
          </w:rPr>
        </w:r>
        <w:r>
          <w:rPr>
            <w:noProof/>
          </w:rPr>
          <w:fldChar w:fldCharType="separate"/>
        </w:r>
        <w:r>
          <w:rPr>
            <w:noProof/>
          </w:rPr>
          <w:t>23</w:t>
        </w:r>
        <w:r>
          <w:rPr>
            <w:noProof/>
          </w:rPr>
          <w:fldChar w:fldCharType="end"/>
        </w:r>
      </w:hyperlink>
    </w:p>
    <w:p w14:paraId="2D51D1CA" w14:textId="6E776960" w:rsidR="00FA0B00" w:rsidRPr="00244D65" w:rsidRDefault="00FA0B00" w:rsidP="2A00DF22">
      <w:pPr>
        <w:pStyle w:val="TableofFigures"/>
        <w:tabs>
          <w:tab w:val="left" w:pos="1200"/>
          <w:tab w:val="right" w:leader="dot" w:pos="8751"/>
        </w:tabs>
        <w:rPr>
          <w:rFonts w:asciiTheme="minorHAnsi" w:eastAsiaTheme="minorEastAsia" w:hAnsiTheme="minorHAnsi" w:cstheme="minorBidi"/>
          <w:noProof/>
          <w:lang w:val="en-IE" w:eastAsia="en-IE"/>
        </w:rPr>
      </w:pPr>
      <w:hyperlink w:anchor="_Toc234496383">
        <w:r>
          <w:rPr>
            <w:rStyle w:val="Hyperlink"/>
            <w:noProof/>
          </w:rPr>
          <w:t>Table 3:</w:t>
        </w:r>
        <w:r>
          <w:rPr>
            <w:noProof/>
          </w:rPr>
          <w:tab/>
        </w:r>
        <w:r>
          <w:rPr>
            <w:rStyle w:val="Hyperlink"/>
            <w:noProof/>
          </w:rPr>
          <w:t>Net caps trajectories for POTEnCIA, excluding international extra EEA aviation and with added removals linked allowances</w:t>
        </w:r>
        <w:r>
          <w:rPr>
            <w:noProof/>
          </w:rPr>
          <w:tab/>
        </w:r>
        <w:r>
          <w:rPr>
            <w:noProof/>
          </w:rPr>
          <w:fldChar w:fldCharType="begin"/>
        </w:r>
        <w:r>
          <w:rPr>
            <w:noProof/>
          </w:rPr>
          <w:instrText xml:space="preserve"> PAGEREF _Toc234496383 \h </w:instrText>
        </w:r>
        <w:r>
          <w:rPr>
            <w:noProof/>
          </w:rPr>
        </w:r>
        <w:r>
          <w:rPr>
            <w:noProof/>
          </w:rPr>
          <w:fldChar w:fldCharType="separate"/>
        </w:r>
        <w:r>
          <w:rPr>
            <w:noProof/>
          </w:rPr>
          <w:t>24</w:t>
        </w:r>
        <w:r>
          <w:rPr>
            <w:noProof/>
          </w:rPr>
          <w:fldChar w:fldCharType="end"/>
        </w:r>
      </w:hyperlink>
    </w:p>
    <w:p w14:paraId="502B4BC3" w14:textId="5BFAB223" w:rsidR="00FA0B00" w:rsidRPr="00244D65" w:rsidRDefault="00FA0B00" w:rsidP="2A00DF22">
      <w:pPr>
        <w:pStyle w:val="TableofFigures"/>
        <w:tabs>
          <w:tab w:val="left" w:pos="1200"/>
          <w:tab w:val="right" w:leader="dot" w:pos="8751"/>
        </w:tabs>
        <w:rPr>
          <w:rFonts w:asciiTheme="minorHAnsi" w:eastAsiaTheme="minorEastAsia" w:hAnsiTheme="minorHAnsi" w:cstheme="minorBidi"/>
          <w:noProof/>
          <w:lang w:val="en-IE" w:eastAsia="en-IE"/>
        </w:rPr>
      </w:pPr>
      <w:hyperlink w:anchor="_Toc234496384">
        <w:r>
          <w:rPr>
            <w:rStyle w:val="Hyperlink"/>
            <w:rFonts w:eastAsia="Times New Roman"/>
            <w:noProof/>
          </w:rPr>
          <w:t>Table 4:</w:t>
        </w:r>
        <w:r>
          <w:rPr>
            <w:noProof/>
          </w:rPr>
          <w:tab/>
        </w:r>
        <w:r>
          <w:rPr>
            <w:rStyle w:val="Hyperlink"/>
            <w:noProof/>
          </w:rPr>
          <w:t>PO environmental impact summary</w:t>
        </w:r>
        <w:r>
          <w:rPr>
            <w:noProof/>
          </w:rPr>
          <w:tab/>
        </w:r>
        <w:r>
          <w:rPr>
            <w:noProof/>
          </w:rPr>
          <w:fldChar w:fldCharType="begin"/>
        </w:r>
        <w:r>
          <w:rPr>
            <w:noProof/>
          </w:rPr>
          <w:instrText xml:space="preserve"> PAGEREF _Toc234496384 \h </w:instrText>
        </w:r>
        <w:r>
          <w:rPr>
            <w:noProof/>
          </w:rPr>
        </w:r>
        <w:r>
          <w:rPr>
            <w:noProof/>
          </w:rPr>
          <w:fldChar w:fldCharType="separate"/>
        </w:r>
        <w:r>
          <w:rPr>
            <w:noProof/>
          </w:rPr>
          <w:t>29</w:t>
        </w:r>
        <w:r>
          <w:rPr>
            <w:noProof/>
          </w:rPr>
          <w:fldChar w:fldCharType="end"/>
        </w:r>
      </w:hyperlink>
    </w:p>
    <w:p w14:paraId="0C3082ED" w14:textId="0EEDEEB8" w:rsidR="00FA0B00" w:rsidRPr="00244D65" w:rsidRDefault="00FA0B00" w:rsidP="2A00DF22">
      <w:pPr>
        <w:pStyle w:val="TableofFigures"/>
        <w:tabs>
          <w:tab w:val="left" w:pos="1200"/>
          <w:tab w:val="right" w:leader="dot" w:pos="8751"/>
        </w:tabs>
        <w:rPr>
          <w:rFonts w:asciiTheme="minorHAnsi" w:eastAsiaTheme="minorEastAsia" w:hAnsiTheme="minorHAnsi" w:cstheme="minorBidi"/>
          <w:noProof/>
          <w:lang w:val="en-IE" w:eastAsia="en-IE"/>
        </w:rPr>
      </w:pPr>
      <w:hyperlink w:anchor="_Toc234496385">
        <w:r>
          <w:rPr>
            <w:rStyle w:val="Hyperlink"/>
            <w:noProof/>
          </w:rPr>
          <w:t>Table 5:</w:t>
        </w:r>
        <w:r>
          <w:rPr>
            <w:noProof/>
          </w:rPr>
          <w:tab/>
        </w:r>
        <w:r>
          <w:rPr>
            <w:rStyle w:val="Hyperlink"/>
            <w:noProof/>
          </w:rPr>
          <w:t>Policy options and global international aviation emissions (inside Europe: domestic and international; outside Europe: international only)</w:t>
        </w:r>
        <w:r>
          <w:rPr>
            <w:noProof/>
          </w:rPr>
          <w:tab/>
        </w:r>
        <w:r>
          <w:rPr>
            <w:noProof/>
          </w:rPr>
          <w:fldChar w:fldCharType="begin"/>
        </w:r>
        <w:r>
          <w:rPr>
            <w:noProof/>
          </w:rPr>
          <w:instrText xml:space="preserve"> PAGEREF _Toc234496385 \h </w:instrText>
        </w:r>
        <w:r>
          <w:rPr>
            <w:noProof/>
          </w:rPr>
        </w:r>
        <w:r>
          <w:rPr>
            <w:noProof/>
          </w:rPr>
          <w:fldChar w:fldCharType="separate"/>
        </w:r>
        <w:r>
          <w:rPr>
            <w:noProof/>
          </w:rPr>
          <w:t>33</w:t>
        </w:r>
        <w:r>
          <w:rPr>
            <w:noProof/>
          </w:rPr>
          <w:fldChar w:fldCharType="end"/>
        </w:r>
      </w:hyperlink>
    </w:p>
    <w:p w14:paraId="787ACB43" w14:textId="0242FC73" w:rsidR="00FA0B00" w:rsidRPr="00244D65" w:rsidRDefault="00FA0B00" w:rsidP="2A00DF22">
      <w:pPr>
        <w:pStyle w:val="TableofFigures"/>
        <w:tabs>
          <w:tab w:val="left" w:pos="1200"/>
          <w:tab w:val="right" w:leader="dot" w:pos="8751"/>
        </w:tabs>
        <w:rPr>
          <w:rFonts w:asciiTheme="minorHAnsi" w:eastAsiaTheme="minorEastAsia" w:hAnsiTheme="minorHAnsi" w:cstheme="minorBidi"/>
          <w:noProof/>
          <w:lang w:val="en-IE" w:eastAsia="en-IE"/>
        </w:rPr>
      </w:pPr>
      <w:hyperlink w:anchor="_Toc234496386">
        <w:r>
          <w:rPr>
            <w:rStyle w:val="Hyperlink"/>
            <w:noProof/>
          </w:rPr>
          <w:t>Table 6:</w:t>
        </w:r>
        <w:r>
          <w:rPr>
            <w:noProof/>
          </w:rPr>
          <w:tab/>
        </w:r>
        <w:r>
          <w:rPr>
            <w:rStyle w:val="Hyperlink"/>
            <w:noProof/>
          </w:rPr>
          <w:t>Global international aviation CO</w:t>
        </w:r>
        <w:r>
          <w:rPr>
            <w:rStyle w:val="Hyperlink"/>
            <w:noProof/>
            <w:vertAlign w:val="subscript"/>
          </w:rPr>
          <w:t>2</w:t>
        </w:r>
        <w:r>
          <w:rPr>
            <w:rStyle w:val="Hyperlink"/>
            <w:noProof/>
          </w:rPr>
          <w:t xml:space="preserve"> emissions</w:t>
        </w:r>
        <w:r>
          <w:rPr>
            <w:noProof/>
          </w:rPr>
          <w:tab/>
        </w:r>
        <w:r>
          <w:rPr>
            <w:noProof/>
          </w:rPr>
          <w:fldChar w:fldCharType="begin"/>
        </w:r>
        <w:r>
          <w:rPr>
            <w:noProof/>
          </w:rPr>
          <w:instrText xml:space="preserve"> PAGEREF _Toc234496386 \h </w:instrText>
        </w:r>
        <w:r>
          <w:rPr>
            <w:noProof/>
          </w:rPr>
        </w:r>
        <w:r>
          <w:rPr>
            <w:noProof/>
          </w:rPr>
          <w:fldChar w:fldCharType="separate"/>
        </w:r>
        <w:r>
          <w:rPr>
            <w:noProof/>
          </w:rPr>
          <w:t>35</w:t>
        </w:r>
        <w:r>
          <w:rPr>
            <w:noProof/>
          </w:rPr>
          <w:fldChar w:fldCharType="end"/>
        </w:r>
      </w:hyperlink>
    </w:p>
    <w:p w14:paraId="361440A3" w14:textId="63D13532" w:rsidR="00FA0B00" w:rsidRPr="00244D65" w:rsidRDefault="00FA0B00" w:rsidP="2A00DF22">
      <w:pPr>
        <w:pStyle w:val="TableofFigures"/>
        <w:tabs>
          <w:tab w:val="left" w:pos="1200"/>
          <w:tab w:val="right" w:leader="dot" w:pos="8751"/>
        </w:tabs>
        <w:rPr>
          <w:rFonts w:asciiTheme="minorHAnsi" w:eastAsiaTheme="minorEastAsia" w:hAnsiTheme="minorHAnsi" w:cstheme="minorBidi"/>
          <w:noProof/>
          <w:lang w:val="en-IE" w:eastAsia="en-IE"/>
        </w:rPr>
      </w:pPr>
      <w:hyperlink w:anchor="_Toc234496387">
        <w:r>
          <w:rPr>
            <w:rStyle w:val="Hyperlink"/>
            <w:noProof/>
            <w:lang w:eastAsia="en-GB"/>
          </w:rPr>
          <w:t>Table 7:</w:t>
        </w:r>
        <w:r>
          <w:rPr>
            <w:noProof/>
          </w:rPr>
          <w:tab/>
        </w:r>
        <w:r>
          <w:rPr>
            <w:rStyle w:val="Hyperlink"/>
            <w:noProof/>
          </w:rPr>
          <w:t>Total estimated externality costs</w:t>
        </w:r>
        <w:r>
          <w:rPr>
            <w:noProof/>
          </w:rPr>
          <w:tab/>
        </w:r>
        <w:r>
          <w:rPr>
            <w:noProof/>
          </w:rPr>
          <w:fldChar w:fldCharType="begin"/>
        </w:r>
        <w:r>
          <w:rPr>
            <w:noProof/>
          </w:rPr>
          <w:instrText xml:space="preserve"> PAGEREF _Toc234496387 \h </w:instrText>
        </w:r>
        <w:r>
          <w:rPr>
            <w:noProof/>
          </w:rPr>
        </w:r>
        <w:r>
          <w:rPr>
            <w:noProof/>
          </w:rPr>
          <w:fldChar w:fldCharType="separate"/>
        </w:r>
        <w:r>
          <w:rPr>
            <w:noProof/>
          </w:rPr>
          <w:t>44</w:t>
        </w:r>
        <w:r>
          <w:rPr>
            <w:noProof/>
          </w:rPr>
          <w:fldChar w:fldCharType="end"/>
        </w:r>
      </w:hyperlink>
    </w:p>
    <w:p w14:paraId="3340CA31" w14:textId="5A44326D" w:rsidR="00FA0B00" w:rsidRPr="00244D65" w:rsidRDefault="00FA0B00" w:rsidP="2A00DF22">
      <w:pPr>
        <w:pStyle w:val="TableofFigures"/>
        <w:tabs>
          <w:tab w:val="left" w:pos="1200"/>
          <w:tab w:val="right" w:leader="dot" w:pos="8751"/>
        </w:tabs>
        <w:rPr>
          <w:rFonts w:asciiTheme="minorHAnsi" w:eastAsiaTheme="minorEastAsia" w:hAnsiTheme="minorHAnsi" w:cstheme="minorBidi"/>
          <w:noProof/>
          <w:lang w:val="en-IE" w:eastAsia="en-IE"/>
        </w:rPr>
      </w:pPr>
      <w:hyperlink w:anchor="_Toc234496388">
        <w:r>
          <w:rPr>
            <w:rStyle w:val="Hyperlink"/>
            <w:noProof/>
          </w:rPr>
          <w:t>Table 8:</w:t>
        </w:r>
        <w:r>
          <w:rPr>
            <w:noProof/>
          </w:rPr>
          <w:tab/>
        </w:r>
        <w:r>
          <w:rPr>
            <w:rStyle w:val="Hyperlink"/>
            <w:noProof/>
          </w:rPr>
          <w:t xml:space="preserve">Annual investment expenditure, energy related excluding transport in </w:t>
        </w:r>
        <w:r>
          <w:rPr>
            <w:rStyle w:val="Hyperlink"/>
            <w:noProof/>
            <w:lang w:eastAsia="en-GB"/>
          </w:rPr>
          <w:t>CAP 3 “9085” scenario</w:t>
        </w:r>
        <w:r>
          <w:rPr>
            <w:noProof/>
          </w:rPr>
          <w:tab/>
        </w:r>
        <w:r>
          <w:rPr>
            <w:noProof/>
          </w:rPr>
          <w:fldChar w:fldCharType="begin"/>
        </w:r>
        <w:r>
          <w:rPr>
            <w:noProof/>
          </w:rPr>
          <w:instrText xml:space="preserve"> PAGEREF _Toc234496388 \h </w:instrText>
        </w:r>
        <w:r>
          <w:rPr>
            <w:noProof/>
          </w:rPr>
        </w:r>
        <w:r>
          <w:rPr>
            <w:noProof/>
          </w:rPr>
          <w:fldChar w:fldCharType="separate"/>
        </w:r>
        <w:r>
          <w:rPr>
            <w:noProof/>
          </w:rPr>
          <w:t>59</w:t>
        </w:r>
        <w:r>
          <w:rPr>
            <w:noProof/>
          </w:rPr>
          <w:fldChar w:fldCharType="end"/>
        </w:r>
      </w:hyperlink>
    </w:p>
    <w:p w14:paraId="24BD1475" w14:textId="22878E41" w:rsidR="00FA0B00" w:rsidRPr="00244D65" w:rsidRDefault="00FA0B00" w:rsidP="2A00DF22">
      <w:pPr>
        <w:pStyle w:val="TableofFigures"/>
        <w:tabs>
          <w:tab w:val="left" w:pos="1200"/>
          <w:tab w:val="right" w:leader="dot" w:pos="8751"/>
        </w:tabs>
        <w:rPr>
          <w:rFonts w:asciiTheme="minorHAnsi" w:eastAsiaTheme="minorEastAsia" w:hAnsiTheme="minorHAnsi" w:cstheme="minorBidi"/>
          <w:noProof/>
          <w:lang w:val="en-IE" w:eastAsia="en-IE"/>
        </w:rPr>
      </w:pPr>
      <w:hyperlink w:anchor="_Toc234496389">
        <w:r>
          <w:rPr>
            <w:rStyle w:val="Hyperlink"/>
            <w:noProof/>
          </w:rPr>
          <w:t>Table 9:</w:t>
        </w:r>
        <w:r>
          <w:rPr>
            <w:noProof/>
          </w:rPr>
          <w:tab/>
        </w:r>
        <w:r>
          <w:rPr>
            <w:rStyle w:val="Hyperlink"/>
            <w:noProof/>
          </w:rPr>
          <w:t>Investment needs in ETS sectors, deviation of the CAP4 “accelerated 9085” scenario and CAP2 “85%” scenario relative to CAP 3 “9085” scenario</w:t>
        </w:r>
        <w:r>
          <w:rPr>
            <w:noProof/>
          </w:rPr>
          <w:tab/>
        </w:r>
        <w:r>
          <w:rPr>
            <w:noProof/>
          </w:rPr>
          <w:fldChar w:fldCharType="begin"/>
        </w:r>
        <w:r>
          <w:rPr>
            <w:noProof/>
          </w:rPr>
          <w:instrText xml:space="preserve"> PAGEREF _Toc234496389 \h </w:instrText>
        </w:r>
        <w:r>
          <w:rPr>
            <w:noProof/>
          </w:rPr>
        </w:r>
        <w:r>
          <w:rPr>
            <w:noProof/>
          </w:rPr>
          <w:fldChar w:fldCharType="separate"/>
        </w:r>
        <w:r>
          <w:rPr>
            <w:noProof/>
          </w:rPr>
          <w:t>60</w:t>
        </w:r>
        <w:r>
          <w:rPr>
            <w:noProof/>
          </w:rPr>
          <w:fldChar w:fldCharType="end"/>
        </w:r>
      </w:hyperlink>
    </w:p>
    <w:p w14:paraId="2050AF2D" w14:textId="13ECEC4A" w:rsidR="00FA0B00" w:rsidRPr="00244D65" w:rsidRDefault="00FA0B00" w:rsidP="2A00DF22">
      <w:pPr>
        <w:pStyle w:val="TableofFigures"/>
        <w:tabs>
          <w:tab w:val="left" w:pos="1200"/>
          <w:tab w:val="right" w:leader="dot" w:pos="8751"/>
        </w:tabs>
        <w:rPr>
          <w:rFonts w:asciiTheme="minorHAnsi" w:eastAsiaTheme="minorEastAsia" w:hAnsiTheme="minorHAnsi" w:cstheme="minorBidi"/>
          <w:noProof/>
          <w:lang w:val="en-IE" w:eastAsia="en-IE"/>
        </w:rPr>
      </w:pPr>
      <w:hyperlink w:anchor="_Toc234496390">
        <w:r>
          <w:rPr>
            <w:rStyle w:val="Hyperlink"/>
            <w:noProof/>
          </w:rPr>
          <w:t>Table 10:</w:t>
        </w:r>
        <w:r>
          <w:rPr>
            <w:noProof/>
          </w:rPr>
          <w:tab/>
        </w:r>
        <w:r>
          <w:rPr>
            <w:rStyle w:val="Hyperlink"/>
            <w:noProof/>
          </w:rPr>
          <w:t xml:space="preserve">Energy system costs as % of GDP in the </w:t>
        </w:r>
        <w:r>
          <w:rPr>
            <w:rStyle w:val="Hyperlink"/>
            <w:noProof/>
            <w:lang w:eastAsia="en-GB"/>
          </w:rPr>
          <w:t>CAP 3 “9085” scenario</w:t>
        </w:r>
        <w:r>
          <w:rPr>
            <w:noProof/>
          </w:rPr>
          <w:tab/>
        </w:r>
        <w:r>
          <w:rPr>
            <w:noProof/>
          </w:rPr>
          <w:fldChar w:fldCharType="begin"/>
        </w:r>
        <w:r>
          <w:rPr>
            <w:noProof/>
          </w:rPr>
          <w:instrText xml:space="preserve"> PAGEREF _Toc234496390 \h </w:instrText>
        </w:r>
        <w:r>
          <w:rPr>
            <w:noProof/>
          </w:rPr>
        </w:r>
        <w:r>
          <w:rPr>
            <w:noProof/>
          </w:rPr>
          <w:fldChar w:fldCharType="separate"/>
        </w:r>
        <w:r>
          <w:rPr>
            <w:noProof/>
          </w:rPr>
          <w:t>61</w:t>
        </w:r>
        <w:r>
          <w:rPr>
            <w:noProof/>
          </w:rPr>
          <w:fldChar w:fldCharType="end"/>
        </w:r>
      </w:hyperlink>
    </w:p>
    <w:p w14:paraId="3F9655EA" w14:textId="5B967D5E" w:rsidR="00FA0B00" w:rsidRPr="00244D65" w:rsidRDefault="00FA0B00" w:rsidP="2A00DF22">
      <w:pPr>
        <w:pStyle w:val="TableofFigures"/>
        <w:tabs>
          <w:tab w:val="left" w:pos="1440"/>
          <w:tab w:val="right" w:leader="dot" w:pos="8751"/>
        </w:tabs>
        <w:rPr>
          <w:rFonts w:asciiTheme="minorHAnsi" w:eastAsiaTheme="minorEastAsia" w:hAnsiTheme="minorHAnsi" w:cstheme="minorBidi"/>
          <w:noProof/>
          <w:lang w:val="en-IE" w:eastAsia="en-IE"/>
        </w:rPr>
      </w:pPr>
      <w:hyperlink w:anchor="_Toc234496391">
        <w:r>
          <w:rPr>
            <w:rStyle w:val="Hyperlink"/>
            <w:noProof/>
          </w:rPr>
          <w:t>Table 11:</w:t>
        </w:r>
        <w:r>
          <w:rPr>
            <w:noProof/>
          </w:rPr>
          <w:tab/>
        </w:r>
        <w:r>
          <w:rPr>
            <w:rStyle w:val="Hyperlink"/>
            <w:noProof/>
          </w:rPr>
          <w:t>Energy system costs in ETS sectors, deviation of the CAP2 ‘85’ and CAP4 “accelerated 9085” scenario relative to CAP 3 “9085” scenario</w:t>
        </w:r>
        <w:r>
          <w:rPr>
            <w:noProof/>
          </w:rPr>
          <w:tab/>
        </w:r>
        <w:r>
          <w:rPr>
            <w:noProof/>
          </w:rPr>
          <w:fldChar w:fldCharType="begin"/>
        </w:r>
        <w:r>
          <w:rPr>
            <w:noProof/>
          </w:rPr>
          <w:instrText xml:space="preserve"> PAGEREF _Toc234496391 \h </w:instrText>
        </w:r>
        <w:r>
          <w:rPr>
            <w:noProof/>
          </w:rPr>
        </w:r>
        <w:r>
          <w:rPr>
            <w:noProof/>
          </w:rPr>
          <w:fldChar w:fldCharType="separate"/>
        </w:r>
        <w:r>
          <w:rPr>
            <w:noProof/>
          </w:rPr>
          <w:t>61</w:t>
        </w:r>
        <w:r>
          <w:rPr>
            <w:noProof/>
          </w:rPr>
          <w:fldChar w:fldCharType="end"/>
        </w:r>
      </w:hyperlink>
    </w:p>
    <w:p w14:paraId="57934A13" w14:textId="417DB402" w:rsidR="00FA0B00" w:rsidRPr="00244D65" w:rsidRDefault="00FA0B00" w:rsidP="2A00DF22">
      <w:pPr>
        <w:pStyle w:val="TableofFigures"/>
        <w:tabs>
          <w:tab w:val="left" w:pos="1200"/>
          <w:tab w:val="right" w:leader="dot" w:pos="8751"/>
        </w:tabs>
        <w:rPr>
          <w:rFonts w:asciiTheme="minorHAnsi" w:eastAsiaTheme="minorEastAsia" w:hAnsiTheme="minorHAnsi" w:cstheme="minorBidi"/>
          <w:noProof/>
          <w:lang w:val="en-IE" w:eastAsia="en-IE"/>
        </w:rPr>
      </w:pPr>
      <w:hyperlink w:anchor="_Toc234496392">
        <w:r>
          <w:rPr>
            <w:rStyle w:val="Hyperlink"/>
            <w:noProof/>
          </w:rPr>
          <w:t>Table 12:</w:t>
        </w:r>
        <w:r>
          <w:rPr>
            <w:noProof/>
          </w:rPr>
          <w:tab/>
        </w:r>
        <w:r>
          <w:rPr>
            <w:rStyle w:val="Hyperlink"/>
            <w:noProof/>
          </w:rPr>
          <w:t>Carbon costs as percentage of total operating costs</w:t>
        </w:r>
        <w:r>
          <w:rPr>
            <w:noProof/>
          </w:rPr>
          <w:tab/>
        </w:r>
        <w:r>
          <w:rPr>
            <w:noProof/>
          </w:rPr>
          <w:fldChar w:fldCharType="begin"/>
        </w:r>
        <w:r>
          <w:rPr>
            <w:noProof/>
          </w:rPr>
          <w:instrText xml:space="preserve"> PAGEREF _Toc234496392 \h </w:instrText>
        </w:r>
        <w:r>
          <w:rPr>
            <w:noProof/>
          </w:rPr>
        </w:r>
        <w:r>
          <w:rPr>
            <w:noProof/>
          </w:rPr>
          <w:fldChar w:fldCharType="separate"/>
        </w:r>
        <w:r>
          <w:rPr>
            <w:noProof/>
          </w:rPr>
          <w:t>64</w:t>
        </w:r>
        <w:r>
          <w:rPr>
            <w:noProof/>
          </w:rPr>
          <w:fldChar w:fldCharType="end"/>
        </w:r>
      </w:hyperlink>
    </w:p>
    <w:p w14:paraId="745EE073" w14:textId="14B265C8" w:rsidR="00FA0B00" w:rsidRPr="00244D65" w:rsidRDefault="00FA0B00" w:rsidP="2A00DF22">
      <w:pPr>
        <w:pStyle w:val="TableofFigures"/>
        <w:tabs>
          <w:tab w:val="left" w:pos="1200"/>
          <w:tab w:val="right" w:leader="dot" w:pos="8751"/>
        </w:tabs>
        <w:rPr>
          <w:rFonts w:asciiTheme="minorHAnsi" w:eastAsiaTheme="minorEastAsia" w:hAnsiTheme="minorHAnsi" w:cstheme="minorBidi"/>
          <w:noProof/>
          <w:lang w:val="en-IE" w:eastAsia="en-IE"/>
        </w:rPr>
      </w:pPr>
      <w:hyperlink w:anchor="_Toc234496393">
        <w:r>
          <w:rPr>
            <w:rStyle w:val="Hyperlink"/>
            <w:noProof/>
          </w:rPr>
          <w:t>Table 13:</w:t>
        </w:r>
        <w:r>
          <w:rPr>
            <w:noProof/>
          </w:rPr>
          <w:tab/>
        </w:r>
        <w:r>
          <w:rPr>
            <w:rStyle w:val="Hyperlink"/>
            <w:noProof/>
          </w:rPr>
          <w:t>Case study averages for risk of passenger shift and emissions change compared to the original EEA-route</w:t>
        </w:r>
        <w:r>
          <w:rPr>
            <w:noProof/>
          </w:rPr>
          <w:tab/>
        </w:r>
        <w:r>
          <w:rPr>
            <w:noProof/>
          </w:rPr>
          <w:fldChar w:fldCharType="begin"/>
        </w:r>
        <w:r>
          <w:rPr>
            <w:noProof/>
          </w:rPr>
          <w:instrText xml:space="preserve"> PAGEREF _Toc234496393 \h </w:instrText>
        </w:r>
        <w:r>
          <w:rPr>
            <w:noProof/>
          </w:rPr>
        </w:r>
        <w:r>
          <w:rPr>
            <w:noProof/>
          </w:rPr>
          <w:fldChar w:fldCharType="separate"/>
        </w:r>
        <w:r>
          <w:rPr>
            <w:noProof/>
          </w:rPr>
          <w:t>66</w:t>
        </w:r>
        <w:r>
          <w:rPr>
            <w:noProof/>
          </w:rPr>
          <w:fldChar w:fldCharType="end"/>
        </w:r>
      </w:hyperlink>
    </w:p>
    <w:p w14:paraId="4AFF2414" w14:textId="7CB7255F" w:rsidR="00FA0B00" w:rsidRPr="00244D65" w:rsidRDefault="00FA0B00" w:rsidP="2A00DF22">
      <w:pPr>
        <w:pStyle w:val="TableofFigures"/>
        <w:tabs>
          <w:tab w:val="left" w:pos="1200"/>
          <w:tab w:val="right" w:leader="dot" w:pos="8751"/>
        </w:tabs>
        <w:rPr>
          <w:rFonts w:asciiTheme="minorHAnsi" w:eastAsiaTheme="minorEastAsia" w:hAnsiTheme="minorHAnsi" w:cstheme="minorBidi"/>
          <w:noProof/>
          <w:lang w:val="en-IE" w:eastAsia="en-IE"/>
        </w:rPr>
      </w:pPr>
      <w:hyperlink w:anchor="_Toc234496394">
        <w:r>
          <w:rPr>
            <w:rStyle w:val="Hyperlink"/>
            <w:noProof/>
          </w:rPr>
          <w:t>Table 14:</w:t>
        </w:r>
        <w:r>
          <w:rPr>
            <w:noProof/>
          </w:rPr>
          <w:tab/>
        </w:r>
        <w:r>
          <w:rPr>
            <w:rStyle w:val="Hyperlink"/>
            <w:noProof/>
          </w:rPr>
          <w:t>Overview on the effectiveness of the measures</w:t>
        </w:r>
        <w:r>
          <w:rPr>
            <w:noProof/>
          </w:rPr>
          <w:tab/>
        </w:r>
        <w:r>
          <w:rPr>
            <w:noProof/>
          </w:rPr>
          <w:fldChar w:fldCharType="begin"/>
        </w:r>
        <w:r>
          <w:rPr>
            <w:noProof/>
          </w:rPr>
          <w:instrText xml:space="preserve"> PAGEREF _Toc234496394 \h </w:instrText>
        </w:r>
        <w:r>
          <w:rPr>
            <w:noProof/>
          </w:rPr>
        </w:r>
        <w:r>
          <w:rPr>
            <w:noProof/>
          </w:rPr>
          <w:fldChar w:fldCharType="separate"/>
        </w:r>
        <w:r>
          <w:rPr>
            <w:noProof/>
          </w:rPr>
          <w:t>86</w:t>
        </w:r>
        <w:r>
          <w:rPr>
            <w:noProof/>
          </w:rPr>
          <w:fldChar w:fldCharType="end"/>
        </w:r>
      </w:hyperlink>
    </w:p>
    <w:p w14:paraId="2A88C6DC" w14:textId="61DC508D" w:rsidR="00FA0B00" w:rsidRPr="00244D65" w:rsidRDefault="00FA0B00" w:rsidP="2A00DF22">
      <w:pPr>
        <w:pStyle w:val="TableofFigures"/>
        <w:tabs>
          <w:tab w:val="left" w:pos="1200"/>
          <w:tab w:val="right" w:leader="dot" w:pos="8751"/>
        </w:tabs>
        <w:rPr>
          <w:rFonts w:asciiTheme="minorHAnsi" w:eastAsiaTheme="minorEastAsia" w:hAnsiTheme="minorHAnsi" w:cstheme="minorBidi"/>
          <w:noProof/>
          <w:lang w:val="en-IE" w:eastAsia="en-IE"/>
        </w:rPr>
      </w:pPr>
      <w:hyperlink w:anchor="_Toc234496395">
        <w:r>
          <w:rPr>
            <w:rStyle w:val="Hyperlink"/>
            <w:noProof/>
          </w:rPr>
          <w:t>Table 15:</w:t>
        </w:r>
        <w:r>
          <w:rPr>
            <w:noProof/>
          </w:rPr>
          <w:tab/>
        </w:r>
        <w:r>
          <w:rPr>
            <w:rStyle w:val="Hyperlink"/>
            <w:noProof/>
          </w:rPr>
          <w:t>Summary of costs and benefits per policy option compared to the 85% PRIMES scenario based on GEM-E3</w:t>
        </w:r>
        <w:r>
          <w:rPr>
            <w:noProof/>
          </w:rPr>
          <w:tab/>
        </w:r>
        <w:r>
          <w:rPr>
            <w:noProof/>
          </w:rPr>
          <w:fldChar w:fldCharType="begin"/>
        </w:r>
        <w:r>
          <w:rPr>
            <w:noProof/>
          </w:rPr>
          <w:instrText xml:space="preserve"> PAGEREF _Toc234496395 \h </w:instrText>
        </w:r>
        <w:r>
          <w:rPr>
            <w:noProof/>
          </w:rPr>
        </w:r>
        <w:r>
          <w:rPr>
            <w:noProof/>
          </w:rPr>
          <w:fldChar w:fldCharType="separate"/>
        </w:r>
        <w:r>
          <w:rPr>
            <w:noProof/>
          </w:rPr>
          <w:t>93</w:t>
        </w:r>
        <w:r>
          <w:rPr>
            <w:noProof/>
          </w:rPr>
          <w:fldChar w:fldCharType="end"/>
        </w:r>
      </w:hyperlink>
    </w:p>
    <w:p w14:paraId="1EC68D53" w14:textId="73E8CFCE" w:rsidR="00FA0B00" w:rsidRPr="00244D65" w:rsidRDefault="00FA0B00" w:rsidP="2A00DF22">
      <w:pPr>
        <w:pStyle w:val="TableofFigures"/>
        <w:tabs>
          <w:tab w:val="left" w:pos="1200"/>
          <w:tab w:val="right" w:leader="dot" w:pos="8751"/>
        </w:tabs>
        <w:rPr>
          <w:rFonts w:asciiTheme="minorHAnsi" w:eastAsiaTheme="minorEastAsia" w:hAnsiTheme="minorHAnsi" w:cstheme="minorBidi"/>
          <w:noProof/>
          <w:lang w:val="en-IE" w:eastAsia="en-IE"/>
        </w:rPr>
      </w:pPr>
      <w:hyperlink w:anchor="_Toc234496396">
        <w:r>
          <w:rPr>
            <w:rStyle w:val="Hyperlink"/>
            <w:noProof/>
          </w:rPr>
          <w:t>Table 16:</w:t>
        </w:r>
        <w:r>
          <w:rPr>
            <w:noProof/>
          </w:rPr>
          <w:tab/>
        </w:r>
        <w:r>
          <w:rPr>
            <w:rStyle w:val="Hyperlink"/>
            <w:noProof/>
          </w:rPr>
          <w:t>Summary of costs and benefits per policy option compared to the baseline based on further quantitative estimates</w:t>
        </w:r>
        <w:r>
          <w:rPr>
            <w:noProof/>
          </w:rPr>
          <w:tab/>
        </w:r>
        <w:r>
          <w:rPr>
            <w:noProof/>
          </w:rPr>
          <w:fldChar w:fldCharType="begin"/>
        </w:r>
        <w:r>
          <w:rPr>
            <w:noProof/>
          </w:rPr>
          <w:instrText xml:space="preserve"> PAGEREF _Toc234496396 \h </w:instrText>
        </w:r>
        <w:r>
          <w:rPr>
            <w:noProof/>
          </w:rPr>
        </w:r>
        <w:r>
          <w:rPr>
            <w:noProof/>
          </w:rPr>
          <w:fldChar w:fldCharType="separate"/>
        </w:r>
        <w:r>
          <w:rPr>
            <w:noProof/>
          </w:rPr>
          <w:t>93</w:t>
        </w:r>
        <w:r>
          <w:rPr>
            <w:noProof/>
          </w:rPr>
          <w:fldChar w:fldCharType="end"/>
        </w:r>
      </w:hyperlink>
    </w:p>
    <w:p w14:paraId="32C11755" w14:textId="030D4FA7" w:rsidR="00FA0B00" w:rsidRPr="00244D65" w:rsidRDefault="00FA0B00" w:rsidP="2A00DF22">
      <w:pPr>
        <w:pStyle w:val="TableofFigures"/>
        <w:tabs>
          <w:tab w:val="left" w:pos="1200"/>
          <w:tab w:val="right" w:leader="dot" w:pos="8751"/>
        </w:tabs>
        <w:rPr>
          <w:rFonts w:asciiTheme="minorHAnsi" w:eastAsiaTheme="minorEastAsia" w:hAnsiTheme="minorHAnsi" w:cstheme="minorBidi"/>
          <w:noProof/>
          <w:lang w:val="en-IE" w:eastAsia="en-IE"/>
        </w:rPr>
      </w:pPr>
      <w:hyperlink w:anchor="_Toc234496397">
        <w:r>
          <w:rPr>
            <w:rStyle w:val="Hyperlink"/>
            <w:noProof/>
            <w:lang w:eastAsia="en-IE"/>
          </w:rPr>
          <w:t>Table 17:</w:t>
        </w:r>
        <w:r>
          <w:rPr>
            <w:noProof/>
          </w:rPr>
          <w:tab/>
        </w:r>
        <w:r>
          <w:rPr>
            <w:rStyle w:val="Hyperlink"/>
            <w:noProof/>
          </w:rPr>
          <w:t>Social</w:t>
        </w:r>
        <w:r>
          <w:rPr>
            <w:rStyle w:val="Hyperlink"/>
            <w:noProof/>
            <w:lang w:eastAsia="en-IE"/>
          </w:rPr>
          <w:t xml:space="preserve"> Net Present Value (NPV) of policy options PO2 and PO3 compared to PO1 (million EUR)</w:t>
        </w:r>
        <w:r>
          <w:rPr>
            <w:noProof/>
          </w:rPr>
          <w:tab/>
        </w:r>
        <w:r>
          <w:rPr>
            <w:noProof/>
          </w:rPr>
          <w:fldChar w:fldCharType="begin"/>
        </w:r>
        <w:r>
          <w:rPr>
            <w:noProof/>
          </w:rPr>
          <w:instrText xml:space="preserve"> PAGEREF _Toc234496397 \h </w:instrText>
        </w:r>
        <w:r>
          <w:rPr>
            <w:noProof/>
          </w:rPr>
        </w:r>
        <w:r>
          <w:rPr>
            <w:noProof/>
          </w:rPr>
          <w:fldChar w:fldCharType="separate"/>
        </w:r>
        <w:r>
          <w:rPr>
            <w:noProof/>
          </w:rPr>
          <w:t>94</w:t>
        </w:r>
        <w:r>
          <w:rPr>
            <w:noProof/>
          </w:rPr>
          <w:fldChar w:fldCharType="end"/>
        </w:r>
      </w:hyperlink>
    </w:p>
    <w:p w14:paraId="61DD6ACA" w14:textId="334A3CD4" w:rsidR="00FA0B00" w:rsidRPr="00244D65" w:rsidRDefault="00FA0B00" w:rsidP="2A00DF22">
      <w:pPr>
        <w:pStyle w:val="TableofFigures"/>
        <w:tabs>
          <w:tab w:val="left" w:pos="1200"/>
          <w:tab w:val="right" w:leader="dot" w:pos="8751"/>
        </w:tabs>
        <w:rPr>
          <w:rFonts w:asciiTheme="minorHAnsi" w:eastAsiaTheme="minorEastAsia" w:hAnsiTheme="minorHAnsi" w:cstheme="minorBidi"/>
          <w:noProof/>
          <w:lang w:val="en-IE" w:eastAsia="en-IE"/>
        </w:rPr>
      </w:pPr>
      <w:hyperlink w:anchor="_Toc234496398">
        <w:r>
          <w:rPr>
            <w:rStyle w:val="Hyperlink"/>
            <w:noProof/>
          </w:rPr>
          <w:t>Table 18:</w:t>
        </w:r>
        <w:r>
          <w:rPr>
            <w:noProof/>
          </w:rPr>
          <w:tab/>
        </w:r>
        <w:r>
          <w:rPr>
            <w:rStyle w:val="Hyperlink"/>
            <w:noProof/>
          </w:rPr>
          <w:t>Summary of the comparison of the policy options against the baseline scenario</w:t>
        </w:r>
        <w:r>
          <w:rPr>
            <w:noProof/>
          </w:rPr>
          <w:tab/>
        </w:r>
        <w:r>
          <w:rPr>
            <w:noProof/>
          </w:rPr>
          <w:fldChar w:fldCharType="begin"/>
        </w:r>
        <w:r>
          <w:rPr>
            <w:noProof/>
          </w:rPr>
          <w:instrText xml:space="preserve"> PAGEREF _Toc234496398 \h </w:instrText>
        </w:r>
        <w:r>
          <w:rPr>
            <w:noProof/>
          </w:rPr>
        </w:r>
        <w:r>
          <w:rPr>
            <w:noProof/>
          </w:rPr>
          <w:fldChar w:fldCharType="separate"/>
        </w:r>
        <w:r>
          <w:rPr>
            <w:noProof/>
          </w:rPr>
          <w:t>97</w:t>
        </w:r>
        <w:r>
          <w:rPr>
            <w:noProof/>
          </w:rPr>
          <w:fldChar w:fldCharType="end"/>
        </w:r>
      </w:hyperlink>
    </w:p>
    <w:p w14:paraId="33E42E7E" w14:textId="091E4FCC" w:rsidR="009B0AD6" w:rsidRPr="00244D65" w:rsidRDefault="00C72F80" w:rsidP="0085595C">
      <w:pPr>
        <w:rPr>
          <w:noProof/>
          <w:lang w:eastAsia="en-IE"/>
        </w:rPr>
      </w:pPr>
      <w:r>
        <w:rPr>
          <w:noProof/>
          <w:lang w:eastAsia="en-IE"/>
        </w:rPr>
        <w:fldChar w:fldCharType="end"/>
      </w:r>
    </w:p>
    <w:p w14:paraId="759E5E41" w14:textId="4F9E619E" w:rsidR="009B0AD6" w:rsidRPr="00244D65" w:rsidRDefault="009B0AD6" w:rsidP="0085595C">
      <w:pPr>
        <w:rPr>
          <w:noProof/>
        </w:rPr>
      </w:pPr>
      <w:r w:rsidRPr="00244D65">
        <w:rPr>
          <w:noProof/>
        </w:rPr>
        <w:br w:type="page"/>
      </w:r>
    </w:p>
    <w:p w14:paraId="081E7356" w14:textId="77777777" w:rsidR="006C08BD" w:rsidRPr="00244D65" w:rsidRDefault="006C08BD" w:rsidP="006C08BD">
      <w:pPr>
        <w:pStyle w:val="Heading1"/>
        <w:numPr>
          <w:ilvl w:val="0"/>
          <w:numId w:val="0"/>
        </w:numPr>
        <w:spacing w:before="120" w:after="120"/>
        <w:ind w:left="480" w:hanging="480"/>
        <w:rPr>
          <w:noProof/>
          <w:lang w:eastAsia="en-IE"/>
        </w:rPr>
      </w:pPr>
      <w:bookmarkStart w:id="366" w:name="_Toc234949766"/>
      <w:bookmarkStart w:id="367" w:name="_Toc232752522"/>
      <w:r w:rsidRPr="00244D65">
        <w:rPr>
          <w:noProof/>
          <w:lang w:eastAsia="en-IE"/>
        </w:rPr>
        <w:t>List of Figures</w:t>
      </w:r>
      <w:bookmarkEnd w:id="366"/>
      <w:bookmarkEnd w:id="367"/>
    </w:p>
    <w:p w14:paraId="41408296" w14:textId="77777777" w:rsidR="00BA4E81" w:rsidRDefault="00BA4E81" w:rsidP="0085595C">
      <w:pPr>
        <w:pStyle w:val="TableofFigures"/>
        <w:tabs>
          <w:tab w:val="left" w:pos="1200"/>
          <w:tab w:val="right" w:leader="dot" w:pos="8751"/>
        </w:tabs>
        <w:rPr>
          <w:noProof/>
          <w:lang w:eastAsia="en-IE"/>
        </w:rPr>
      </w:pPr>
    </w:p>
    <w:p w14:paraId="4D6AF49C" w14:textId="2BD3126F" w:rsidR="00216461" w:rsidRPr="00244D65" w:rsidRDefault="00216461" w:rsidP="2A00DF22">
      <w:pPr>
        <w:pStyle w:val="TableofFigures"/>
        <w:tabs>
          <w:tab w:val="left" w:pos="1200"/>
          <w:tab w:val="right" w:leader="dot" w:pos="8751"/>
        </w:tabs>
        <w:rPr>
          <w:rFonts w:asciiTheme="minorHAnsi" w:eastAsiaTheme="minorEastAsia" w:hAnsiTheme="minorHAnsi" w:cstheme="minorBidi"/>
          <w:noProof/>
          <w:lang w:val="en-IE" w:eastAsia="en-IE"/>
        </w:rPr>
      </w:pPr>
      <w:r>
        <w:rPr>
          <w:noProof/>
          <w:lang w:eastAsia="en-IE"/>
        </w:rPr>
        <w:fldChar w:fldCharType="begin"/>
      </w:r>
      <w:r>
        <w:rPr>
          <w:noProof/>
          <w:lang w:eastAsia="en-IE"/>
        </w:rPr>
        <w:instrText xml:space="preserve"> TOC \h \z \t "Figure title" \c </w:instrText>
      </w:r>
      <w:r>
        <w:rPr>
          <w:noProof/>
          <w:lang w:eastAsia="en-IE"/>
        </w:rPr>
        <w:fldChar w:fldCharType="separate"/>
      </w:r>
      <w:hyperlink w:anchor="_Toc234496399">
        <w:r>
          <w:rPr>
            <w:rStyle w:val="Hyperlink"/>
            <w:noProof/>
          </w:rPr>
          <w:t>Figure 1:</w:t>
        </w:r>
        <w:r>
          <w:rPr>
            <w:noProof/>
          </w:rPr>
          <w:tab/>
        </w:r>
        <w:r>
          <w:rPr>
            <w:rStyle w:val="Hyperlink"/>
            <w:noProof/>
          </w:rPr>
          <w:t>How the EU ETS works</w:t>
        </w:r>
        <w:r>
          <w:rPr>
            <w:noProof/>
          </w:rPr>
          <w:tab/>
        </w:r>
        <w:r>
          <w:rPr>
            <w:noProof/>
          </w:rPr>
          <w:fldChar w:fldCharType="begin"/>
        </w:r>
        <w:r>
          <w:rPr>
            <w:noProof/>
          </w:rPr>
          <w:instrText xml:space="preserve"> PAGEREF _Toc234496399 \h </w:instrText>
        </w:r>
        <w:r>
          <w:rPr>
            <w:noProof/>
          </w:rPr>
        </w:r>
        <w:r>
          <w:rPr>
            <w:noProof/>
          </w:rPr>
          <w:fldChar w:fldCharType="separate"/>
        </w:r>
        <w:r>
          <w:rPr>
            <w:noProof/>
          </w:rPr>
          <w:t>1</w:t>
        </w:r>
        <w:r>
          <w:rPr>
            <w:noProof/>
          </w:rPr>
          <w:fldChar w:fldCharType="end"/>
        </w:r>
      </w:hyperlink>
    </w:p>
    <w:p w14:paraId="69651DB1" w14:textId="1DF502D0" w:rsidR="00B1008A" w:rsidRPr="00244D65" w:rsidRDefault="00B1008A" w:rsidP="2A00DF22">
      <w:pPr>
        <w:pStyle w:val="TableofFigures"/>
        <w:tabs>
          <w:tab w:val="left" w:pos="1200"/>
          <w:tab w:val="right" w:leader="dot" w:pos="8751"/>
        </w:tabs>
        <w:rPr>
          <w:rFonts w:asciiTheme="minorHAnsi" w:eastAsiaTheme="minorEastAsia" w:hAnsiTheme="minorHAnsi" w:cstheme="minorBidi"/>
          <w:noProof/>
          <w:lang w:val="en-IE" w:eastAsia="en-IE"/>
        </w:rPr>
      </w:pPr>
      <w:hyperlink w:anchor="_Toc234496400">
        <w:r>
          <w:rPr>
            <w:rStyle w:val="Hyperlink"/>
            <w:noProof/>
          </w:rPr>
          <w:t>Figure 2:</w:t>
        </w:r>
        <w:r>
          <w:rPr>
            <w:noProof/>
          </w:rPr>
          <w:tab/>
        </w:r>
        <w:r>
          <w:rPr>
            <w:rStyle w:val="Hyperlink"/>
            <w:noProof/>
          </w:rPr>
          <w:t>EU ETS in the context of the EU’s climate and energy policy framework</w:t>
        </w:r>
        <w:r>
          <w:rPr>
            <w:noProof/>
          </w:rPr>
          <w:tab/>
        </w:r>
        <w:r>
          <w:rPr>
            <w:noProof/>
          </w:rPr>
          <w:fldChar w:fldCharType="begin"/>
        </w:r>
        <w:r>
          <w:rPr>
            <w:noProof/>
          </w:rPr>
          <w:instrText xml:space="preserve"> PAGEREF _Toc234496400 \h </w:instrText>
        </w:r>
        <w:r>
          <w:rPr>
            <w:noProof/>
          </w:rPr>
        </w:r>
        <w:r>
          <w:rPr>
            <w:noProof/>
          </w:rPr>
          <w:fldChar w:fldCharType="separate"/>
        </w:r>
        <w:r>
          <w:rPr>
            <w:noProof/>
          </w:rPr>
          <w:t>2</w:t>
        </w:r>
        <w:r>
          <w:rPr>
            <w:noProof/>
          </w:rPr>
          <w:fldChar w:fldCharType="end"/>
        </w:r>
      </w:hyperlink>
    </w:p>
    <w:p w14:paraId="6685BD39" w14:textId="5351E1F0" w:rsidR="00B1008A" w:rsidRPr="00244D65" w:rsidRDefault="00B1008A" w:rsidP="2A00DF22">
      <w:pPr>
        <w:pStyle w:val="TableofFigures"/>
        <w:tabs>
          <w:tab w:val="left" w:pos="1200"/>
          <w:tab w:val="right" w:leader="dot" w:pos="8751"/>
        </w:tabs>
        <w:rPr>
          <w:rFonts w:asciiTheme="minorHAnsi" w:eastAsiaTheme="minorEastAsia" w:hAnsiTheme="minorHAnsi" w:cstheme="minorBidi"/>
          <w:noProof/>
          <w:lang w:val="en-IE" w:eastAsia="en-IE"/>
        </w:rPr>
      </w:pPr>
      <w:hyperlink w:anchor="_Toc234496401">
        <w:r>
          <w:rPr>
            <w:rStyle w:val="Hyperlink"/>
            <w:noProof/>
          </w:rPr>
          <w:t>Figure 3:</w:t>
        </w:r>
        <w:r>
          <w:rPr>
            <w:noProof/>
          </w:rPr>
          <w:tab/>
        </w:r>
        <w:r>
          <w:rPr>
            <w:rStyle w:val="Hyperlink"/>
            <w:noProof/>
          </w:rPr>
          <w:t>Problem tree</w:t>
        </w:r>
        <w:r>
          <w:rPr>
            <w:noProof/>
          </w:rPr>
          <w:tab/>
        </w:r>
        <w:r>
          <w:rPr>
            <w:noProof/>
          </w:rPr>
          <w:fldChar w:fldCharType="begin"/>
        </w:r>
        <w:r>
          <w:rPr>
            <w:noProof/>
          </w:rPr>
          <w:instrText xml:space="preserve"> PAGEREF _Toc234496401 \h </w:instrText>
        </w:r>
        <w:r>
          <w:rPr>
            <w:noProof/>
          </w:rPr>
        </w:r>
        <w:r>
          <w:rPr>
            <w:noProof/>
          </w:rPr>
          <w:fldChar w:fldCharType="separate"/>
        </w:r>
        <w:r>
          <w:rPr>
            <w:noProof/>
          </w:rPr>
          <w:t>10</w:t>
        </w:r>
        <w:r>
          <w:rPr>
            <w:noProof/>
          </w:rPr>
          <w:fldChar w:fldCharType="end"/>
        </w:r>
      </w:hyperlink>
    </w:p>
    <w:p w14:paraId="54A1F8C0" w14:textId="5BBB93C4" w:rsidR="00B1008A" w:rsidRPr="00244D65" w:rsidRDefault="00B1008A" w:rsidP="2A00DF22">
      <w:pPr>
        <w:pStyle w:val="TableofFigures"/>
        <w:tabs>
          <w:tab w:val="left" w:pos="1200"/>
          <w:tab w:val="right" w:leader="dot" w:pos="8751"/>
        </w:tabs>
        <w:rPr>
          <w:rFonts w:asciiTheme="minorHAnsi" w:eastAsiaTheme="minorEastAsia" w:hAnsiTheme="minorHAnsi" w:cstheme="minorBidi"/>
          <w:noProof/>
          <w:lang w:val="en-IE" w:eastAsia="en-IE"/>
        </w:rPr>
      </w:pPr>
      <w:hyperlink w:anchor="_Toc234496403">
        <w:r>
          <w:rPr>
            <w:rStyle w:val="Hyperlink"/>
            <w:rFonts w:eastAsia="Times New Roman"/>
            <w:noProof/>
          </w:rPr>
          <w:t>Figure 4:</w:t>
        </w:r>
        <w:r>
          <w:rPr>
            <w:noProof/>
          </w:rPr>
          <w:tab/>
        </w:r>
        <w:r>
          <w:rPr>
            <w:rStyle w:val="Hyperlink"/>
            <w:rFonts w:eastAsia="Times New Roman"/>
            <w:noProof/>
          </w:rPr>
          <w:t>Illustration of support logic for two consecutive funding rounds of the IDB</w:t>
        </w:r>
        <w:r>
          <w:rPr>
            <w:noProof/>
          </w:rPr>
          <w:tab/>
        </w:r>
        <w:r>
          <w:rPr>
            <w:noProof/>
          </w:rPr>
          <w:fldChar w:fldCharType="begin"/>
        </w:r>
        <w:r>
          <w:rPr>
            <w:noProof/>
          </w:rPr>
          <w:instrText xml:space="preserve"> PAGEREF _Toc234496403 \h </w:instrText>
        </w:r>
        <w:r>
          <w:rPr>
            <w:noProof/>
          </w:rPr>
        </w:r>
        <w:r>
          <w:rPr>
            <w:noProof/>
          </w:rPr>
          <w:fldChar w:fldCharType="separate"/>
        </w:r>
        <w:r>
          <w:rPr>
            <w:noProof/>
          </w:rPr>
          <w:t>30</w:t>
        </w:r>
        <w:r>
          <w:rPr>
            <w:noProof/>
          </w:rPr>
          <w:fldChar w:fldCharType="end"/>
        </w:r>
      </w:hyperlink>
    </w:p>
    <w:p w14:paraId="2166FE07" w14:textId="0F0C9ACA" w:rsidR="00B1008A" w:rsidRPr="00244D65" w:rsidRDefault="00B1008A" w:rsidP="2A00DF22">
      <w:pPr>
        <w:pStyle w:val="TableofFigures"/>
        <w:tabs>
          <w:tab w:val="left" w:pos="1200"/>
          <w:tab w:val="right" w:leader="dot" w:pos="8751"/>
        </w:tabs>
        <w:rPr>
          <w:rFonts w:asciiTheme="minorHAnsi" w:eastAsiaTheme="minorEastAsia" w:hAnsiTheme="minorHAnsi" w:cstheme="minorBidi"/>
          <w:noProof/>
          <w:lang w:val="en-IE" w:eastAsia="en-IE"/>
        </w:rPr>
      </w:pPr>
      <w:hyperlink w:anchor="_Toc234496404">
        <w:r>
          <w:rPr>
            <w:rStyle w:val="Hyperlink"/>
            <w:noProof/>
          </w:rPr>
          <w:t>Figure 5:</w:t>
        </w:r>
        <w:r>
          <w:rPr>
            <w:noProof/>
          </w:rPr>
          <w:tab/>
        </w:r>
        <w:r>
          <w:rPr>
            <w:rStyle w:val="Hyperlink"/>
            <w:rFonts w:eastAsia="Times New Roman"/>
            <w:noProof/>
          </w:rPr>
          <w:t>MSR Policy options results – indexed EUA price evolution</w:t>
        </w:r>
        <w:r>
          <w:rPr>
            <w:noProof/>
          </w:rPr>
          <w:tab/>
        </w:r>
        <w:r>
          <w:rPr>
            <w:noProof/>
          </w:rPr>
          <w:fldChar w:fldCharType="begin"/>
        </w:r>
        <w:r>
          <w:rPr>
            <w:noProof/>
          </w:rPr>
          <w:instrText xml:space="preserve"> PAGEREF _Toc234496404 \h </w:instrText>
        </w:r>
        <w:r>
          <w:rPr>
            <w:noProof/>
          </w:rPr>
        </w:r>
        <w:r>
          <w:rPr>
            <w:noProof/>
          </w:rPr>
          <w:fldChar w:fldCharType="separate"/>
        </w:r>
        <w:r>
          <w:rPr>
            <w:noProof/>
          </w:rPr>
          <w:t>47</w:t>
        </w:r>
        <w:r>
          <w:rPr>
            <w:noProof/>
          </w:rPr>
          <w:fldChar w:fldCharType="end"/>
        </w:r>
      </w:hyperlink>
    </w:p>
    <w:p w14:paraId="169EDFF9" w14:textId="733961EE" w:rsidR="00B1008A" w:rsidRPr="00244D65" w:rsidRDefault="00B1008A" w:rsidP="2A00DF22">
      <w:pPr>
        <w:pStyle w:val="TableofFigures"/>
        <w:tabs>
          <w:tab w:val="left" w:pos="1200"/>
          <w:tab w:val="right" w:leader="dot" w:pos="8751"/>
        </w:tabs>
        <w:rPr>
          <w:rFonts w:asciiTheme="minorHAnsi" w:eastAsiaTheme="minorEastAsia" w:hAnsiTheme="minorHAnsi" w:cstheme="minorBidi"/>
          <w:noProof/>
          <w:lang w:val="en-IE" w:eastAsia="en-IE"/>
        </w:rPr>
      </w:pPr>
      <w:hyperlink w:anchor="_Toc234496405">
        <w:r>
          <w:rPr>
            <w:rStyle w:val="Hyperlink"/>
            <w:rFonts w:eastAsia="Times New Roman"/>
            <w:noProof/>
          </w:rPr>
          <w:t>Figure 6:</w:t>
        </w:r>
        <w:r>
          <w:rPr>
            <w:noProof/>
          </w:rPr>
          <w:tab/>
        </w:r>
        <w:r>
          <w:rPr>
            <w:rStyle w:val="Hyperlink"/>
            <w:rFonts w:eastAsia="Times New Roman"/>
            <w:noProof/>
          </w:rPr>
          <w:t>Policy</w:t>
        </w:r>
        <w:r>
          <w:rPr>
            <w:rStyle w:val="Hyperlink"/>
            <w:noProof/>
          </w:rPr>
          <w:t xml:space="preserve"> options results - TNAC-to-Emissions ratio</w:t>
        </w:r>
        <w:r>
          <w:rPr>
            <w:noProof/>
          </w:rPr>
          <w:tab/>
        </w:r>
        <w:r>
          <w:rPr>
            <w:noProof/>
          </w:rPr>
          <w:fldChar w:fldCharType="begin"/>
        </w:r>
        <w:r>
          <w:rPr>
            <w:noProof/>
          </w:rPr>
          <w:instrText xml:space="preserve"> PAGEREF _Toc234496405 \h </w:instrText>
        </w:r>
        <w:r>
          <w:rPr>
            <w:noProof/>
          </w:rPr>
        </w:r>
        <w:r>
          <w:rPr>
            <w:noProof/>
          </w:rPr>
          <w:fldChar w:fldCharType="separate"/>
        </w:r>
        <w:r>
          <w:rPr>
            <w:noProof/>
          </w:rPr>
          <w:t>49</w:t>
        </w:r>
        <w:r>
          <w:rPr>
            <w:noProof/>
          </w:rPr>
          <w:fldChar w:fldCharType="end"/>
        </w:r>
      </w:hyperlink>
    </w:p>
    <w:p w14:paraId="10C81D63" w14:textId="3B2AD6EF" w:rsidR="009B0AD6" w:rsidRDefault="00216461" w:rsidP="0085595C">
      <w:pPr>
        <w:rPr>
          <w:noProof/>
          <w:lang w:eastAsia="en-IE"/>
        </w:rPr>
      </w:pPr>
      <w:r>
        <w:rPr>
          <w:noProof/>
          <w:lang w:eastAsia="en-IE"/>
        </w:rPr>
        <w:fldChar w:fldCharType="end"/>
      </w:r>
    </w:p>
    <w:sectPr w:rsidR="009B0AD6" w:rsidSect="00F16091">
      <w:headerReference w:type="even" r:id="rId37"/>
      <w:headerReference w:type="default" r:id="rId38"/>
      <w:footerReference w:type="even" r:id="rId39"/>
      <w:footerReference w:type="default" r:id="rId40"/>
      <w:headerReference w:type="first" r:id="rId41"/>
      <w:footerReference w:type="first" r:id="rId42"/>
      <w:pgSz w:w="11906" w:h="16838"/>
      <w:pgMar w:top="1020" w:right="1558" w:bottom="1020" w:left="1587" w:header="601" w:footer="107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6D6789" w14:textId="77777777" w:rsidR="00D8226D" w:rsidRDefault="00D8226D" w:rsidP="000E3086">
      <w:r>
        <w:separator/>
      </w:r>
    </w:p>
  </w:endnote>
  <w:endnote w:type="continuationSeparator" w:id="0">
    <w:p w14:paraId="18784D85" w14:textId="77777777" w:rsidR="00D8226D" w:rsidRDefault="00D8226D" w:rsidP="000E3086">
      <w:r>
        <w:continuationSeparator/>
      </w:r>
    </w:p>
  </w:endnote>
  <w:endnote w:type="continuationNotice" w:id="1">
    <w:p w14:paraId="47FCD222" w14:textId="77777777" w:rsidR="00D8226D" w:rsidRDefault="00D8226D" w:rsidP="00812ED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04221" w14:textId="49CE34F2" w:rsidR="006F652E" w:rsidRPr="006F652E" w:rsidRDefault="006F652E" w:rsidP="006F652E">
    <w:pPr>
      <w:pStyle w:val="FooterCoverPage"/>
      <w:rPr>
        <w:rFonts w:ascii="Arial" w:hAnsi="Arial" w:cs="Arial"/>
        <w:b/>
        <w:sz w:val="48"/>
      </w:rPr>
    </w:pPr>
    <w:r w:rsidRPr="006F652E">
      <w:rPr>
        <w:rFonts w:ascii="Arial" w:hAnsi="Arial" w:cs="Arial"/>
        <w:b/>
        <w:sz w:val="48"/>
      </w:rPr>
      <w:t>EN</w:t>
    </w:r>
    <w:r w:rsidRPr="006F652E">
      <w:rPr>
        <w:rFonts w:ascii="Arial" w:hAnsi="Arial" w:cs="Arial"/>
        <w:b/>
        <w:sz w:val="48"/>
      </w:rPr>
      <w:tab/>
    </w:r>
    <w:r w:rsidRPr="006F652E">
      <w:rPr>
        <w:rFonts w:ascii="Arial" w:hAnsi="Arial" w:cs="Arial"/>
        <w:b/>
        <w:sz w:val="48"/>
      </w:rPr>
      <w:tab/>
    </w:r>
    <w:r w:rsidRPr="006F652E">
      <w:tab/>
    </w:r>
    <w:r w:rsidRPr="006F652E">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E30F1" w14:textId="42F0BE71" w:rsidR="006F652E" w:rsidRPr="006F652E" w:rsidRDefault="006F652E" w:rsidP="006F652E">
    <w:pPr>
      <w:pStyle w:val="FooterCoverPage"/>
      <w:rPr>
        <w:rFonts w:ascii="Arial" w:hAnsi="Arial" w:cs="Arial"/>
        <w:b/>
        <w:sz w:val="48"/>
      </w:rPr>
    </w:pPr>
    <w:r w:rsidRPr="006F652E">
      <w:rPr>
        <w:rFonts w:ascii="Arial" w:hAnsi="Arial" w:cs="Arial"/>
        <w:b/>
        <w:sz w:val="48"/>
      </w:rPr>
      <w:t>EN</w:t>
    </w:r>
    <w:r w:rsidRPr="006F652E">
      <w:rPr>
        <w:rFonts w:ascii="Arial" w:hAnsi="Arial" w:cs="Arial"/>
        <w:b/>
        <w:sz w:val="48"/>
      </w:rPr>
      <w:tab/>
    </w:r>
    <w:r w:rsidRPr="006F652E">
      <w:rPr>
        <w:rFonts w:ascii="Arial" w:hAnsi="Arial" w:cs="Arial"/>
        <w:b/>
        <w:sz w:val="48"/>
      </w:rPr>
      <w:tab/>
    </w:r>
    <w:r w:rsidRPr="006F652E">
      <w:tab/>
    </w:r>
    <w:r w:rsidRPr="006F652E">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92536" w14:textId="77777777" w:rsidR="006F652E" w:rsidRPr="006F652E" w:rsidRDefault="006F652E" w:rsidP="006F652E">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F9767" w14:textId="77777777" w:rsidR="007105B3" w:rsidRDefault="007105B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81DC2" w14:textId="77777777" w:rsidR="007105B3" w:rsidRDefault="007105B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9D4BD" w14:textId="77777777" w:rsidR="007105B3" w:rsidRDefault="007105B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2658940"/>
      <w:docPartObj>
        <w:docPartGallery w:val="Page Numbers (Bottom of Page)"/>
        <w:docPartUnique/>
      </w:docPartObj>
    </w:sdtPr>
    <w:sdtEndPr>
      <w:rPr>
        <w:noProof/>
      </w:rPr>
    </w:sdtEndPr>
    <w:sdtContent>
      <w:p w14:paraId="6EDD11B0" w14:textId="6106A096" w:rsidR="004E5994" w:rsidRDefault="00B2335D" w:rsidP="004F7B6F">
        <w:pPr>
          <w:pStyle w:val="Footer"/>
          <w:jc w:val="center"/>
        </w:pPr>
        <w:r w:rsidRPr="000C653C">
          <w:fldChar w:fldCharType="begin"/>
        </w:r>
        <w:r>
          <w:instrText xml:space="preserve"> PAGE   \* MERGEFORMAT </w:instrText>
        </w:r>
        <w:r w:rsidRPr="000C653C">
          <w:fldChar w:fldCharType="separate"/>
        </w:r>
        <w:r w:rsidR="006F652E">
          <w:rPr>
            <w:noProof/>
          </w:rPr>
          <w:t>2</w:t>
        </w:r>
        <w:r w:rsidRPr="000C653C">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9FDBD" w14:textId="1C730F91" w:rsidR="00CB14B2" w:rsidRDefault="00CB14B2" w:rsidP="004F7B6F">
    <w:pPr>
      <w:pStyle w:val="Footer"/>
    </w:pPr>
    <w:r w:rsidRPr="000C653C">
      <w:fldChar w:fldCharType="begin"/>
    </w:r>
    <w:r>
      <w:instrText xml:space="preserve"> PAGE   \* MERGEFORMAT </w:instrText>
    </w:r>
    <w:r w:rsidRPr="000C653C">
      <w:fldChar w:fldCharType="separate"/>
    </w:r>
    <w:r w:rsidR="000517E9">
      <w:rPr>
        <w:noProof/>
      </w:rPr>
      <w:t>1</w:t>
    </w:r>
    <w:r w:rsidRPr="000C653C">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1292795"/>
      <w:docPartObj>
        <w:docPartGallery w:val="Page Numbers (Bottom of Page)"/>
        <w:docPartUnique/>
      </w:docPartObj>
    </w:sdtPr>
    <w:sdtEndPr>
      <w:rPr>
        <w:noProof/>
      </w:rPr>
    </w:sdtEndPr>
    <w:sdtContent>
      <w:p w14:paraId="27510660" w14:textId="77777777" w:rsidR="00771E5C" w:rsidRDefault="00C03A66" w:rsidP="003F1F2E">
        <w:pPr>
          <w:pStyle w:val="Footer"/>
          <w:ind w:left="0"/>
          <w:jc w:val="center"/>
        </w:pPr>
        <w:r w:rsidRPr="005D469B">
          <w:fldChar w:fldCharType="begin"/>
        </w:r>
        <w:r>
          <w:instrText xml:space="preserve"> PAGE   \* MERGEFORMAT </w:instrText>
        </w:r>
        <w:r w:rsidRPr="005D469B">
          <w:fldChar w:fldCharType="separate"/>
        </w:r>
        <w:r>
          <w:rPr>
            <w:noProof/>
          </w:rPr>
          <w:t>2</w:t>
        </w:r>
        <w:r w:rsidRPr="005D469B">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FCFE9" w14:textId="5E210E69" w:rsidR="00771E5C" w:rsidRDefault="00C03A66" w:rsidP="003F1F2E">
    <w:pPr>
      <w:pStyle w:val="Footer"/>
      <w:ind w:left="-270"/>
      <w:jc w:val="center"/>
    </w:pPr>
    <w:r w:rsidRPr="005D469B">
      <w:fldChar w:fldCharType="begin"/>
    </w:r>
    <w:r>
      <w:instrText xml:space="preserve"> PAGE   \* MERGEFORMAT </w:instrText>
    </w:r>
    <w:r w:rsidRPr="005D469B">
      <w:fldChar w:fldCharType="separate"/>
    </w:r>
    <w:r>
      <w:rPr>
        <w:noProof/>
      </w:rPr>
      <w:t>1</w:t>
    </w:r>
    <w:r w:rsidRPr="005D469B">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8F2C4" w14:textId="77777777" w:rsidR="00CB14B2" w:rsidRDefault="00CB14B2" w:rsidP="000E3086">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1D25D" w14:textId="470EECF5" w:rsidR="00CB14B2" w:rsidRPr="00CD516A" w:rsidRDefault="008F2068" w:rsidP="003F1F2E">
    <w:pPr>
      <w:pStyle w:val="Footer"/>
      <w:jc w:val="center"/>
    </w:pPr>
    <w:r w:rsidRPr="005D469B">
      <w:fldChar w:fldCharType="begin"/>
    </w:r>
    <w:r>
      <w:instrText xml:space="preserve"> PAGE   \* MERGEFORMAT </w:instrText>
    </w:r>
    <w:r w:rsidRPr="005D469B">
      <w:fldChar w:fldCharType="separate"/>
    </w:r>
    <w:r>
      <w:rPr>
        <w:noProof/>
      </w:rPr>
      <w:t>2</w:t>
    </w:r>
    <w:r w:rsidRPr="005D469B">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BBC35" w14:textId="1870B764" w:rsidR="00CB14B2" w:rsidRPr="003F1F2E" w:rsidRDefault="003F1F2E" w:rsidP="003F1F2E">
    <w:pPr>
      <w:pStyle w:val="Footer"/>
      <w:ind w:left="0"/>
      <w:jc w:val="center"/>
      <w:rPr>
        <w:lang w:val="nl-NL"/>
      </w:rPr>
    </w:pPr>
    <w:r>
      <w:rPr>
        <w:lang w:val="nl-NL"/>
      </w:rPr>
      <w:t>82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FAC018" w14:textId="77777777" w:rsidR="00D8226D" w:rsidRDefault="00D8226D" w:rsidP="000E3086">
      <w:r>
        <w:separator/>
      </w:r>
    </w:p>
  </w:footnote>
  <w:footnote w:type="continuationSeparator" w:id="0">
    <w:p w14:paraId="420A50BC" w14:textId="77777777" w:rsidR="00D8226D" w:rsidRDefault="00D8226D" w:rsidP="000E3086">
      <w:r>
        <w:continuationSeparator/>
      </w:r>
    </w:p>
  </w:footnote>
  <w:footnote w:type="continuationNotice" w:id="1">
    <w:p w14:paraId="366DB53E" w14:textId="77777777" w:rsidR="00D8226D" w:rsidRDefault="00D8226D" w:rsidP="00812EDF"/>
  </w:footnote>
  <w:footnote w:id="2">
    <w:p w14:paraId="5D96DDC3" w14:textId="5C7908C6" w:rsidR="002739C1" w:rsidRPr="00781BE8" w:rsidRDefault="002739C1" w:rsidP="005E4778">
      <w:pPr>
        <w:pStyle w:val="FootnoteText"/>
        <w:ind w:left="357" w:hanging="357"/>
        <w:contextualSpacing/>
      </w:pPr>
      <w:r w:rsidRPr="00781BE8">
        <w:rPr>
          <w:rStyle w:val="FootnoteReference"/>
          <w:sz w:val="20"/>
          <w:szCs w:val="20"/>
        </w:rPr>
        <w:footnoteRef/>
      </w:r>
      <w:r w:rsidRPr="00781BE8">
        <w:t xml:space="preserve"> </w:t>
      </w:r>
      <w:r w:rsidR="00781BE8">
        <w:tab/>
      </w:r>
      <w:r w:rsidR="009104E4" w:rsidRPr="00781BE8">
        <w:t>European Commission</w:t>
      </w:r>
      <w:r w:rsidR="00121497" w:rsidRPr="00781BE8">
        <w:t>,</w:t>
      </w:r>
      <w:r w:rsidR="00053D6A" w:rsidRPr="00781BE8">
        <w:t xml:space="preserve"> </w:t>
      </w:r>
      <w:r w:rsidRPr="00781BE8">
        <w:rPr>
          <w:i/>
          <w:iCs/>
        </w:rPr>
        <w:t>Foresight Report 2025: Resilience 2.0: Empowering the EU to thrive amid turbulence and uncertainty</w:t>
      </w:r>
      <w:r w:rsidR="009C1B1F" w:rsidRPr="00781BE8">
        <w:t xml:space="preserve">, </w:t>
      </w:r>
      <w:r w:rsidR="007334DC" w:rsidRPr="00781BE8">
        <w:t xml:space="preserve">2025, Publications Office of the European Union, </w:t>
      </w:r>
      <w:hyperlink r:id="rId1" w:history="1">
        <w:r w:rsidR="007C2A90" w:rsidRPr="00781BE8">
          <w:rPr>
            <w:rStyle w:val="Hyperlink"/>
          </w:rPr>
          <w:t>https://commission.europa.eu/strategy-and-policy/strategic-foresight/2025-strategic-foresight-report_en</w:t>
        </w:r>
      </w:hyperlink>
      <w:r w:rsidR="009C1B1F" w:rsidRPr="00781BE8">
        <w:t>.</w:t>
      </w:r>
    </w:p>
  </w:footnote>
  <w:footnote w:id="3">
    <w:p w14:paraId="7FC65A7A" w14:textId="2A52714B" w:rsidR="002739C1" w:rsidRPr="00781BE8" w:rsidRDefault="002739C1" w:rsidP="005E4778">
      <w:pPr>
        <w:pStyle w:val="FootnoteText"/>
        <w:ind w:left="357" w:hanging="357"/>
        <w:contextualSpacing/>
      </w:pPr>
      <w:r w:rsidRPr="00781BE8">
        <w:rPr>
          <w:rStyle w:val="FootnoteReference"/>
          <w:sz w:val="20"/>
          <w:szCs w:val="20"/>
        </w:rPr>
        <w:footnoteRef/>
      </w:r>
      <w:r w:rsidRPr="00781BE8">
        <w:t xml:space="preserve"> </w:t>
      </w:r>
      <w:r w:rsidR="00781BE8">
        <w:tab/>
      </w:r>
      <w:r w:rsidR="000C6767" w:rsidRPr="00781BE8">
        <w:t xml:space="preserve">European Commission, </w:t>
      </w:r>
      <w:r w:rsidRPr="00781BE8">
        <w:rPr>
          <w:i/>
          <w:iCs/>
        </w:rPr>
        <w:t>The Future of European Competitiveness</w:t>
      </w:r>
      <w:r w:rsidR="00E508DE" w:rsidRPr="00781BE8">
        <w:rPr>
          <w:i/>
          <w:iCs/>
        </w:rPr>
        <w:t>: Part A: A competitiveness strategy for Europe</w:t>
      </w:r>
      <w:r w:rsidR="00E508DE" w:rsidRPr="00781BE8">
        <w:t>, 2024,</w:t>
      </w:r>
      <w:hyperlink r:id="rId2" w:history="1">
        <w:r w:rsidR="00781BE8" w:rsidRPr="00781BE8">
          <w:rPr>
            <w:rStyle w:val="Hyperlink"/>
          </w:rPr>
          <w:t>https://commission.europa.eu/document/download/97e481fd-2dc3-412d-be4c-f152a8232961_en?filename=The%20future%20of%20European%20competitiveness%20_%20A%20competitiveness%20strategy%20for%20Europe.pdf</w:t>
        </w:r>
      </w:hyperlink>
      <w:r w:rsidR="000C6767" w:rsidRPr="00781BE8">
        <w:t>.</w:t>
      </w:r>
    </w:p>
  </w:footnote>
  <w:footnote w:id="4">
    <w:p w14:paraId="33F2FCA9" w14:textId="37D10A29" w:rsidR="000719BD" w:rsidRPr="00781BE8" w:rsidRDefault="000719BD" w:rsidP="005E4778">
      <w:pPr>
        <w:pStyle w:val="FootnoteText"/>
        <w:ind w:left="357" w:hanging="357"/>
        <w:contextualSpacing/>
      </w:pPr>
      <w:r w:rsidRPr="00781BE8">
        <w:rPr>
          <w:rStyle w:val="FootnoteReference"/>
          <w:sz w:val="20"/>
          <w:szCs w:val="20"/>
        </w:rPr>
        <w:footnoteRef/>
      </w:r>
      <w:r w:rsidRPr="00781BE8">
        <w:t xml:space="preserve"> </w:t>
      </w:r>
      <w:r w:rsidR="00781BE8">
        <w:tab/>
      </w:r>
      <w:r w:rsidRPr="00781BE8">
        <w:t>Regulation (EU) 2021/1119 of the European Parliament and of the Council of 30 June 2021 establishing the framework for achieving climate neutrality and amending Regulations (EC) No 401/2009 and (EU) 2018/1999 (‘European Climate Law’) (OJ L 243, 9.7.2021, p. 1).</w:t>
      </w:r>
    </w:p>
  </w:footnote>
  <w:footnote w:id="5">
    <w:p w14:paraId="3B33D12B" w14:textId="697F9E69" w:rsidR="000719BD" w:rsidRPr="00781BE8" w:rsidRDefault="000719BD" w:rsidP="005E4778">
      <w:pPr>
        <w:pStyle w:val="FootnoteText"/>
        <w:ind w:left="357" w:hanging="357"/>
        <w:contextualSpacing/>
      </w:pPr>
      <w:r w:rsidRPr="00781BE8">
        <w:rPr>
          <w:rStyle w:val="FootnoteReference"/>
          <w:sz w:val="20"/>
          <w:szCs w:val="20"/>
        </w:rPr>
        <w:footnoteRef/>
      </w:r>
      <w:r w:rsidRPr="00781BE8">
        <w:t xml:space="preserve"> </w:t>
      </w:r>
      <w:r w:rsidR="00781BE8">
        <w:tab/>
      </w:r>
      <w:r w:rsidRPr="00781BE8">
        <w:t>Directive (EU) 2023/958 of the European Parliament and of the Council of 10 May 2023 amending Directive 2003/87/EC as regards aviation’s contribution to the Union’s economy-wide emission reduction target and the appropriate implementation of a global market-based measure (OJ L 130, 16.5.2023) and Directive (EU) 2023/959 of the European Parliament and of the Council of 10 May 2023 amending Directive 2003/87/EC establishing a system for greenhouse gas emission allowance trading within the Union and Decision (EU) 2015/1814 concerning the establishment and operation of a market stability reserve for the Union greenhouse gas emission trading system (OJ L 130, 16.5.2023).</w:t>
      </w:r>
    </w:p>
  </w:footnote>
  <w:footnote w:id="6">
    <w:p w14:paraId="2E54BF39" w14:textId="5FED01FA" w:rsidR="00AD6F9B" w:rsidRPr="00781BE8" w:rsidRDefault="00AD6F9B" w:rsidP="005E4778">
      <w:pPr>
        <w:pStyle w:val="FootnoteText"/>
        <w:ind w:left="357" w:hanging="357"/>
        <w:contextualSpacing/>
      </w:pPr>
      <w:r w:rsidRPr="00781BE8">
        <w:rPr>
          <w:rStyle w:val="FootnoteReference"/>
          <w:sz w:val="20"/>
          <w:szCs w:val="20"/>
        </w:rPr>
        <w:footnoteRef/>
      </w:r>
      <w:r w:rsidR="00C916CB" w:rsidRPr="00781BE8">
        <w:t xml:space="preserve"> </w:t>
      </w:r>
      <w:r w:rsidR="00781BE8">
        <w:tab/>
      </w:r>
      <w:r w:rsidR="00704A26" w:rsidRPr="00781BE8">
        <w:t xml:space="preserve">European Securities and Markets Authority, </w:t>
      </w:r>
      <w:r w:rsidR="00E71EC6" w:rsidRPr="00781BE8">
        <w:rPr>
          <w:i/>
          <w:iCs/>
        </w:rPr>
        <w:t>ESMA</w:t>
      </w:r>
      <w:r w:rsidR="00AB1669" w:rsidRPr="00781BE8">
        <w:rPr>
          <w:i/>
          <w:iCs/>
        </w:rPr>
        <w:t xml:space="preserve"> Market Report</w:t>
      </w:r>
      <w:r w:rsidR="00F35355" w:rsidRPr="00781BE8">
        <w:rPr>
          <w:i/>
          <w:iCs/>
        </w:rPr>
        <w:t>: EU ca</w:t>
      </w:r>
      <w:r w:rsidR="00AB1669" w:rsidRPr="00781BE8">
        <w:rPr>
          <w:i/>
          <w:iCs/>
        </w:rPr>
        <w:t>rbon markets</w:t>
      </w:r>
      <w:r w:rsidR="00AB1669" w:rsidRPr="00781BE8">
        <w:t xml:space="preserve"> </w:t>
      </w:r>
      <w:r w:rsidR="00AB1669" w:rsidRPr="00781BE8">
        <w:rPr>
          <w:i/>
          <w:iCs/>
        </w:rPr>
        <w:t>2025</w:t>
      </w:r>
      <w:r w:rsidR="00E71EC6" w:rsidRPr="00781BE8">
        <w:t>, 2025</w:t>
      </w:r>
      <w:r w:rsidR="00F35355" w:rsidRPr="00781BE8">
        <w:t xml:space="preserve">, </w:t>
      </w:r>
      <w:hyperlink r:id="rId3" w:history="1">
        <w:r w:rsidR="00F35355" w:rsidRPr="00781BE8">
          <w:rPr>
            <w:rStyle w:val="Hyperlink"/>
          </w:rPr>
          <w:t>https://www.esma.europa.eu/sites/default/files/2025-10/ESMA50-481369926-30552_Carbon_Markets_Report_2025.pdf</w:t>
        </w:r>
      </w:hyperlink>
      <w:r w:rsidR="00F35355" w:rsidRPr="00781BE8">
        <w:t>.</w:t>
      </w:r>
    </w:p>
  </w:footnote>
  <w:footnote w:id="7">
    <w:p w14:paraId="213D5302" w14:textId="2271B9E0" w:rsidR="00D91553" w:rsidRPr="00781BE8" w:rsidDel="00D91553" w:rsidRDefault="00D10D26" w:rsidP="005E4778">
      <w:pPr>
        <w:pStyle w:val="FootnoteText"/>
        <w:ind w:left="357" w:hanging="357"/>
        <w:contextualSpacing/>
      </w:pPr>
      <w:r w:rsidRPr="00781BE8">
        <w:rPr>
          <w:rStyle w:val="FootnoteReference"/>
          <w:sz w:val="20"/>
          <w:szCs w:val="20"/>
        </w:rPr>
        <w:footnoteRef/>
      </w:r>
      <w:r w:rsidR="009176FA" w:rsidRPr="00781BE8">
        <w:t xml:space="preserve"> </w:t>
      </w:r>
      <w:r w:rsidR="00781BE8">
        <w:tab/>
      </w:r>
      <w:r w:rsidR="009176FA" w:rsidRPr="00781BE8">
        <w:t>Communication from the Commission to the European Parliament, the European Council, the Council, the European Economic</w:t>
      </w:r>
      <w:r w:rsidR="001463E5" w:rsidRPr="00781BE8">
        <w:t xml:space="preserve"> and</w:t>
      </w:r>
      <w:r w:rsidR="009176FA" w:rsidRPr="00781BE8">
        <w:t xml:space="preserve"> Social Committee and the Committee of the Regions</w:t>
      </w:r>
      <w:r w:rsidR="00177C66" w:rsidRPr="00781BE8">
        <w:t>:</w:t>
      </w:r>
      <w:r w:rsidR="009176FA" w:rsidRPr="00781BE8">
        <w:t xml:space="preserve"> A Competitiveness Compass </w:t>
      </w:r>
      <w:r w:rsidR="00177C66" w:rsidRPr="00781BE8">
        <w:t>for t</w:t>
      </w:r>
      <w:r w:rsidR="009176FA" w:rsidRPr="00781BE8">
        <w:t>he E</w:t>
      </w:r>
      <w:r w:rsidR="00177C66" w:rsidRPr="00781BE8">
        <w:t>U</w:t>
      </w:r>
      <w:r w:rsidR="009176FA" w:rsidRPr="00781BE8">
        <w:t>, C</w:t>
      </w:r>
      <w:r w:rsidR="00177C66" w:rsidRPr="00781BE8">
        <w:t>OM</w:t>
      </w:r>
      <w:r w:rsidR="00AE7512" w:rsidRPr="00781BE8">
        <w:t>(</w:t>
      </w:r>
      <w:r w:rsidR="009176FA" w:rsidRPr="00781BE8">
        <w:t>2025</w:t>
      </w:r>
      <w:r w:rsidR="00AE7512" w:rsidRPr="00781BE8">
        <w:t xml:space="preserve">) </w:t>
      </w:r>
      <w:r w:rsidR="009176FA" w:rsidRPr="00781BE8">
        <w:t xml:space="preserve">30 </w:t>
      </w:r>
      <w:r w:rsidR="00177C66" w:rsidRPr="00781BE8">
        <w:t>f</w:t>
      </w:r>
      <w:r w:rsidR="009176FA" w:rsidRPr="00781BE8">
        <w:t>inal</w:t>
      </w:r>
      <w:r w:rsidR="009A4742" w:rsidRPr="00781BE8">
        <w:t xml:space="preserve">, 29.1.2025, </w:t>
      </w:r>
      <w:hyperlink r:id="rId4" w:history="1">
        <w:r w:rsidR="009A4742" w:rsidRPr="00781BE8">
          <w:rPr>
            <w:rStyle w:val="Hyperlink"/>
          </w:rPr>
          <w:t>https://eur-lex.europa.eu/legal-content/EN/TXT/?uri=celex:52025DC0030</w:t>
        </w:r>
      </w:hyperlink>
      <w:r w:rsidR="009A4742" w:rsidRPr="00781BE8">
        <w:t>.</w:t>
      </w:r>
    </w:p>
  </w:footnote>
  <w:footnote w:id="8">
    <w:p w14:paraId="6516DB7C" w14:textId="779B8EE1" w:rsidR="00D91553" w:rsidRPr="00781BE8" w:rsidDel="00D91553" w:rsidRDefault="00D10D26" w:rsidP="005E4778">
      <w:pPr>
        <w:pStyle w:val="FootnoteText"/>
        <w:ind w:left="357" w:hanging="357"/>
        <w:contextualSpacing/>
        <w:rPr>
          <w:lang w:val="en-IE"/>
        </w:rPr>
      </w:pPr>
      <w:r w:rsidRPr="00781BE8">
        <w:rPr>
          <w:rStyle w:val="FootnoteReference"/>
          <w:sz w:val="20"/>
          <w:szCs w:val="20"/>
        </w:rPr>
        <w:footnoteRef/>
      </w:r>
      <w:r w:rsidR="009176FA" w:rsidRPr="00781BE8">
        <w:t xml:space="preserve"> </w:t>
      </w:r>
      <w:r w:rsidR="00781BE8">
        <w:tab/>
      </w:r>
      <w:r w:rsidR="009A4742" w:rsidRPr="00781BE8">
        <w:t xml:space="preserve">Communication from the Commission to the European Parliament, the European Council, the Council, the European Economic and Social Committee and the Committee of the Regions: </w:t>
      </w:r>
      <w:r w:rsidR="009176FA" w:rsidRPr="00781BE8">
        <w:t xml:space="preserve">The Clean Industrial Deal: A Joint Roadmap </w:t>
      </w:r>
      <w:r w:rsidR="009A4742" w:rsidRPr="00781BE8">
        <w:t>f</w:t>
      </w:r>
      <w:r w:rsidR="009176FA" w:rsidRPr="00781BE8">
        <w:t xml:space="preserve">or Competitiveness </w:t>
      </w:r>
      <w:r w:rsidR="009A4742" w:rsidRPr="00781BE8">
        <w:t>a</w:t>
      </w:r>
      <w:r w:rsidR="009176FA" w:rsidRPr="00781BE8">
        <w:t>nd Decarbonisation</w:t>
      </w:r>
      <w:r w:rsidR="00217363" w:rsidRPr="00781BE8">
        <w:t>,</w:t>
      </w:r>
      <w:r w:rsidR="00AE7512" w:rsidRPr="00781BE8">
        <w:t xml:space="preserve"> COM(2025) 85 final,</w:t>
      </w:r>
      <w:r w:rsidR="00217363" w:rsidRPr="00781BE8">
        <w:t xml:space="preserve"> </w:t>
      </w:r>
      <w:r w:rsidR="0061789E" w:rsidRPr="00781BE8">
        <w:rPr>
          <w:lang w:val="en-IE"/>
        </w:rPr>
        <w:t xml:space="preserve">26.2.2025, </w:t>
      </w:r>
      <w:hyperlink r:id="rId5" w:history="1">
        <w:r w:rsidR="0061789E" w:rsidRPr="00781BE8">
          <w:rPr>
            <w:rStyle w:val="Hyperlink"/>
          </w:rPr>
          <w:t>https://eur-lex.europa.eu/legal-content/EN/TXT/?uri=celex:52025DC0085</w:t>
        </w:r>
      </w:hyperlink>
      <w:r w:rsidR="00217363" w:rsidRPr="00781BE8">
        <w:t>.</w:t>
      </w:r>
    </w:p>
  </w:footnote>
  <w:footnote w:id="9">
    <w:p w14:paraId="72D32EBA" w14:textId="25C5373D" w:rsidR="001E6457" w:rsidRPr="00781BE8" w:rsidRDefault="00D10D26" w:rsidP="005E4778">
      <w:pPr>
        <w:spacing w:before="0" w:after="0"/>
        <w:ind w:left="357" w:hanging="357"/>
        <w:contextualSpacing/>
        <w:rPr>
          <w:rFonts w:eastAsia="MS Mincho"/>
          <w:sz w:val="20"/>
          <w:szCs w:val="20"/>
          <w:lang w:val="en-IE"/>
        </w:rPr>
      </w:pPr>
      <w:r w:rsidRPr="00781BE8">
        <w:rPr>
          <w:rStyle w:val="FootnoteReference"/>
          <w:sz w:val="20"/>
          <w:szCs w:val="20"/>
        </w:rPr>
        <w:footnoteRef/>
      </w:r>
      <w:r w:rsidR="009176FA" w:rsidRPr="00781BE8">
        <w:rPr>
          <w:sz w:val="20"/>
          <w:szCs w:val="20"/>
        </w:rPr>
        <w:t xml:space="preserve"> </w:t>
      </w:r>
      <w:r w:rsidR="00781BE8">
        <w:rPr>
          <w:sz w:val="20"/>
          <w:szCs w:val="20"/>
        </w:rPr>
        <w:tab/>
      </w:r>
      <w:r w:rsidR="0061789E" w:rsidRPr="00781BE8">
        <w:rPr>
          <w:rFonts w:eastAsia="MS Mincho"/>
          <w:sz w:val="20"/>
          <w:szCs w:val="20"/>
        </w:rPr>
        <w:t xml:space="preserve">Communication from the Commission to the European Parliament, the European Council, the Council, the European Economic and Social Committee and the Committee of the Regions: </w:t>
      </w:r>
      <w:r w:rsidR="009176FA" w:rsidRPr="00781BE8">
        <w:rPr>
          <w:rFonts w:eastAsia="MS Mincho"/>
          <w:sz w:val="20"/>
          <w:szCs w:val="20"/>
        </w:rPr>
        <w:t xml:space="preserve">Action Plan </w:t>
      </w:r>
      <w:r w:rsidR="0061789E" w:rsidRPr="00781BE8">
        <w:rPr>
          <w:rFonts w:eastAsia="MS Mincho"/>
          <w:sz w:val="20"/>
          <w:szCs w:val="20"/>
        </w:rPr>
        <w:t>f</w:t>
      </w:r>
      <w:r w:rsidR="009176FA" w:rsidRPr="00781BE8">
        <w:rPr>
          <w:rFonts w:eastAsia="MS Mincho"/>
          <w:sz w:val="20"/>
          <w:szCs w:val="20"/>
        </w:rPr>
        <w:t>or Affordable Energy</w:t>
      </w:r>
      <w:r w:rsidR="00E65200" w:rsidRPr="00781BE8">
        <w:rPr>
          <w:rFonts w:eastAsia="MS Mincho"/>
          <w:sz w:val="20"/>
          <w:szCs w:val="20"/>
        </w:rPr>
        <w:t>:</w:t>
      </w:r>
      <w:r w:rsidR="009176FA" w:rsidRPr="00781BE8">
        <w:rPr>
          <w:rFonts w:eastAsia="MS Mincho"/>
          <w:sz w:val="20"/>
          <w:szCs w:val="20"/>
        </w:rPr>
        <w:t xml:space="preserve"> Unlocking </w:t>
      </w:r>
      <w:r w:rsidR="0061789E" w:rsidRPr="00781BE8">
        <w:rPr>
          <w:rFonts w:eastAsia="MS Mincho"/>
          <w:sz w:val="20"/>
          <w:szCs w:val="20"/>
        </w:rPr>
        <w:t>t</w:t>
      </w:r>
      <w:r w:rsidR="009176FA" w:rsidRPr="00781BE8">
        <w:rPr>
          <w:rFonts w:eastAsia="MS Mincho"/>
          <w:sz w:val="20"/>
          <w:szCs w:val="20"/>
        </w:rPr>
        <w:t xml:space="preserve">he True Value </w:t>
      </w:r>
      <w:r w:rsidR="0061789E" w:rsidRPr="00781BE8">
        <w:rPr>
          <w:rFonts w:eastAsia="MS Mincho"/>
          <w:sz w:val="20"/>
          <w:szCs w:val="20"/>
        </w:rPr>
        <w:t>o</w:t>
      </w:r>
      <w:r w:rsidR="009176FA" w:rsidRPr="00781BE8">
        <w:rPr>
          <w:rFonts w:eastAsia="MS Mincho"/>
          <w:sz w:val="20"/>
          <w:szCs w:val="20"/>
        </w:rPr>
        <w:t xml:space="preserve">f Our Energy Union </w:t>
      </w:r>
      <w:r w:rsidR="0061789E" w:rsidRPr="00781BE8">
        <w:rPr>
          <w:rFonts w:eastAsia="MS Mincho"/>
          <w:sz w:val="20"/>
          <w:szCs w:val="20"/>
        </w:rPr>
        <w:t>t</w:t>
      </w:r>
      <w:r w:rsidR="009176FA" w:rsidRPr="00781BE8">
        <w:rPr>
          <w:rFonts w:eastAsia="MS Mincho"/>
          <w:sz w:val="20"/>
          <w:szCs w:val="20"/>
        </w:rPr>
        <w:t xml:space="preserve">o Secure Affordable, Efficient </w:t>
      </w:r>
      <w:r w:rsidR="0061789E" w:rsidRPr="00781BE8">
        <w:rPr>
          <w:rFonts w:eastAsia="MS Mincho"/>
          <w:sz w:val="20"/>
          <w:szCs w:val="20"/>
        </w:rPr>
        <w:t>a</w:t>
      </w:r>
      <w:r w:rsidR="009176FA" w:rsidRPr="00781BE8">
        <w:rPr>
          <w:rFonts w:eastAsia="MS Mincho"/>
          <w:sz w:val="20"/>
          <w:szCs w:val="20"/>
        </w:rPr>
        <w:t xml:space="preserve">nd Clean Energy </w:t>
      </w:r>
      <w:r w:rsidR="0061789E" w:rsidRPr="00781BE8">
        <w:rPr>
          <w:rFonts w:eastAsia="MS Mincho"/>
          <w:sz w:val="20"/>
          <w:szCs w:val="20"/>
        </w:rPr>
        <w:t>f</w:t>
      </w:r>
      <w:r w:rsidR="009176FA" w:rsidRPr="00781BE8">
        <w:rPr>
          <w:rFonts w:eastAsia="MS Mincho"/>
          <w:sz w:val="20"/>
          <w:szCs w:val="20"/>
        </w:rPr>
        <w:t xml:space="preserve">or All Europeans, </w:t>
      </w:r>
      <w:r w:rsidR="004F7B6F" w:rsidRPr="00781BE8">
        <w:rPr>
          <w:rFonts w:eastAsia="MS Mincho"/>
          <w:sz w:val="20"/>
          <w:szCs w:val="20"/>
          <w:lang w:val="en-IE"/>
        </w:rPr>
        <w:t xml:space="preserve">COM(2025) 79 final, </w:t>
      </w:r>
      <w:r w:rsidR="004F7B6F" w:rsidRPr="00781BE8">
        <w:rPr>
          <w:rFonts w:eastAsia="MS Mincho"/>
          <w:sz w:val="20"/>
          <w:szCs w:val="20"/>
        </w:rPr>
        <w:t xml:space="preserve">26.2.2025, </w:t>
      </w:r>
      <w:hyperlink r:id="rId6" w:history="1">
        <w:r w:rsidR="004F7B6F" w:rsidRPr="00781BE8">
          <w:rPr>
            <w:rStyle w:val="Hyperlink"/>
            <w:rFonts w:eastAsia="MS Mincho"/>
            <w:sz w:val="20"/>
            <w:szCs w:val="20"/>
          </w:rPr>
          <w:t>https://eur-lex.europa.eu/legal-content/EN/TXT/?uri=celex:52025DC0079</w:t>
        </w:r>
      </w:hyperlink>
      <w:r w:rsidR="00B33525" w:rsidRPr="00781BE8">
        <w:rPr>
          <w:rFonts w:eastAsia="MS Mincho"/>
          <w:sz w:val="20"/>
          <w:szCs w:val="20"/>
        </w:rPr>
        <w:t>.</w:t>
      </w:r>
    </w:p>
  </w:footnote>
  <w:footnote w:id="10">
    <w:p w14:paraId="64F2C89B" w14:textId="19E4EF69" w:rsidR="006D24FD" w:rsidRPr="00781BE8" w:rsidRDefault="006D24FD" w:rsidP="005E4778">
      <w:pPr>
        <w:pStyle w:val="FootnoteText"/>
        <w:ind w:left="357" w:hanging="357"/>
        <w:contextualSpacing/>
      </w:pPr>
      <w:r w:rsidRPr="00781BE8">
        <w:rPr>
          <w:rStyle w:val="FootnoteReference"/>
          <w:sz w:val="20"/>
          <w:szCs w:val="20"/>
        </w:rPr>
        <w:footnoteRef/>
      </w:r>
      <w:r w:rsidRPr="00781BE8">
        <w:t xml:space="preserve"> </w:t>
      </w:r>
      <w:r w:rsidR="00781BE8">
        <w:tab/>
      </w:r>
      <w:r w:rsidR="00505F00" w:rsidRPr="00781BE8">
        <w:t xml:space="preserve">European Commission, </w:t>
      </w:r>
      <w:r w:rsidR="00505F00" w:rsidRPr="00781BE8">
        <w:rPr>
          <w:i/>
          <w:iCs/>
        </w:rPr>
        <w:t xml:space="preserve">The Future of European Competitiveness: Part </w:t>
      </w:r>
      <w:r w:rsidR="00DA170D" w:rsidRPr="00781BE8">
        <w:rPr>
          <w:i/>
          <w:iCs/>
        </w:rPr>
        <w:t>B</w:t>
      </w:r>
      <w:r w:rsidR="00505F00" w:rsidRPr="00781BE8">
        <w:rPr>
          <w:i/>
          <w:iCs/>
        </w:rPr>
        <w:t xml:space="preserve">: </w:t>
      </w:r>
      <w:r w:rsidR="00DA170D" w:rsidRPr="00781BE8">
        <w:rPr>
          <w:i/>
          <w:iCs/>
        </w:rPr>
        <w:t>In-depth analysis and recommendations</w:t>
      </w:r>
      <w:r w:rsidR="00505F00" w:rsidRPr="00781BE8">
        <w:t xml:space="preserve">, 2024, </w:t>
      </w:r>
      <w:hyperlink r:id="rId7" w:history="1">
        <w:r w:rsidR="00505F00" w:rsidRPr="00781BE8">
          <w:rPr>
            <w:rStyle w:val="Hyperlink"/>
          </w:rPr>
          <w:t>https://commission.europa.eu/document/download/97e481fd-2dc3-412d-be4c-f152a8232961_en?filename=The%20future%20of%20European%20competitiveness%20_%20A%20competitiveness%20strategy%20for%20Europe.pdf</w:t>
        </w:r>
      </w:hyperlink>
      <w:r w:rsidR="00505F00" w:rsidRPr="00781BE8">
        <w:t>.</w:t>
      </w:r>
    </w:p>
  </w:footnote>
  <w:footnote w:id="11">
    <w:p w14:paraId="6833CDF0" w14:textId="72AA13F9" w:rsidR="00860106" w:rsidRPr="00781BE8" w:rsidRDefault="00860106" w:rsidP="005E4778">
      <w:pPr>
        <w:pStyle w:val="FootnoteText"/>
        <w:ind w:left="357" w:hanging="357"/>
        <w:contextualSpacing/>
      </w:pPr>
      <w:r w:rsidRPr="00781BE8">
        <w:rPr>
          <w:rStyle w:val="FootnoteReference"/>
          <w:sz w:val="20"/>
          <w:szCs w:val="20"/>
        </w:rPr>
        <w:footnoteRef/>
      </w:r>
      <w:r w:rsidRPr="00781BE8">
        <w:t xml:space="preserve"> E</w:t>
      </w:r>
      <w:r w:rsidR="00F649CD" w:rsidRPr="00781BE8">
        <w:t>uropean Union Aviation Safety Agency</w:t>
      </w:r>
      <w:r w:rsidRPr="00781BE8">
        <w:t xml:space="preserve">, </w:t>
      </w:r>
      <w:r w:rsidRPr="00781BE8">
        <w:rPr>
          <w:i/>
          <w:iCs/>
        </w:rPr>
        <w:t>European Aviation Environmental Report</w:t>
      </w:r>
      <w:r w:rsidR="00AA005B" w:rsidRPr="00781BE8">
        <w:rPr>
          <w:i/>
          <w:iCs/>
        </w:rPr>
        <w:t xml:space="preserve"> </w:t>
      </w:r>
      <w:r w:rsidRPr="00781BE8">
        <w:rPr>
          <w:i/>
          <w:iCs/>
        </w:rPr>
        <w:t>2025</w:t>
      </w:r>
      <w:r w:rsidR="00AA005B" w:rsidRPr="00781BE8">
        <w:t xml:space="preserve">, 2025, </w:t>
      </w:r>
      <w:hyperlink r:id="rId8" w:anchor="download-2025" w:history="1">
        <w:r w:rsidR="00AA005B" w:rsidRPr="00781BE8">
          <w:rPr>
            <w:rStyle w:val="Hyperlink"/>
          </w:rPr>
          <w:t>https://www.easa.europa.eu/en/domains/environment/eaer/downloads#download-2025</w:t>
        </w:r>
      </w:hyperlink>
      <w:r w:rsidRPr="00781BE8">
        <w:t>.</w:t>
      </w:r>
    </w:p>
  </w:footnote>
  <w:footnote w:id="12">
    <w:p w14:paraId="54260271" w14:textId="56C468C9" w:rsidR="000719BD" w:rsidRPr="00781BE8" w:rsidRDefault="000719BD" w:rsidP="005E4778">
      <w:pPr>
        <w:pStyle w:val="FootnoteText"/>
        <w:ind w:left="357" w:hanging="357"/>
        <w:contextualSpacing/>
      </w:pPr>
      <w:r w:rsidRPr="00781BE8">
        <w:rPr>
          <w:rStyle w:val="FootnoteReference"/>
          <w:sz w:val="20"/>
          <w:szCs w:val="20"/>
        </w:rPr>
        <w:footnoteRef/>
      </w:r>
      <w:r w:rsidRPr="00781BE8">
        <w:t xml:space="preserve"> </w:t>
      </w:r>
      <w:r w:rsidR="00781BE8">
        <w:tab/>
      </w:r>
      <w:r w:rsidRPr="00781BE8">
        <w:t>Source: Figure 76, Direct CO</w:t>
      </w:r>
      <w:r w:rsidRPr="00781BE8">
        <w:rPr>
          <w:vertAlign w:val="subscript"/>
        </w:rPr>
        <w:t xml:space="preserve">2 </w:t>
      </w:r>
      <w:r w:rsidRPr="00781BE8">
        <w:t xml:space="preserve">emissions from the EU transport sector by mode, Annex 8, </w:t>
      </w:r>
      <w:r w:rsidR="009B7902" w:rsidRPr="00781BE8">
        <w:t>a</w:t>
      </w:r>
      <w:r w:rsidRPr="00781BE8">
        <w:t xml:space="preserve">nd </w:t>
      </w:r>
      <w:r w:rsidR="007A4FED">
        <w:t>S</w:t>
      </w:r>
      <w:r w:rsidR="001F5833" w:rsidRPr="00781BE8">
        <w:t>ection</w:t>
      </w:r>
      <w:r w:rsidRPr="00781BE8">
        <w:t xml:space="preserve"> 1.5.5, page 97</w:t>
      </w:r>
      <w:r w:rsidR="009B7902" w:rsidRPr="00781BE8">
        <w:t xml:space="preserve">, </w:t>
      </w:r>
      <w:r w:rsidR="007A3155" w:rsidRPr="00781BE8">
        <w:t>in</w:t>
      </w:r>
      <w:r w:rsidR="007B1CC8" w:rsidRPr="00781BE8">
        <w:t>:</w:t>
      </w:r>
      <w:r w:rsidR="007A3155" w:rsidRPr="00781BE8">
        <w:t xml:space="preserve"> </w:t>
      </w:r>
      <w:r w:rsidR="009A293E" w:rsidRPr="00781BE8">
        <w:t xml:space="preserve">European Commission, </w:t>
      </w:r>
      <w:r w:rsidR="007A3155" w:rsidRPr="00781BE8">
        <w:t xml:space="preserve">Commission Staff Working Document: Impact Assessment Report: Part 3: Accompanying the document: Communication from the Commission to the European Parliament, the Council, the European Economic and Social Committee and the Committee of the Regions: Securing our future: Europe's 2040 climate target and path to climate neutrality by 2050 building a sustainable, just and prosperous society, </w:t>
      </w:r>
      <w:r w:rsidR="00D33629" w:rsidRPr="00781BE8">
        <w:t xml:space="preserve">SWD(2024) 63 final, 6.2.2024, </w:t>
      </w:r>
      <w:hyperlink r:id="rId9" w:history="1">
        <w:r w:rsidR="00D33629" w:rsidRPr="00781BE8">
          <w:rPr>
            <w:rStyle w:val="Hyperlink"/>
          </w:rPr>
          <w:t>https://eur-lex.europa.eu/resource.html?uri=cellar:6c154426-c5a6-11ee-95d9-01aa75ed71a1.0001.02/DOC_3&amp;format=PDF</w:t>
        </w:r>
      </w:hyperlink>
      <w:r w:rsidR="00D33629" w:rsidRPr="00781BE8">
        <w:t>.</w:t>
      </w:r>
    </w:p>
  </w:footnote>
  <w:footnote w:id="13">
    <w:p w14:paraId="51388F67" w14:textId="5A3C1BDE" w:rsidR="000719BD" w:rsidRPr="00781BE8" w:rsidRDefault="000719BD" w:rsidP="005E4778">
      <w:pPr>
        <w:pStyle w:val="FootnoteText"/>
        <w:ind w:left="357" w:hanging="357"/>
        <w:contextualSpacing/>
      </w:pPr>
      <w:r w:rsidRPr="00781BE8">
        <w:rPr>
          <w:rStyle w:val="FootnoteReference"/>
          <w:sz w:val="20"/>
          <w:szCs w:val="20"/>
        </w:rPr>
        <w:footnoteRef/>
      </w:r>
      <w:r w:rsidR="3270FC0A" w:rsidRPr="00781BE8">
        <w:t xml:space="preserve"> </w:t>
      </w:r>
      <w:r w:rsidR="00781BE8">
        <w:tab/>
      </w:r>
      <w:r w:rsidR="001968D6" w:rsidRPr="00781BE8">
        <w:t xml:space="preserve">ICAO notes that </w:t>
      </w:r>
      <w:r w:rsidR="00D9362D" w:rsidRPr="00781BE8">
        <w:t>due to partial participation in CORSIA,</w:t>
      </w:r>
      <w:r w:rsidR="3270FC0A" w:rsidRPr="00781BE8">
        <w:t xml:space="preserve"> </w:t>
      </w:r>
      <w:r w:rsidR="006E3552" w:rsidRPr="00781BE8">
        <w:t xml:space="preserve">international aviation emissions will continue to grow above </w:t>
      </w:r>
      <w:r w:rsidR="00B32AEE" w:rsidRPr="00781BE8">
        <w:t xml:space="preserve">the </w:t>
      </w:r>
      <w:r w:rsidR="00200AE8" w:rsidRPr="00781BE8">
        <w:t>CORSIA baseline</w:t>
      </w:r>
      <w:r w:rsidR="00D34398" w:rsidRPr="00781BE8">
        <w:t xml:space="preserve"> level </w:t>
      </w:r>
      <w:r w:rsidR="00200AE8" w:rsidRPr="00781BE8">
        <w:t>(~500</w:t>
      </w:r>
      <w:r w:rsidR="00D34398" w:rsidRPr="00781BE8">
        <w:t xml:space="preserve"> MtCO</w:t>
      </w:r>
      <w:r w:rsidR="00D34398" w:rsidRPr="00781BE8">
        <w:rPr>
          <w:vertAlign w:val="subscript"/>
        </w:rPr>
        <w:t>2</w:t>
      </w:r>
      <w:r w:rsidR="00D34398" w:rsidRPr="00781BE8">
        <w:t xml:space="preserve"> </w:t>
      </w:r>
      <w:r w:rsidR="00200AE8" w:rsidRPr="00781BE8">
        <w:t>per year).</w:t>
      </w:r>
      <w:r w:rsidR="3270FC0A" w:rsidRPr="00781BE8">
        <w:t xml:space="preserve"> Source: </w:t>
      </w:r>
      <w:r w:rsidR="00C01A9A" w:rsidRPr="00781BE8">
        <w:t>ICAO</w:t>
      </w:r>
      <w:r w:rsidR="00D47552" w:rsidRPr="00781BE8">
        <w:t xml:space="preserve">, </w:t>
      </w:r>
      <w:r w:rsidR="3270FC0A" w:rsidRPr="00781BE8">
        <w:rPr>
          <w:rStyle w:val="Hyperlink"/>
          <w:i/>
          <w:iCs/>
          <w:color w:val="auto"/>
          <w:u w:val="none"/>
        </w:rPr>
        <w:t>A42-WP/28 Report – Technical Assessments in Support of the 2025 CORSIA Periodic Review</w:t>
      </w:r>
      <w:r w:rsidR="3270FC0A" w:rsidRPr="00781BE8">
        <w:rPr>
          <w:rStyle w:val="Hyperlink"/>
          <w:color w:val="auto"/>
          <w:u w:val="none"/>
        </w:rPr>
        <w:t>,</w:t>
      </w:r>
      <w:r w:rsidR="00D47552" w:rsidRPr="00781BE8">
        <w:rPr>
          <w:rStyle w:val="Hyperlink"/>
          <w:color w:val="auto"/>
          <w:u w:val="none"/>
        </w:rPr>
        <w:t xml:space="preserve"> 2025,</w:t>
      </w:r>
      <w:r w:rsidR="3270FC0A" w:rsidRPr="00781BE8">
        <w:rPr>
          <w:rStyle w:val="Hyperlink"/>
          <w:color w:val="auto"/>
          <w:u w:val="none"/>
        </w:rPr>
        <w:t xml:space="preserve"> </w:t>
      </w:r>
      <w:r w:rsidR="3270FC0A" w:rsidRPr="00781BE8">
        <w:rPr>
          <w:rStyle w:val="Hyperlink"/>
        </w:rPr>
        <w:t>https://www.icao.int/sites/default/files/Meetings/a42/Documents/WP/wp_028_en.pdf</w:t>
      </w:r>
      <w:r w:rsidR="00D47552" w:rsidRPr="00781BE8">
        <w:rPr>
          <w:rStyle w:val="Hyperlink"/>
        </w:rPr>
        <w:t>.</w:t>
      </w:r>
    </w:p>
  </w:footnote>
  <w:footnote w:id="14">
    <w:p w14:paraId="01E240E8" w14:textId="620AD50B" w:rsidR="000719BD" w:rsidRPr="00781BE8" w:rsidRDefault="000719BD" w:rsidP="005E4778">
      <w:pPr>
        <w:pStyle w:val="FootnoteText"/>
        <w:ind w:left="357" w:hanging="357"/>
        <w:contextualSpacing/>
      </w:pPr>
      <w:r w:rsidRPr="00781BE8">
        <w:rPr>
          <w:rStyle w:val="FootnoteReference"/>
          <w:sz w:val="20"/>
          <w:szCs w:val="20"/>
        </w:rPr>
        <w:footnoteRef/>
      </w:r>
      <w:r w:rsidRPr="00781BE8">
        <w:t xml:space="preserve"> </w:t>
      </w:r>
      <w:r w:rsidR="00781BE8">
        <w:tab/>
      </w:r>
      <w:r w:rsidRPr="00781BE8">
        <w:t>For aviation, ReFuelEU aviation sets targets for fuel producers to supply an increasing share of sustainable aviation fuels, starting with 2% of certain biofuels in 2025, 6% in 2030 (of which 0.7% synthetic fuels). For the maritime sector, FuelEU Maritime sets maximum limits for the yearly average greenhouse gas (GHG) intensity of the energy used by ships above 5 000 gross tonnage calling at European ports, regardless of their flag.</w:t>
      </w:r>
    </w:p>
  </w:footnote>
  <w:footnote w:id="15">
    <w:p w14:paraId="7DF826E7" w14:textId="2A1EA935" w:rsidR="6A4805C0" w:rsidRPr="00781BE8" w:rsidRDefault="6A4805C0" w:rsidP="005E4778">
      <w:pPr>
        <w:spacing w:before="0" w:after="0"/>
        <w:ind w:left="357" w:hanging="357"/>
        <w:contextualSpacing/>
        <w:rPr>
          <w:sz w:val="20"/>
          <w:szCs w:val="20"/>
        </w:rPr>
      </w:pPr>
      <w:r w:rsidRPr="00781BE8">
        <w:rPr>
          <w:rStyle w:val="FootnoteReference"/>
          <w:rFonts w:eastAsia="MS Mincho"/>
          <w:sz w:val="20"/>
          <w:szCs w:val="20"/>
        </w:rPr>
        <w:footnoteRef/>
      </w:r>
      <w:r w:rsidRPr="00781BE8">
        <w:rPr>
          <w:sz w:val="20"/>
          <w:szCs w:val="20"/>
        </w:rPr>
        <w:t xml:space="preserve"> </w:t>
      </w:r>
      <w:r w:rsidR="00781BE8">
        <w:rPr>
          <w:sz w:val="20"/>
          <w:szCs w:val="20"/>
        </w:rPr>
        <w:tab/>
      </w:r>
      <w:r w:rsidR="009A293E" w:rsidRPr="00781BE8">
        <w:rPr>
          <w:sz w:val="20"/>
          <w:szCs w:val="20"/>
        </w:rPr>
        <w:t xml:space="preserve">European Commission, </w:t>
      </w:r>
      <w:r w:rsidRPr="00781BE8">
        <w:rPr>
          <w:rFonts w:eastAsia="Times New Roman"/>
          <w:sz w:val="20"/>
          <w:szCs w:val="20"/>
        </w:rPr>
        <w:t>Commission Staff Working Document</w:t>
      </w:r>
      <w:r w:rsidR="007B1CC8" w:rsidRPr="00781BE8">
        <w:rPr>
          <w:rFonts w:eastAsia="Times New Roman"/>
          <w:sz w:val="20"/>
          <w:szCs w:val="20"/>
        </w:rPr>
        <w:t>:</w:t>
      </w:r>
      <w:r w:rsidRPr="00781BE8">
        <w:rPr>
          <w:rFonts w:eastAsia="Times New Roman"/>
          <w:sz w:val="20"/>
          <w:szCs w:val="20"/>
        </w:rPr>
        <w:t xml:space="preserve"> </w:t>
      </w:r>
      <w:r w:rsidR="007B1CC8" w:rsidRPr="00781BE8">
        <w:rPr>
          <w:rFonts w:eastAsia="Times New Roman"/>
          <w:sz w:val="20"/>
          <w:szCs w:val="20"/>
        </w:rPr>
        <w:t>I</w:t>
      </w:r>
      <w:r w:rsidRPr="00781BE8">
        <w:rPr>
          <w:rFonts w:eastAsia="Times New Roman"/>
          <w:sz w:val="20"/>
          <w:szCs w:val="20"/>
        </w:rPr>
        <w:t xml:space="preserve">mpact </w:t>
      </w:r>
      <w:r w:rsidR="007B1CC8" w:rsidRPr="00781BE8">
        <w:rPr>
          <w:rFonts w:eastAsia="Times New Roman"/>
          <w:sz w:val="20"/>
          <w:szCs w:val="20"/>
        </w:rPr>
        <w:t>A</w:t>
      </w:r>
      <w:r w:rsidRPr="00781BE8">
        <w:rPr>
          <w:rFonts w:eastAsia="Times New Roman"/>
          <w:sz w:val="20"/>
          <w:szCs w:val="20"/>
        </w:rPr>
        <w:t xml:space="preserve">ssessment </w:t>
      </w:r>
      <w:r w:rsidR="007B1CC8" w:rsidRPr="00781BE8">
        <w:rPr>
          <w:rFonts w:eastAsia="Times New Roman"/>
          <w:sz w:val="20"/>
          <w:szCs w:val="20"/>
        </w:rPr>
        <w:t>R</w:t>
      </w:r>
      <w:r w:rsidRPr="00781BE8">
        <w:rPr>
          <w:rFonts w:eastAsia="Times New Roman"/>
          <w:sz w:val="20"/>
          <w:szCs w:val="20"/>
        </w:rPr>
        <w:t>eport, Europe's 2040 climate target and path to climate neutrality by 2050 building a sustainable, just and prosperous society, Part 3,pp.164-167</w:t>
      </w:r>
      <w:r w:rsidR="008D56DC" w:rsidRPr="00781BE8">
        <w:rPr>
          <w:rFonts w:eastAsia="Times New Roman"/>
          <w:sz w:val="20"/>
          <w:szCs w:val="20"/>
        </w:rPr>
        <w:t>,</w:t>
      </w:r>
      <w:hyperlink r:id="rId10" w:history="1">
        <w:r w:rsidR="00781BE8" w:rsidRPr="00F74A30">
          <w:rPr>
            <w:rStyle w:val="Hyperlink"/>
            <w:rFonts w:eastAsia="Times New Roman"/>
            <w:sz w:val="20"/>
            <w:szCs w:val="20"/>
          </w:rPr>
          <w:t>https://eur-lex.europa.eu/resource.html?uri=cellar:6c154426-c5a6-11ee-95d9-01aa75ed71a1.0001.02/DOC_3&amp;format=PDF</w:t>
        </w:r>
      </w:hyperlink>
      <w:r w:rsidR="008D56DC" w:rsidRPr="00781BE8">
        <w:rPr>
          <w:rFonts w:eastAsia="Times New Roman"/>
          <w:sz w:val="20"/>
          <w:szCs w:val="20"/>
        </w:rPr>
        <w:t>.</w:t>
      </w:r>
    </w:p>
  </w:footnote>
  <w:footnote w:id="16">
    <w:p w14:paraId="1E2077BB" w14:textId="7582D4C1" w:rsidR="00C52671" w:rsidRPr="00781BE8" w:rsidRDefault="00C52671" w:rsidP="005E4778">
      <w:pPr>
        <w:pStyle w:val="FootnoteText"/>
        <w:ind w:left="357" w:hanging="357"/>
        <w:contextualSpacing/>
      </w:pPr>
      <w:r w:rsidRPr="00781BE8">
        <w:rPr>
          <w:rStyle w:val="FootnoteReference"/>
          <w:sz w:val="20"/>
          <w:szCs w:val="20"/>
        </w:rPr>
        <w:footnoteRef/>
      </w:r>
      <w:r w:rsidRPr="00781BE8">
        <w:t xml:space="preserve"> </w:t>
      </w:r>
      <w:r w:rsidR="00781BE8">
        <w:tab/>
      </w:r>
      <w:r w:rsidRPr="00781BE8">
        <w:t>The IDB will be placed within the governance of the future European Competitiveness Fund to ensure that both funding instruments are complementary. European Competitiveness Fund will also support decarbonisation of the EIIs. Considering the high investment needs of these sectors both instruments are needed but should be designed as complementary in the support of technologies development, types of instruments offered and role in the project’s investment journey. This will be also facilitated by the common governance framework.</w:t>
      </w:r>
    </w:p>
  </w:footnote>
  <w:footnote w:id="17">
    <w:p w14:paraId="18A003B1" w14:textId="31620EED" w:rsidR="7E4C0379" w:rsidRDefault="7E4C0379" w:rsidP="005E4778">
      <w:pPr>
        <w:spacing w:before="0" w:after="0"/>
        <w:ind w:left="357" w:hanging="357"/>
        <w:contextualSpacing/>
        <w:rPr>
          <w:rFonts w:eastAsia="Times New Roman"/>
        </w:rPr>
      </w:pPr>
      <w:r w:rsidRPr="00D757B3">
        <w:rPr>
          <w:sz w:val="20"/>
          <w:szCs w:val="20"/>
          <w:vertAlign w:val="superscript"/>
        </w:rPr>
        <w:footnoteRef/>
      </w:r>
      <w:r w:rsidR="37AD6847">
        <w:t xml:space="preserve"> </w:t>
      </w:r>
      <w:r w:rsidR="37AD6847" w:rsidRPr="00D757B3">
        <w:rPr>
          <w:rFonts w:eastAsia="MS Mincho"/>
          <w:sz w:val="20"/>
          <w:szCs w:val="20"/>
        </w:rPr>
        <w:t>Further detail in the</w:t>
      </w:r>
      <w:r w:rsidR="00D757B3">
        <w:rPr>
          <w:rFonts w:eastAsia="MS Mincho"/>
          <w:sz w:val="20"/>
          <w:szCs w:val="20"/>
        </w:rPr>
        <w:t xml:space="preserve"> Ricardo</w:t>
      </w:r>
      <w:r w:rsidR="00223AAE">
        <w:rPr>
          <w:rFonts w:eastAsia="MS Mincho"/>
          <w:sz w:val="20"/>
          <w:szCs w:val="20"/>
        </w:rPr>
        <w:t>/WSP</w:t>
      </w:r>
      <w:r w:rsidR="00D757B3">
        <w:rPr>
          <w:rFonts w:eastAsia="MS Mincho"/>
          <w:sz w:val="20"/>
          <w:szCs w:val="20"/>
        </w:rPr>
        <w:t xml:space="preserve"> (forthcoming)</w:t>
      </w:r>
      <w:r w:rsidR="00223AAE">
        <w:rPr>
          <w:rFonts w:eastAsia="MS Mincho"/>
          <w:sz w:val="20"/>
          <w:szCs w:val="20"/>
        </w:rPr>
        <w:t>,</w:t>
      </w:r>
      <w:r w:rsidR="37AD6847" w:rsidRPr="00D757B3">
        <w:rPr>
          <w:rFonts w:eastAsia="MS Mincho"/>
          <w:sz w:val="20"/>
          <w:szCs w:val="20"/>
        </w:rPr>
        <w:t xml:space="preserve"> </w:t>
      </w:r>
      <w:r w:rsidR="00D757B3" w:rsidRPr="00223AAE">
        <w:rPr>
          <w:rFonts w:eastAsia="MS Mincho"/>
          <w:i/>
          <w:iCs/>
          <w:sz w:val="20"/>
          <w:szCs w:val="20"/>
        </w:rPr>
        <w:t>S</w:t>
      </w:r>
      <w:r w:rsidR="37AD6847" w:rsidRPr="00223AAE">
        <w:rPr>
          <w:rFonts w:eastAsia="MS Mincho"/>
          <w:i/>
          <w:iCs/>
          <w:sz w:val="20"/>
          <w:szCs w:val="20"/>
        </w:rPr>
        <w:t>upport for the 2026 review of the ETS maritime study</w:t>
      </w:r>
    </w:p>
  </w:footnote>
  <w:footnote w:id="18">
    <w:p w14:paraId="7C573E15" w14:textId="74C4E59C" w:rsidR="00C76C9B" w:rsidRPr="00781BE8" w:rsidRDefault="00C76C9B" w:rsidP="005E4778">
      <w:pPr>
        <w:pStyle w:val="FootnoteText"/>
        <w:ind w:left="357" w:hanging="357"/>
        <w:contextualSpacing/>
      </w:pPr>
      <w:r w:rsidRPr="00781BE8">
        <w:rPr>
          <w:rStyle w:val="FootnoteReference"/>
          <w:sz w:val="20"/>
          <w:szCs w:val="20"/>
        </w:rPr>
        <w:footnoteRef/>
      </w:r>
      <w:r w:rsidRPr="00781BE8">
        <w:t xml:space="preserve"> </w:t>
      </w:r>
      <w:r w:rsidR="00781BE8">
        <w:tab/>
      </w:r>
      <w:r w:rsidRPr="00781BE8">
        <w:t xml:space="preserve">In scenarios for reaching the 2040 climate target, investment needs are estimated at </w:t>
      </w:r>
      <w:r w:rsidRPr="00781BE8">
        <w:rPr>
          <w:rStyle w:val="normaltextrun"/>
          <w:shd w:val="clear" w:color="auto" w:fill="FFFFFF"/>
        </w:rPr>
        <w:t xml:space="preserve">approximately EUR 30-50 billion annually between 2031 and 2040 for industry (around EUR 25-40 </w:t>
      </w:r>
      <w:r>
        <w:rPr>
          <w:rStyle w:val="normaltextrun"/>
          <w:shd w:val="clear" w:color="auto" w:fill="FFFFFF"/>
        </w:rPr>
        <w:t>billion</w:t>
      </w:r>
      <w:r w:rsidRPr="00781BE8">
        <w:rPr>
          <w:rStyle w:val="normaltextrun"/>
          <w:shd w:val="clear" w:color="auto" w:fill="FFFFFF"/>
        </w:rPr>
        <w:t xml:space="preserve"> for energy-intensive industries). </w:t>
      </w:r>
    </w:p>
  </w:footnote>
  <w:footnote w:id="19">
    <w:p w14:paraId="39F5A876" w14:textId="2BB283C5" w:rsidR="00C76C9B" w:rsidRPr="00781BE8" w:rsidRDefault="00C76C9B" w:rsidP="005E4778">
      <w:pPr>
        <w:pStyle w:val="FootnoteText"/>
        <w:ind w:left="357" w:hanging="357"/>
        <w:contextualSpacing/>
      </w:pPr>
      <w:r w:rsidRPr="00781BE8">
        <w:rPr>
          <w:rStyle w:val="FootnoteReference"/>
          <w:sz w:val="20"/>
          <w:szCs w:val="20"/>
        </w:rPr>
        <w:footnoteRef/>
      </w:r>
      <w:r w:rsidRPr="00781BE8">
        <w:t xml:space="preserve"> </w:t>
      </w:r>
      <w:r w:rsidR="00781BE8">
        <w:tab/>
      </w:r>
      <w:r w:rsidRPr="00781BE8">
        <w:t>For the bulk of technologies needed to reach the 2040 targets, the Technology Readiness Level already amounts to at least 8 (out of 9), meaning that they are in an advanced deployment stage. Examples include capture in cement production (TRL 9), low temperature industrial heat pum</w:t>
      </w:r>
      <w:r w:rsidRPr="00781BE8">
        <w:rPr>
          <w:rFonts w:eastAsia="Times New Roman"/>
          <w:lang w:eastAsia="en-GB"/>
        </w:rPr>
        <w:t>p</w:t>
      </w:r>
      <w:r w:rsidRPr="00781BE8">
        <w:t xml:space="preserve"> at TRL 9, while medium and high temperature industrial heat pumps are at lower TRL levels, as is some hydrogen-based direct iron ore reduction to produce steel (TRL 6-8).</w:t>
      </w:r>
    </w:p>
  </w:footnote>
  <w:footnote w:id="20">
    <w:p w14:paraId="38B6486C" w14:textId="19242C8A" w:rsidR="0070088B" w:rsidRPr="00781BE8" w:rsidRDefault="0070088B" w:rsidP="005E4778">
      <w:pPr>
        <w:pStyle w:val="FootnoteText"/>
        <w:ind w:left="357" w:hanging="357"/>
        <w:contextualSpacing/>
      </w:pPr>
      <w:r w:rsidRPr="00781BE8">
        <w:rPr>
          <w:rStyle w:val="FootnoteReference"/>
          <w:sz w:val="20"/>
          <w:szCs w:val="20"/>
        </w:rPr>
        <w:footnoteRef/>
      </w:r>
      <w:r w:rsidRPr="00781BE8">
        <w:t xml:space="preserve"> </w:t>
      </w:r>
      <w:r w:rsidR="00781BE8">
        <w:tab/>
      </w:r>
      <w:r w:rsidRPr="00781BE8">
        <w:t>Note that the concept of liquidity of the market, referring to the amount of allowances available for trading, should be differentiated from the concept of market tightness, which can occur regardless of the market size if the supply of allowances is very tight in relation to the demand of allowances (i.e. actual emissions).</w:t>
      </w:r>
    </w:p>
  </w:footnote>
  <w:footnote w:id="21">
    <w:p w14:paraId="0CD2FF63" w14:textId="322F8652" w:rsidR="00E4160D" w:rsidRPr="00781BE8" w:rsidRDefault="00E4160D" w:rsidP="005E4778">
      <w:pPr>
        <w:pStyle w:val="FootnoteText"/>
        <w:ind w:left="357" w:hanging="357"/>
        <w:contextualSpacing/>
      </w:pPr>
      <w:r w:rsidRPr="00781BE8">
        <w:rPr>
          <w:rStyle w:val="FootnoteReference"/>
          <w:sz w:val="20"/>
          <w:szCs w:val="20"/>
        </w:rPr>
        <w:footnoteRef/>
      </w:r>
      <w:r w:rsidRPr="00781BE8">
        <w:t xml:space="preserve"> </w:t>
      </w:r>
      <w:r w:rsidR="00781BE8">
        <w:tab/>
      </w:r>
      <w:r w:rsidR="003648A2" w:rsidRPr="00781BE8">
        <w:t>Directive (EU) 2018/2001 of the European Parliament and of the Council of 11 December 2018 on the promotion of the use of energy from renewable sources (recast)</w:t>
      </w:r>
      <w:r w:rsidR="004971F2" w:rsidRPr="00781BE8">
        <w:t xml:space="preserve"> (OJ L 328</w:t>
      </w:r>
      <w:r w:rsidR="001E604D" w:rsidRPr="00781BE8">
        <w:t>,</w:t>
      </w:r>
      <w:r w:rsidR="004971F2" w:rsidRPr="00781BE8">
        <w:t xml:space="preserve"> 21.12.2018,</w:t>
      </w:r>
      <w:r w:rsidR="001E604D" w:rsidRPr="00781BE8">
        <w:t xml:space="preserve"> </w:t>
      </w:r>
      <w:r w:rsidR="000A5500" w:rsidRPr="00781BE8">
        <w:t>ELI: </w:t>
      </w:r>
      <w:hyperlink r:id="rId11" w:tooltip="Gives access to this document through its ELI URI." w:history="1">
        <w:r w:rsidR="000A5500" w:rsidRPr="00781BE8">
          <w:rPr>
            <w:rStyle w:val="Hyperlink"/>
          </w:rPr>
          <w:t>http://data.europa.eu/eli/dir/2018/2001/2024-07-16</w:t>
        </w:r>
      </w:hyperlink>
      <w:r w:rsidR="004971F2" w:rsidRPr="00781BE8">
        <w:t>)</w:t>
      </w:r>
      <w:r w:rsidR="000A5500" w:rsidRPr="00781BE8">
        <w:t>.</w:t>
      </w:r>
    </w:p>
  </w:footnote>
  <w:footnote w:id="22">
    <w:p w14:paraId="5FD65410" w14:textId="6440CC15" w:rsidR="002736DB" w:rsidRPr="00781BE8" w:rsidRDefault="00E4160D" w:rsidP="005E4778">
      <w:pPr>
        <w:pStyle w:val="FootnoteText"/>
        <w:ind w:left="357" w:hanging="357"/>
        <w:contextualSpacing/>
      </w:pPr>
      <w:r w:rsidRPr="00781BE8">
        <w:rPr>
          <w:rStyle w:val="FootnoteReference"/>
          <w:sz w:val="20"/>
          <w:szCs w:val="20"/>
        </w:rPr>
        <w:footnoteRef/>
      </w:r>
      <w:r w:rsidRPr="00781BE8">
        <w:t xml:space="preserve"> </w:t>
      </w:r>
      <w:r w:rsidR="00781BE8">
        <w:tab/>
      </w:r>
      <w:r w:rsidR="00051055" w:rsidRPr="00781BE8">
        <w:t xml:space="preserve">Regulation (EU) 2024/1028 of the European Parliament and of the Council of 11 April 2024 on data collection and sharing relating to short-term accommodation rental services and amending Regulation (EU) </w:t>
      </w:r>
    </w:p>
    <w:p w14:paraId="123BE293" w14:textId="707933CB" w:rsidR="00E4160D" w:rsidRPr="00781BE8" w:rsidRDefault="00051055" w:rsidP="005E4778">
      <w:pPr>
        <w:pStyle w:val="FootnoteText"/>
        <w:ind w:left="357"/>
        <w:contextualSpacing/>
        <w:rPr>
          <w:lang w:val="es-ES"/>
        </w:rPr>
      </w:pPr>
      <w:r w:rsidRPr="00781BE8">
        <w:rPr>
          <w:lang w:val="es-ES"/>
        </w:rPr>
        <w:t xml:space="preserve">2018/1724 </w:t>
      </w:r>
      <w:r w:rsidR="00D14CF8" w:rsidRPr="00781BE8">
        <w:rPr>
          <w:lang w:val="es-ES"/>
        </w:rPr>
        <w:t>(OJ L</w:t>
      </w:r>
      <w:r w:rsidR="000A2453" w:rsidRPr="00781BE8">
        <w:rPr>
          <w:lang w:val="es-ES"/>
        </w:rPr>
        <w:t>,</w:t>
      </w:r>
      <w:r w:rsidR="000A2453" w:rsidRPr="00781BE8">
        <w:rPr>
          <w:i/>
          <w:iCs/>
          <w:lang w:val="es-ES"/>
        </w:rPr>
        <w:t> </w:t>
      </w:r>
      <w:r w:rsidR="000A2453" w:rsidRPr="00781BE8">
        <w:rPr>
          <w:lang w:val="es-ES"/>
        </w:rPr>
        <w:t>2024/1028</w:t>
      </w:r>
      <w:r w:rsidR="00D14CF8" w:rsidRPr="00781BE8">
        <w:rPr>
          <w:lang w:val="es-ES"/>
        </w:rPr>
        <w:t>, 29.4.2024, ELI: </w:t>
      </w:r>
      <w:r>
        <w:rPr>
          <w:lang w:val="es-ES"/>
        </w:rPr>
        <w:t>http://data.europa.eu/eli/reg/2024/1028/oj</w:t>
      </w:r>
    </w:p>
  </w:footnote>
  <w:footnote w:id="23">
    <w:p w14:paraId="6921E586" w14:textId="24E228BB" w:rsidR="00E4160D" w:rsidRPr="00781BE8" w:rsidRDefault="00E4160D" w:rsidP="005E4778">
      <w:pPr>
        <w:pStyle w:val="FootnoteText"/>
        <w:ind w:left="357" w:hanging="357"/>
        <w:contextualSpacing/>
        <w:rPr>
          <w:lang w:val="en"/>
        </w:rPr>
      </w:pPr>
      <w:r w:rsidRPr="00781BE8">
        <w:rPr>
          <w:rStyle w:val="FootnoteReference"/>
          <w:sz w:val="20"/>
          <w:szCs w:val="20"/>
        </w:rPr>
        <w:footnoteRef/>
      </w:r>
      <w:r w:rsidRPr="00781BE8">
        <w:t xml:space="preserve"> </w:t>
      </w:r>
      <w:r w:rsidR="00781BE8">
        <w:tab/>
      </w:r>
      <w:r w:rsidR="00153D09" w:rsidRPr="00781BE8">
        <w:t xml:space="preserve">Directive 2008/98/EC of the European Parliament and of the Council of 19 November 2008 on waste and repealing certain Directives </w:t>
      </w:r>
      <w:r w:rsidR="00AE1472" w:rsidRPr="00781BE8">
        <w:t>(OJ L 312, 22.11.2008, </w:t>
      </w:r>
      <w:r w:rsidR="00AE1472" w:rsidRPr="00781BE8">
        <w:rPr>
          <w:lang w:val="en"/>
        </w:rPr>
        <w:t>ELI: </w:t>
      </w:r>
      <w:hyperlink r:id="rId12" w:tooltip="Gives access to this document through its ELI URI." w:history="1">
        <w:r w:rsidR="00AE1472" w:rsidRPr="00781BE8">
          <w:rPr>
            <w:rStyle w:val="Hyperlink"/>
            <w:lang w:val="en"/>
          </w:rPr>
          <w:t>http://data.europa.eu/eli/dir/2008/98/oj</w:t>
        </w:r>
      </w:hyperlink>
      <w:r w:rsidR="00AE1472" w:rsidRPr="00781BE8">
        <w:rPr>
          <w:lang w:val="en"/>
        </w:rPr>
        <w:t>).</w:t>
      </w:r>
    </w:p>
  </w:footnote>
  <w:footnote w:id="24">
    <w:p w14:paraId="3B0E71B0" w14:textId="1BDCEDFF" w:rsidR="000131DD" w:rsidRPr="00781BE8" w:rsidRDefault="000131DD" w:rsidP="005E4778">
      <w:pPr>
        <w:pStyle w:val="FootnoteText"/>
        <w:ind w:left="357" w:hanging="357"/>
        <w:contextualSpacing/>
      </w:pPr>
      <w:r w:rsidRPr="00781BE8">
        <w:rPr>
          <w:rStyle w:val="FootnoteReference"/>
          <w:sz w:val="20"/>
          <w:szCs w:val="20"/>
        </w:rPr>
        <w:footnoteRef/>
      </w:r>
      <w:r w:rsidRPr="00781BE8">
        <w:t xml:space="preserve"> </w:t>
      </w:r>
      <w:r w:rsidR="00167933" w:rsidRPr="00781BE8">
        <w:t>Council Directive 1999/31/EC of 26 April 1999 on the landfill of waste</w:t>
      </w:r>
      <w:r w:rsidR="00E87FED" w:rsidRPr="00781BE8">
        <w:t xml:space="preserve"> (OJ L 182, 16.7.1999, ELI: </w:t>
      </w:r>
      <w:hyperlink r:id="rId13" w:tooltip="Gives access to this document through its ELI URI." w:history="1">
        <w:r w:rsidR="00E87FED" w:rsidRPr="00781BE8">
          <w:rPr>
            <w:rStyle w:val="Hyperlink"/>
          </w:rPr>
          <w:t>http://data.europa.eu/eli/dir/1999/31/oj</w:t>
        </w:r>
      </w:hyperlink>
      <w:r w:rsidR="00E87FED" w:rsidRPr="00781BE8">
        <w:t>).</w:t>
      </w:r>
    </w:p>
  </w:footnote>
  <w:footnote w:id="25">
    <w:p w14:paraId="5FF025A8" w14:textId="13416561" w:rsidR="00CE7A4A" w:rsidRPr="00781BE8" w:rsidRDefault="00CE7A4A" w:rsidP="005E4778">
      <w:pPr>
        <w:pStyle w:val="FootnoteText"/>
        <w:ind w:left="357" w:hanging="357"/>
        <w:contextualSpacing/>
        <w:rPr>
          <w:lang w:val="en"/>
        </w:rPr>
      </w:pPr>
      <w:r w:rsidRPr="00781BE8">
        <w:rPr>
          <w:rStyle w:val="FootnoteReference"/>
          <w:sz w:val="20"/>
          <w:szCs w:val="20"/>
        </w:rPr>
        <w:footnoteRef/>
      </w:r>
      <w:r w:rsidRPr="00781BE8">
        <w:t xml:space="preserve"> </w:t>
      </w:r>
      <w:r w:rsidR="00781BE8">
        <w:tab/>
      </w:r>
      <w:r w:rsidRPr="00781BE8">
        <w:t>Regulation (EU) 2023/2405 of the European Parliament and of the Council of 18 October 2023 on ensuring a level playing field for sustainable air transport (ReFuelEU Aviation)</w:t>
      </w:r>
      <w:r w:rsidR="009667DC" w:rsidRPr="00781BE8">
        <w:t xml:space="preserve"> (OJ L, 2023/2405, </w:t>
      </w:r>
      <w:r w:rsidR="009667DC" w:rsidRPr="00781BE8">
        <w:rPr>
          <w:lang w:val="en"/>
        </w:rPr>
        <w:t>ELI: </w:t>
      </w:r>
      <w:hyperlink r:id="rId14" w:tooltip="Gives access to this document through its ELI URI." w:history="1">
        <w:r w:rsidR="009667DC" w:rsidRPr="00781BE8">
          <w:rPr>
            <w:rStyle w:val="Hyperlink"/>
            <w:lang w:val="en"/>
          </w:rPr>
          <w:t>http://data.europa.eu/eli/reg/2023/2405/oj</w:t>
        </w:r>
      </w:hyperlink>
      <w:r w:rsidR="009667DC" w:rsidRPr="00781BE8">
        <w:rPr>
          <w:lang w:val="en"/>
        </w:rPr>
        <w:t>)</w:t>
      </w:r>
    </w:p>
  </w:footnote>
  <w:footnote w:id="26">
    <w:p w14:paraId="1F1159C1" w14:textId="4EDAECBD" w:rsidR="00512ECA" w:rsidRPr="00781BE8" w:rsidRDefault="00512ECA" w:rsidP="005E4778">
      <w:pPr>
        <w:pStyle w:val="FootnoteText"/>
        <w:ind w:left="357" w:hanging="357"/>
        <w:contextualSpacing/>
        <w:rPr>
          <w:lang w:val="en"/>
        </w:rPr>
      </w:pPr>
      <w:r w:rsidRPr="00781BE8">
        <w:rPr>
          <w:rStyle w:val="FootnoteReference"/>
          <w:sz w:val="20"/>
          <w:szCs w:val="20"/>
        </w:rPr>
        <w:footnoteRef/>
      </w:r>
      <w:r w:rsidRPr="00781BE8">
        <w:t xml:space="preserve"> </w:t>
      </w:r>
      <w:r w:rsidR="00781BE8">
        <w:tab/>
      </w:r>
      <w:r w:rsidR="00FF5118" w:rsidRPr="00781BE8">
        <w:t>Regulation (EU) 2023/1805 of the European Parliament and of the Council of 13 September 2023 on the use of renewable and low-carbon fuels in maritime transport</w:t>
      </w:r>
      <w:r w:rsidR="00972D80" w:rsidRPr="00781BE8">
        <w:t xml:space="preserve"> (OJ L 234, 22.9.2023, </w:t>
      </w:r>
      <w:r w:rsidR="00972D80" w:rsidRPr="00781BE8">
        <w:rPr>
          <w:lang w:val="en"/>
        </w:rPr>
        <w:t>ELI: </w:t>
      </w:r>
      <w:hyperlink r:id="rId15" w:tooltip="Gives access to this document through its ELI URI." w:history="1">
        <w:r w:rsidR="00972D80" w:rsidRPr="00781BE8">
          <w:rPr>
            <w:rStyle w:val="Hyperlink"/>
            <w:lang w:val="en"/>
          </w:rPr>
          <w:t>http://data.europa.eu/eli/reg/2023/1805/oj</w:t>
        </w:r>
      </w:hyperlink>
      <w:r w:rsidR="00972D80" w:rsidRPr="00781BE8">
        <w:rPr>
          <w:lang w:val="en"/>
        </w:rPr>
        <w:t>).</w:t>
      </w:r>
    </w:p>
  </w:footnote>
  <w:footnote w:id="27">
    <w:p w14:paraId="35C00337" w14:textId="3FB8F8D5" w:rsidR="000F0A40" w:rsidRPr="00781BE8" w:rsidRDefault="000F0A40" w:rsidP="005E4778">
      <w:pPr>
        <w:pStyle w:val="FootnoteText"/>
        <w:ind w:left="357" w:hanging="357"/>
        <w:contextualSpacing/>
      </w:pPr>
      <w:r w:rsidRPr="00781BE8">
        <w:rPr>
          <w:rStyle w:val="FootnoteReference"/>
          <w:sz w:val="20"/>
          <w:szCs w:val="20"/>
        </w:rPr>
        <w:footnoteRef/>
      </w:r>
      <w:r w:rsidRPr="00781BE8">
        <w:t xml:space="preserve"> </w:t>
      </w:r>
      <w:r w:rsidR="00781BE8">
        <w:tab/>
      </w:r>
      <w:r w:rsidRPr="00781BE8">
        <w:t>For maritime, the ETS Directive applies to ships of or above 5 000 gross tonnage. All emissions of voyages between EU ports, as well as emissions within EU ports are covered but only 50% of emissions of voyages between EU and non-EU ports. Methane and nitrous oxide emissions from maritime transport are covered under the ETS1 as from 2026 and emissions from large offshore vessels will be covered as from 2027.</w:t>
      </w:r>
    </w:p>
  </w:footnote>
  <w:footnote w:id="28">
    <w:p w14:paraId="68FF1BF2" w14:textId="271D067B" w:rsidR="008B58C9" w:rsidRPr="00781BE8" w:rsidRDefault="008B58C9" w:rsidP="005E4778">
      <w:pPr>
        <w:pStyle w:val="FootnoteText"/>
        <w:ind w:left="357" w:hanging="357"/>
        <w:contextualSpacing/>
      </w:pPr>
      <w:r w:rsidRPr="00781BE8">
        <w:rPr>
          <w:rStyle w:val="FootnoteReference"/>
          <w:sz w:val="20"/>
          <w:szCs w:val="20"/>
        </w:rPr>
        <w:footnoteRef/>
      </w:r>
      <w:r w:rsidRPr="00781BE8">
        <w:t xml:space="preserve"> </w:t>
      </w:r>
      <w:r>
        <w:tab/>
      </w:r>
      <w:r w:rsidR="00F3450D" w:rsidRPr="00781BE8">
        <w:t>COM(2024) 63 final</w:t>
      </w:r>
    </w:p>
  </w:footnote>
  <w:footnote w:id="29">
    <w:p w14:paraId="3EA483B6" w14:textId="4A2992D7" w:rsidR="008C24E2" w:rsidRPr="00781BE8" w:rsidRDefault="008C24E2" w:rsidP="005E4778">
      <w:pPr>
        <w:pStyle w:val="FootnoteText"/>
        <w:ind w:left="357" w:hanging="357"/>
        <w:contextualSpacing/>
      </w:pPr>
      <w:r w:rsidRPr="00781BE8">
        <w:rPr>
          <w:rStyle w:val="FootnoteReference"/>
          <w:sz w:val="20"/>
          <w:szCs w:val="20"/>
        </w:rPr>
        <w:footnoteRef/>
      </w:r>
      <w:r w:rsidRPr="00781BE8">
        <w:t xml:space="preserve"> </w:t>
      </w:r>
      <w:r w:rsidR="00A01EA6">
        <w:tab/>
      </w:r>
      <w:r w:rsidRPr="00781BE8">
        <w:t xml:space="preserve">PO1 </w:t>
      </w:r>
      <w:r w:rsidR="00FB6585" w:rsidRPr="00781BE8">
        <w:t>providing relative certainty in both, under the condition that the public authority receives sufficient financing; PO2 providing certainty on net emissions; and PO3 providing certainty on gross emissions.</w:t>
      </w:r>
    </w:p>
  </w:footnote>
  <w:footnote w:id="30">
    <w:p w14:paraId="2C745607" w14:textId="3B818473" w:rsidR="00BB66DA" w:rsidRPr="00781BE8" w:rsidRDefault="00BB66DA" w:rsidP="005E4778">
      <w:pPr>
        <w:pStyle w:val="FootnoteText"/>
        <w:ind w:left="357" w:hanging="357"/>
        <w:contextualSpacing/>
      </w:pPr>
      <w:r w:rsidRPr="00781BE8">
        <w:rPr>
          <w:rStyle w:val="FootnoteReference"/>
          <w:sz w:val="20"/>
          <w:szCs w:val="20"/>
        </w:rPr>
        <w:footnoteRef/>
      </w:r>
      <w:r w:rsidRPr="00781BE8">
        <w:t xml:space="preserve"> </w:t>
      </w:r>
      <w:r w:rsidR="00A01EA6">
        <w:tab/>
      </w:r>
      <w:r w:rsidRPr="00781BE8">
        <w:t>As explained in Annex 8</w:t>
      </w:r>
      <w:r w:rsidR="00452381" w:rsidRPr="00781BE8">
        <w:t xml:space="preserve"> – Part II</w:t>
      </w:r>
      <w:r w:rsidR="00C677E7" w:rsidRPr="00781BE8">
        <w:t>,</w:t>
      </w:r>
      <w:r w:rsidRPr="00781BE8">
        <w:t xml:space="preserve"> all measures consider only the inclusion of CCS-based permanent carbon removals certified under the CRCF (BioCCS and DACCS) generated inside or outside the ETS.</w:t>
      </w:r>
    </w:p>
  </w:footnote>
  <w:footnote w:id="31">
    <w:p w14:paraId="4541707D" w14:textId="14B6FCAA" w:rsidR="00BB66DA" w:rsidRPr="00781BE8" w:rsidRDefault="00BB66DA" w:rsidP="005E4778">
      <w:pPr>
        <w:pStyle w:val="FootnoteText"/>
        <w:ind w:left="357" w:hanging="357"/>
        <w:contextualSpacing/>
      </w:pPr>
      <w:r w:rsidRPr="00781BE8">
        <w:rPr>
          <w:rStyle w:val="FootnoteReference"/>
          <w:sz w:val="20"/>
          <w:szCs w:val="20"/>
        </w:rPr>
        <w:footnoteRef/>
      </w:r>
      <w:r w:rsidRPr="00781BE8">
        <w:t xml:space="preserve"> </w:t>
      </w:r>
      <w:r w:rsidR="00A01EA6">
        <w:tab/>
      </w:r>
      <w:r w:rsidRPr="00781BE8">
        <w:t xml:space="preserve">On top of the cap, refers to when gross emissions are limited by the cap plus the number of allowable removal units; under the cap, to where </w:t>
      </w:r>
      <w:r w:rsidR="003635E1" w:rsidRPr="00781BE8">
        <w:t>the cap determined the gross emissions level and</w:t>
      </w:r>
      <w:r w:rsidRPr="00781BE8">
        <w:t xml:space="preserve"> removal units </w:t>
      </w:r>
      <w:r w:rsidR="003635E1" w:rsidRPr="00781BE8">
        <w:t xml:space="preserve">do not generate additional emissions </w:t>
      </w:r>
      <w:r w:rsidR="006C7A26" w:rsidRPr="00781BE8">
        <w:t>space</w:t>
      </w:r>
      <w:r w:rsidRPr="00781BE8">
        <w:t xml:space="preserve">. For further explanations see </w:t>
      </w:r>
      <w:r w:rsidR="007A4FED">
        <w:t>S</w:t>
      </w:r>
      <w:r w:rsidRPr="00781BE8">
        <w:t>ection 2.1. of Annex 8</w:t>
      </w:r>
      <w:r w:rsidR="00452381" w:rsidRPr="00781BE8">
        <w:t xml:space="preserve"> – Part II</w:t>
      </w:r>
      <w:r w:rsidRPr="00781BE8">
        <w:t>.</w:t>
      </w:r>
    </w:p>
  </w:footnote>
  <w:footnote w:id="32">
    <w:p w14:paraId="524E2578" w14:textId="4F61A80F" w:rsidR="008F33C0" w:rsidRPr="00781BE8" w:rsidRDefault="008F33C0" w:rsidP="005E4778">
      <w:pPr>
        <w:pStyle w:val="FootnoteText"/>
        <w:ind w:left="357" w:hanging="357"/>
        <w:contextualSpacing/>
      </w:pPr>
      <w:r w:rsidRPr="00781BE8">
        <w:rPr>
          <w:rStyle w:val="FootnoteReference"/>
          <w:sz w:val="20"/>
          <w:szCs w:val="20"/>
        </w:rPr>
        <w:footnoteRef/>
      </w:r>
      <w:r w:rsidRPr="00781BE8">
        <w:t xml:space="preserve"> </w:t>
      </w:r>
      <w:r w:rsidR="00A01EA6">
        <w:tab/>
      </w:r>
      <w:r w:rsidR="002B08C1" w:rsidRPr="00781BE8">
        <w:t>For an overview of carbon pricing instruments, s</w:t>
      </w:r>
      <w:r w:rsidRPr="00781BE8">
        <w:t>ee Annex B</w:t>
      </w:r>
      <w:r w:rsidR="00A34ADB" w:rsidRPr="00781BE8">
        <w:t xml:space="preserve"> of </w:t>
      </w:r>
      <w:r w:rsidR="002B08C1" w:rsidRPr="00781BE8">
        <w:t xml:space="preserve">World Bank, </w:t>
      </w:r>
      <w:r w:rsidR="00A34ADB" w:rsidRPr="00781BE8">
        <w:rPr>
          <w:i/>
          <w:iCs/>
        </w:rPr>
        <w:t>State and Trends of Carbon Pricing 2025</w:t>
      </w:r>
      <w:r w:rsidR="002B08C1" w:rsidRPr="00781BE8">
        <w:t>,</w:t>
      </w:r>
      <w:r w:rsidR="0027669C" w:rsidRPr="00781BE8">
        <w:t xml:space="preserve"> </w:t>
      </w:r>
      <w:hyperlink r:id="rId16" w:history="1">
        <w:r w:rsidR="002B08C1" w:rsidRPr="00781BE8">
          <w:rPr>
            <w:rStyle w:val="Hyperlink"/>
          </w:rPr>
          <w:t>https://www.worldbank.org/en/publication/state-and-trends-of-carbon-pricing</w:t>
        </w:r>
      </w:hyperlink>
      <w:r w:rsidR="002B08C1" w:rsidRPr="00781BE8">
        <w:t>.</w:t>
      </w:r>
    </w:p>
  </w:footnote>
  <w:footnote w:id="33">
    <w:p w14:paraId="2059D0AD" w14:textId="4B3628A8" w:rsidR="00453CDA" w:rsidRPr="00781BE8" w:rsidRDefault="00453CDA" w:rsidP="005E4778">
      <w:pPr>
        <w:pStyle w:val="FootnoteText"/>
        <w:ind w:left="357" w:hanging="357"/>
        <w:contextualSpacing/>
      </w:pPr>
      <w:r w:rsidRPr="00781BE8">
        <w:rPr>
          <w:rStyle w:val="FootnoteReference"/>
          <w:sz w:val="20"/>
          <w:szCs w:val="20"/>
        </w:rPr>
        <w:footnoteRef/>
      </w:r>
      <w:r w:rsidRPr="00781BE8">
        <w:t xml:space="preserve"> </w:t>
      </w:r>
      <w:r w:rsidR="00A01EA6">
        <w:tab/>
      </w:r>
      <w:r w:rsidRPr="00781BE8">
        <w:t xml:space="preserve">Eligible for inclusion based on the assessment carried out in Annex </w:t>
      </w:r>
      <w:r w:rsidR="004010E8" w:rsidRPr="00781BE8">
        <w:t>8</w:t>
      </w:r>
      <w:r w:rsidRPr="00781BE8">
        <w:t>: removals from DACCS, and for BECCS stored underground and removals from biomass processing and stored underground (jointly called ‘BioCCS’</w:t>
      </w:r>
      <w:r w:rsidR="00C20352" w:rsidRPr="00781BE8">
        <w:t>).</w:t>
      </w:r>
    </w:p>
  </w:footnote>
  <w:footnote w:id="34">
    <w:p w14:paraId="65A43AA8" w14:textId="77C28C9F" w:rsidR="00FA6C5F" w:rsidRPr="00781BE8" w:rsidRDefault="00FA6C5F" w:rsidP="005E4778">
      <w:pPr>
        <w:pStyle w:val="FootnoteText"/>
        <w:ind w:left="357" w:hanging="357"/>
        <w:contextualSpacing/>
      </w:pPr>
      <w:r w:rsidRPr="00781BE8">
        <w:rPr>
          <w:rStyle w:val="FootnoteReference"/>
          <w:sz w:val="20"/>
          <w:szCs w:val="20"/>
        </w:rPr>
        <w:footnoteRef/>
      </w:r>
      <w:r w:rsidRPr="00781BE8">
        <w:t xml:space="preserve"> </w:t>
      </w:r>
      <w:r w:rsidR="00A01EA6">
        <w:tab/>
      </w:r>
      <w:r w:rsidRPr="00781BE8">
        <w:t xml:space="preserve">See </w:t>
      </w:r>
      <w:r w:rsidR="0027669C" w:rsidRPr="00781BE8">
        <w:t>T</w:t>
      </w:r>
      <w:r w:rsidRPr="00781BE8">
        <w:t xml:space="preserve">able </w:t>
      </w:r>
      <w:r w:rsidR="00F47F33" w:rsidRPr="00781BE8">
        <w:t>3</w:t>
      </w:r>
      <w:r w:rsidRPr="00781BE8">
        <w:t xml:space="preserve"> in Annex </w:t>
      </w:r>
      <w:r w:rsidR="004010E8" w:rsidRPr="00781BE8">
        <w:t>8</w:t>
      </w:r>
      <w:r w:rsidR="00F47F33" w:rsidRPr="00781BE8">
        <w:t xml:space="preserve"> – Part II</w:t>
      </w:r>
      <w:r w:rsidR="004010E8" w:rsidRPr="00781BE8">
        <w:t>.</w:t>
      </w:r>
      <w:r w:rsidRPr="00781BE8">
        <w:t xml:space="preserve"> </w:t>
      </w:r>
    </w:p>
  </w:footnote>
  <w:footnote w:id="35">
    <w:p w14:paraId="334E42EB" w14:textId="1A304E8F" w:rsidR="00C52BD9" w:rsidRPr="00781BE8" w:rsidRDefault="00C52BD9" w:rsidP="005E4778">
      <w:pPr>
        <w:pStyle w:val="FootnoteText"/>
        <w:ind w:left="357" w:hanging="357"/>
        <w:contextualSpacing/>
      </w:pPr>
      <w:r w:rsidRPr="00781BE8">
        <w:rPr>
          <w:rStyle w:val="FootnoteReference"/>
          <w:sz w:val="20"/>
          <w:szCs w:val="20"/>
        </w:rPr>
        <w:footnoteRef/>
      </w:r>
      <w:r w:rsidRPr="00781BE8">
        <w:t xml:space="preserve"> </w:t>
      </w:r>
      <w:r w:rsidR="00A01EA6">
        <w:tab/>
      </w:r>
      <w:r w:rsidRPr="00781BE8">
        <w:t>As shown in Annex 8</w:t>
      </w:r>
      <w:r w:rsidR="00F47F33" w:rsidRPr="00781BE8">
        <w:t xml:space="preserve"> – Part II</w:t>
      </w:r>
      <w:r w:rsidRPr="00781BE8">
        <w:t>, by 2040 removals can cover 10</w:t>
      </w:r>
      <w:r w:rsidR="00F47F33" w:rsidRPr="00781BE8">
        <w:t>-13</w:t>
      </w:r>
      <w:r w:rsidRPr="00781BE8">
        <w:t xml:space="preserve">% of the gross emissions of the ETS </w:t>
      </w:r>
      <w:r w:rsidR="00F47F33" w:rsidRPr="00781BE8">
        <w:t>by 2040</w:t>
      </w:r>
      <w:r w:rsidRPr="00781BE8">
        <w:t>.</w:t>
      </w:r>
    </w:p>
  </w:footnote>
  <w:footnote w:id="36">
    <w:p w14:paraId="1976303F" w14:textId="4A42904D" w:rsidR="00653128" w:rsidRPr="00781BE8" w:rsidRDefault="00653128" w:rsidP="005E4778">
      <w:pPr>
        <w:pStyle w:val="FootnoteText"/>
        <w:ind w:left="357" w:hanging="357"/>
        <w:contextualSpacing/>
        <w:rPr>
          <w:i/>
          <w:iCs/>
        </w:rPr>
      </w:pPr>
      <w:r w:rsidRPr="00781BE8">
        <w:rPr>
          <w:rStyle w:val="FootnoteReference"/>
          <w:sz w:val="20"/>
          <w:szCs w:val="20"/>
        </w:rPr>
        <w:footnoteRef/>
      </w:r>
      <w:r w:rsidRPr="00781BE8">
        <w:t xml:space="preserve"> </w:t>
      </w:r>
      <w:r w:rsidR="00A01EA6">
        <w:tab/>
      </w:r>
      <w:r w:rsidRPr="00781BE8">
        <w:t xml:space="preserve">Based on technology costs from </w:t>
      </w:r>
      <w:r w:rsidR="006F133E" w:rsidRPr="00781BE8">
        <w:t xml:space="preserve">European Commission: Directorate-General for Climate Action, Ramboll Management Consulting, Witteveen, E., Marton, C., Bert, N. et al., </w:t>
      </w:r>
      <w:r w:rsidR="006F133E" w:rsidRPr="00781BE8">
        <w:rPr>
          <w:i/>
          <w:iCs/>
        </w:rPr>
        <w:t>Carbon removals in the EU – Review of current carbon removal projects and early-stage financing</w:t>
      </w:r>
      <w:r w:rsidR="006F133E" w:rsidRPr="00781BE8">
        <w:t xml:space="preserve">, Publications Office of the European Union, 2025, </w:t>
      </w:r>
      <w:hyperlink r:id="rId17" w:history="1">
        <w:r w:rsidR="006F133E" w:rsidRPr="00781BE8">
          <w:rPr>
            <w:rStyle w:val="Hyperlink"/>
          </w:rPr>
          <w:t>https://data.europa.eu/doi/10.2834/0004994</w:t>
        </w:r>
      </w:hyperlink>
      <w:r w:rsidR="006F133E" w:rsidRPr="00781BE8">
        <w:t>.</w:t>
      </w:r>
    </w:p>
  </w:footnote>
  <w:footnote w:id="37">
    <w:p w14:paraId="36334B53" w14:textId="1B27D319" w:rsidR="003F7FDC" w:rsidRPr="00781BE8" w:rsidRDefault="003F7FDC" w:rsidP="005E4778">
      <w:pPr>
        <w:pStyle w:val="FootnoteText"/>
        <w:ind w:left="357" w:hanging="357"/>
        <w:contextualSpacing/>
      </w:pPr>
      <w:r w:rsidRPr="00781BE8">
        <w:rPr>
          <w:rStyle w:val="FootnoteReference"/>
          <w:sz w:val="20"/>
          <w:szCs w:val="20"/>
        </w:rPr>
        <w:footnoteRef/>
      </w:r>
      <w:r w:rsidRPr="00781BE8">
        <w:t xml:space="preserve"> </w:t>
      </w:r>
      <w:r w:rsidR="00A01EA6">
        <w:tab/>
      </w:r>
      <w:r w:rsidRPr="00781BE8">
        <w:t xml:space="preserve">PO2 and PO3 are designed without support measures </w:t>
      </w:r>
      <w:r w:rsidR="00170A19" w:rsidRPr="00781BE8">
        <w:t xml:space="preserve">because the private integration option allows for it, while the public authority integration, per definition does not. These differences in design allow testing the range of results. </w:t>
      </w:r>
      <w:r w:rsidR="00E9148D" w:rsidRPr="00781BE8">
        <w:t xml:space="preserve">See </w:t>
      </w:r>
      <w:r w:rsidR="00064578">
        <w:t>S</w:t>
      </w:r>
      <w:r w:rsidR="00E9148D" w:rsidRPr="00781BE8">
        <w:t xml:space="preserve">ection 4.6.3 in Annex 8 </w:t>
      </w:r>
      <w:r w:rsidR="00AC5721" w:rsidRPr="00781BE8">
        <w:t xml:space="preserve">– Part II </w:t>
      </w:r>
      <w:r w:rsidR="00E9148D" w:rsidRPr="00781BE8">
        <w:t xml:space="preserve">for more details on how the support would operate. </w:t>
      </w:r>
    </w:p>
  </w:footnote>
  <w:footnote w:id="38">
    <w:p w14:paraId="076E6DF4" w14:textId="5601F721" w:rsidR="00DE4E52" w:rsidRPr="00781BE8" w:rsidRDefault="00DE4E52" w:rsidP="005E4778">
      <w:pPr>
        <w:pStyle w:val="FootnoteText"/>
        <w:ind w:left="357" w:hanging="357"/>
        <w:contextualSpacing/>
      </w:pPr>
      <w:r w:rsidRPr="00781BE8">
        <w:rPr>
          <w:rStyle w:val="FootnoteReference"/>
          <w:sz w:val="20"/>
          <w:szCs w:val="20"/>
        </w:rPr>
        <w:footnoteRef/>
      </w:r>
      <w:r w:rsidRPr="00781BE8">
        <w:t xml:space="preserve"> </w:t>
      </w:r>
      <w:r w:rsidR="00A01EA6">
        <w:tab/>
      </w:r>
      <w:r w:rsidRPr="00781BE8">
        <w:t>Abatement deterrence lies at the heart of the Commission consideration of the possible inclusion of removals in the EU ETS. Article 30 paragraph 5(a) requires the Commission to consider “safeguards to ensure that such removals do not offset necessary emission reductions in accordance with Union climate targets laid down in Regulation (EU) 2021/1119”. The effect by which removals could displace emission reductions is often referred to as ‘mitigation deterrence’. However, ‘mitigation deterrence’ can be a misleading term, as CDR is also a type of mitigation action (Honegger et al.</w:t>
      </w:r>
      <w:r w:rsidR="00243C5F" w:rsidRPr="00781BE8">
        <w:t xml:space="preserve">, </w:t>
      </w:r>
      <w:r w:rsidR="00243C5F" w:rsidRPr="00781BE8">
        <w:rPr>
          <w:i/>
          <w:iCs/>
        </w:rPr>
        <w:t>Is carbon dioxide removal ‘mitigation of climate change</w:t>
      </w:r>
      <w:r w:rsidR="00255A46" w:rsidRPr="00781BE8">
        <w:rPr>
          <w:i/>
          <w:iCs/>
        </w:rPr>
        <w:t>’</w:t>
      </w:r>
      <w:r w:rsidR="00243C5F" w:rsidRPr="00781BE8">
        <w:rPr>
          <w:i/>
          <w:iCs/>
        </w:rPr>
        <w:t>?</w:t>
      </w:r>
      <w:r w:rsidR="00243C5F" w:rsidRPr="00781BE8">
        <w:t xml:space="preserve">, </w:t>
      </w:r>
      <w:r w:rsidRPr="00781BE8">
        <w:t>2021</w:t>
      </w:r>
      <w:r w:rsidR="00B80E5E" w:rsidRPr="00781BE8">
        <w:t xml:space="preserve">, </w:t>
      </w:r>
      <w:hyperlink r:id="rId18" w:history="1">
        <w:r w:rsidR="00B80E5E" w:rsidRPr="00781BE8">
          <w:rPr>
            <w:rStyle w:val="Hyperlink"/>
          </w:rPr>
          <w:t>https://doi.org/10.1111/reel.12401</w:t>
        </w:r>
      </w:hyperlink>
      <w:r w:rsidRPr="00781BE8">
        <w:t>). Therefore, the term abatement deterrence is used.</w:t>
      </w:r>
    </w:p>
  </w:footnote>
  <w:footnote w:id="39">
    <w:p w14:paraId="327CCE6E" w14:textId="30DA57C5" w:rsidR="00DE4E52" w:rsidRPr="00781BE8" w:rsidRDefault="00DE4E52" w:rsidP="005E4778">
      <w:pPr>
        <w:pStyle w:val="FootnoteText"/>
        <w:ind w:left="357" w:hanging="357"/>
        <w:contextualSpacing/>
      </w:pPr>
      <w:r w:rsidRPr="00781BE8">
        <w:rPr>
          <w:rStyle w:val="FootnoteReference"/>
          <w:sz w:val="20"/>
          <w:szCs w:val="20"/>
        </w:rPr>
        <w:footnoteRef/>
      </w:r>
      <w:r w:rsidR="00A01EA6">
        <w:t xml:space="preserve"> </w:t>
      </w:r>
      <w:r w:rsidR="00A01EA6">
        <w:tab/>
      </w:r>
      <w:r w:rsidRPr="00781BE8">
        <w:t xml:space="preserve">Abatement deterrence is not inherently a problem, provided that CDR delivers similar outcomes as compared to emission reductions with regards to climate and other societal objectives. The effect could also be desirable if, all things considered, removals are used to offset emissions that are prohibitively expensive to abate. However, several factors </w:t>
      </w:r>
      <w:r w:rsidR="00163461" w:rsidRPr="00781BE8">
        <w:t>impact if</w:t>
      </w:r>
      <w:r w:rsidRPr="00781BE8">
        <w:t xml:space="preserve"> removals deliver outcomes (climate and societal) that are similar or better than those of abatement: (1) risk of failure that would make it impossible to retroactively reduce emissions if these technologies do</w:t>
      </w:r>
      <w:r w:rsidR="00BA14AE" w:rsidRPr="00781BE8">
        <w:t xml:space="preserve"> no</w:t>
      </w:r>
      <w:r w:rsidRPr="00781BE8">
        <w:t>t materialise as expected; (2) delaying near-term emissions reductions in favo</w:t>
      </w:r>
      <w:r w:rsidR="00BA14AE" w:rsidRPr="00781BE8">
        <w:t>u</w:t>
      </w:r>
      <w:r w:rsidRPr="00781BE8">
        <w:t xml:space="preserve">r of future removals temporarily increases GHG concentrations; (3) carbon removal efforts may deliver fewer climate benefits than anticipated due to rebound effects; (4) substituting removals for emissions reductions in sectors with viable mitigation alternatives may deplete the removal potential needed for achieving future net-negative emissions targets; and (6) </w:t>
      </w:r>
      <w:r w:rsidR="00F92173" w:rsidRPr="00781BE8">
        <w:t>despite potential for some positive externalities, the large-scale deployment of some removal options in climate pathways may create significant negative externalities</w:t>
      </w:r>
      <w:r w:rsidRPr="00781BE8">
        <w:t>.</w:t>
      </w:r>
      <w:r w:rsidR="009A1EEC" w:rsidRPr="00781BE8">
        <w:t xml:space="preserve"> </w:t>
      </w:r>
      <w:r w:rsidR="00FF56E9" w:rsidRPr="00781BE8">
        <w:t>In this regard, the</w:t>
      </w:r>
      <w:r w:rsidR="009A1EEC" w:rsidRPr="00781BE8">
        <w:t xml:space="preserve"> </w:t>
      </w:r>
      <w:r w:rsidR="0077304C" w:rsidRPr="00781BE8">
        <w:t xml:space="preserve">European Scientific Advisory Board on Climate Change (ESABCC) </w:t>
      </w:r>
      <w:r w:rsidR="000C5662" w:rsidRPr="00781BE8">
        <w:t>notes that removals need to contribute to EU climate neutrality in a dynamically cost-effective way while avoiding the risk of mitigation deterrence. To this end, there is a need to support the early deployment of a portfolio of removal options, to consider the wider social costs and benefits of reduction and removal methods, and to avoid overreliance on future removal methods with uncertain costs and potential (ESABCC 2024, p. 83).</w:t>
      </w:r>
    </w:p>
  </w:footnote>
  <w:footnote w:id="40">
    <w:p w14:paraId="0D1FC072" w14:textId="159C2936" w:rsidR="005F6362" w:rsidRPr="00781BE8" w:rsidRDefault="005F6362" w:rsidP="005E4778">
      <w:pPr>
        <w:pStyle w:val="FootnoteText"/>
        <w:ind w:left="357" w:hanging="357"/>
        <w:contextualSpacing/>
      </w:pPr>
      <w:r w:rsidRPr="00781BE8">
        <w:rPr>
          <w:rStyle w:val="FootnoteReference"/>
          <w:sz w:val="20"/>
          <w:szCs w:val="20"/>
        </w:rPr>
        <w:footnoteRef/>
      </w:r>
      <w:r w:rsidRPr="00781BE8">
        <w:t xml:space="preserve"> </w:t>
      </w:r>
      <w:r w:rsidR="00A01EA6">
        <w:tab/>
      </w:r>
      <w:r w:rsidRPr="00781BE8">
        <w:t>As a caveat, CDR stakeholders have noted that integration of removals so that ETS ambition is increased, rather than the space to emit, would allow CDR developers to leverage private financing on top of ETS prices that could support CDR development. However, precise impacts would depend on that private financing realising and forgone public support that may only be leverage if linked to an integration that increases the emissions space in the ETS.</w:t>
      </w:r>
    </w:p>
  </w:footnote>
  <w:footnote w:id="41">
    <w:p w14:paraId="50898F9E" w14:textId="2F1336B1" w:rsidR="00CE2FB1" w:rsidRPr="00781BE8" w:rsidRDefault="00CE2FB1" w:rsidP="005E4778">
      <w:pPr>
        <w:pStyle w:val="FootnoteText"/>
        <w:ind w:left="357" w:hanging="357"/>
        <w:contextualSpacing/>
      </w:pPr>
      <w:r w:rsidRPr="00781BE8">
        <w:rPr>
          <w:rStyle w:val="FootnoteReference"/>
          <w:sz w:val="20"/>
          <w:szCs w:val="20"/>
        </w:rPr>
        <w:footnoteRef/>
      </w:r>
      <w:r w:rsidRPr="00781BE8">
        <w:t xml:space="preserve"> </w:t>
      </w:r>
      <w:r w:rsidR="00A01EA6">
        <w:tab/>
      </w:r>
      <w:r w:rsidRPr="00781BE8">
        <w:t>Typically</w:t>
      </w:r>
      <w:r w:rsidR="002D7809" w:rsidRPr="00781BE8">
        <w:t>,</w:t>
      </w:r>
      <w:r w:rsidRPr="00781BE8">
        <w:t xml:space="preserve"> the Commission conducts an internal assessment of the project pipeline and likely impacts of the IF auctions</w:t>
      </w:r>
      <w:r w:rsidR="002D7809" w:rsidRPr="00781BE8">
        <w:t>,</w:t>
      </w:r>
      <w:r w:rsidRPr="00781BE8">
        <w:t xml:space="preserve"> but this can only be done when the specific auction’s Terms &amp; Conditions are nearly finalised. </w:t>
      </w:r>
    </w:p>
  </w:footnote>
  <w:footnote w:id="42">
    <w:p w14:paraId="7F6D2DF3" w14:textId="777DF94C" w:rsidR="005902D6" w:rsidRPr="00781BE8" w:rsidRDefault="005902D6" w:rsidP="005E4778">
      <w:pPr>
        <w:pStyle w:val="FootnoteText"/>
        <w:ind w:left="357" w:hanging="357"/>
        <w:contextualSpacing/>
      </w:pPr>
      <w:r w:rsidRPr="00781BE8">
        <w:rPr>
          <w:rStyle w:val="FootnoteReference"/>
          <w:sz w:val="20"/>
          <w:szCs w:val="20"/>
        </w:rPr>
        <w:footnoteRef/>
      </w:r>
      <w:r w:rsidRPr="00781BE8">
        <w:t xml:space="preserve"> </w:t>
      </w:r>
      <w:r w:rsidR="00A01EA6">
        <w:tab/>
      </w:r>
      <w:r w:rsidR="007E7FBD" w:rsidRPr="00781BE8">
        <w:t>ETS prices are an assumption in this calculation and are derived from</w:t>
      </w:r>
      <w:r w:rsidR="007E7FBD" w:rsidRPr="00781BE8" w:rsidDel="00CF5080">
        <w:t xml:space="preserve"> </w:t>
      </w:r>
      <w:r w:rsidR="00860F57" w:rsidRPr="00781BE8" w:rsidDel="00CF5080">
        <w:t>2040 climate target modelling</w:t>
      </w:r>
      <w:r w:rsidR="00860F57" w:rsidRPr="00781BE8">
        <w:t>.</w:t>
      </w:r>
    </w:p>
  </w:footnote>
  <w:footnote w:id="43">
    <w:p w14:paraId="385E1148" w14:textId="0DC95D9C" w:rsidR="00492A3F" w:rsidRPr="00781BE8" w:rsidRDefault="00492A3F" w:rsidP="005E4778">
      <w:pPr>
        <w:pStyle w:val="FootnoteText"/>
        <w:ind w:left="357" w:hanging="357"/>
        <w:contextualSpacing/>
      </w:pPr>
      <w:r w:rsidRPr="00781BE8">
        <w:rPr>
          <w:rStyle w:val="FootnoteReference"/>
          <w:sz w:val="20"/>
          <w:szCs w:val="20"/>
        </w:rPr>
        <w:footnoteRef/>
      </w:r>
      <w:r w:rsidRPr="00781BE8">
        <w:t xml:space="preserve"> </w:t>
      </w:r>
      <w:r w:rsidR="00A01EA6">
        <w:tab/>
      </w:r>
      <w:r w:rsidRPr="00781BE8">
        <w:t>The number of EU ETS allowances received by MF beneficiary Member States due to the MF is increased by 11% compared to the situation without the MF</w:t>
      </w:r>
      <w:r w:rsidR="000B2B13" w:rsidRPr="00781BE8">
        <w:t>.</w:t>
      </w:r>
    </w:p>
  </w:footnote>
  <w:footnote w:id="44">
    <w:p w14:paraId="50072602" w14:textId="0118D044" w:rsidR="00933152" w:rsidRPr="00781BE8" w:rsidRDefault="00933152" w:rsidP="005E4778">
      <w:pPr>
        <w:pStyle w:val="FootnoteText"/>
        <w:ind w:left="357" w:hanging="357"/>
        <w:contextualSpacing/>
      </w:pPr>
      <w:r w:rsidRPr="00781BE8">
        <w:rPr>
          <w:rStyle w:val="FootnoteReference"/>
          <w:sz w:val="20"/>
          <w:szCs w:val="20"/>
        </w:rPr>
        <w:footnoteRef/>
      </w:r>
      <w:r w:rsidRPr="00781BE8">
        <w:t xml:space="preserve"> </w:t>
      </w:r>
      <w:r w:rsidR="00A01EA6">
        <w:tab/>
      </w:r>
      <w:r w:rsidRPr="00781BE8">
        <w:t>E</w:t>
      </w:r>
      <w:r w:rsidR="0069554F" w:rsidRPr="00781BE8">
        <w:t xml:space="preserve">uropean Environment Agency, </w:t>
      </w:r>
      <w:r w:rsidRPr="00781BE8">
        <w:t xml:space="preserve"> </w:t>
      </w:r>
      <w:r w:rsidRPr="00781BE8">
        <w:rPr>
          <w:i/>
          <w:iCs/>
        </w:rPr>
        <w:t>Share of energy consumption from renewable sources in Europe</w:t>
      </w:r>
      <w:r w:rsidR="0069554F" w:rsidRPr="00781BE8">
        <w:t xml:space="preserve">, </w:t>
      </w:r>
      <w:r w:rsidRPr="00781BE8">
        <w:t xml:space="preserve"> </w:t>
      </w:r>
      <w:r w:rsidR="00C4041D" w:rsidRPr="00781BE8">
        <w:t xml:space="preserve">2025, </w:t>
      </w:r>
      <w:hyperlink r:id="rId19" w:history="1">
        <w:r w:rsidR="00C4041D" w:rsidRPr="00781BE8">
          <w:rPr>
            <w:rStyle w:val="Hyperlink"/>
          </w:rPr>
          <w:t>https://www.eea.europa.eu/en/analysis/indicators/share-of-energy-consumption-from</w:t>
        </w:r>
      </w:hyperlink>
      <w:r w:rsidRPr="00781BE8">
        <w:t>.</w:t>
      </w:r>
    </w:p>
  </w:footnote>
  <w:footnote w:id="45">
    <w:p w14:paraId="445A3A3B" w14:textId="2FFA62B9" w:rsidR="00320FE2" w:rsidRPr="00781BE8" w:rsidRDefault="00320FE2" w:rsidP="005E4778">
      <w:pPr>
        <w:pStyle w:val="FootnoteText"/>
        <w:ind w:left="357" w:hanging="357"/>
        <w:contextualSpacing/>
      </w:pPr>
      <w:r w:rsidRPr="00781BE8">
        <w:rPr>
          <w:rStyle w:val="FootnoteReference"/>
          <w:sz w:val="20"/>
          <w:szCs w:val="20"/>
        </w:rPr>
        <w:footnoteRef/>
      </w:r>
      <w:r w:rsidRPr="00781BE8">
        <w:t xml:space="preserve"> </w:t>
      </w:r>
      <w:r w:rsidR="00A01EA6">
        <w:tab/>
      </w:r>
      <w:r w:rsidRPr="00781BE8">
        <w:t>Most SAF has residual emissions, but in line with the ETS Directive it is counted as zero emissions, supporting the price incentive in favour of SAF use.</w:t>
      </w:r>
    </w:p>
  </w:footnote>
  <w:footnote w:id="46">
    <w:p w14:paraId="4312DC54" w14:textId="33AA1885" w:rsidR="00B13C68" w:rsidRPr="006D60B0" w:rsidRDefault="00B13C68" w:rsidP="005E4778">
      <w:pPr>
        <w:pStyle w:val="FootnoteText"/>
        <w:ind w:left="357" w:hanging="357"/>
        <w:contextualSpacing/>
        <w:rPr>
          <w:lang w:val="fr-BE"/>
        </w:rPr>
      </w:pPr>
      <w:r w:rsidRPr="00781BE8">
        <w:rPr>
          <w:rStyle w:val="FootnoteReference"/>
          <w:sz w:val="20"/>
          <w:szCs w:val="20"/>
        </w:rPr>
        <w:footnoteRef/>
      </w:r>
      <w:r w:rsidRPr="00781BE8">
        <w:t xml:space="preserve"> </w:t>
      </w:r>
      <w:r w:rsidR="00A01EA6">
        <w:tab/>
      </w:r>
      <w:r w:rsidRPr="00781BE8">
        <w:t>For departing flights: 147 Mt CO</w:t>
      </w:r>
      <w:r w:rsidRPr="00781BE8">
        <w:rPr>
          <w:vertAlign w:val="subscript"/>
        </w:rPr>
        <w:t>2</w:t>
      </w:r>
      <w:r w:rsidRPr="00781BE8">
        <w:t xml:space="preserve"> in 2019, 228 Mt CO</w:t>
      </w:r>
      <w:r w:rsidRPr="00781BE8">
        <w:rPr>
          <w:vertAlign w:val="subscript"/>
        </w:rPr>
        <w:t>2</w:t>
      </w:r>
      <w:r w:rsidRPr="00781BE8">
        <w:t xml:space="preserve"> in 2050. </w:t>
      </w:r>
      <w:r w:rsidRPr="006D60B0">
        <w:rPr>
          <w:lang w:val="fr-BE"/>
        </w:rPr>
        <w:t xml:space="preserve">Source: EASA, </w:t>
      </w:r>
      <w:r w:rsidRPr="006D60B0">
        <w:rPr>
          <w:i/>
          <w:lang w:val="fr-BE"/>
        </w:rPr>
        <w:t>European Aviation Environmental Report</w:t>
      </w:r>
      <w:r w:rsidR="00D50113" w:rsidRPr="006D60B0">
        <w:rPr>
          <w:i/>
          <w:lang w:val="fr-BE"/>
        </w:rPr>
        <w:t xml:space="preserve"> 2025</w:t>
      </w:r>
      <w:r w:rsidRPr="006D60B0">
        <w:rPr>
          <w:lang w:val="fr-BE"/>
        </w:rPr>
        <w:t>, 2025,</w:t>
      </w:r>
      <w:r w:rsidR="00D50113" w:rsidRPr="006D60B0">
        <w:rPr>
          <w:lang w:val="fr-BE"/>
        </w:rPr>
        <w:t xml:space="preserve"> </w:t>
      </w:r>
      <w:hyperlink r:id="rId20" w:anchor="download-2025" w:history="1">
        <w:r w:rsidR="00D50113" w:rsidRPr="006D60B0">
          <w:rPr>
            <w:rStyle w:val="Hyperlink"/>
            <w:lang w:val="fr-BE"/>
          </w:rPr>
          <w:t>https://www.easa.europa.eu/en/domains/environment/eaer/downloads#download-2025</w:t>
        </w:r>
      </w:hyperlink>
      <w:r w:rsidR="00D50113" w:rsidRPr="006D60B0">
        <w:rPr>
          <w:lang w:val="fr-BE"/>
        </w:rPr>
        <w:t xml:space="preserve">, </w:t>
      </w:r>
      <w:r w:rsidRPr="006D60B0">
        <w:rPr>
          <w:lang w:val="fr-BE"/>
        </w:rPr>
        <w:t>p.14.</w:t>
      </w:r>
    </w:p>
  </w:footnote>
  <w:footnote w:id="47">
    <w:p w14:paraId="73967770" w14:textId="33A6838C" w:rsidR="00AF68CC" w:rsidRPr="00781BE8" w:rsidRDefault="00AF68CC" w:rsidP="005E4778">
      <w:pPr>
        <w:pStyle w:val="FootnoteText"/>
        <w:ind w:left="357" w:hanging="357"/>
        <w:contextualSpacing/>
      </w:pPr>
      <w:r w:rsidRPr="00781BE8">
        <w:rPr>
          <w:rStyle w:val="FootnoteReference"/>
          <w:sz w:val="20"/>
          <w:szCs w:val="20"/>
        </w:rPr>
        <w:footnoteRef/>
      </w:r>
      <w:r w:rsidR="00A01EA6">
        <w:t xml:space="preserve"> </w:t>
      </w:r>
      <w:r w:rsidR="00A01EA6">
        <w:tab/>
      </w:r>
      <w:r w:rsidR="2ED725D8" w:rsidRPr="00781BE8">
        <w:t xml:space="preserve">ICAO, </w:t>
      </w:r>
      <w:r w:rsidR="2ED725D8" w:rsidRPr="00781BE8">
        <w:rPr>
          <w:i/>
          <w:iCs/>
        </w:rPr>
        <w:t>Environmental Trends in Aviation to 2070</w:t>
      </w:r>
      <w:r w:rsidR="2ED725D8" w:rsidRPr="00781BE8">
        <w:t>,</w:t>
      </w:r>
      <w:r w:rsidR="00584078" w:rsidRPr="00781BE8">
        <w:t xml:space="preserve"> </w:t>
      </w:r>
      <w:hyperlink r:id="rId21" w:history="1">
        <w:r w:rsidR="00584078" w:rsidRPr="00781BE8">
          <w:rPr>
            <w:rStyle w:val="Hyperlink"/>
          </w:rPr>
          <w:t>https://www.icao.int/sites/default/files/sp-files/environmental-protection/Documents/EnvironmentReport-2010/2025/Envreport2025_9.pdf</w:t>
        </w:r>
      </w:hyperlink>
      <w:r w:rsidR="00584078" w:rsidRPr="00781BE8">
        <w:t>,</w:t>
      </w:r>
      <w:r w:rsidR="2ED725D8" w:rsidRPr="00781BE8">
        <w:t xml:space="preserve"> p. 28</w:t>
      </w:r>
      <w:r w:rsidR="00E27D0A" w:rsidRPr="00781BE8">
        <w:t>.</w:t>
      </w:r>
    </w:p>
  </w:footnote>
  <w:footnote w:id="48">
    <w:p w14:paraId="367E888B" w14:textId="03069B3C" w:rsidR="00AF68CC" w:rsidRPr="00781BE8" w:rsidRDefault="00AF68CC" w:rsidP="005E4778">
      <w:pPr>
        <w:pStyle w:val="FootnoteText"/>
        <w:ind w:left="357" w:hanging="357"/>
        <w:contextualSpacing/>
      </w:pPr>
      <w:r w:rsidRPr="00781BE8">
        <w:rPr>
          <w:rStyle w:val="FootnoteReference"/>
          <w:sz w:val="20"/>
          <w:szCs w:val="20"/>
        </w:rPr>
        <w:footnoteRef/>
      </w:r>
      <w:r w:rsidRPr="00781BE8">
        <w:t xml:space="preserve"> </w:t>
      </w:r>
      <w:r w:rsidR="00A01EA6">
        <w:tab/>
      </w:r>
      <w:r w:rsidRPr="00781BE8">
        <w:t>ETS</w:t>
      </w:r>
      <w:r w:rsidR="00A642CF" w:rsidRPr="00781BE8">
        <w:t>:</w:t>
      </w:r>
      <w:r w:rsidRPr="00781BE8">
        <w:t xml:space="preserve"> airlines can buy</w:t>
      </w:r>
      <w:r w:rsidR="4BE63C50" w:rsidRPr="00781BE8">
        <w:t>, trade</w:t>
      </w:r>
      <w:r w:rsidRPr="00781BE8">
        <w:t xml:space="preserve"> and surrender allowances; CORSIA</w:t>
      </w:r>
      <w:r w:rsidR="00A642CF" w:rsidRPr="00781BE8">
        <w:t>:</w:t>
      </w:r>
      <w:r w:rsidRPr="00781BE8">
        <w:t xml:space="preserve"> they can buy and cancel eligible offsets.</w:t>
      </w:r>
    </w:p>
  </w:footnote>
  <w:footnote w:id="49">
    <w:p w14:paraId="4B2B3451" w14:textId="0B4C2400" w:rsidR="00644774" w:rsidRPr="00781BE8" w:rsidRDefault="00644774" w:rsidP="005E4778">
      <w:pPr>
        <w:pStyle w:val="FootnoteText"/>
        <w:ind w:left="357" w:hanging="357"/>
        <w:contextualSpacing/>
      </w:pPr>
      <w:r w:rsidRPr="00781BE8">
        <w:rPr>
          <w:rStyle w:val="FootnoteReference"/>
          <w:sz w:val="20"/>
          <w:szCs w:val="20"/>
        </w:rPr>
        <w:footnoteRef/>
      </w:r>
      <w:r w:rsidRPr="00781BE8">
        <w:t xml:space="preserve"> </w:t>
      </w:r>
      <w:r w:rsidR="00A01EA6">
        <w:tab/>
      </w:r>
      <w:r w:rsidRPr="00781BE8">
        <w:t>On the differences</w:t>
      </w:r>
      <w:r w:rsidR="00D04318" w:rsidRPr="00781BE8">
        <w:t>,</w:t>
      </w:r>
      <w:r w:rsidRPr="00781BE8">
        <w:t xml:space="preserve"> see </w:t>
      </w:r>
      <w:r w:rsidR="00D04318" w:rsidRPr="00781BE8">
        <w:t>Annex 10</w:t>
      </w:r>
      <w:r w:rsidR="00774C81" w:rsidRPr="00781BE8">
        <w:t xml:space="preserve">, in particular </w:t>
      </w:r>
      <w:r w:rsidR="00064578">
        <w:t>S</w:t>
      </w:r>
      <w:r w:rsidR="00774C81" w:rsidRPr="00781BE8">
        <w:t>ection</w:t>
      </w:r>
      <w:r w:rsidR="00AB203B" w:rsidRPr="00781BE8">
        <w:t>s 1 and</w:t>
      </w:r>
      <w:r w:rsidR="00774C81" w:rsidRPr="00781BE8">
        <w:t xml:space="preserve"> </w:t>
      </w:r>
      <w:r w:rsidR="00AB203B" w:rsidRPr="00781BE8">
        <w:t>5</w:t>
      </w:r>
      <w:r w:rsidR="00C25221" w:rsidRPr="00781BE8">
        <w:t>.</w:t>
      </w:r>
      <w:r w:rsidRPr="00781BE8">
        <w:t xml:space="preserve"> </w:t>
      </w:r>
    </w:p>
  </w:footnote>
  <w:footnote w:id="50">
    <w:p w14:paraId="7666D07D" w14:textId="5537810B" w:rsidR="00A60902" w:rsidRPr="00781BE8" w:rsidRDefault="00A60902" w:rsidP="005E4778">
      <w:pPr>
        <w:pStyle w:val="FootnoteText"/>
        <w:ind w:left="357" w:hanging="357"/>
        <w:contextualSpacing/>
      </w:pPr>
      <w:r w:rsidRPr="00781BE8">
        <w:rPr>
          <w:rStyle w:val="FootnoteReference"/>
          <w:sz w:val="20"/>
          <w:szCs w:val="20"/>
        </w:rPr>
        <w:footnoteRef/>
      </w:r>
      <w:r w:rsidRPr="00781BE8">
        <w:t xml:space="preserve"> </w:t>
      </w:r>
      <w:r>
        <w:tab/>
      </w:r>
      <w:r w:rsidRPr="00781BE8">
        <w:t>The scope considered is intra-EEA emissions (domestic and non-domestic, including departing flights to Switzerland and the UK) and international aviation emissions, i.e. between Europe and other third countries and between two third countries, but not the emissions within third countries.</w:t>
      </w:r>
    </w:p>
  </w:footnote>
  <w:footnote w:id="51">
    <w:p w14:paraId="4E49EC75" w14:textId="0634AAC1" w:rsidR="004E52D3" w:rsidRPr="00781BE8" w:rsidRDefault="004E52D3" w:rsidP="005E4778">
      <w:pPr>
        <w:pStyle w:val="FootnoteText"/>
        <w:ind w:left="357" w:hanging="357"/>
        <w:contextualSpacing/>
      </w:pPr>
      <w:r w:rsidRPr="00781BE8">
        <w:rPr>
          <w:rStyle w:val="FootnoteReference"/>
          <w:sz w:val="20"/>
          <w:szCs w:val="20"/>
        </w:rPr>
        <w:footnoteRef/>
      </w:r>
      <w:r w:rsidRPr="00781BE8">
        <w:t xml:space="preserve"> </w:t>
      </w:r>
      <w:r w:rsidR="00A01EA6">
        <w:tab/>
      </w:r>
      <w:r w:rsidRPr="00781BE8">
        <w:t xml:space="preserve">ReFuelEU Aviation </w:t>
      </w:r>
      <w:r w:rsidR="00821AE9" w:rsidRPr="00781BE8">
        <w:t>for flights departing from Union airports</w:t>
      </w:r>
      <w:r w:rsidRPr="00781BE8">
        <w:t xml:space="preserve">. For arriving flights, SAF uptake increases in line with the global fuel scenario F1 presented in </w:t>
      </w:r>
      <w:r w:rsidR="00962328" w:rsidRPr="00781BE8">
        <w:t xml:space="preserve">the </w:t>
      </w:r>
      <w:r w:rsidR="00DE3923" w:rsidRPr="00781BE8">
        <w:t>Long-Term</w:t>
      </w:r>
      <w:r w:rsidR="00962328" w:rsidRPr="00781BE8">
        <w:t xml:space="preserve"> Aspirational Goal report of ICAO.</w:t>
      </w:r>
    </w:p>
  </w:footnote>
  <w:footnote w:id="52">
    <w:p w14:paraId="3B2601E1" w14:textId="2D876350" w:rsidR="00F21E2F" w:rsidRPr="00781BE8" w:rsidRDefault="00F21E2F" w:rsidP="005E4778">
      <w:pPr>
        <w:pStyle w:val="FootnoteText"/>
        <w:ind w:left="357" w:hanging="357"/>
        <w:contextualSpacing/>
      </w:pPr>
      <w:r w:rsidRPr="00781BE8">
        <w:rPr>
          <w:rStyle w:val="FootnoteReference"/>
          <w:sz w:val="20"/>
          <w:szCs w:val="20"/>
        </w:rPr>
        <w:footnoteRef/>
      </w:r>
      <w:r w:rsidRPr="00781BE8">
        <w:t xml:space="preserve"> </w:t>
      </w:r>
      <w:r w:rsidR="00A01EA6">
        <w:tab/>
      </w:r>
      <w:r w:rsidRPr="00781BE8">
        <w:t>Eurocontrol</w:t>
      </w:r>
      <w:r w:rsidR="00D608AA" w:rsidRPr="00781BE8">
        <w:t>,</w:t>
      </w:r>
      <w:r w:rsidRPr="00781BE8">
        <w:t xml:space="preserve"> </w:t>
      </w:r>
      <w:r w:rsidRPr="00781BE8">
        <w:rPr>
          <w:i/>
        </w:rPr>
        <w:t>Think Paper #22</w:t>
      </w:r>
      <w:r w:rsidR="00D608AA" w:rsidRPr="00781BE8">
        <w:rPr>
          <w:i/>
        </w:rPr>
        <w:t>:</w:t>
      </w:r>
      <w:r w:rsidRPr="00781BE8">
        <w:rPr>
          <w:i/>
        </w:rPr>
        <w:t xml:space="preserve"> Decarbonising long-haul flights by 2050: Is there a pathway through sustainable aviation fuel use, fleet renewal and green energy upscaling?</w:t>
      </w:r>
      <w:r w:rsidRPr="00781BE8">
        <w:t>, 2024</w:t>
      </w:r>
      <w:r w:rsidR="00947B53" w:rsidRPr="00781BE8">
        <w:t xml:space="preserve">, </w:t>
      </w:r>
      <w:hyperlink r:id="rId22" w:history="1">
        <w:r w:rsidR="00947B53" w:rsidRPr="00781BE8">
          <w:rPr>
            <w:rStyle w:val="Hyperlink"/>
          </w:rPr>
          <w:t>https://www.eurocontrol.int/publication/eurocontrol-think-paper-22-decarbonising-long-haul-flights-2050</w:t>
        </w:r>
      </w:hyperlink>
      <w:r w:rsidR="00947B53" w:rsidRPr="00781BE8">
        <w:t>.</w:t>
      </w:r>
    </w:p>
  </w:footnote>
  <w:footnote w:id="53">
    <w:p w14:paraId="373CF8C5" w14:textId="18BABFED" w:rsidR="00613C2E" w:rsidRPr="00781BE8" w:rsidRDefault="00613C2E" w:rsidP="005E4778">
      <w:pPr>
        <w:pStyle w:val="FootnoteText"/>
        <w:ind w:left="357" w:hanging="357"/>
        <w:contextualSpacing/>
      </w:pPr>
      <w:r w:rsidRPr="00781BE8">
        <w:rPr>
          <w:rStyle w:val="FootnoteReference"/>
          <w:sz w:val="20"/>
          <w:szCs w:val="20"/>
        </w:rPr>
        <w:footnoteRef/>
      </w:r>
      <w:r w:rsidRPr="00781BE8">
        <w:t xml:space="preserve"> </w:t>
      </w:r>
      <w:r w:rsidR="00A01EA6">
        <w:tab/>
      </w:r>
      <w:r w:rsidRPr="00781BE8">
        <w:t>CORSIA exempts ~</w:t>
      </w:r>
      <w:r>
        <w:t>500 Mt</w:t>
      </w:r>
      <w:r w:rsidRPr="00781BE8">
        <w:t xml:space="preserve"> CO</w:t>
      </w:r>
      <w:r w:rsidRPr="00781BE8">
        <w:rPr>
          <w:vertAlign w:val="subscript"/>
        </w:rPr>
        <w:t>2</w:t>
      </w:r>
      <w:r w:rsidRPr="00781BE8">
        <w:t xml:space="preserve"> each year, CO</w:t>
      </w:r>
      <w:r w:rsidRPr="00781BE8">
        <w:rPr>
          <w:vertAlign w:val="subscript"/>
        </w:rPr>
        <w:t>2</w:t>
      </w:r>
      <w:r w:rsidRPr="00781BE8">
        <w:t xml:space="preserve"> emissions above that level should be offset. See Annex 10</w:t>
      </w:r>
      <w:r w:rsidR="007A292E" w:rsidRPr="00781BE8">
        <w:t xml:space="preserve">, </w:t>
      </w:r>
      <w:r w:rsidR="00064578">
        <w:t>S</w:t>
      </w:r>
      <w:r w:rsidR="007A292E" w:rsidRPr="00781BE8">
        <w:t>ection 5.1</w:t>
      </w:r>
      <w:r w:rsidRPr="00781BE8">
        <w:t>.</w:t>
      </w:r>
    </w:p>
  </w:footnote>
  <w:footnote w:id="54">
    <w:p w14:paraId="0BF1BC84" w14:textId="33292AEB" w:rsidR="00017841" w:rsidRPr="00781BE8" w:rsidRDefault="00017841" w:rsidP="005E4778">
      <w:pPr>
        <w:pStyle w:val="FootnoteText"/>
        <w:ind w:left="357" w:hanging="357"/>
        <w:contextualSpacing/>
      </w:pPr>
      <w:r w:rsidRPr="00781BE8">
        <w:rPr>
          <w:rStyle w:val="FootnoteReference"/>
          <w:sz w:val="20"/>
          <w:szCs w:val="20"/>
        </w:rPr>
        <w:footnoteRef/>
      </w:r>
      <w:r w:rsidRPr="00781BE8">
        <w:t xml:space="preserve"> </w:t>
      </w:r>
      <w:r w:rsidR="00A01EA6">
        <w:tab/>
      </w:r>
      <w:r w:rsidRPr="00781BE8">
        <w:t xml:space="preserve">Nearly </w:t>
      </w:r>
      <w:r w:rsidR="00DE3923" w:rsidRPr="00781BE8">
        <w:t>identical but</w:t>
      </w:r>
      <w:r w:rsidRPr="00781BE8">
        <w:t xml:space="preserve"> ReFuel covers departing flights from </w:t>
      </w:r>
      <w:r w:rsidR="004A25B5" w:rsidRPr="00781BE8">
        <w:t>Union airports</w:t>
      </w:r>
      <w:r w:rsidR="0035208D" w:rsidRPr="00781BE8">
        <w:t xml:space="preserve"> (</w:t>
      </w:r>
      <w:r w:rsidR="007E1B55" w:rsidRPr="00781BE8">
        <w:t xml:space="preserve">a subset of </w:t>
      </w:r>
      <w:r w:rsidR="002562B8" w:rsidRPr="00781BE8">
        <w:t>EEA</w:t>
      </w:r>
      <w:r w:rsidR="001B3EF1" w:rsidRPr="00781BE8">
        <w:t xml:space="preserve"> airports</w:t>
      </w:r>
      <w:r w:rsidR="002562B8" w:rsidRPr="00781BE8">
        <w:t xml:space="preserve"> </w:t>
      </w:r>
      <w:r w:rsidR="0035208D" w:rsidRPr="00781BE8">
        <w:t>defined in ReFuelEU)</w:t>
      </w:r>
      <w:r w:rsidR="004A25B5" w:rsidRPr="00781BE8">
        <w:t xml:space="preserve">, whereas </w:t>
      </w:r>
      <w:r w:rsidR="001C4F87" w:rsidRPr="00781BE8">
        <w:t xml:space="preserve">in PO2/3 </w:t>
      </w:r>
      <w:r w:rsidR="004A25B5" w:rsidRPr="00781BE8">
        <w:t xml:space="preserve">the ETS </w:t>
      </w:r>
      <w:r w:rsidR="001C4F87" w:rsidRPr="00781BE8">
        <w:t>would cover</w:t>
      </w:r>
      <w:r w:rsidR="004A25B5" w:rsidRPr="00781BE8">
        <w:t xml:space="preserve"> </w:t>
      </w:r>
      <w:r w:rsidR="001C4F87" w:rsidRPr="00781BE8">
        <w:t xml:space="preserve">departing flights from any </w:t>
      </w:r>
      <w:r w:rsidR="002562B8" w:rsidRPr="00781BE8">
        <w:t>EEA</w:t>
      </w:r>
      <w:r w:rsidR="001C4F87" w:rsidRPr="00781BE8">
        <w:t xml:space="preserve"> airport, but not to all destinations</w:t>
      </w:r>
      <w:r w:rsidR="001D0BFD" w:rsidRPr="00781BE8">
        <w:t xml:space="preserve"> (</w:t>
      </w:r>
      <w:r w:rsidR="002562B8" w:rsidRPr="00781BE8">
        <w:t xml:space="preserve">exempt are </w:t>
      </w:r>
      <w:r w:rsidR="001D0BFD" w:rsidRPr="00781BE8">
        <w:t>flights to Least Developed Countries and Small Island Developing States).</w:t>
      </w:r>
    </w:p>
  </w:footnote>
  <w:footnote w:id="55">
    <w:p w14:paraId="2003A907" w14:textId="1C2E34A6" w:rsidR="001B1A9D" w:rsidRPr="00781BE8" w:rsidRDefault="001B1A9D" w:rsidP="005E4778">
      <w:pPr>
        <w:pStyle w:val="FootnoteText"/>
        <w:ind w:left="357" w:hanging="357"/>
        <w:contextualSpacing/>
      </w:pPr>
      <w:r w:rsidRPr="00781BE8">
        <w:rPr>
          <w:rStyle w:val="FootnoteReference"/>
          <w:sz w:val="20"/>
          <w:szCs w:val="20"/>
        </w:rPr>
        <w:footnoteRef/>
      </w:r>
      <w:r w:rsidR="00A01EA6">
        <w:t xml:space="preserve"> </w:t>
      </w:r>
      <w:r w:rsidR="00A01EA6">
        <w:tab/>
      </w:r>
      <w:r w:rsidR="008B41B8" w:rsidRPr="00781BE8">
        <w:t xml:space="preserve">Reuters, </w:t>
      </w:r>
      <w:r w:rsidR="008B41B8" w:rsidRPr="00781BE8">
        <w:rPr>
          <w:i/>
          <w:iCs/>
        </w:rPr>
        <w:t>European Airlines will miss green jet fuel targets, CEOs warn</w:t>
      </w:r>
      <w:r w:rsidR="008B41B8" w:rsidRPr="00781BE8">
        <w:t>, 2025</w:t>
      </w:r>
      <w:r w:rsidR="00E2486A" w:rsidRPr="00781BE8">
        <w:t xml:space="preserve">, </w:t>
      </w:r>
      <w:hyperlink r:id="rId23" w:history="1">
        <w:r w:rsidR="006679E2" w:rsidRPr="00781BE8">
          <w:rPr>
            <w:rStyle w:val="Hyperlink"/>
          </w:rPr>
          <w:t>https://www.reuters.com/sustainability/climate-energy/european-aviation-falling-behind-risks-missing-green-fuel-targets-ceos-say-2025-03-27/</w:t>
        </w:r>
      </w:hyperlink>
      <w:r w:rsidR="006679E2" w:rsidRPr="00781BE8">
        <w:t xml:space="preserve">. </w:t>
      </w:r>
      <w:r w:rsidR="00E2486A" w:rsidRPr="00781BE8">
        <w:t xml:space="preserve"> </w:t>
      </w:r>
    </w:p>
  </w:footnote>
  <w:footnote w:id="56">
    <w:p w14:paraId="47F9F56E" w14:textId="6497F5CB" w:rsidR="003D7787" w:rsidRPr="00781BE8" w:rsidRDefault="003D7787" w:rsidP="005E4778">
      <w:pPr>
        <w:pStyle w:val="FootnoteText"/>
        <w:ind w:left="357" w:hanging="357"/>
        <w:contextualSpacing/>
      </w:pPr>
      <w:r w:rsidRPr="00781BE8">
        <w:rPr>
          <w:rStyle w:val="FootnoteReference"/>
          <w:sz w:val="20"/>
          <w:szCs w:val="20"/>
        </w:rPr>
        <w:footnoteRef/>
      </w:r>
      <w:r w:rsidR="00A01EA6">
        <w:t xml:space="preserve"> </w:t>
      </w:r>
      <w:r w:rsidR="00A01EA6">
        <w:tab/>
      </w:r>
      <w:r w:rsidRPr="00781BE8">
        <w:t xml:space="preserve">See ICAO, </w:t>
      </w:r>
      <w:r w:rsidRPr="00781BE8">
        <w:rPr>
          <w:i/>
        </w:rPr>
        <w:t>Initial assessments in support of the 2025 CORSIA periodic review</w:t>
      </w:r>
      <w:r w:rsidR="008576D5" w:rsidRPr="00781BE8">
        <w:rPr>
          <w:iCs/>
        </w:rPr>
        <w:t>,</w:t>
      </w:r>
      <w:r w:rsidRPr="00781BE8">
        <w:t xml:space="preserve"> 2024,</w:t>
      </w:r>
      <w:r w:rsidR="008576D5" w:rsidRPr="00781BE8">
        <w:t xml:space="preserve"> </w:t>
      </w:r>
      <w:hyperlink r:id="rId24" w:history="1">
        <w:r w:rsidR="00667EAD" w:rsidRPr="00781BE8">
          <w:rPr>
            <w:rStyle w:val="Hyperlink"/>
          </w:rPr>
          <w:t>https://www.icao.int/sites/default/files/environmental-protection/CORSIA/Documents/CORSIA%20Periodic%20Review/CAEP_Inputs-to-2025-CORSIA-periodic-review-C232.pdf</w:t>
        </w:r>
      </w:hyperlink>
      <w:r w:rsidR="00667EAD" w:rsidRPr="00781BE8">
        <w:t xml:space="preserve">, </w:t>
      </w:r>
      <w:r w:rsidRPr="00781BE8">
        <w:t>p</w:t>
      </w:r>
      <w:r w:rsidR="00667EAD" w:rsidRPr="00781BE8">
        <w:t>.</w:t>
      </w:r>
      <w:r w:rsidRPr="00781BE8">
        <w:t xml:space="preserve"> 23: CO</w:t>
      </w:r>
      <w:r w:rsidRPr="00781BE8">
        <w:rPr>
          <w:vertAlign w:val="subscript"/>
        </w:rPr>
        <w:t>2</w:t>
      </w:r>
      <w:r w:rsidRPr="00781BE8">
        <w:t xml:space="preserve"> emissions growth rates of 1.8%-2.3% for Middle East, Asia Pacific, Africa and Latin America &amp; Caribbean, vs 0.4% for Europe for the period 2019-35.</w:t>
      </w:r>
    </w:p>
  </w:footnote>
  <w:footnote w:id="57">
    <w:p w14:paraId="62E539B2" w14:textId="50B50144" w:rsidR="00240D7C" w:rsidRPr="00781BE8" w:rsidRDefault="00240D7C" w:rsidP="005E4778">
      <w:pPr>
        <w:pStyle w:val="FootnoteText"/>
        <w:ind w:left="357" w:hanging="357"/>
        <w:contextualSpacing/>
      </w:pPr>
      <w:r w:rsidRPr="00781BE8">
        <w:rPr>
          <w:rStyle w:val="FootnoteReference"/>
          <w:sz w:val="20"/>
          <w:szCs w:val="20"/>
        </w:rPr>
        <w:footnoteRef/>
      </w:r>
      <w:r w:rsidRPr="00781BE8">
        <w:t xml:space="preserve"> </w:t>
      </w:r>
      <w:r w:rsidR="00A01EA6">
        <w:tab/>
      </w:r>
      <w:r w:rsidRPr="00781BE8">
        <w:rPr>
          <w:i/>
          <w:iCs/>
        </w:rPr>
        <w:t>PO1</w:t>
      </w:r>
      <w:r w:rsidRPr="00781BE8">
        <w:t xml:space="preserve">: All countries that </w:t>
      </w:r>
      <w:r w:rsidR="001A1F88" w:rsidRPr="00781BE8">
        <w:t>should</w:t>
      </w:r>
      <w:r w:rsidRPr="00781BE8">
        <w:t xml:space="preserve"> apply CORSIA from 2027, plus all countries who </w:t>
      </w:r>
      <w:r w:rsidR="0068037B" w:rsidRPr="00781BE8">
        <w:t>volunteer now</w:t>
      </w:r>
      <w:r w:rsidRPr="00781BE8">
        <w:t xml:space="preserve"> continue to </w:t>
      </w:r>
      <w:r w:rsidR="0068037B" w:rsidRPr="00781BE8">
        <w:t>do so</w:t>
      </w:r>
      <w:r w:rsidRPr="00781BE8">
        <w:t>. Dominica and Viet</w:t>
      </w:r>
      <w:r w:rsidR="004549EC" w:rsidRPr="00781BE8">
        <w:t xml:space="preserve"> N</w:t>
      </w:r>
      <w:r w:rsidRPr="00781BE8">
        <w:t>am in from 2026</w:t>
      </w:r>
      <w:r w:rsidR="006C133E" w:rsidRPr="00781BE8">
        <w:t>,</w:t>
      </w:r>
      <w:r w:rsidRPr="00781BE8">
        <w:t xml:space="preserve"> Mauritius out.</w:t>
      </w:r>
      <w:r w:rsidR="0068037B" w:rsidRPr="00781BE8">
        <w:t xml:space="preserve"> Brazil, China, India</w:t>
      </w:r>
      <w:r w:rsidR="006C133E" w:rsidRPr="00781BE8">
        <w:t>,</w:t>
      </w:r>
      <w:r w:rsidR="0068037B" w:rsidRPr="00781BE8">
        <w:t xml:space="preserve"> Russia in from 2027.</w:t>
      </w:r>
      <w:r w:rsidR="00E557E3" w:rsidRPr="00781BE8">
        <w:t xml:space="preserve"> </w:t>
      </w:r>
      <w:r w:rsidRPr="00781BE8">
        <w:rPr>
          <w:i/>
          <w:iCs/>
        </w:rPr>
        <w:t>Baseline/ PO2/ PO3</w:t>
      </w:r>
      <w:r w:rsidRPr="00781BE8">
        <w:t xml:space="preserve">: All countries who </w:t>
      </w:r>
      <w:r w:rsidR="00467C85" w:rsidRPr="00781BE8">
        <w:t>volunteer now</w:t>
      </w:r>
      <w:r w:rsidRPr="00781BE8">
        <w:t xml:space="preserve"> continue to </w:t>
      </w:r>
      <w:r w:rsidR="00467C85" w:rsidRPr="00781BE8">
        <w:t>do so</w:t>
      </w:r>
      <w:r w:rsidRPr="00781BE8">
        <w:t xml:space="preserve">. Viet Nam </w:t>
      </w:r>
      <w:r w:rsidR="00E557E3" w:rsidRPr="00781BE8">
        <w:t>in</w:t>
      </w:r>
      <w:r w:rsidR="005E4F40" w:rsidRPr="00781BE8">
        <w:t xml:space="preserve"> from 2026</w:t>
      </w:r>
      <w:r w:rsidR="002D138D" w:rsidRPr="00781BE8">
        <w:t xml:space="preserve">; </w:t>
      </w:r>
      <w:r w:rsidRPr="00781BE8">
        <w:t>Brazil, China, India</w:t>
      </w:r>
      <w:r w:rsidR="005B42E6" w:rsidRPr="00781BE8">
        <w:t xml:space="preserve">, </w:t>
      </w:r>
      <w:r w:rsidRPr="00781BE8">
        <w:t>Russia</w:t>
      </w:r>
      <w:r w:rsidR="005B42E6" w:rsidRPr="00781BE8">
        <w:t xml:space="preserve"> out.</w:t>
      </w:r>
    </w:p>
    <w:p w14:paraId="3D49F5C3" w14:textId="575ED8B3" w:rsidR="002F2613" w:rsidRPr="00781BE8" w:rsidRDefault="002F2613" w:rsidP="005E4778">
      <w:pPr>
        <w:pStyle w:val="FootnoteText"/>
        <w:ind w:left="357"/>
        <w:contextualSpacing/>
      </w:pPr>
      <w:r w:rsidRPr="00781BE8">
        <w:t>Participation also influences the amount of emissions that CORSIA does not address: Both the baseline and the emissions taken into account in the offsetting calculation are determined annually by the collective emissions in that year</w:t>
      </w:r>
      <w:r w:rsidR="0019236A" w:rsidRPr="00781BE8">
        <w:t>. T</w:t>
      </w:r>
      <w:r w:rsidRPr="00781BE8">
        <w:t>he growth in emissions above the baseline level determine</w:t>
      </w:r>
      <w:r w:rsidR="000B2353" w:rsidRPr="00781BE8">
        <w:t>s</w:t>
      </w:r>
      <w:r w:rsidRPr="00781BE8">
        <w:t xml:space="preserve"> the offsetting required for each operator under in CORSIA:</w:t>
      </w:r>
      <w:r w:rsidR="00A01EA6">
        <w:t xml:space="preserve"> </w:t>
      </w:r>
    </w:p>
    <w:p w14:paraId="59661939" w14:textId="539FE3D9" w:rsidR="002F2613" w:rsidRPr="00781BE8" w:rsidRDefault="002F2613" w:rsidP="005E4778">
      <w:pPr>
        <w:pStyle w:val="FootnoteText"/>
        <w:numPr>
          <w:ilvl w:val="0"/>
          <w:numId w:val="12"/>
        </w:numPr>
        <w:ind w:left="357" w:hanging="357"/>
        <w:contextualSpacing/>
      </w:pPr>
      <w:r w:rsidRPr="00781BE8">
        <w:t>Participation determines the overall amount of emissions taken into account in the offsetting calculation, leaving all other international emissions below or above the</w:t>
      </w:r>
      <w:r w:rsidR="005C1195" w:rsidRPr="00781BE8">
        <w:t xml:space="preserve"> </w:t>
      </w:r>
      <w:r w:rsidRPr="00781BE8">
        <w:t>floating</w:t>
      </w:r>
      <w:r w:rsidR="005C1195" w:rsidRPr="00781BE8">
        <w:t xml:space="preserve"> </w:t>
      </w:r>
      <w:r w:rsidRPr="00781BE8">
        <w:t xml:space="preserve">baseline </w:t>
      </w:r>
      <w:r w:rsidR="00A025F5" w:rsidRPr="00781BE8">
        <w:t>unc</w:t>
      </w:r>
      <w:r w:rsidRPr="00781BE8">
        <w:t>overed.</w:t>
      </w:r>
      <w:r w:rsidR="00A025F5" w:rsidRPr="00781BE8">
        <w:t xml:space="preserve"> </w:t>
      </w:r>
      <w:r w:rsidR="001B2CA6" w:rsidRPr="00781BE8">
        <w:t>More</w:t>
      </w:r>
      <w:r w:rsidRPr="00781BE8">
        <w:t xml:space="preserve"> participation means </w:t>
      </w:r>
      <w:r w:rsidR="001B2CA6" w:rsidRPr="00781BE8">
        <w:t>more</w:t>
      </w:r>
      <w:r w:rsidRPr="00781BE8">
        <w:t xml:space="preserve"> emissions </w:t>
      </w:r>
      <w:r w:rsidR="001B2CA6" w:rsidRPr="00781BE8">
        <w:t xml:space="preserve">are </w:t>
      </w:r>
      <w:r w:rsidRPr="00781BE8">
        <w:t>taken into account in the offsetting calculation, and therefore less emissions fully excluded.</w:t>
      </w:r>
    </w:p>
    <w:p w14:paraId="3CE28250" w14:textId="58B67D5C" w:rsidR="002F2613" w:rsidRPr="00781BE8" w:rsidRDefault="002F2613" w:rsidP="005E4778">
      <w:pPr>
        <w:pStyle w:val="FootnoteText"/>
        <w:numPr>
          <w:ilvl w:val="0"/>
          <w:numId w:val="12"/>
        </w:numPr>
        <w:ind w:left="357" w:hanging="357"/>
        <w:contextualSpacing/>
      </w:pPr>
      <w:r w:rsidRPr="00781BE8">
        <w:t>Participation determines the level of the baseline (the amount of CO</w:t>
      </w:r>
      <w:r w:rsidRPr="00781BE8">
        <w:rPr>
          <w:vertAlign w:val="subscript"/>
        </w:rPr>
        <w:t>2</w:t>
      </w:r>
      <w:r w:rsidRPr="00781BE8">
        <w:t xml:space="preserve"> emissions not offset) within the amount of emissions taken into account in the calculation</w:t>
      </w:r>
      <w:r w:rsidR="0032138D" w:rsidRPr="00781BE8">
        <w:t>.</w:t>
      </w:r>
    </w:p>
    <w:p w14:paraId="45E10B05" w14:textId="236EFE38" w:rsidR="00240D7C" w:rsidRPr="00781BE8" w:rsidRDefault="002F2613" w:rsidP="005E4778">
      <w:pPr>
        <w:pStyle w:val="FootnoteText"/>
        <w:ind w:left="357"/>
        <w:contextualSpacing/>
      </w:pPr>
      <w:r w:rsidRPr="00781BE8">
        <w:t xml:space="preserve">Participation also determines the amount of socialisation of the growth above the baseline. A decision by a large, emerging economy with a faster growing aviation sector than in Europe to implement and continue to participate in CORSIA would for example lead to Europe offsetting a larger share of emissions. </w:t>
      </w:r>
      <w:r w:rsidR="00715615" w:rsidRPr="00781BE8">
        <w:t>T</w:t>
      </w:r>
      <w:r w:rsidR="004C034A" w:rsidRPr="00781BE8">
        <w:t>he extent of</w:t>
      </w:r>
      <w:r w:rsidRPr="00781BE8">
        <w:t xml:space="preserve"> implementation and continued participation in CORSIA and its enforcement by participating states has a larger impact than oil or carbon price on the outcomes of the options.</w:t>
      </w:r>
      <w:r w:rsidR="0019236A" w:rsidRPr="00781BE8">
        <w:t xml:space="preserve"> More detail in Annex 10</w:t>
      </w:r>
      <w:r w:rsidR="000C4643" w:rsidRPr="00781BE8">
        <w:t xml:space="preserve">, </w:t>
      </w:r>
      <w:r w:rsidR="00064578">
        <w:t>S</w:t>
      </w:r>
      <w:r w:rsidR="000C4643" w:rsidRPr="00781BE8">
        <w:t>ection 5.1</w:t>
      </w:r>
      <w:r w:rsidR="0019236A" w:rsidRPr="00781BE8">
        <w:t>.</w:t>
      </w:r>
    </w:p>
  </w:footnote>
  <w:footnote w:id="58">
    <w:p w14:paraId="42D46AEA" w14:textId="02E60893" w:rsidR="006269E7" w:rsidRPr="00781BE8" w:rsidRDefault="006269E7" w:rsidP="005E4778">
      <w:pPr>
        <w:pStyle w:val="FootnoteText"/>
        <w:ind w:left="357" w:hanging="357"/>
        <w:contextualSpacing/>
      </w:pPr>
      <w:r w:rsidRPr="00781BE8">
        <w:rPr>
          <w:rStyle w:val="FootnoteReference"/>
          <w:sz w:val="20"/>
          <w:szCs w:val="20"/>
        </w:rPr>
        <w:footnoteRef/>
      </w:r>
      <w:r w:rsidRPr="00781BE8">
        <w:t xml:space="preserve"> </w:t>
      </w:r>
      <w:r w:rsidR="00A01EA6">
        <w:tab/>
      </w:r>
      <w:r w:rsidRPr="00781BE8">
        <w:t>ICAO estimates: The cost of abatement (CORSIA eligible fuel premium compared to kerosene/tCO</w:t>
      </w:r>
      <w:r w:rsidRPr="00781BE8">
        <w:rPr>
          <w:vertAlign w:val="subscript"/>
        </w:rPr>
        <w:t>2</w:t>
      </w:r>
      <w:r w:rsidRPr="00781BE8">
        <w:t xml:space="preserve"> abated) around $600-800 per tCO</w:t>
      </w:r>
      <w:r w:rsidRPr="00781BE8">
        <w:rPr>
          <w:vertAlign w:val="subscript"/>
        </w:rPr>
        <w:t>2</w:t>
      </w:r>
      <w:r w:rsidRPr="00781BE8">
        <w:t>. The cost of abatement for using offsets at around $10-40 per tCO</w:t>
      </w:r>
      <w:r w:rsidRPr="00781BE8">
        <w:rPr>
          <w:vertAlign w:val="subscript"/>
        </w:rPr>
        <w:t>2</w:t>
      </w:r>
      <w:r w:rsidRPr="00781BE8">
        <w:t>. This means it is 15-80 times cheaper for airlines to buy CORSIA eligible offsets than to use CORSIA eligible SAF. There are a number of uncertainties around prices and also in CORSIA one tonne of eligible SAF is not counted as one tonne of emissions reduced, decreasing the incentive to use fuels. See ICAO</w:t>
      </w:r>
      <w:r w:rsidR="008B556C" w:rsidRPr="00781BE8">
        <w:t>,</w:t>
      </w:r>
      <w:r w:rsidRPr="00781BE8">
        <w:t xml:space="preserve"> </w:t>
      </w:r>
      <w:r w:rsidRPr="00781BE8">
        <w:rPr>
          <w:i/>
          <w:iCs/>
        </w:rPr>
        <w:t>Assembly Working Paper 28</w:t>
      </w:r>
      <w:r w:rsidRPr="00781BE8">
        <w:t>, August 2025</w:t>
      </w:r>
      <w:r w:rsidR="008B556C" w:rsidRPr="00781BE8">
        <w:t xml:space="preserve">, </w:t>
      </w:r>
      <w:hyperlink r:id="rId25" w:history="1">
        <w:r w:rsidR="008B556C" w:rsidRPr="00781BE8">
          <w:rPr>
            <w:rStyle w:val="Hyperlink"/>
          </w:rPr>
          <w:t>https://www.icao.int/sites/default/files/Meetings/a42/Documents/WP/wp_028_en.pdf</w:t>
        </w:r>
      </w:hyperlink>
      <w:r w:rsidR="008B556C" w:rsidRPr="00781BE8">
        <w:t>.</w:t>
      </w:r>
    </w:p>
  </w:footnote>
  <w:footnote w:id="59">
    <w:p w14:paraId="684ACCF1" w14:textId="4DE39863" w:rsidR="00C06675" w:rsidRPr="00781BE8" w:rsidRDefault="00C06675" w:rsidP="005E4778">
      <w:pPr>
        <w:spacing w:before="0" w:after="0"/>
        <w:ind w:left="357" w:hanging="357"/>
        <w:contextualSpacing/>
        <w:rPr>
          <w:sz w:val="20"/>
          <w:szCs w:val="20"/>
        </w:rPr>
      </w:pPr>
      <w:r w:rsidRPr="00781BE8">
        <w:rPr>
          <w:sz w:val="20"/>
          <w:szCs w:val="20"/>
          <w:vertAlign w:val="superscript"/>
        </w:rPr>
        <w:footnoteRef/>
      </w:r>
      <w:r w:rsidRPr="00781BE8">
        <w:rPr>
          <w:sz w:val="20"/>
          <w:szCs w:val="20"/>
        </w:rPr>
        <w:t xml:space="preserve"> </w:t>
      </w:r>
      <w:r w:rsidR="00A01EA6">
        <w:rPr>
          <w:sz w:val="20"/>
          <w:szCs w:val="20"/>
        </w:rPr>
        <w:tab/>
      </w:r>
      <w:r w:rsidR="008B556C" w:rsidRPr="00781BE8">
        <w:rPr>
          <w:sz w:val="20"/>
          <w:szCs w:val="20"/>
        </w:rPr>
        <w:t xml:space="preserve">Due </w:t>
      </w:r>
      <w:r w:rsidRPr="00781BE8">
        <w:rPr>
          <w:sz w:val="20"/>
          <w:szCs w:val="20"/>
        </w:rPr>
        <w:t>to</w:t>
      </w:r>
      <w:r w:rsidR="008B556C" w:rsidRPr="00781BE8">
        <w:rPr>
          <w:sz w:val="20"/>
          <w:szCs w:val="20"/>
        </w:rPr>
        <w:t xml:space="preserve"> the</w:t>
      </w:r>
      <w:r w:rsidRPr="00781BE8">
        <w:rPr>
          <w:sz w:val="20"/>
          <w:szCs w:val="20"/>
        </w:rPr>
        <w:t xml:space="preserve"> zero-rating of SAF under EU ETS, the fuel is considered to emit 0 CO</w:t>
      </w:r>
      <w:r w:rsidRPr="00781BE8">
        <w:rPr>
          <w:sz w:val="20"/>
          <w:szCs w:val="20"/>
          <w:vertAlign w:val="subscript"/>
        </w:rPr>
        <w:t>2</w:t>
      </w:r>
      <w:r w:rsidRPr="00781BE8">
        <w:rPr>
          <w:sz w:val="20"/>
          <w:szCs w:val="20"/>
        </w:rPr>
        <w:t xml:space="preserve">/tonne of fuel. </w:t>
      </w:r>
      <w:r w:rsidR="00A912D7" w:rsidRPr="00781BE8">
        <w:rPr>
          <w:sz w:val="20"/>
          <w:szCs w:val="20"/>
        </w:rPr>
        <w:t xml:space="preserve">However, </w:t>
      </w:r>
      <w:r w:rsidR="00AF39DC" w:rsidRPr="00781BE8">
        <w:rPr>
          <w:sz w:val="20"/>
          <w:szCs w:val="20"/>
        </w:rPr>
        <w:t>in reality</w:t>
      </w:r>
      <w:r w:rsidR="00B17EC8" w:rsidRPr="00781BE8">
        <w:rPr>
          <w:sz w:val="20"/>
          <w:szCs w:val="20"/>
        </w:rPr>
        <w:t>,</w:t>
      </w:r>
      <w:r w:rsidR="00AF39DC" w:rsidRPr="00781BE8">
        <w:rPr>
          <w:sz w:val="20"/>
          <w:szCs w:val="20"/>
        </w:rPr>
        <w:t xml:space="preserve"> the</w:t>
      </w:r>
      <w:r w:rsidR="00A912D7" w:rsidRPr="00781BE8">
        <w:rPr>
          <w:sz w:val="20"/>
          <w:szCs w:val="20"/>
        </w:rPr>
        <w:t>se fuels</w:t>
      </w:r>
      <w:r w:rsidR="00AF39DC" w:rsidRPr="00781BE8">
        <w:rPr>
          <w:sz w:val="20"/>
          <w:szCs w:val="20"/>
        </w:rPr>
        <w:t xml:space="preserve"> still have upstream emissions</w:t>
      </w:r>
      <w:r w:rsidR="00A912D7" w:rsidRPr="00781BE8">
        <w:rPr>
          <w:sz w:val="20"/>
          <w:szCs w:val="20"/>
        </w:rPr>
        <w:t>.</w:t>
      </w:r>
    </w:p>
  </w:footnote>
  <w:footnote w:id="60">
    <w:p w14:paraId="3129D69D" w14:textId="2FBAB7D3" w:rsidR="00DC527F" w:rsidRPr="00781BE8" w:rsidRDefault="00DC527F" w:rsidP="005E4778">
      <w:pPr>
        <w:pStyle w:val="FootnoteText"/>
        <w:ind w:left="357" w:hanging="357"/>
        <w:contextualSpacing/>
      </w:pPr>
      <w:r w:rsidRPr="00781BE8">
        <w:rPr>
          <w:rStyle w:val="FootnoteReference"/>
          <w:sz w:val="20"/>
          <w:szCs w:val="20"/>
        </w:rPr>
        <w:footnoteRef/>
      </w:r>
      <w:r w:rsidRPr="00781BE8">
        <w:t xml:space="preserve"> </w:t>
      </w:r>
      <w:r w:rsidR="00A01EA6">
        <w:tab/>
      </w:r>
      <w:r w:rsidRPr="00781BE8">
        <w:t>Emissions from landfilling could not be modelled in the PRIMES model as the scope covers CO</w:t>
      </w:r>
      <w:r w:rsidRPr="00781BE8">
        <w:rPr>
          <w:vertAlign w:val="subscript"/>
        </w:rPr>
        <w:t>2</w:t>
      </w:r>
      <w:r w:rsidRPr="00781BE8">
        <w:t xml:space="preserve"> emissions only, whereas landfill emissions are mainly driven by CH4. Landfill emissions have been separately modelled in GAINS.</w:t>
      </w:r>
    </w:p>
  </w:footnote>
  <w:footnote w:id="61">
    <w:p w14:paraId="2D1B0733" w14:textId="43C4D40B" w:rsidR="00DC527F" w:rsidRPr="00781BE8" w:rsidRDefault="00DC527F" w:rsidP="005E4778">
      <w:pPr>
        <w:pStyle w:val="FootnoteText"/>
        <w:ind w:left="357" w:hanging="357"/>
        <w:contextualSpacing/>
      </w:pPr>
      <w:r w:rsidRPr="00781BE8">
        <w:rPr>
          <w:rStyle w:val="FootnoteReference"/>
          <w:sz w:val="20"/>
          <w:szCs w:val="20"/>
        </w:rPr>
        <w:footnoteRef/>
      </w:r>
      <w:r w:rsidRPr="00781BE8">
        <w:t xml:space="preserve"> </w:t>
      </w:r>
      <w:r w:rsidR="00A01EA6">
        <w:tab/>
      </w:r>
      <w:r w:rsidRPr="00781BE8">
        <w:t>GAINS does not allow to separately model the disaggregated contribution of the carbon price to emissions reductions from non-hazardous landfilling under PO3.</w:t>
      </w:r>
    </w:p>
  </w:footnote>
  <w:footnote w:id="62">
    <w:p w14:paraId="1C1EA2AD" w14:textId="71078BC6" w:rsidR="00FA037A" w:rsidRPr="00781BE8" w:rsidRDefault="00FA037A" w:rsidP="005E4778">
      <w:pPr>
        <w:pStyle w:val="FootnoteText"/>
        <w:ind w:left="357" w:hanging="357"/>
        <w:contextualSpacing/>
      </w:pPr>
      <w:r w:rsidRPr="00781BE8">
        <w:rPr>
          <w:rStyle w:val="FootnoteReference"/>
          <w:sz w:val="20"/>
          <w:szCs w:val="20"/>
        </w:rPr>
        <w:footnoteRef/>
      </w:r>
      <w:r w:rsidR="00866542" w:rsidRPr="00781BE8">
        <w:rPr>
          <w:rStyle w:val="FootnoteReference"/>
          <w:sz w:val="20"/>
          <w:szCs w:val="20"/>
        </w:rPr>
        <w:t xml:space="preserve"> </w:t>
      </w:r>
      <w:r w:rsidR="00A01EA6">
        <w:tab/>
      </w:r>
      <w:r w:rsidRPr="00781BE8">
        <w:t xml:space="preserve">Communication from the Commission to the European Parliament, the Council, the European Economic and Social Committee </w:t>
      </w:r>
      <w:r w:rsidR="006F1406" w:rsidRPr="00781BE8">
        <w:t>a</w:t>
      </w:r>
      <w:r w:rsidRPr="00781BE8">
        <w:t>nd the Committee of the Regions</w:t>
      </w:r>
      <w:r w:rsidR="00444B77" w:rsidRPr="00781BE8">
        <w:t>:</w:t>
      </w:r>
      <w:r w:rsidRPr="00781BE8">
        <w:t xml:space="preserve"> Towards an ambitious Industrial Carbon Management for the EU</w:t>
      </w:r>
      <w:r w:rsidR="00444B77" w:rsidRPr="00781BE8">
        <w:t>, COM/2024/62 final</w:t>
      </w:r>
      <w:r w:rsidR="00866542" w:rsidRPr="00781BE8">
        <w:t xml:space="preserve">, 6.2.2024, </w:t>
      </w:r>
      <w:hyperlink r:id="rId26" w:history="1">
        <w:r w:rsidR="00866542" w:rsidRPr="00781BE8">
          <w:rPr>
            <w:rStyle w:val="Hyperlink"/>
          </w:rPr>
          <w:t>https://eur-lex.europa.eu/legal-content/EN/TXT/?uri=celex:52024DC0062</w:t>
        </w:r>
      </w:hyperlink>
      <w:r w:rsidR="00866542" w:rsidRPr="00781BE8">
        <w:t>.</w:t>
      </w:r>
    </w:p>
  </w:footnote>
  <w:footnote w:id="63">
    <w:p w14:paraId="67D215FD" w14:textId="498A2CB5" w:rsidR="00642B50" w:rsidRPr="00781BE8" w:rsidRDefault="00642B50" w:rsidP="005E4778">
      <w:pPr>
        <w:pStyle w:val="FootnoteText"/>
        <w:ind w:left="357" w:hanging="357"/>
        <w:contextualSpacing/>
        <w:rPr>
          <w:lang w:val="de-AT"/>
        </w:rPr>
      </w:pPr>
      <w:r w:rsidRPr="00781BE8">
        <w:rPr>
          <w:rStyle w:val="FootnoteReference"/>
          <w:sz w:val="20"/>
          <w:szCs w:val="20"/>
        </w:rPr>
        <w:footnoteRef/>
      </w:r>
      <w:r w:rsidRPr="00781BE8">
        <w:t xml:space="preserve"> </w:t>
      </w:r>
      <w:r w:rsidR="00A01EA6">
        <w:tab/>
      </w:r>
      <w:r w:rsidRPr="00781BE8">
        <w:t xml:space="preserve">The baseline is a net cap </w:t>
      </w:r>
      <w:r w:rsidR="00A940B7" w:rsidRPr="00781BE8">
        <w:t>(</w:t>
      </w:r>
      <w:r w:rsidRPr="00781BE8">
        <w:t>adjusted to the relevant ambition level and all other changes in the policy options</w:t>
      </w:r>
      <w:r w:rsidR="00A940B7" w:rsidRPr="00781BE8">
        <w:t>)</w:t>
      </w:r>
      <w:r w:rsidRPr="00781BE8">
        <w:t>, as no additional emissions space would be provided through the integration</w:t>
      </w:r>
      <w:r w:rsidR="005E2268" w:rsidRPr="00781BE8">
        <w:t>. T</w:t>
      </w:r>
      <w:r w:rsidRPr="00781BE8">
        <w:t>he ETS could eventually progress to absolute zero, unless</w:t>
      </w:r>
      <w:r w:rsidR="00A940B7" w:rsidRPr="00781BE8">
        <w:t xml:space="preserve"> removals would be generated elsewhere to compensate for the ETS having a positive cap</w:t>
      </w:r>
      <w:r w:rsidR="009E6ADA" w:rsidRPr="00781BE8">
        <w:t>, or it would be replaced by another system</w:t>
      </w:r>
      <w:r w:rsidR="0098448B" w:rsidRPr="00781BE8">
        <w:t xml:space="preserve">. </w:t>
      </w:r>
      <w:r w:rsidR="00505106" w:rsidRPr="00781BE8">
        <w:t>F</w:t>
      </w:r>
      <w:r w:rsidR="00DD183A" w:rsidRPr="00781BE8">
        <w:t xml:space="preserve">or </w:t>
      </w:r>
      <w:r w:rsidR="005E2268" w:rsidRPr="00781BE8">
        <w:t xml:space="preserve">options on the future of </w:t>
      </w:r>
      <w:r w:rsidR="00505106" w:rsidRPr="00781BE8">
        <w:t xml:space="preserve">the </w:t>
      </w:r>
      <w:r w:rsidR="005E2268" w:rsidRPr="00781BE8">
        <w:t>ETS in case of no integration of removals</w:t>
      </w:r>
      <w:r w:rsidR="00505106" w:rsidRPr="00781BE8">
        <w:t>, see</w:t>
      </w:r>
      <w:r w:rsidR="00ED122E" w:rsidRPr="00781BE8">
        <w:t xml:space="preserve"> Stephanie La Hoz Theuer, Victor Ortiz Rivera, Katja Biedenkopf</w:t>
      </w:r>
      <w:r w:rsidR="00505106" w:rsidRPr="00781BE8">
        <w:t>,</w:t>
      </w:r>
      <w:r w:rsidR="0098448B" w:rsidRPr="00781BE8">
        <w:t xml:space="preserve"> </w:t>
      </w:r>
      <w:r w:rsidR="0098448B" w:rsidRPr="00781BE8">
        <w:rPr>
          <w:i/>
          <w:iCs/>
        </w:rPr>
        <w:t xml:space="preserve">ETS, </w:t>
      </w:r>
      <w:r w:rsidR="00505106" w:rsidRPr="00781BE8">
        <w:rPr>
          <w:i/>
          <w:iCs/>
        </w:rPr>
        <w:t>Reloaded</w:t>
      </w:r>
      <w:r w:rsidR="0098448B" w:rsidRPr="00781BE8">
        <w:rPr>
          <w:i/>
          <w:iCs/>
        </w:rPr>
        <w:t>?</w:t>
      </w:r>
      <w:r w:rsidR="000C653C" w:rsidRPr="00781BE8">
        <w:rPr>
          <w:i/>
          <w:iCs/>
        </w:rPr>
        <w:t xml:space="preserve"> </w:t>
      </w:r>
      <w:r w:rsidR="0098448B" w:rsidRPr="00781BE8">
        <w:rPr>
          <w:i/>
          <w:iCs/>
        </w:rPr>
        <w:t>Designing Emissions Trading for Net-Zero and Net-Negative Societies</w:t>
      </w:r>
      <w:r w:rsidR="00505106" w:rsidRPr="00781BE8">
        <w:rPr>
          <w:i/>
          <w:iCs/>
        </w:rPr>
        <w:t xml:space="preserve">, </w:t>
      </w:r>
      <w:r w:rsidR="0098448B" w:rsidRPr="00781BE8">
        <w:t>Secretariat of the International Carbon Action Partnership</w:t>
      </w:r>
      <w:r w:rsidR="00505106" w:rsidRPr="00781BE8">
        <w:t>,</w:t>
      </w:r>
      <w:r w:rsidR="0098448B" w:rsidRPr="00781BE8">
        <w:t xml:space="preserve"> March 2025. </w:t>
      </w:r>
      <w:r w:rsidR="0098448B" w:rsidRPr="00781BE8">
        <w:rPr>
          <w:lang w:val="de-AT"/>
        </w:rPr>
        <w:t>Berlin, Germany</w:t>
      </w:r>
      <w:r w:rsidR="004B4811" w:rsidRPr="00781BE8">
        <w:rPr>
          <w:lang w:val="de-AT"/>
        </w:rPr>
        <w:t>,</w:t>
      </w:r>
      <w:r w:rsidR="00505106" w:rsidRPr="00781BE8">
        <w:rPr>
          <w:lang w:val="de-AT"/>
        </w:rPr>
        <w:t xml:space="preserve"> </w:t>
      </w:r>
      <w:hyperlink r:id="rId27" w:history="1">
        <w:r w:rsidR="00505106" w:rsidRPr="00781BE8">
          <w:rPr>
            <w:rStyle w:val="Hyperlink"/>
            <w:lang w:val="de-AT"/>
          </w:rPr>
          <w:t>https://icapcarbonaction.com/system/files/document/ets-reloaded-paper_final.pdf</w:t>
        </w:r>
      </w:hyperlink>
      <w:r w:rsidR="00505106" w:rsidRPr="00781BE8">
        <w:rPr>
          <w:lang w:val="de-AT"/>
        </w:rPr>
        <w:t>.</w:t>
      </w:r>
    </w:p>
  </w:footnote>
  <w:footnote w:id="64">
    <w:p w14:paraId="4DEC2EB8" w14:textId="342AB4C9" w:rsidR="00B16C77" w:rsidRPr="00781BE8" w:rsidRDefault="00B16C77" w:rsidP="005E4778">
      <w:pPr>
        <w:pStyle w:val="FootnoteText"/>
        <w:ind w:left="357" w:hanging="357"/>
        <w:contextualSpacing/>
      </w:pPr>
      <w:r w:rsidRPr="00781BE8">
        <w:rPr>
          <w:rStyle w:val="FootnoteReference"/>
          <w:sz w:val="20"/>
          <w:szCs w:val="20"/>
        </w:rPr>
        <w:footnoteRef/>
      </w:r>
      <w:r w:rsidRPr="00781BE8">
        <w:t xml:space="preserve"> </w:t>
      </w:r>
      <w:r w:rsidR="00A01EA6">
        <w:tab/>
      </w:r>
      <w:r w:rsidRPr="00781BE8">
        <w:t>The year a removal unit is used instead of a normal allowance, the total emissions space in that year is higher. As an allowance is cancelled in a later year, the total volume doesn’t change, but the distribution of those allowances. This creates temporal arbitrage opportunities. If arbitrage is perfect, frictionless, and without cost, this has no effect on prices in any years. If instead it is fully sticky, then the allowance price would be lower in the year the removal unit is used, and higher in the later year where fewer allowances are auctioned. Reality will lie between these two extremes, meaning a higher price volatility under PO3 than the other policy options.</w:t>
      </w:r>
    </w:p>
  </w:footnote>
  <w:footnote w:id="65">
    <w:p w14:paraId="141811B8" w14:textId="656645EE" w:rsidR="000F3223" w:rsidRPr="00781BE8" w:rsidRDefault="000F3223" w:rsidP="005E4778">
      <w:pPr>
        <w:pStyle w:val="FootnoteText"/>
        <w:ind w:left="357" w:hanging="357"/>
        <w:contextualSpacing/>
      </w:pPr>
      <w:r w:rsidRPr="00781BE8">
        <w:rPr>
          <w:rStyle w:val="FootnoteReference"/>
          <w:sz w:val="20"/>
          <w:szCs w:val="20"/>
        </w:rPr>
        <w:footnoteRef/>
      </w:r>
      <w:r w:rsidRPr="00781BE8">
        <w:t xml:space="preserve"> </w:t>
      </w:r>
      <w:r w:rsidR="00A01EA6">
        <w:tab/>
      </w:r>
      <w:r w:rsidRPr="00781BE8">
        <w:t xml:space="preserve">Note that this figure does not take into account i) the forthcoming possibility for some indirect costs to be compensated by free allocation rather than State aid (which would reduce the figure); </w:t>
      </w:r>
      <w:r w:rsidR="007A720D" w:rsidRPr="00781BE8">
        <w:t xml:space="preserve">and </w:t>
      </w:r>
      <w:r w:rsidRPr="00781BE8">
        <w:t>ii) the expanded number of sectors eligible for ICC compensation since the December 2025 amendment to the State aid rules (which would increase the figure). See Annex 12 for further details.</w:t>
      </w:r>
    </w:p>
  </w:footnote>
  <w:footnote w:id="66">
    <w:p w14:paraId="3FA58FE2" w14:textId="55813365" w:rsidR="006B29E2" w:rsidRPr="00781BE8" w:rsidRDefault="006B29E2" w:rsidP="005E4778">
      <w:pPr>
        <w:pStyle w:val="FootnoteText"/>
        <w:ind w:left="357" w:hanging="357"/>
        <w:contextualSpacing/>
      </w:pPr>
      <w:r w:rsidRPr="00781BE8">
        <w:rPr>
          <w:rStyle w:val="FootnoteReference"/>
          <w:sz w:val="20"/>
          <w:szCs w:val="20"/>
        </w:rPr>
        <w:footnoteRef/>
      </w:r>
      <w:r w:rsidRPr="00781BE8">
        <w:t xml:space="preserve"> </w:t>
      </w:r>
      <w:r w:rsidR="00A01EA6">
        <w:tab/>
      </w:r>
      <w:r w:rsidRPr="00781BE8">
        <w:t xml:space="preserve">Operators need to monitor, report and verify emissions, and comply (i.e. buy and surrender/ cancel EU ETS allowances and CORSIA eligible credits). National authorities manage the system for reporting emissions, control free allocation, administer </w:t>
      </w:r>
      <w:r w:rsidR="00DB4B4A" w:rsidRPr="00781BE8">
        <w:t xml:space="preserve">Union Registry </w:t>
      </w:r>
      <w:r w:rsidRPr="00781BE8">
        <w:t xml:space="preserve">accounts, follow up and enforce compliance and are in direct contact with aircraft operators. The Commission provides the Union Registry, approves free allocation, publishes the list of aircraft operators and administering Member States, publishes annual prices of SAF, publishes all data under transparency provisions, proposes/adopts legislation and guidance documents for harmonised implementation of the system. </w:t>
      </w:r>
    </w:p>
  </w:footnote>
  <w:footnote w:id="67">
    <w:p w14:paraId="575EC70A" w14:textId="5F361CA6" w:rsidR="0082600E" w:rsidRPr="00781BE8" w:rsidRDefault="0082600E" w:rsidP="005E4778">
      <w:pPr>
        <w:spacing w:before="0" w:after="0"/>
        <w:ind w:left="357" w:hanging="357"/>
        <w:contextualSpacing/>
        <w:rPr>
          <w:sz w:val="20"/>
          <w:szCs w:val="20"/>
        </w:rPr>
      </w:pPr>
      <w:r w:rsidRPr="00781BE8">
        <w:rPr>
          <w:sz w:val="20"/>
          <w:szCs w:val="20"/>
          <w:vertAlign w:val="superscript"/>
        </w:rPr>
        <w:footnoteRef/>
      </w:r>
      <w:r w:rsidRPr="00781BE8">
        <w:rPr>
          <w:sz w:val="20"/>
          <w:szCs w:val="20"/>
        </w:rPr>
        <w:t xml:space="preserve"> </w:t>
      </w:r>
      <w:r w:rsidR="00A01EA6">
        <w:rPr>
          <w:sz w:val="20"/>
          <w:szCs w:val="20"/>
        </w:rPr>
        <w:tab/>
      </w:r>
      <w:r w:rsidRPr="00781BE8">
        <w:rPr>
          <w:sz w:val="20"/>
          <w:szCs w:val="20"/>
        </w:rPr>
        <w:t xml:space="preserve">Stakeholder interviews were conducted with eleven industrial associations from CBAM and non-CBAM sectors. </w:t>
      </w:r>
    </w:p>
  </w:footnote>
  <w:footnote w:id="68">
    <w:p w14:paraId="52B0589F" w14:textId="39F5E29F" w:rsidR="00D9656A" w:rsidRPr="00781BE8" w:rsidRDefault="00D9656A" w:rsidP="005E4778">
      <w:pPr>
        <w:spacing w:before="0" w:after="0"/>
        <w:ind w:left="357" w:hanging="357"/>
        <w:contextualSpacing/>
        <w:rPr>
          <w:rFonts w:eastAsia="MS Mincho"/>
          <w:sz w:val="20"/>
          <w:szCs w:val="20"/>
        </w:rPr>
      </w:pPr>
      <w:r w:rsidRPr="00781BE8">
        <w:rPr>
          <w:rStyle w:val="FootnoteReference"/>
          <w:sz w:val="20"/>
          <w:szCs w:val="20"/>
        </w:rPr>
        <w:footnoteRef/>
      </w:r>
      <w:r w:rsidRPr="00781BE8">
        <w:rPr>
          <w:sz w:val="20"/>
          <w:szCs w:val="20"/>
        </w:rPr>
        <w:t xml:space="preserve"> </w:t>
      </w:r>
      <w:r w:rsidR="00A01EA6">
        <w:rPr>
          <w:sz w:val="20"/>
          <w:szCs w:val="20"/>
        </w:rPr>
        <w:tab/>
      </w:r>
      <w:r w:rsidRPr="00781BE8">
        <w:rPr>
          <w:rFonts w:eastAsia="MS Mincho"/>
          <w:sz w:val="20"/>
          <w:szCs w:val="20"/>
        </w:rPr>
        <w:t xml:space="preserve">Commission Staff Working Document: Impact Assessment Report: Part 1: Accompanying the document Communication from the Commission to the European Parliament, the Council, the European Economic and Social Committee and the Committee of the Regions: Securing our future Europe's 2040 climate target and path to climate neutrality by 2050 building a sustainable, just and prosperous society, </w:t>
      </w:r>
      <w:r w:rsidRPr="00781BE8">
        <w:rPr>
          <w:sz w:val="20"/>
          <w:szCs w:val="20"/>
        </w:rPr>
        <w:t xml:space="preserve">SWD(2024) 63 final, 6.2.2024, </w:t>
      </w:r>
      <w:hyperlink r:id="rId28" w:history="1">
        <w:r w:rsidRPr="00781BE8">
          <w:rPr>
            <w:rStyle w:val="Hyperlink"/>
            <w:sz w:val="20"/>
            <w:szCs w:val="20"/>
          </w:rPr>
          <w:t>https://eur-lex.europa.eu/legal-content/EN/TXT/?uri=celex:52024SC0063</w:t>
        </w:r>
      </w:hyperlink>
      <w:r w:rsidRPr="00781BE8">
        <w:rPr>
          <w:sz w:val="20"/>
          <w:szCs w:val="20"/>
        </w:rPr>
        <w:t>.</w:t>
      </w:r>
    </w:p>
  </w:footnote>
  <w:footnote w:id="69">
    <w:p w14:paraId="62DCC8BB" w14:textId="0E8EF205" w:rsidR="00254536" w:rsidRPr="00781BE8" w:rsidRDefault="00254536" w:rsidP="005E4778">
      <w:pPr>
        <w:pStyle w:val="FootnoteText"/>
        <w:ind w:left="357" w:hanging="357"/>
        <w:contextualSpacing/>
      </w:pPr>
      <w:r w:rsidRPr="00781BE8">
        <w:rPr>
          <w:rStyle w:val="FootnoteReference"/>
          <w:sz w:val="20"/>
          <w:szCs w:val="20"/>
        </w:rPr>
        <w:footnoteRef/>
      </w:r>
      <w:r w:rsidRPr="00781BE8">
        <w:t xml:space="preserve"> </w:t>
      </w:r>
      <w:r w:rsidR="00E251AF">
        <w:tab/>
      </w:r>
      <w:r w:rsidR="00E53644" w:rsidRPr="00781BE8">
        <w:t>Model-based estimates with risk of changing due to finetuning of PRIMES model (4)</w:t>
      </w:r>
      <w:r w:rsidR="00F33E48" w:rsidRPr="00781BE8">
        <w:t>;</w:t>
      </w:r>
      <w:r w:rsidR="00E53644" w:rsidRPr="00781BE8">
        <w:t xml:space="preserve"> Figures in EUR are rounded to the nearest EUR 5 billion.</w:t>
      </w:r>
    </w:p>
  </w:footnote>
  <w:footnote w:id="70">
    <w:p w14:paraId="4B883DBA" w14:textId="24EB4298" w:rsidR="00324959" w:rsidRPr="00781BE8" w:rsidRDefault="00324959" w:rsidP="005E4778">
      <w:pPr>
        <w:pStyle w:val="FootnoteText"/>
        <w:ind w:left="357" w:hanging="357"/>
        <w:contextualSpacing/>
      </w:pPr>
      <w:r w:rsidRPr="00781BE8">
        <w:rPr>
          <w:rStyle w:val="FootnoteReference"/>
          <w:sz w:val="20"/>
          <w:szCs w:val="20"/>
        </w:rPr>
        <w:footnoteRef/>
      </w:r>
      <w:r w:rsidR="00E251AF">
        <w:t xml:space="preserve"> </w:t>
      </w:r>
      <w:r w:rsidR="00E251AF">
        <w:tab/>
      </w:r>
      <w:r w:rsidRPr="00781BE8">
        <w:t xml:space="preserve">IATA, </w:t>
      </w:r>
      <w:r w:rsidRPr="00781BE8">
        <w:rPr>
          <w:i/>
          <w:iCs/>
        </w:rPr>
        <w:t>Airfare, jet fuel price, and inflation</w:t>
      </w:r>
      <w:r w:rsidRPr="00781BE8">
        <w:t>, 2024</w:t>
      </w:r>
      <w:r w:rsidR="003C1743" w:rsidRPr="00781BE8">
        <w:t xml:space="preserve">, </w:t>
      </w:r>
      <w:hyperlink r:id="rId29" w:history="1">
        <w:r w:rsidR="003C1743" w:rsidRPr="00781BE8">
          <w:rPr>
            <w:rStyle w:val="Hyperlink"/>
          </w:rPr>
          <w:t>https://www.iata.org/en/iata-repository/publications/economic-reports/airfare-jet-fuel-price-and-inflation/</w:t>
        </w:r>
      </w:hyperlink>
      <w:r w:rsidRPr="00781BE8">
        <w:t xml:space="preserve">. </w:t>
      </w:r>
    </w:p>
  </w:footnote>
  <w:footnote w:id="71">
    <w:p w14:paraId="36190E8D" w14:textId="4F23DDAA" w:rsidR="000A0575" w:rsidRPr="000A0575" w:rsidRDefault="000A0575" w:rsidP="005E4778">
      <w:pPr>
        <w:pStyle w:val="FootnoteText"/>
        <w:ind w:left="357" w:hanging="357"/>
        <w:contextualSpacing/>
      </w:pPr>
      <w:r>
        <w:rPr>
          <w:rStyle w:val="FootnoteReference"/>
        </w:rPr>
        <w:footnoteRef/>
      </w:r>
      <w:r>
        <w:t xml:space="preserve"> </w:t>
      </w:r>
      <w:r w:rsidR="00D757B3">
        <w:tab/>
      </w:r>
      <w:r w:rsidR="00223AAE">
        <w:t>Ricardo/</w:t>
      </w:r>
      <w:r w:rsidR="00223AAE" w:rsidRPr="000A0575">
        <w:rPr>
          <w:lang w:val="en-IE"/>
        </w:rPr>
        <w:t>WSP</w:t>
      </w:r>
      <w:r w:rsidR="00223AAE">
        <w:rPr>
          <w:lang w:val="en-IE"/>
        </w:rPr>
        <w:t xml:space="preserve"> (forthcoming),</w:t>
      </w:r>
      <w:r w:rsidRPr="000A0575">
        <w:rPr>
          <w:lang w:val="en-IE"/>
        </w:rPr>
        <w:t xml:space="preserve"> </w:t>
      </w:r>
      <w:r w:rsidRPr="000A0575">
        <w:rPr>
          <w:i/>
          <w:iCs/>
          <w:lang w:val="en-IE"/>
        </w:rPr>
        <w:t>Support for the review by the Commission concerning the implementation of ICAO’s CORSIA, and for Commission reports on certain types of flights, social impacts, and air connectivity of islands, remote territories and Iceland</w:t>
      </w:r>
      <w:r w:rsidRPr="000A0575">
        <w:rPr>
          <w:lang w:val="en-IE"/>
        </w:rPr>
        <w:t>,  Referred to as “aviation support study”.</w:t>
      </w:r>
    </w:p>
  </w:footnote>
  <w:footnote w:id="72">
    <w:p w14:paraId="6A44C8FA" w14:textId="689DDB9D" w:rsidR="00324959" w:rsidRPr="00781BE8" w:rsidRDefault="00324959" w:rsidP="005E4778">
      <w:pPr>
        <w:pStyle w:val="FootnoteText"/>
        <w:ind w:left="357" w:hanging="357"/>
        <w:contextualSpacing/>
      </w:pPr>
      <w:r w:rsidRPr="00781BE8">
        <w:rPr>
          <w:rStyle w:val="FootnoteReference"/>
          <w:sz w:val="20"/>
          <w:szCs w:val="20"/>
        </w:rPr>
        <w:footnoteRef/>
      </w:r>
      <w:r w:rsidRPr="00781BE8">
        <w:t xml:space="preserve"> </w:t>
      </w:r>
      <w:r w:rsidR="00E251AF">
        <w:tab/>
      </w:r>
      <w:r w:rsidRPr="00781BE8">
        <w:t>Following some airlines paying fines for non-compliance for their flights within the EU, all major airlines have maintained compliance with the system.</w:t>
      </w:r>
    </w:p>
  </w:footnote>
  <w:footnote w:id="73">
    <w:p w14:paraId="09C8D8F8" w14:textId="0AFF0C33" w:rsidR="00134AFE" w:rsidRPr="00781BE8" w:rsidRDefault="00134AFE" w:rsidP="005E4778">
      <w:pPr>
        <w:pStyle w:val="FootnoteText"/>
        <w:ind w:left="357" w:hanging="357"/>
        <w:contextualSpacing/>
      </w:pPr>
      <w:r w:rsidRPr="00781BE8">
        <w:rPr>
          <w:rStyle w:val="FootnoteReference"/>
          <w:sz w:val="20"/>
          <w:szCs w:val="20"/>
        </w:rPr>
        <w:footnoteRef/>
      </w:r>
      <w:r w:rsidRPr="00781BE8">
        <w:t xml:space="preserve"> </w:t>
      </w:r>
      <w:r w:rsidR="00E251AF">
        <w:tab/>
      </w:r>
      <w:r w:rsidR="00A851C4" w:rsidRPr="00781BE8">
        <w:t>European Commission, Commission Staff Working Document: Impact Assessment Report: Accompanying the document: Proposal for a Directive of the European Parliament and of the Council</w:t>
      </w:r>
      <w:r w:rsidR="00477E7A" w:rsidRPr="00781BE8">
        <w:t xml:space="preserve"> </w:t>
      </w:r>
      <w:r w:rsidR="00F919FB" w:rsidRPr="00781BE8">
        <w:t>amending Directive 2003/87/EC as regards aviation's contribution to the Union’s economy-wide emission reduction target and appropriately implementing a global market-based measure</w:t>
      </w:r>
      <w:r w:rsidR="009C31B8" w:rsidRPr="00781BE8">
        <w:t xml:space="preserve">, </w:t>
      </w:r>
      <w:r w:rsidR="001D4FF9" w:rsidRPr="00781BE8">
        <w:t>SWD(2021) 603 final</w:t>
      </w:r>
      <w:r w:rsidR="00A51613" w:rsidRPr="00781BE8">
        <w:t xml:space="preserve">, 14.7.2021, </w:t>
      </w:r>
      <w:hyperlink r:id="rId30" w:history="1">
        <w:r w:rsidR="00A851C4" w:rsidRPr="00781BE8">
          <w:rPr>
            <w:rStyle w:val="Hyperlink"/>
          </w:rPr>
          <w:t>https://eur-lex.europa.eu/legal-content/EN/TXT/?uri=CELEX%3A52021SC0603</w:t>
        </w:r>
      </w:hyperlink>
      <w:r w:rsidR="00A51613" w:rsidRPr="00781BE8">
        <w:t>.</w:t>
      </w:r>
    </w:p>
  </w:footnote>
  <w:footnote w:id="74">
    <w:p w14:paraId="6BDF1D4C" w14:textId="7583C529" w:rsidR="00324959" w:rsidRPr="00781BE8" w:rsidRDefault="00324959" w:rsidP="005E4778">
      <w:pPr>
        <w:pStyle w:val="FootnoteText"/>
        <w:ind w:left="357" w:hanging="357"/>
        <w:contextualSpacing/>
      </w:pPr>
      <w:r w:rsidRPr="00781BE8">
        <w:rPr>
          <w:rStyle w:val="FootnoteReference"/>
          <w:sz w:val="20"/>
          <w:szCs w:val="20"/>
        </w:rPr>
        <w:footnoteRef/>
      </w:r>
      <w:r w:rsidRPr="00781BE8">
        <w:t xml:space="preserve"> </w:t>
      </w:r>
      <w:r w:rsidR="00E251AF">
        <w:tab/>
      </w:r>
      <w:r w:rsidRPr="00781BE8">
        <w:t xml:space="preserve">CE Delft, </w:t>
      </w:r>
      <w:r w:rsidRPr="00781BE8">
        <w:rPr>
          <w:i/>
          <w:iCs/>
        </w:rPr>
        <w:t>Giving wings to emissions trading: inclusion of aviation under the European emissions trading scheme (ETS): design and impacts</w:t>
      </w:r>
      <w:r w:rsidR="00193B66" w:rsidRPr="00781BE8">
        <w:t>, 2005,</w:t>
      </w:r>
      <w:r w:rsidR="00DE3FDE" w:rsidRPr="00781BE8">
        <w:t xml:space="preserve"> </w:t>
      </w:r>
      <w:hyperlink r:id="rId31" w:history="1">
        <w:r w:rsidR="00DE3FDE" w:rsidRPr="00781BE8">
          <w:rPr>
            <w:rStyle w:val="Hyperlink"/>
          </w:rPr>
          <w:t>https://cedelft.eu/publications/giving-wings-to-emission-trading/</w:t>
        </w:r>
      </w:hyperlink>
      <w:r w:rsidRPr="00781BE8">
        <w:t>; CE Delft and MVA</w:t>
      </w:r>
      <w:r w:rsidR="00193B66" w:rsidRPr="00781BE8">
        <w:t>,</w:t>
      </w:r>
      <w:r w:rsidRPr="00781BE8">
        <w:t xml:space="preserve"> </w:t>
      </w:r>
      <w:r w:rsidRPr="00781BE8">
        <w:rPr>
          <w:i/>
          <w:iCs/>
        </w:rPr>
        <w:t>Implications of EU emissions trading scheme for competition between EU and non-EU airlines</w:t>
      </w:r>
      <w:r w:rsidR="00193B66" w:rsidRPr="00781BE8">
        <w:t xml:space="preserve">, 2007, </w:t>
      </w:r>
      <w:hyperlink r:id="rId32" w:history="1">
        <w:r w:rsidR="006C7FFB" w:rsidRPr="00781BE8">
          <w:rPr>
            <w:rStyle w:val="Hyperlink"/>
          </w:rPr>
          <w:t>https://ce.nl/publicaties/implications-of-eu-emission-trading-scheme-for-competition-between-eu-and-non-eu-airlines/</w:t>
        </w:r>
      </w:hyperlink>
      <w:r w:rsidR="006C7FFB" w:rsidRPr="00781BE8">
        <w:t>.</w:t>
      </w:r>
    </w:p>
  </w:footnote>
  <w:footnote w:id="75">
    <w:p w14:paraId="2D047F5C" w14:textId="5B2F9E6B" w:rsidR="00BA61B0" w:rsidRPr="00781BE8" w:rsidRDefault="00BA61B0" w:rsidP="005E4778">
      <w:pPr>
        <w:pStyle w:val="FootnoteText"/>
        <w:ind w:left="357" w:hanging="357"/>
        <w:contextualSpacing/>
      </w:pPr>
      <w:r w:rsidRPr="00781BE8">
        <w:rPr>
          <w:rStyle w:val="FootnoteReference"/>
          <w:sz w:val="20"/>
          <w:szCs w:val="20"/>
        </w:rPr>
        <w:footnoteRef/>
      </w:r>
      <w:r w:rsidRPr="00781BE8">
        <w:t xml:space="preserve"> </w:t>
      </w:r>
      <w:r w:rsidR="00E251AF">
        <w:tab/>
      </w:r>
      <w:r w:rsidRPr="00781BE8">
        <w:t>These could be related to climate policy, but equally to other policies such as labour laws</w:t>
      </w:r>
      <w:r w:rsidR="00B0491B" w:rsidRPr="00781BE8">
        <w:t>,</w:t>
      </w:r>
      <w:r w:rsidRPr="00781BE8">
        <w:t xml:space="preserve"> passenger rights</w:t>
      </w:r>
      <w:r w:rsidR="00B0491B" w:rsidRPr="00781BE8">
        <w:t xml:space="preserve"> and subsidies</w:t>
      </w:r>
      <w:r w:rsidRPr="00781BE8">
        <w:t xml:space="preserve">. The latter are out of the scope of this Impact Assessment. It should also be noted that itinerary choice is a function of journey time, cost, number </w:t>
      </w:r>
      <w:r w:rsidR="004017D8" w:rsidRPr="00781BE8">
        <w:t xml:space="preserve">of </w:t>
      </w:r>
      <w:r w:rsidRPr="00781BE8">
        <w:t>flight segments, available flight frequency and characteristics of the origin and destination airports.</w:t>
      </w:r>
    </w:p>
  </w:footnote>
  <w:footnote w:id="76">
    <w:p w14:paraId="497B3F75" w14:textId="4CDD57B2" w:rsidR="091857BF" w:rsidRPr="00781BE8" w:rsidRDefault="091857BF" w:rsidP="005E4778">
      <w:pPr>
        <w:spacing w:before="0" w:after="0"/>
        <w:ind w:left="357" w:hanging="357"/>
        <w:contextualSpacing/>
        <w:rPr>
          <w:color w:val="000000" w:themeColor="text1"/>
          <w:sz w:val="20"/>
          <w:szCs w:val="20"/>
        </w:rPr>
      </w:pPr>
      <w:r w:rsidRPr="00781BE8">
        <w:rPr>
          <w:sz w:val="20"/>
          <w:szCs w:val="20"/>
          <w:vertAlign w:val="superscript"/>
        </w:rPr>
        <w:footnoteRef/>
      </w:r>
      <w:r w:rsidR="1E39F71A" w:rsidRPr="00781BE8">
        <w:rPr>
          <w:sz w:val="20"/>
          <w:szCs w:val="20"/>
        </w:rPr>
        <w:t xml:space="preserve"> </w:t>
      </w:r>
      <w:r w:rsidR="00E251AF">
        <w:rPr>
          <w:sz w:val="20"/>
          <w:szCs w:val="20"/>
        </w:rPr>
        <w:tab/>
      </w:r>
      <w:r w:rsidR="1E39F71A" w:rsidRPr="00781BE8">
        <w:rPr>
          <w:color w:val="000000" w:themeColor="text1"/>
          <w:sz w:val="20"/>
          <w:szCs w:val="20"/>
        </w:rPr>
        <w:t xml:space="preserve">In the </w:t>
      </w:r>
      <w:hyperlink r:id="rId33" w:history="1">
        <w:r w:rsidR="00924813" w:rsidRPr="00781BE8">
          <w:rPr>
            <w:rStyle w:val="Hyperlink"/>
            <w:sz w:val="20"/>
            <w:szCs w:val="20"/>
          </w:rPr>
          <w:t>European Commission’s</w:t>
        </w:r>
        <w:r w:rsidR="1E39F71A" w:rsidRPr="00781BE8">
          <w:rPr>
            <w:rStyle w:val="Hyperlink"/>
            <w:sz w:val="20"/>
            <w:szCs w:val="20"/>
          </w:rPr>
          <w:t xml:space="preserve"> 2025 Carbon Market Report</w:t>
        </w:r>
      </w:hyperlink>
      <w:r w:rsidR="1E39F71A" w:rsidRPr="00781BE8">
        <w:rPr>
          <w:color w:val="000000" w:themeColor="text1"/>
          <w:sz w:val="20"/>
          <w:szCs w:val="20"/>
        </w:rPr>
        <w:t>, carbon leakage is defined as a situation that could occur if ETS-regulated activities were moved to non-EU countries with less ambitious climate policies, leading to an increase in overall greenhouse gas emissions.</w:t>
      </w:r>
      <w:r w:rsidR="53DE36E1" w:rsidRPr="00781BE8">
        <w:rPr>
          <w:color w:val="000000" w:themeColor="text1"/>
          <w:sz w:val="20"/>
          <w:szCs w:val="20"/>
        </w:rPr>
        <w:t xml:space="preserve"> </w:t>
      </w:r>
      <w:r w:rsidR="54C949BF" w:rsidRPr="00781BE8">
        <w:rPr>
          <w:color w:val="000000" w:themeColor="text1"/>
          <w:sz w:val="20"/>
          <w:szCs w:val="20"/>
        </w:rPr>
        <w:t xml:space="preserve">Hub carbon leakage therefore occurs when such emissions </w:t>
      </w:r>
      <w:r w:rsidR="71A36EFD" w:rsidRPr="00781BE8">
        <w:rPr>
          <w:color w:val="000000" w:themeColor="text1"/>
          <w:sz w:val="20"/>
          <w:szCs w:val="20"/>
        </w:rPr>
        <w:t xml:space="preserve">displacement and increase take place due to </w:t>
      </w:r>
      <w:r w:rsidR="3D1F6B5B" w:rsidRPr="00781BE8">
        <w:rPr>
          <w:color w:val="000000" w:themeColor="text1"/>
          <w:sz w:val="20"/>
          <w:szCs w:val="20"/>
        </w:rPr>
        <w:t xml:space="preserve">hub switching, </w:t>
      </w:r>
      <w:r w:rsidR="1D112211" w:rsidRPr="00781BE8">
        <w:rPr>
          <w:color w:val="000000" w:themeColor="text1"/>
          <w:sz w:val="20"/>
          <w:szCs w:val="20"/>
        </w:rPr>
        <w:t>i</w:t>
      </w:r>
      <w:r w:rsidR="00F02A0F" w:rsidRPr="00781BE8">
        <w:rPr>
          <w:color w:val="000000" w:themeColor="text1"/>
          <w:sz w:val="20"/>
          <w:szCs w:val="20"/>
        </w:rPr>
        <w:t>.</w:t>
      </w:r>
      <w:r w:rsidR="1D112211" w:rsidRPr="00781BE8">
        <w:rPr>
          <w:color w:val="000000" w:themeColor="text1"/>
          <w:sz w:val="20"/>
          <w:szCs w:val="20"/>
        </w:rPr>
        <w:t>e</w:t>
      </w:r>
      <w:r w:rsidR="00F02A0F" w:rsidRPr="00781BE8">
        <w:rPr>
          <w:color w:val="000000" w:themeColor="text1"/>
          <w:sz w:val="20"/>
          <w:szCs w:val="20"/>
        </w:rPr>
        <w:t>.</w:t>
      </w:r>
      <w:r w:rsidR="1D112211" w:rsidRPr="00781BE8">
        <w:rPr>
          <w:color w:val="000000" w:themeColor="text1"/>
          <w:sz w:val="20"/>
          <w:szCs w:val="20"/>
        </w:rPr>
        <w:t xml:space="preserve"> passengers switch</w:t>
      </w:r>
      <w:r w:rsidR="3D1F6B5B" w:rsidRPr="00781BE8">
        <w:rPr>
          <w:color w:val="000000" w:themeColor="text1"/>
          <w:sz w:val="20"/>
          <w:szCs w:val="20"/>
        </w:rPr>
        <w:t xml:space="preserve"> from </w:t>
      </w:r>
      <w:r w:rsidR="2FFE4ADF" w:rsidRPr="00781BE8">
        <w:rPr>
          <w:color w:val="000000" w:themeColor="text1"/>
          <w:sz w:val="20"/>
          <w:szCs w:val="20"/>
        </w:rPr>
        <w:t xml:space="preserve">a </w:t>
      </w:r>
      <w:r w:rsidR="1D112211" w:rsidRPr="00781BE8">
        <w:rPr>
          <w:color w:val="000000" w:themeColor="text1"/>
          <w:sz w:val="20"/>
          <w:szCs w:val="20"/>
        </w:rPr>
        <w:t xml:space="preserve">direct flight </w:t>
      </w:r>
      <w:r w:rsidR="50F80A46" w:rsidRPr="00781BE8">
        <w:rPr>
          <w:color w:val="000000" w:themeColor="text1"/>
          <w:sz w:val="20"/>
          <w:szCs w:val="20"/>
        </w:rPr>
        <w:t xml:space="preserve">or a connecting </w:t>
      </w:r>
      <w:r w:rsidR="37ABAE8C" w:rsidRPr="00781BE8">
        <w:rPr>
          <w:color w:val="000000" w:themeColor="text1"/>
          <w:sz w:val="20"/>
          <w:szCs w:val="20"/>
        </w:rPr>
        <w:t>flight via an</w:t>
      </w:r>
      <w:r w:rsidR="1D112211" w:rsidRPr="00781BE8">
        <w:rPr>
          <w:color w:val="000000" w:themeColor="text1"/>
          <w:sz w:val="20"/>
          <w:szCs w:val="20"/>
        </w:rPr>
        <w:t xml:space="preserve"> EEA hub to a </w:t>
      </w:r>
      <w:r w:rsidR="37ABAE8C" w:rsidRPr="00781BE8">
        <w:rPr>
          <w:color w:val="000000" w:themeColor="text1"/>
          <w:sz w:val="20"/>
          <w:szCs w:val="20"/>
        </w:rPr>
        <w:t xml:space="preserve">connecting </w:t>
      </w:r>
      <w:r w:rsidR="50F80A46" w:rsidRPr="00781BE8">
        <w:rPr>
          <w:color w:val="000000" w:themeColor="text1"/>
          <w:sz w:val="20"/>
          <w:szCs w:val="20"/>
        </w:rPr>
        <w:t xml:space="preserve">flight via </w:t>
      </w:r>
      <w:r w:rsidR="2FFE4ADF" w:rsidRPr="00781BE8">
        <w:rPr>
          <w:color w:val="000000" w:themeColor="text1"/>
          <w:sz w:val="20"/>
          <w:szCs w:val="20"/>
        </w:rPr>
        <w:t>a non-EEA hub.</w:t>
      </w:r>
    </w:p>
  </w:footnote>
  <w:footnote w:id="77">
    <w:p w14:paraId="5007B688" w14:textId="627A25EC" w:rsidR="00CF4711" w:rsidRPr="00781BE8" w:rsidRDefault="00CF4711" w:rsidP="005E4778">
      <w:pPr>
        <w:pStyle w:val="FootnoteText"/>
        <w:ind w:left="357" w:hanging="357"/>
        <w:contextualSpacing/>
      </w:pPr>
      <w:r w:rsidRPr="00781BE8">
        <w:rPr>
          <w:rStyle w:val="FootnoteReference"/>
          <w:sz w:val="20"/>
          <w:szCs w:val="20"/>
        </w:rPr>
        <w:footnoteRef/>
      </w:r>
      <w:r w:rsidRPr="00781BE8">
        <w:t xml:space="preserve"> </w:t>
      </w:r>
      <w:r w:rsidR="00E251AF">
        <w:tab/>
      </w:r>
      <w:r w:rsidRPr="00781BE8">
        <w:t>Emissions may still be displaced from within Europe to outside Europe.</w:t>
      </w:r>
    </w:p>
  </w:footnote>
  <w:footnote w:id="78">
    <w:p w14:paraId="4FDF31EC" w14:textId="084782B6" w:rsidR="00324959" w:rsidRPr="00781BE8" w:rsidRDefault="00324959" w:rsidP="005E4778">
      <w:pPr>
        <w:pStyle w:val="FootnoteText"/>
        <w:ind w:left="357" w:hanging="357"/>
        <w:contextualSpacing/>
      </w:pPr>
      <w:r w:rsidRPr="00781BE8">
        <w:rPr>
          <w:rStyle w:val="FootnoteReference"/>
          <w:sz w:val="20"/>
          <w:szCs w:val="20"/>
        </w:rPr>
        <w:footnoteRef/>
      </w:r>
      <w:r w:rsidRPr="00781BE8">
        <w:t xml:space="preserve"> </w:t>
      </w:r>
      <w:r w:rsidR="00E251AF">
        <w:tab/>
      </w:r>
      <w:r w:rsidR="001D4FF9" w:rsidRPr="00781BE8">
        <w:t>SWD(2021) 603 final.</w:t>
      </w:r>
      <w:r w:rsidRPr="00781BE8">
        <w:t xml:space="preserve"> </w:t>
      </w:r>
    </w:p>
  </w:footnote>
  <w:footnote w:id="79">
    <w:p w14:paraId="325F05F1" w14:textId="3A6E3B89" w:rsidR="00491381" w:rsidRPr="00781BE8" w:rsidRDefault="00491381" w:rsidP="005E4778">
      <w:pPr>
        <w:pStyle w:val="FootnoteText"/>
        <w:ind w:left="357" w:hanging="357"/>
        <w:contextualSpacing/>
      </w:pPr>
      <w:r w:rsidRPr="00781BE8">
        <w:rPr>
          <w:rStyle w:val="FootnoteReference"/>
          <w:sz w:val="20"/>
          <w:szCs w:val="20"/>
        </w:rPr>
        <w:footnoteRef/>
      </w:r>
      <w:r w:rsidRPr="00781BE8">
        <w:t xml:space="preserve"> </w:t>
      </w:r>
      <w:r w:rsidR="00E251AF">
        <w:tab/>
      </w:r>
      <w:r w:rsidRPr="00781BE8">
        <w:t xml:space="preserve">Top determinants </w:t>
      </w:r>
      <w:r w:rsidR="00BD4C9D" w:rsidRPr="00781BE8">
        <w:t>for</w:t>
      </w:r>
      <w:r w:rsidRPr="00781BE8">
        <w:t xml:space="preserve"> overseas travellers to Europe </w:t>
      </w:r>
      <w:r w:rsidR="003F2C17" w:rsidRPr="00781BE8">
        <w:t xml:space="preserve">are </w:t>
      </w:r>
      <w:r w:rsidR="00B50169" w:rsidRPr="00781BE8">
        <w:t xml:space="preserve">safety, </w:t>
      </w:r>
      <w:r w:rsidR="003960B2" w:rsidRPr="00781BE8">
        <w:t xml:space="preserve">famous landmarks, </w:t>
      </w:r>
      <w:r w:rsidR="00B50169" w:rsidRPr="00781BE8">
        <w:t xml:space="preserve">quality of infrastructures, </w:t>
      </w:r>
      <w:r w:rsidR="003960B2" w:rsidRPr="00781BE8">
        <w:t>weather condition</w:t>
      </w:r>
      <w:r w:rsidR="00055FB5" w:rsidRPr="00781BE8">
        <w:t xml:space="preserve">s and </w:t>
      </w:r>
      <w:r w:rsidR="00542D1A" w:rsidRPr="00781BE8">
        <w:t>direct routes</w:t>
      </w:r>
      <w:r w:rsidRPr="00781BE8">
        <w:t xml:space="preserve">. </w:t>
      </w:r>
      <w:r w:rsidR="004A00D8" w:rsidRPr="00781BE8">
        <w:t xml:space="preserve">Source: European Travel Commission, </w:t>
      </w:r>
      <w:r w:rsidR="004A00D8" w:rsidRPr="00781BE8">
        <w:rPr>
          <w:i/>
          <w:iCs/>
        </w:rPr>
        <w:t>Long-Haul Travel Barometer 2026</w:t>
      </w:r>
      <w:r w:rsidR="004A00D8" w:rsidRPr="00781BE8">
        <w:t xml:space="preserve">, 2026, </w:t>
      </w:r>
      <w:hyperlink r:id="rId34" w:tgtFrame="_new" w:history="1">
        <w:r w:rsidR="004A00D8" w:rsidRPr="00781BE8">
          <w:rPr>
            <w:rStyle w:val="Hyperlink"/>
          </w:rPr>
          <w:t>https://etc-corporate.org/news/long-haul-travellers-grow-more-cautious-in-2026-while-safety-and-flexibility-shape-demand-for-europe/</w:t>
        </w:r>
      </w:hyperlink>
      <w:r w:rsidR="004A00D8" w:rsidRPr="00781BE8">
        <w:t>.</w:t>
      </w:r>
    </w:p>
  </w:footnote>
  <w:footnote w:id="80">
    <w:p w14:paraId="555C7200" w14:textId="31EED22F" w:rsidR="00324959" w:rsidRPr="00781BE8" w:rsidRDefault="00324959" w:rsidP="005E4778">
      <w:pPr>
        <w:pStyle w:val="FootnoteText"/>
        <w:ind w:left="357" w:hanging="357"/>
        <w:contextualSpacing/>
      </w:pPr>
      <w:r w:rsidRPr="00781BE8">
        <w:rPr>
          <w:rStyle w:val="FootnoteReference"/>
          <w:sz w:val="20"/>
          <w:szCs w:val="20"/>
        </w:rPr>
        <w:footnoteRef/>
      </w:r>
      <w:r w:rsidRPr="00781BE8">
        <w:t xml:space="preserve"> </w:t>
      </w:r>
      <w:r w:rsidR="00E251AF">
        <w:tab/>
      </w:r>
      <w:r w:rsidRPr="00781BE8">
        <w:t xml:space="preserve">For example: SEO &amp; NLR, </w:t>
      </w:r>
      <w:r w:rsidRPr="00781BE8">
        <w:rPr>
          <w:i/>
          <w:iCs/>
        </w:rPr>
        <w:t>Aviation Fit For 55 – Ticket Prices, Demand and Carbon Leakage</w:t>
      </w:r>
      <w:r w:rsidRPr="00781BE8">
        <w:t>, 2022</w:t>
      </w:r>
      <w:r w:rsidR="004A00D8" w:rsidRPr="00781BE8">
        <w:t xml:space="preserve">, </w:t>
      </w:r>
      <w:hyperlink r:id="rId35" w:history="1">
        <w:r w:rsidRPr="00781BE8">
          <w:rPr>
            <w:rStyle w:val="Hyperlink"/>
          </w:rPr>
          <w:t>https://www.seo.nl/wp-content/uploads/2022/03/2022-16-Aviation-fit-for-55.pdf</w:t>
        </w:r>
      </w:hyperlink>
      <w:r w:rsidR="004A00D8" w:rsidRPr="00781BE8">
        <w:t>.</w:t>
      </w:r>
    </w:p>
  </w:footnote>
  <w:footnote w:id="81">
    <w:p w14:paraId="3096229A" w14:textId="6BFDC25E" w:rsidR="00AC0830" w:rsidRPr="00781BE8" w:rsidRDefault="00AC0830" w:rsidP="005E4778">
      <w:pPr>
        <w:pStyle w:val="FootnoteText"/>
        <w:ind w:left="357" w:hanging="357"/>
        <w:contextualSpacing/>
      </w:pPr>
      <w:r w:rsidRPr="00781BE8">
        <w:rPr>
          <w:rStyle w:val="FootnoteReference"/>
          <w:sz w:val="20"/>
          <w:szCs w:val="20"/>
        </w:rPr>
        <w:footnoteRef/>
      </w:r>
      <w:r w:rsidRPr="00781BE8">
        <w:t xml:space="preserve"> </w:t>
      </w:r>
      <w:r w:rsidR="00D11A8D" w:rsidRPr="00781BE8">
        <w:rPr>
          <w:iCs/>
        </w:rPr>
        <w:t>Verma, Rebelo, and Araújo,</w:t>
      </w:r>
      <w:r w:rsidR="00D11A8D" w:rsidRPr="00781BE8">
        <w:rPr>
          <w:i/>
          <w:iCs/>
        </w:rPr>
        <w:t xml:space="preserve"> </w:t>
      </w:r>
      <w:r w:rsidRPr="00781BE8">
        <w:rPr>
          <w:i/>
        </w:rPr>
        <w:t>Impact of Inter-Country Distances on International Tourism</w:t>
      </w:r>
      <w:r w:rsidRPr="00781BE8">
        <w:rPr>
          <w:iCs/>
        </w:rPr>
        <w:t>, 2019</w:t>
      </w:r>
      <w:r w:rsidR="004A00D8" w:rsidRPr="00781BE8">
        <w:rPr>
          <w:iCs/>
        </w:rPr>
        <w:t>,</w:t>
      </w:r>
      <w:r w:rsidR="004A00D8" w:rsidRPr="00781BE8">
        <w:rPr>
          <w:i/>
          <w:iCs/>
        </w:rPr>
        <w:t xml:space="preserve"> </w:t>
      </w:r>
      <w:hyperlink r:id="rId36" w:history="1">
        <w:r w:rsidR="00F42B2A" w:rsidRPr="00781BE8">
          <w:rPr>
            <w:rStyle w:val="Hyperlink"/>
          </w:rPr>
          <w:t>https://arxiv.org/abs/1902.04944?</w:t>
        </w:r>
      </w:hyperlink>
      <w:r w:rsidR="00D11A8D" w:rsidRPr="00781BE8">
        <w:t>.</w:t>
      </w:r>
    </w:p>
  </w:footnote>
  <w:footnote w:id="82">
    <w:p w14:paraId="5773F830" w14:textId="32021FA1" w:rsidR="00DD3D93" w:rsidRPr="00781BE8" w:rsidRDefault="00DD3D93" w:rsidP="005E4778">
      <w:pPr>
        <w:pStyle w:val="FootnoteText"/>
        <w:ind w:left="357" w:hanging="357"/>
        <w:contextualSpacing/>
      </w:pPr>
      <w:r w:rsidRPr="00781BE8">
        <w:rPr>
          <w:rStyle w:val="FootnoteReference"/>
          <w:sz w:val="20"/>
          <w:szCs w:val="20"/>
        </w:rPr>
        <w:footnoteRef/>
      </w:r>
      <w:r w:rsidRPr="00781BE8">
        <w:t xml:space="preserve"> </w:t>
      </w:r>
      <w:r w:rsidR="00E251AF">
        <w:tab/>
      </w:r>
      <w:r w:rsidRPr="00781BE8">
        <w:t xml:space="preserve">ICF et al., Assessment of ICAO’s global market-based measure (CORSIA) pursuant to Article 28b and for studying cost pass through pursuant to Article 3d of the </w:t>
      </w:r>
      <w:r w:rsidR="00F83E57" w:rsidRPr="00781BE8">
        <w:t>ETS Directive</w:t>
      </w:r>
      <w:r w:rsidRPr="00781BE8">
        <w:t xml:space="preserve">, 2020, </w:t>
      </w:r>
      <w:r w:rsidR="00D11A8D" w:rsidRPr="00781BE8">
        <w:t>p.</w:t>
      </w:r>
      <w:r w:rsidRPr="00781BE8">
        <w:t xml:space="preserve"> 236, </w:t>
      </w:r>
      <w:hyperlink r:id="rId37" w:history="1">
        <w:r w:rsidRPr="00781BE8">
          <w:rPr>
            <w:rStyle w:val="Hyperlink"/>
          </w:rPr>
          <w:t>https://data.europa.eu/doi/10.2834/714858</w:t>
        </w:r>
      </w:hyperlink>
      <w:r w:rsidR="00D11A8D" w:rsidRPr="00781BE8">
        <w:t>.</w:t>
      </w:r>
    </w:p>
  </w:footnote>
  <w:footnote w:id="83">
    <w:p w14:paraId="568E5898" w14:textId="16843311" w:rsidR="00324959" w:rsidRPr="00781BE8" w:rsidRDefault="00324959" w:rsidP="005E4778">
      <w:pPr>
        <w:pStyle w:val="FootnoteText"/>
        <w:ind w:left="357" w:hanging="357"/>
        <w:contextualSpacing/>
      </w:pPr>
      <w:r w:rsidRPr="00781BE8">
        <w:rPr>
          <w:rStyle w:val="FootnoteReference"/>
          <w:sz w:val="20"/>
          <w:szCs w:val="20"/>
        </w:rPr>
        <w:footnoteRef/>
      </w:r>
      <w:r w:rsidRPr="00781BE8">
        <w:t xml:space="preserve"> </w:t>
      </w:r>
      <w:r w:rsidR="00E251AF">
        <w:tab/>
      </w:r>
      <w:r w:rsidRPr="00781BE8">
        <w:t xml:space="preserve">Wei &amp; Kallbekken, </w:t>
      </w:r>
      <w:r w:rsidRPr="00781BE8">
        <w:rPr>
          <w:i/>
          <w:iCs/>
        </w:rPr>
        <w:t>Carbon leakage from aviation under the European Union Fit for 55 policies</w:t>
      </w:r>
      <w:r w:rsidRPr="00781BE8">
        <w:t>, 2024</w:t>
      </w:r>
      <w:r w:rsidR="00D11A8D" w:rsidRPr="00781BE8">
        <w:t xml:space="preserve">, </w:t>
      </w:r>
      <w:hyperlink r:id="rId38" w:history="1">
        <w:r w:rsidRPr="00781BE8">
          <w:rPr>
            <w:rStyle w:val="Hyperlink"/>
          </w:rPr>
          <w:t>https://www.sciencedirect.com/science/article/pii/S1361920924002268</w:t>
        </w:r>
      </w:hyperlink>
      <w:r w:rsidR="00D11A8D" w:rsidRPr="00781BE8">
        <w:t>.</w:t>
      </w:r>
    </w:p>
  </w:footnote>
  <w:footnote w:id="84">
    <w:p w14:paraId="41D43595" w14:textId="3F1A704A" w:rsidR="00273C93" w:rsidRPr="00781BE8" w:rsidRDefault="00273C93" w:rsidP="005E4778">
      <w:pPr>
        <w:pStyle w:val="FootnoteText"/>
        <w:ind w:left="357" w:hanging="357"/>
        <w:contextualSpacing/>
      </w:pPr>
      <w:r w:rsidRPr="00781BE8">
        <w:rPr>
          <w:rStyle w:val="FootnoteReference"/>
          <w:sz w:val="20"/>
          <w:szCs w:val="20"/>
        </w:rPr>
        <w:footnoteRef/>
      </w:r>
      <w:r w:rsidRPr="00781BE8">
        <w:t xml:space="preserve"> </w:t>
      </w:r>
      <w:r w:rsidR="00E251AF">
        <w:tab/>
      </w:r>
      <w:r w:rsidRPr="00781BE8">
        <w:t xml:space="preserve">The cross-sectorial correction factor </w:t>
      </w:r>
      <w:r w:rsidR="00452935" w:rsidRPr="00781BE8">
        <w:t>(CSCF)</w:t>
      </w:r>
      <w:r w:rsidRPr="00781BE8">
        <w:t xml:space="preserve"> functions as </w:t>
      </w:r>
      <w:r w:rsidR="00422060" w:rsidRPr="00781BE8">
        <w:t>an adjustment factor in case the preliminary free allocation (calculated based on benchmark</w:t>
      </w:r>
      <w:r w:rsidR="00190AD7" w:rsidRPr="00781BE8">
        <w:t>,</w:t>
      </w:r>
      <w:r w:rsidR="00422060" w:rsidRPr="00781BE8">
        <w:t xml:space="preserve"> activity levels</w:t>
      </w:r>
      <w:r w:rsidR="00190AD7" w:rsidRPr="00781BE8">
        <w:t xml:space="preserve">, etc.) is above the total free allocation </w:t>
      </w:r>
      <w:r w:rsidR="00452935" w:rsidRPr="00781BE8">
        <w:t>budget. A</w:t>
      </w:r>
      <w:r w:rsidR="00E251AF">
        <w:t xml:space="preserve"> </w:t>
      </w:r>
      <w:r w:rsidR="00452935" w:rsidRPr="00781BE8">
        <w:t xml:space="preserve">CSCF of 1 means that final </w:t>
      </w:r>
      <w:r w:rsidR="00833106" w:rsidRPr="00781BE8">
        <w:t xml:space="preserve">free allocation equals the preliminary free allocation. A CSCF of 0.7 means that the final free allocation is </w:t>
      </w:r>
      <w:r w:rsidR="00876D35" w:rsidRPr="00781BE8">
        <w:t xml:space="preserve">30% lower than the calculated preliminary free allocation. N.B. </w:t>
      </w:r>
      <w:r w:rsidR="00AD3826" w:rsidRPr="00781BE8">
        <w:t>the CSCF is applied before the CBAM phase-out factor.</w:t>
      </w:r>
    </w:p>
  </w:footnote>
  <w:footnote w:id="85">
    <w:p w14:paraId="701B3A2D" w14:textId="5AAE5EA8" w:rsidR="00F505E2" w:rsidRPr="00781BE8" w:rsidRDefault="00F505E2" w:rsidP="005E4778">
      <w:pPr>
        <w:pStyle w:val="FootnoteText"/>
        <w:ind w:left="357" w:hanging="357"/>
        <w:contextualSpacing/>
      </w:pPr>
      <w:r w:rsidRPr="00781BE8">
        <w:rPr>
          <w:rStyle w:val="FootnoteReference"/>
          <w:sz w:val="20"/>
          <w:szCs w:val="20"/>
        </w:rPr>
        <w:footnoteRef/>
      </w:r>
      <w:r w:rsidRPr="00781BE8">
        <w:t xml:space="preserve"> </w:t>
      </w:r>
      <w:r w:rsidR="00E251AF">
        <w:tab/>
      </w:r>
      <w:r w:rsidRPr="00781BE8">
        <w:t xml:space="preserve">See </w:t>
      </w:r>
      <w:r w:rsidR="00064578">
        <w:t>S</w:t>
      </w:r>
      <w:r w:rsidRPr="00781BE8">
        <w:t>ection 6.2.1.6</w:t>
      </w:r>
      <w:r w:rsidR="009E7DAF" w:rsidRPr="00781BE8">
        <w:t>.</w:t>
      </w:r>
    </w:p>
  </w:footnote>
  <w:footnote w:id="86">
    <w:p w14:paraId="3F427B6B" w14:textId="6BA15E8B" w:rsidR="007C6345" w:rsidRPr="00781BE8" w:rsidRDefault="007C6345" w:rsidP="005E4778">
      <w:pPr>
        <w:pStyle w:val="FootnoteText"/>
        <w:ind w:left="357" w:hanging="357"/>
        <w:contextualSpacing/>
      </w:pPr>
      <w:r w:rsidRPr="00781BE8">
        <w:rPr>
          <w:rStyle w:val="FootnoteReference"/>
          <w:sz w:val="20"/>
          <w:szCs w:val="20"/>
        </w:rPr>
        <w:footnoteRef/>
      </w:r>
      <w:r w:rsidRPr="00781BE8">
        <w:t xml:space="preserve"> </w:t>
      </w:r>
      <w:r w:rsidR="00E251AF">
        <w:tab/>
      </w:r>
      <w:r w:rsidRPr="00781BE8">
        <w:t>OECD</w:t>
      </w:r>
      <w:r w:rsidR="009954CB" w:rsidRPr="00781BE8">
        <w:t xml:space="preserve">, </w:t>
      </w:r>
      <w:r w:rsidR="009954CB" w:rsidRPr="00781BE8">
        <w:rPr>
          <w:i/>
          <w:iCs/>
        </w:rPr>
        <w:t>The Circular Economy in Cities and Regions of the European Union</w:t>
      </w:r>
      <w:r w:rsidR="009954CB" w:rsidRPr="00781BE8">
        <w:t xml:space="preserve">, </w:t>
      </w:r>
      <w:r w:rsidRPr="00781BE8">
        <w:t>2025</w:t>
      </w:r>
      <w:r w:rsidR="009954CB" w:rsidRPr="00781BE8">
        <w:t>,</w:t>
      </w:r>
      <w:r w:rsidRPr="00781BE8">
        <w:t xml:space="preserve"> </w:t>
      </w:r>
      <w:hyperlink r:id="rId39" w:history="1">
        <w:r w:rsidR="009954CB" w:rsidRPr="00781BE8">
          <w:rPr>
            <w:rStyle w:val="Hyperlink"/>
          </w:rPr>
          <w:t>https://www.oecd.org/en/publications/the-circular-economy-in-cities-and-regions-of-the-european-union_e09c21e2-en.html.</w:t>
        </w:r>
      </w:hyperlink>
    </w:p>
  </w:footnote>
  <w:footnote w:id="87">
    <w:p w14:paraId="74859C7F" w14:textId="28B4DDC7" w:rsidR="007C6345" w:rsidRPr="00781BE8" w:rsidRDefault="007C6345" w:rsidP="005E4778">
      <w:pPr>
        <w:pStyle w:val="FootnoteText"/>
        <w:ind w:left="357" w:hanging="357"/>
        <w:contextualSpacing/>
      </w:pPr>
      <w:r w:rsidRPr="00781BE8">
        <w:rPr>
          <w:rStyle w:val="FootnoteReference"/>
          <w:sz w:val="20"/>
          <w:szCs w:val="20"/>
        </w:rPr>
        <w:footnoteRef/>
      </w:r>
      <w:r w:rsidR="00E354C8" w:rsidRPr="00781BE8">
        <w:t xml:space="preserve"> </w:t>
      </w:r>
      <w:r w:rsidR="00E251AF">
        <w:tab/>
      </w:r>
      <w:r w:rsidR="00E354C8" w:rsidRPr="00781BE8">
        <w:t xml:space="preserve">Communication from the Commission to the European Parliament, the European Council, the Council, the European Economic and Social Committee and the Committee of the Regions </w:t>
      </w:r>
      <w:r w:rsidRPr="00781BE8">
        <w:t>on a revised monitoring framework for the circular economy</w:t>
      </w:r>
      <w:r w:rsidR="00E354C8" w:rsidRPr="00781BE8">
        <w:t xml:space="preserve">, SWD(2023) 306 final, 15.5.2023, </w:t>
      </w:r>
      <w:hyperlink r:id="rId40" w:history="1">
        <w:r w:rsidR="00E354C8" w:rsidRPr="00781BE8">
          <w:rPr>
            <w:rStyle w:val="Hyperlink"/>
          </w:rPr>
          <w:t>https://eur-lex.europa.eu/legal-content/EN/TXT/?uri=celex:52023DC0306</w:t>
        </w:r>
      </w:hyperlink>
      <w:r w:rsidR="00E354C8" w:rsidRPr="00781BE8">
        <w:t>.</w:t>
      </w:r>
    </w:p>
  </w:footnote>
  <w:footnote w:id="88">
    <w:p w14:paraId="658ABB9C" w14:textId="3DACE8B2" w:rsidR="00FE3A2B" w:rsidRPr="00781BE8" w:rsidRDefault="00FE3A2B" w:rsidP="005E4778">
      <w:pPr>
        <w:pStyle w:val="FootnoteText"/>
        <w:ind w:left="357" w:hanging="357"/>
        <w:contextualSpacing/>
      </w:pPr>
      <w:r w:rsidRPr="00781BE8">
        <w:rPr>
          <w:rStyle w:val="FootnoteReference"/>
          <w:sz w:val="20"/>
          <w:szCs w:val="20"/>
        </w:rPr>
        <w:footnoteRef/>
      </w:r>
      <w:r w:rsidRPr="00781BE8">
        <w:t xml:space="preserve"> </w:t>
      </w:r>
      <w:r w:rsidR="00E251AF">
        <w:tab/>
      </w:r>
      <w:r w:rsidRPr="00781BE8">
        <w:t>World Bank, 2022</w:t>
      </w:r>
    </w:p>
  </w:footnote>
  <w:footnote w:id="89">
    <w:p w14:paraId="0DC5A43F" w14:textId="156E1101" w:rsidR="001C1D30" w:rsidRPr="00781BE8" w:rsidRDefault="00D975A5" w:rsidP="005E4778">
      <w:pPr>
        <w:pStyle w:val="FootnoteText"/>
        <w:ind w:left="357" w:hanging="357"/>
        <w:contextualSpacing/>
      </w:pPr>
      <w:r w:rsidRPr="00781BE8">
        <w:rPr>
          <w:vertAlign w:val="superscript"/>
        </w:rPr>
        <w:t>8</w:t>
      </w:r>
      <w:r w:rsidR="00E251AF">
        <w:rPr>
          <w:vertAlign w:val="superscript"/>
        </w:rPr>
        <w:t>7</w:t>
      </w:r>
      <w:r w:rsidRPr="00781BE8">
        <w:t xml:space="preserve"> </w:t>
      </w:r>
      <w:r w:rsidR="00E251AF">
        <w:tab/>
      </w:r>
      <w:r w:rsidR="00C3618B" w:rsidRPr="00781BE8">
        <w:t>Report from the Commission to the European Parliament and the Council on the functioning of the European carbon market in 2024</w:t>
      </w:r>
      <w:r w:rsidRPr="00781BE8">
        <w:t xml:space="preserve">, COM(2025) 735 final, 3.12.2025, </w:t>
      </w:r>
      <w:hyperlink r:id="rId41" w:history="1">
        <w:r w:rsidR="00C3618B" w:rsidRPr="00781BE8">
          <w:rPr>
            <w:rStyle w:val="Hyperlink"/>
          </w:rPr>
          <w:t>https://climate.ec.europa.eu/document/download/ddc1b1de-652b-49ed-8f15-d9fa8badd39f_en?filename=com_2025_735_en.pdf</w:t>
        </w:r>
      </w:hyperlink>
      <w:r w:rsidRPr="00781BE8">
        <w:t>.</w:t>
      </w:r>
    </w:p>
  </w:footnote>
  <w:footnote w:id="90">
    <w:p w14:paraId="25F050E7" w14:textId="20DB50E2" w:rsidR="005E2A37" w:rsidRPr="00781BE8" w:rsidRDefault="005E2A37" w:rsidP="005E4778">
      <w:pPr>
        <w:pStyle w:val="FootnoteText"/>
        <w:ind w:left="357" w:hanging="357"/>
        <w:contextualSpacing/>
      </w:pPr>
      <w:r w:rsidRPr="00781BE8">
        <w:rPr>
          <w:rStyle w:val="FootnoteReference"/>
          <w:sz w:val="20"/>
          <w:szCs w:val="20"/>
        </w:rPr>
        <w:footnoteRef/>
      </w:r>
      <w:r w:rsidRPr="00781BE8">
        <w:t xml:space="preserve"> </w:t>
      </w:r>
      <w:r w:rsidR="00E251AF">
        <w:tab/>
      </w:r>
      <w:r w:rsidRPr="00781BE8">
        <w:t xml:space="preserve">The last decade has brought a steep increase in the asset value, moving from an allowance price of </w:t>
      </w:r>
      <w:r>
        <w:t>EUR</w:t>
      </w:r>
      <w:r w:rsidRPr="00781BE8">
        <w:t xml:space="preserve"> 5-10 to the current level of </w:t>
      </w:r>
      <w:r>
        <w:t>EUR</w:t>
      </w:r>
      <w:r w:rsidRPr="00781BE8">
        <w:t xml:space="preserve"> 60-80. </w:t>
      </w:r>
    </w:p>
  </w:footnote>
  <w:footnote w:id="91">
    <w:p w14:paraId="0F5C78ED" w14:textId="1B511FED" w:rsidR="005E2A37" w:rsidRPr="00781BE8" w:rsidRDefault="005E2A37" w:rsidP="005E4778">
      <w:pPr>
        <w:pStyle w:val="FootnoteText"/>
        <w:ind w:left="357" w:hanging="357"/>
        <w:contextualSpacing/>
      </w:pPr>
      <w:r w:rsidRPr="00781BE8">
        <w:rPr>
          <w:rStyle w:val="FootnoteReference"/>
          <w:sz w:val="20"/>
          <w:szCs w:val="20"/>
        </w:rPr>
        <w:footnoteRef/>
      </w:r>
      <w:r w:rsidRPr="00781BE8">
        <w:t xml:space="preserve"> </w:t>
      </w:r>
      <w:r w:rsidR="00E251AF">
        <w:tab/>
      </w:r>
      <w:r w:rsidRPr="00781BE8">
        <w:t>Since the entry into force of the review of the Directive on Markets in Financial Instruments in 2018, the emission allowances are categorised as financial instruments.</w:t>
      </w:r>
    </w:p>
  </w:footnote>
  <w:footnote w:id="92">
    <w:p w14:paraId="6E3A4A10" w14:textId="12429793" w:rsidR="006E438E" w:rsidRPr="00781BE8" w:rsidRDefault="006E438E" w:rsidP="005E4778">
      <w:pPr>
        <w:pStyle w:val="FootnoteText"/>
        <w:ind w:left="357" w:hanging="357"/>
        <w:contextualSpacing/>
      </w:pPr>
      <w:r w:rsidRPr="00781BE8">
        <w:rPr>
          <w:rStyle w:val="FootnoteReference"/>
          <w:sz w:val="20"/>
          <w:szCs w:val="20"/>
        </w:rPr>
        <w:footnoteRef/>
      </w:r>
      <w:r w:rsidRPr="00781BE8">
        <w:t xml:space="preserve"> </w:t>
      </w:r>
      <w:r w:rsidR="00E251AF">
        <w:tab/>
      </w:r>
      <w:r w:rsidRPr="00781BE8">
        <w:t>The exact amounts will depend on the timing of the purchase of the removals and the sale of allowances.</w:t>
      </w:r>
    </w:p>
  </w:footnote>
  <w:footnote w:id="93">
    <w:p w14:paraId="0C64067D" w14:textId="1FBD9907" w:rsidR="002554E4" w:rsidRPr="00781BE8" w:rsidRDefault="002554E4" w:rsidP="005E4778">
      <w:pPr>
        <w:pStyle w:val="FootnoteText"/>
        <w:ind w:left="357" w:hanging="357"/>
        <w:contextualSpacing/>
      </w:pPr>
      <w:r w:rsidRPr="00781BE8">
        <w:rPr>
          <w:rStyle w:val="FootnoteReference"/>
          <w:sz w:val="20"/>
          <w:szCs w:val="20"/>
        </w:rPr>
        <w:footnoteRef/>
      </w:r>
      <w:r w:rsidRPr="00781BE8">
        <w:t xml:space="preserve"> </w:t>
      </w:r>
      <w:r w:rsidR="00E251AF">
        <w:tab/>
      </w:r>
      <w:r w:rsidRPr="00781BE8">
        <w:t xml:space="preserve">European Commission: Directorate-General for Climate Action, Ramboll Management Consulting, Witteveen, E., Marton, C., Bert, N. et al., </w:t>
      </w:r>
      <w:r w:rsidRPr="00781BE8">
        <w:rPr>
          <w:i/>
          <w:iCs/>
        </w:rPr>
        <w:t>Carbon removals in the EU – Review of current carbon removal projects and early-stage financing</w:t>
      </w:r>
      <w:r w:rsidRPr="00781BE8">
        <w:t xml:space="preserve">, Publications Office of the European Union, 2025, </w:t>
      </w:r>
      <w:hyperlink r:id="rId42" w:history="1">
        <w:r w:rsidR="006F133E" w:rsidRPr="00781BE8">
          <w:rPr>
            <w:rStyle w:val="Hyperlink"/>
          </w:rPr>
          <w:t>https://data.europa.eu/doi/10.2834/0004994</w:t>
        </w:r>
      </w:hyperlink>
      <w:r w:rsidR="006F133E" w:rsidRPr="00781BE8">
        <w:t xml:space="preserve">. </w:t>
      </w:r>
    </w:p>
  </w:footnote>
  <w:footnote w:id="94">
    <w:p w14:paraId="3DA42091" w14:textId="47A464FA" w:rsidR="00B536AF" w:rsidRPr="00781BE8" w:rsidRDefault="00B536AF" w:rsidP="005E4778">
      <w:pPr>
        <w:pStyle w:val="FootnoteText"/>
        <w:ind w:left="357" w:hanging="357"/>
        <w:contextualSpacing/>
      </w:pPr>
      <w:r w:rsidRPr="00781BE8">
        <w:rPr>
          <w:rStyle w:val="FootnoteReference"/>
          <w:sz w:val="20"/>
          <w:szCs w:val="20"/>
        </w:rPr>
        <w:footnoteRef/>
      </w:r>
      <w:r w:rsidRPr="00781BE8">
        <w:t xml:space="preserve"> </w:t>
      </w:r>
      <w:r w:rsidR="00E251AF">
        <w:tab/>
      </w:r>
      <w:r w:rsidRPr="00781BE8">
        <w:t>The public authority would pay the full price of each CDR credit upfront but then recover the price difference with EUAs when the removal-backed EUAs are auctioned, covering only the price difference in the end.</w:t>
      </w:r>
    </w:p>
  </w:footnote>
  <w:footnote w:id="95">
    <w:p w14:paraId="04C9A020" w14:textId="2DE83068" w:rsidR="00B536AF" w:rsidRPr="00781BE8" w:rsidRDefault="003E230C" w:rsidP="005E4778">
      <w:pPr>
        <w:pStyle w:val="FootnoteText"/>
        <w:ind w:left="357" w:hanging="357"/>
        <w:contextualSpacing/>
      </w:pPr>
      <w:r w:rsidRPr="00781BE8">
        <w:rPr>
          <w:rStyle w:val="FootnoteReference"/>
          <w:sz w:val="20"/>
          <w:szCs w:val="20"/>
        </w:rPr>
        <w:footnoteRef/>
      </w:r>
      <w:r w:rsidRPr="00781BE8">
        <w:t xml:space="preserve"> </w:t>
      </w:r>
      <w:r w:rsidR="00E251AF">
        <w:tab/>
      </w:r>
      <w:r w:rsidRPr="00781BE8">
        <w:t xml:space="preserve">See caveats to these results at the end of </w:t>
      </w:r>
      <w:r w:rsidR="00064578">
        <w:t>S</w:t>
      </w:r>
      <w:r w:rsidR="001F5833" w:rsidRPr="00781BE8">
        <w:t>ection</w:t>
      </w:r>
      <w:r w:rsidRPr="00781BE8">
        <w:t xml:space="preserve"> 2.3.1.2 in Annex 8</w:t>
      </w:r>
      <w:r w:rsidR="00B37E95" w:rsidRPr="00781BE8">
        <w:t>, notably the high uncertainty on the development of technology costs and deployment capacity can greatly influence final costs.</w:t>
      </w:r>
    </w:p>
  </w:footnote>
  <w:footnote w:id="96">
    <w:p w14:paraId="637D3092" w14:textId="2A6A01B5" w:rsidR="5ED4DA22" w:rsidRPr="00781BE8" w:rsidRDefault="5ED4DA22" w:rsidP="005E4778">
      <w:pPr>
        <w:spacing w:before="0" w:after="0"/>
        <w:ind w:left="357" w:hanging="357"/>
        <w:contextualSpacing/>
        <w:rPr>
          <w:sz w:val="20"/>
          <w:szCs w:val="20"/>
        </w:rPr>
      </w:pPr>
      <w:r w:rsidRPr="00781BE8">
        <w:rPr>
          <w:sz w:val="20"/>
          <w:szCs w:val="20"/>
          <w:vertAlign w:val="superscript"/>
        </w:rPr>
        <w:footnoteRef/>
      </w:r>
      <w:r w:rsidRPr="00781BE8">
        <w:rPr>
          <w:sz w:val="20"/>
          <w:szCs w:val="20"/>
        </w:rPr>
        <w:t xml:space="preserve"> </w:t>
      </w:r>
      <w:r w:rsidR="00E251AF">
        <w:rPr>
          <w:sz w:val="20"/>
          <w:szCs w:val="20"/>
        </w:rPr>
        <w:tab/>
      </w:r>
      <w:r w:rsidRPr="00781BE8">
        <w:rPr>
          <w:sz w:val="20"/>
          <w:szCs w:val="20"/>
        </w:rPr>
        <w:t>EUR 10 in Sweden based on average 2025 EU ETS price; EUR 13 in Germany based on average 2025 German ETS price; EUR 15 in Norway based on average 2025 EU ETS price as mirrored by the Norwegian carbon tax.</w:t>
      </w:r>
    </w:p>
  </w:footnote>
  <w:footnote w:id="97">
    <w:p w14:paraId="41AEE3FD" w14:textId="10B54F42" w:rsidR="00E95B16" w:rsidRPr="00781BE8" w:rsidRDefault="00E95B16" w:rsidP="005E4778">
      <w:pPr>
        <w:pStyle w:val="FootnoteText"/>
        <w:ind w:left="357" w:hanging="357"/>
        <w:contextualSpacing/>
      </w:pPr>
      <w:r w:rsidRPr="00781BE8">
        <w:rPr>
          <w:rStyle w:val="FootnoteReference"/>
          <w:sz w:val="20"/>
          <w:szCs w:val="20"/>
        </w:rPr>
        <w:footnoteRef/>
      </w:r>
      <w:r w:rsidRPr="00781BE8">
        <w:t xml:space="preserve"> </w:t>
      </w:r>
      <w:r w:rsidR="00E251AF">
        <w:tab/>
      </w:r>
      <w:r w:rsidR="00671705" w:rsidRPr="00781BE8">
        <w:t xml:space="preserve">Report from the Commission to the European Parliament and the Council on the functioning of the European carbon market in 2024, COM(2025) 735 final, 3.12.2025, </w:t>
      </w:r>
      <w:hyperlink r:id="rId43" w:history="1">
        <w:r w:rsidR="00671705" w:rsidRPr="00781BE8">
          <w:rPr>
            <w:rStyle w:val="Hyperlink"/>
          </w:rPr>
          <w:t>https://climate.ec.europa.eu/document/download/ddc1b1de-652b-49ed-8f15-d9fa8badd39f_en?filename=com_2025_735_en.pdf</w:t>
        </w:r>
      </w:hyperlink>
      <w:r w:rsidR="00671705" w:rsidRPr="00781BE8">
        <w:t>.</w:t>
      </w:r>
    </w:p>
  </w:footnote>
  <w:footnote w:id="98">
    <w:p w14:paraId="7686936B" w14:textId="7AC3DAE3" w:rsidR="00C07C25" w:rsidRPr="00781BE8" w:rsidRDefault="00C07C25" w:rsidP="005E4778">
      <w:pPr>
        <w:pStyle w:val="FootnoteText"/>
        <w:ind w:left="357" w:hanging="357"/>
        <w:contextualSpacing/>
      </w:pPr>
      <w:r w:rsidRPr="00781BE8">
        <w:rPr>
          <w:rStyle w:val="FootnoteReference"/>
          <w:sz w:val="20"/>
          <w:szCs w:val="20"/>
        </w:rPr>
        <w:footnoteRef/>
      </w:r>
      <w:r w:rsidR="00AA4EAE" w:rsidRPr="00781BE8">
        <w:t xml:space="preserve"> </w:t>
      </w:r>
      <w:r w:rsidR="00EA60A9">
        <w:tab/>
      </w:r>
      <w:r w:rsidR="00AA4EAE" w:rsidRPr="00781BE8">
        <w:t>Patrick Herhold, Johanna Pütz, Karan Mistry, Robin Bierganz, Phillip Spiekermann, Louisa Maier, German Association for Negative Emissions (DVNE) &amp; Boston Consulting Group (BCG),</w:t>
      </w:r>
      <w:r w:rsidR="00337152" w:rsidRPr="00781BE8">
        <w:t xml:space="preserve"> </w:t>
      </w:r>
      <w:r w:rsidR="00337152" w:rsidRPr="00781BE8">
        <w:rPr>
          <w:i/>
          <w:iCs/>
        </w:rPr>
        <w:t>Europe and Germany’s Role in Catalyzing a Trillion-Euro Industry</w:t>
      </w:r>
      <w:r w:rsidR="00337152" w:rsidRPr="00781BE8">
        <w:t>,</w:t>
      </w:r>
      <w:r w:rsidR="00AA4EAE" w:rsidRPr="00781BE8">
        <w:t xml:space="preserve"> 2024</w:t>
      </w:r>
      <w:r w:rsidR="00337152" w:rsidRPr="00781BE8">
        <w:t>,</w:t>
      </w:r>
      <w:r w:rsidRPr="00781BE8">
        <w:t xml:space="preserve"> </w:t>
      </w:r>
      <w:hyperlink r:id="rId44" w:history="1">
        <w:r w:rsidRPr="00781BE8">
          <w:rPr>
            <w:rStyle w:val="Hyperlink"/>
          </w:rPr>
          <w:t>https://pyreg.com/wp-content/uploads/240620_dvne_bcg_cdr_economic_potential_en.pdf</w:t>
        </w:r>
      </w:hyperlink>
      <w:r w:rsidR="00337152" w:rsidRPr="00781BE8">
        <w:t>.</w:t>
      </w:r>
    </w:p>
  </w:footnote>
  <w:footnote w:id="99">
    <w:p w14:paraId="7D89CC7C" w14:textId="0C3078AB" w:rsidR="006F51EB" w:rsidRPr="00781BE8" w:rsidRDefault="006F51EB" w:rsidP="005E4778">
      <w:pPr>
        <w:pStyle w:val="FootnoteText"/>
        <w:ind w:left="357" w:hanging="357"/>
        <w:contextualSpacing/>
      </w:pPr>
      <w:r w:rsidRPr="00781BE8">
        <w:rPr>
          <w:rStyle w:val="FootnoteReference"/>
          <w:sz w:val="20"/>
          <w:szCs w:val="20"/>
        </w:rPr>
        <w:footnoteRef/>
      </w:r>
      <w:r w:rsidRPr="00781BE8">
        <w:t xml:space="preserve"> </w:t>
      </w:r>
      <w:r w:rsidR="00EA60A9">
        <w:tab/>
      </w:r>
      <w:r w:rsidRPr="00781BE8">
        <w:t>The study supporting the impact assessment of the ReFuelEU Aviation initiative (European Commission, 2021) estimated that it is expected to create more than 200,000 net additional jobs in the SAF production industry by 2050.</w:t>
      </w:r>
      <w:r w:rsidR="002714F8" w:rsidRPr="00781BE8">
        <w:t xml:space="preserve"> European Commission: Directorate-General for Mobility and Transport, E3M, Ricardo, Oeko, Giannelos, G. et al., </w:t>
      </w:r>
      <w:r w:rsidR="002714F8" w:rsidRPr="00781BE8">
        <w:rPr>
          <w:i/>
          <w:iCs/>
        </w:rPr>
        <w:t>Study supporting the impact assessment of the ReFuelEU Aviation initiative – Executive summary</w:t>
      </w:r>
      <w:r w:rsidR="002714F8" w:rsidRPr="00781BE8">
        <w:t xml:space="preserve">, Publications Office, 2021, </w:t>
      </w:r>
      <w:hyperlink r:id="rId45" w:history="1">
        <w:r w:rsidR="002714F8" w:rsidRPr="00781BE8">
          <w:rPr>
            <w:rStyle w:val="Hyperlink"/>
          </w:rPr>
          <w:t>https://data.europa.eu/doi/10.2832/680399</w:t>
        </w:r>
      </w:hyperlink>
      <w:r w:rsidR="002714F8" w:rsidRPr="00781BE8">
        <w:t xml:space="preserve">. </w:t>
      </w:r>
    </w:p>
  </w:footnote>
  <w:footnote w:id="100">
    <w:p w14:paraId="0CF8D169" w14:textId="0CB5A622" w:rsidR="007E7A99" w:rsidRPr="00781BE8" w:rsidRDefault="007E7A99" w:rsidP="005E4778">
      <w:pPr>
        <w:pStyle w:val="FootnoteText"/>
        <w:ind w:left="357" w:hanging="357"/>
        <w:contextualSpacing/>
        <w:rPr>
          <w:lang w:val="fr-BE"/>
        </w:rPr>
      </w:pPr>
      <w:r w:rsidRPr="00781BE8">
        <w:rPr>
          <w:rStyle w:val="FootnoteReference"/>
          <w:sz w:val="20"/>
          <w:szCs w:val="20"/>
        </w:rPr>
        <w:footnoteRef/>
      </w:r>
      <w:r w:rsidR="004622F7" w:rsidRPr="00781BE8">
        <w:t xml:space="preserve"> </w:t>
      </w:r>
      <w:r w:rsidR="00EA60A9">
        <w:tab/>
      </w:r>
      <w:r w:rsidR="004622F7" w:rsidRPr="00781BE8">
        <w:t xml:space="preserve">In France, </w:t>
      </w:r>
      <w:r w:rsidR="00EC0118" w:rsidRPr="00781BE8">
        <w:t xml:space="preserve">4 projects will </w:t>
      </w:r>
      <w:r w:rsidR="008B1660" w:rsidRPr="00781BE8">
        <w:t>produce</w:t>
      </w:r>
      <w:r w:rsidR="00EC0118" w:rsidRPr="00781BE8">
        <w:t xml:space="preserve"> 270</w:t>
      </w:r>
      <w:r w:rsidR="00ED3755" w:rsidRPr="00781BE8">
        <w:t xml:space="preserve"> kiloton</w:t>
      </w:r>
      <w:r w:rsidR="00AC42EE" w:rsidRPr="00781BE8">
        <w:t>s of SAF per year by 2030</w:t>
      </w:r>
      <w:r w:rsidR="006233F0" w:rsidRPr="00781BE8">
        <w:t xml:space="preserve"> and 510</w:t>
      </w:r>
      <w:r w:rsidR="000E3EF8" w:rsidRPr="00781BE8">
        <w:t xml:space="preserve"> jobs, which amounts to </w:t>
      </w:r>
      <w:r w:rsidR="003D2563" w:rsidRPr="00781BE8">
        <w:t>1</w:t>
      </w:r>
      <w:r w:rsidR="00723FD1" w:rsidRPr="00781BE8">
        <w:t>.</w:t>
      </w:r>
      <w:r w:rsidR="003D2563" w:rsidRPr="00781BE8">
        <w:t>8</w:t>
      </w:r>
      <w:r w:rsidR="00D543B2" w:rsidRPr="00781BE8">
        <w:t xml:space="preserve"> jobs per 100 tons. </w:t>
      </w:r>
      <w:r w:rsidR="00F266E1" w:rsidRPr="00781BE8">
        <w:rPr>
          <w:lang w:val="fr-BE"/>
        </w:rPr>
        <w:t>French Government</w:t>
      </w:r>
      <w:r w:rsidR="00D8559F" w:rsidRPr="00781BE8">
        <w:rPr>
          <w:lang w:val="fr-BE"/>
        </w:rPr>
        <w:t xml:space="preserve">, </w:t>
      </w:r>
      <w:r w:rsidR="00D8559F" w:rsidRPr="00781BE8">
        <w:rPr>
          <w:i/>
          <w:iCs/>
          <w:lang w:val="fr-BE"/>
        </w:rPr>
        <w:t>France 2030 : Le Gouvernement dévoile les 4 lauréats de l’appel à projets Carb Aéro, en faveur de la décarbonation du transport aérien</w:t>
      </w:r>
      <w:r w:rsidR="00D8559F" w:rsidRPr="00781BE8">
        <w:rPr>
          <w:lang w:val="fr-BE"/>
        </w:rPr>
        <w:t xml:space="preserve">, 2025, </w:t>
      </w:r>
      <w:hyperlink r:id="rId46" w:history="1">
        <w:r w:rsidR="00D8559F" w:rsidRPr="00781BE8">
          <w:rPr>
            <w:rStyle w:val="Hyperlink"/>
            <w:lang w:val="fr-BE"/>
          </w:rPr>
          <w:t>https://www.info.gouv.fr/upload/media/content/0001/13/31506bf1bb147a6ca091685004ce8deb1303c3bf.pdf</w:t>
        </w:r>
      </w:hyperlink>
    </w:p>
  </w:footnote>
  <w:footnote w:id="101">
    <w:p w14:paraId="40866C35" w14:textId="0D60E33A" w:rsidR="007E7A99" w:rsidRPr="00781BE8" w:rsidRDefault="007E7A99" w:rsidP="005E4778">
      <w:pPr>
        <w:pStyle w:val="FootnoteText"/>
        <w:ind w:left="357" w:hanging="357"/>
        <w:contextualSpacing/>
      </w:pPr>
      <w:r w:rsidRPr="00781BE8">
        <w:rPr>
          <w:rStyle w:val="FootnoteReference"/>
          <w:sz w:val="20"/>
          <w:szCs w:val="20"/>
        </w:rPr>
        <w:footnoteRef/>
      </w:r>
      <w:r w:rsidRPr="00781BE8">
        <w:t xml:space="preserve"> </w:t>
      </w:r>
      <w:r w:rsidR="00EA60A9">
        <w:tab/>
      </w:r>
      <w:r w:rsidR="00D543B2" w:rsidRPr="00781BE8">
        <w:t>In the UK,</w:t>
      </w:r>
      <w:r w:rsidR="00777A2B" w:rsidRPr="00781BE8">
        <w:t xml:space="preserve"> it is estimated that 0</w:t>
      </w:r>
      <w:r w:rsidR="006143FD" w:rsidRPr="00781BE8">
        <w:t xml:space="preserve">.6 MT of SAF will be produced in 2030, and </w:t>
      </w:r>
      <w:r w:rsidR="00777A2B" w:rsidRPr="00781BE8">
        <w:t xml:space="preserve">10,350 </w:t>
      </w:r>
      <w:r w:rsidR="008B1660" w:rsidRPr="00781BE8">
        <w:t xml:space="preserve">jobs </w:t>
      </w:r>
      <w:r w:rsidR="00AB1F50" w:rsidRPr="00781BE8">
        <w:t>created, which amounts to 1</w:t>
      </w:r>
      <w:r w:rsidR="000319B3" w:rsidRPr="00781BE8">
        <w:t>.</w:t>
      </w:r>
      <w:r w:rsidR="00AB1F50" w:rsidRPr="00781BE8">
        <w:t>7 jo</w:t>
      </w:r>
      <w:r w:rsidR="008B1660" w:rsidRPr="00781BE8">
        <w:t>bs per 100 tons.</w:t>
      </w:r>
      <w:r w:rsidR="001C1D10" w:rsidRPr="00781BE8">
        <w:t xml:space="preserve"> ICF, </w:t>
      </w:r>
      <w:r w:rsidR="001C1D10" w:rsidRPr="00781BE8">
        <w:rPr>
          <w:i/>
          <w:iCs/>
        </w:rPr>
        <w:t>Roadmap for the development of the UK SAF industry</w:t>
      </w:r>
      <w:r w:rsidR="001C1D10" w:rsidRPr="00781BE8">
        <w:t xml:space="preserve">, </w:t>
      </w:r>
      <w:r w:rsidR="00180ED2" w:rsidRPr="00781BE8">
        <w:t>2023,</w:t>
      </w:r>
      <w:r w:rsidR="008B1660" w:rsidRPr="00781BE8">
        <w:t xml:space="preserve"> </w:t>
      </w:r>
      <w:hyperlink r:id="rId47" w:history="1">
        <w:r w:rsidR="00777A2B" w:rsidRPr="00781BE8">
          <w:rPr>
            <w:rStyle w:val="Hyperlink"/>
          </w:rPr>
          <w:t>https://www.sustainableaviation.co.uk/wp-content/uploads/2023/04/Sustainable-Aviation-SAF-Roadmap-Final.pdf</w:t>
        </w:r>
      </w:hyperlink>
      <w:r w:rsidR="00180ED2" w:rsidRPr="00781BE8">
        <w:t>.</w:t>
      </w:r>
    </w:p>
  </w:footnote>
  <w:footnote w:id="102">
    <w:p w14:paraId="11347737" w14:textId="68D760C9" w:rsidR="004622F7" w:rsidRPr="00781BE8" w:rsidRDefault="004622F7" w:rsidP="005E4778">
      <w:pPr>
        <w:pStyle w:val="FootnoteText"/>
        <w:ind w:left="357" w:hanging="357"/>
        <w:contextualSpacing/>
      </w:pPr>
      <w:r w:rsidRPr="00781BE8">
        <w:rPr>
          <w:rStyle w:val="FootnoteReference"/>
          <w:sz w:val="20"/>
          <w:szCs w:val="20"/>
        </w:rPr>
        <w:footnoteRef/>
      </w:r>
      <w:r w:rsidRPr="00781BE8">
        <w:t xml:space="preserve"> </w:t>
      </w:r>
      <w:r w:rsidR="00C937C4">
        <w:tab/>
      </w:r>
      <w:r w:rsidR="00815FA7" w:rsidRPr="00781BE8">
        <w:t xml:space="preserve">In Germany, </w:t>
      </w:r>
      <w:r w:rsidR="006609DD" w:rsidRPr="00781BE8">
        <w:t xml:space="preserve">a new plant will </w:t>
      </w:r>
      <w:r w:rsidR="00AB1082" w:rsidRPr="00781BE8">
        <w:t>produce</w:t>
      </w:r>
      <w:r w:rsidR="006609DD" w:rsidRPr="00781BE8">
        <w:t xml:space="preserve"> </w:t>
      </w:r>
      <w:r w:rsidR="00192791" w:rsidRPr="00781BE8">
        <w:t>30,000</w:t>
      </w:r>
      <w:r w:rsidR="00723FD1" w:rsidRPr="00781BE8">
        <w:t xml:space="preserve"> </w:t>
      </w:r>
      <w:r w:rsidR="00192791" w:rsidRPr="00781BE8">
        <w:t xml:space="preserve">t </w:t>
      </w:r>
      <w:r w:rsidR="00AB1082" w:rsidRPr="00781BE8">
        <w:t xml:space="preserve">of </w:t>
      </w:r>
      <w:r w:rsidR="001C5928" w:rsidRPr="00781BE8">
        <w:t xml:space="preserve">eSAF </w:t>
      </w:r>
      <w:r w:rsidR="00192791" w:rsidRPr="00781BE8">
        <w:t xml:space="preserve">annually, for 65 jobs created, which amounts to </w:t>
      </w:r>
      <w:r w:rsidR="00AB1082" w:rsidRPr="00781BE8">
        <w:t>0.2 jobs per 100 tons.</w:t>
      </w:r>
    </w:p>
  </w:footnote>
  <w:footnote w:id="103">
    <w:p w14:paraId="3A9EBC57" w14:textId="508FD980" w:rsidR="00E60326" w:rsidRPr="00781BE8" w:rsidRDefault="00E60326" w:rsidP="005E4778">
      <w:pPr>
        <w:pStyle w:val="FootnoteText"/>
        <w:ind w:left="357" w:hanging="357"/>
        <w:contextualSpacing/>
      </w:pPr>
      <w:r w:rsidRPr="00781BE8">
        <w:rPr>
          <w:rStyle w:val="FootnoteReference"/>
          <w:sz w:val="20"/>
          <w:szCs w:val="20"/>
        </w:rPr>
        <w:footnoteRef/>
      </w:r>
      <w:r w:rsidRPr="00223AAE">
        <w:rPr>
          <w:lang w:val="en-IE"/>
        </w:rPr>
        <w:t xml:space="preserve"> </w:t>
      </w:r>
      <w:r w:rsidRPr="00223AAE">
        <w:rPr>
          <w:rStyle w:val="normaltextrun"/>
          <w:lang w:val="en-IE"/>
        </w:rPr>
        <w:t>However, Heikkil</w:t>
      </w:r>
      <w:r w:rsidR="009331D2" w:rsidRPr="00781BE8">
        <w:rPr>
          <w:rStyle w:val="normaltextrun"/>
          <w:lang w:val="en-IE"/>
        </w:rPr>
        <w:t>ä</w:t>
      </w:r>
      <w:r w:rsidRPr="00F4460A">
        <w:rPr>
          <w:rStyle w:val="normaltextrun"/>
          <w:lang w:val="en-IE"/>
        </w:rPr>
        <w:t xml:space="preserve"> et al. </w:t>
      </w:r>
      <w:r w:rsidRPr="00781BE8">
        <w:rPr>
          <w:rStyle w:val="normaltextrun"/>
        </w:rPr>
        <w:t>(2024) concluded that not all of the assessed ICS ship types have higher fuel consumption and thus emissions.</w:t>
      </w:r>
    </w:p>
  </w:footnote>
  <w:footnote w:id="104">
    <w:p w14:paraId="36A01328" w14:textId="6D08DB23" w:rsidR="00D73111" w:rsidRPr="00781BE8" w:rsidRDefault="00D73111" w:rsidP="005E4778">
      <w:pPr>
        <w:pStyle w:val="FootnoteText"/>
        <w:ind w:left="357" w:hanging="357"/>
        <w:contextualSpacing/>
        <w:rPr>
          <w:kern w:val="2"/>
          <w14:ligatures w14:val="standardContextual"/>
        </w:rPr>
      </w:pPr>
      <w:r w:rsidRPr="00781BE8">
        <w:rPr>
          <w:rStyle w:val="FootnoteReference"/>
          <w:sz w:val="20"/>
          <w:szCs w:val="20"/>
        </w:rPr>
        <w:footnoteRef/>
      </w:r>
      <w:r w:rsidR="00223AAE">
        <w:t xml:space="preserve"> </w:t>
      </w:r>
      <w:r w:rsidRPr="00781BE8">
        <w:t xml:space="preserve">OECD, </w:t>
      </w:r>
      <w:r w:rsidRPr="00781BE8">
        <w:rPr>
          <w:i/>
          <w:iCs/>
        </w:rPr>
        <w:t>The Circular Economy in Cities and Regions of the European Union</w:t>
      </w:r>
      <w:r w:rsidRPr="00781BE8">
        <w:t xml:space="preserve">, 2025, </w:t>
      </w:r>
      <w:hyperlink r:id="rId48" w:history="1">
        <w:r w:rsidRPr="00781BE8">
          <w:rPr>
            <w:rStyle w:val="Hyperlink"/>
          </w:rPr>
          <w:t>https://www.oecd.org/en/publications/the-circular-economy-in-cities-and-regions-of-the-european-union_e09c21e2-en.html.</w:t>
        </w:r>
      </w:hyperlink>
    </w:p>
  </w:footnote>
  <w:footnote w:id="105">
    <w:p w14:paraId="63279D31" w14:textId="0A7CFE06" w:rsidR="00774B14" w:rsidRPr="00781BE8" w:rsidRDefault="00774B14" w:rsidP="005E4778">
      <w:pPr>
        <w:pStyle w:val="FootnoteText"/>
        <w:ind w:left="357" w:hanging="357"/>
        <w:contextualSpacing/>
      </w:pPr>
      <w:r w:rsidRPr="00781BE8">
        <w:rPr>
          <w:rStyle w:val="FootnoteReference"/>
          <w:sz w:val="20"/>
          <w:szCs w:val="20"/>
        </w:rPr>
        <w:footnoteRef/>
      </w:r>
      <w:r w:rsidRPr="00781BE8">
        <w:t xml:space="preserve"> For</w:t>
      </w:r>
      <w:r w:rsidRPr="00781BE8">
        <w:rPr>
          <w:b/>
        </w:rPr>
        <w:t xml:space="preserve"> </w:t>
      </w:r>
      <w:r w:rsidRPr="00781BE8">
        <w:t xml:space="preserve">non-stationary (i.e. aviation, maritime) this </w:t>
      </w:r>
      <w:r w:rsidR="00543EF6" w:rsidRPr="00781BE8">
        <w:t>effectiveness in the achievement of this sub-objective</w:t>
      </w:r>
      <w:r w:rsidRPr="00781BE8">
        <w:t xml:space="preserve"> is addressed in the specific sections.</w:t>
      </w:r>
    </w:p>
  </w:footnote>
  <w:footnote w:id="106">
    <w:p w14:paraId="3A1C8A09" w14:textId="710D0B7E" w:rsidR="00F16C3A" w:rsidRPr="00781BE8" w:rsidRDefault="00F16C3A" w:rsidP="005E4778">
      <w:pPr>
        <w:pStyle w:val="FootnoteText"/>
        <w:ind w:left="357" w:hanging="357"/>
        <w:contextualSpacing/>
      </w:pPr>
      <w:r w:rsidRPr="00781BE8">
        <w:rPr>
          <w:rStyle w:val="FootnoteReference"/>
          <w:sz w:val="20"/>
          <w:szCs w:val="20"/>
        </w:rPr>
        <w:footnoteRef/>
      </w:r>
      <w:r w:rsidRPr="00781BE8">
        <w:t xml:space="preserve"> </w:t>
      </w:r>
      <w:r w:rsidR="00C937C4">
        <w:tab/>
      </w:r>
      <w:r w:rsidR="000A2834" w:rsidRPr="00781BE8">
        <w:t>https://ec.europa.eu/commission/presscorner/detail/en/statement_26_663</w:t>
      </w:r>
    </w:p>
  </w:footnote>
  <w:footnote w:id="107">
    <w:p w14:paraId="60943643" w14:textId="1C7ED25E" w:rsidR="000A2F08" w:rsidRPr="00781BE8" w:rsidRDefault="000A2F08" w:rsidP="005E4778">
      <w:pPr>
        <w:pStyle w:val="FootnoteText"/>
        <w:ind w:left="357" w:hanging="357"/>
        <w:contextualSpacing/>
        <w:rPr>
          <w:lang w:val="en-IE"/>
        </w:rPr>
      </w:pPr>
      <w:r w:rsidRPr="00781BE8">
        <w:rPr>
          <w:rStyle w:val="FootnoteReference"/>
          <w:sz w:val="20"/>
          <w:szCs w:val="20"/>
        </w:rPr>
        <w:footnoteRef/>
      </w:r>
      <w:r w:rsidRPr="00781BE8">
        <w:t xml:space="preserve"> </w:t>
      </w:r>
      <w:r w:rsidR="00C937C4">
        <w:tab/>
      </w:r>
      <w:r w:rsidR="00E50272" w:rsidRPr="00781BE8">
        <w:t>Such a</w:t>
      </w:r>
      <w:r w:rsidRPr="00781BE8">
        <w:t xml:space="preserve">s the FuelEU Maritime Regulation at </w:t>
      </w:r>
      <w:r w:rsidR="00E50272" w:rsidRPr="00781BE8">
        <w:t xml:space="preserve">the </w:t>
      </w:r>
      <w:r w:rsidRPr="00781BE8">
        <w:t xml:space="preserve">EU level and the International Maritime Organisation Data Collection System (IMO DCS) at </w:t>
      </w:r>
      <w:r w:rsidR="00E50272" w:rsidRPr="00781BE8">
        <w:t xml:space="preserve">the </w:t>
      </w:r>
      <w:r w:rsidRPr="00781BE8">
        <w:t xml:space="preserve">global level.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587CF" w14:textId="77777777" w:rsidR="006F652E" w:rsidRPr="006F652E" w:rsidRDefault="006F652E" w:rsidP="006F652E">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3F7FB" w14:textId="77777777" w:rsidR="006F652E" w:rsidRPr="006F652E" w:rsidRDefault="006F652E" w:rsidP="006F652E">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EA802" w14:textId="77777777" w:rsidR="006F652E" w:rsidRPr="006F652E" w:rsidRDefault="006F652E" w:rsidP="006F652E">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F32D3" w14:textId="77777777" w:rsidR="007105B3" w:rsidRDefault="007105B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E455B" w14:textId="77777777" w:rsidR="007105B3" w:rsidRDefault="007105B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426F2" w14:textId="77777777" w:rsidR="007105B3" w:rsidRDefault="007105B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299F6" w14:textId="77777777" w:rsidR="00771E5C" w:rsidRDefault="00771E5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7819F" w14:textId="77777777" w:rsidR="00771E5C" w:rsidRDefault="00771E5C">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71777" w14:textId="77777777" w:rsidR="00771E5C" w:rsidRDefault="00771E5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C1AD2" w14:textId="77777777" w:rsidR="00771E5C" w:rsidRDefault="00771E5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F06B2" w14:textId="7E903A68" w:rsidR="00CB14B2" w:rsidRDefault="00CB14B2" w:rsidP="000E3086">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46221" w14:textId="77777777" w:rsidR="00CB14B2" w:rsidRDefault="00CB14B2" w:rsidP="000E308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CCA99" w14:textId="77777777" w:rsidR="00CB14B2" w:rsidRDefault="00CB14B2" w:rsidP="000E30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761BA"/>
    <w:multiLevelType w:val="hybridMultilevel"/>
    <w:tmpl w:val="FFFFFFFF"/>
    <w:lvl w:ilvl="0" w:tplc="3C1EA31E">
      <w:start w:val="1"/>
      <w:numFmt w:val="bullet"/>
      <w:lvlText w:val=""/>
      <w:lvlJc w:val="left"/>
      <w:pPr>
        <w:ind w:left="720" w:hanging="360"/>
      </w:pPr>
      <w:rPr>
        <w:rFonts w:ascii="Symbol" w:hAnsi="Symbol" w:hint="default"/>
      </w:rPr>
    </w:lvl>
    <w:lvl w:ilvl="1" w:tplc="51F2357E">
      <w:start w:val="1"/>
      <w:numFmt w:val="bullet"/>
      <w:lvlText w:val="o"/>
      <w:lvlJc w:val="left"/>
      <w:pPr>
        <w:ind w:left="1440" w:hanging="360"/>
      </w:pPr>
      <w:rPr>
        <w:rFonts w:ascii="Courier New" w:hAnsi="Courier New" w:hint="default"/>
      </w:rPr>
    </w:lvl>
    <w:lvl w:ilvl="2" w:tplc="85B85B9E">
      <w:start w:val="1"/>
      <w:numFmt w:val="bullet"/>
      <w:lvlText w:val=""/>
      <w:lvlJc w:val="left"/>
      <w:pPr>
        <w:ind w:left="2160" w:hanging="360"/>
      </w:pPr>
      <w:rPr>
        <w:rFonts w:ascii="Wingdings" w:hAnsi="Wingdings" w:hint="default"/>
      </w:rPr>
    </w:lvl>
    <w:lvl w:ilvl="3" w:tplc="39421662">
      <w:start w:val="1"/>
      <w:numFmt w:val="bullet"/>
      <w:lvlText w:val=""/>
      <w:lvlJc w:val="left"/>
      <w:pPr>
        <w:ind w:left="2880" w:hanging="360"/>
      </w:pPr>
      <w:rPr>
        <w:rFonts w:ascii="Symbol" w:hAnsi="Symbol" w:hint="default"/>
      </w:rPr>
    </w:lvl>
    <w:lvl w:ilvl="4" w:tplc="03DE99CE">
      <w:start w:val="1"/>
      <w:numFmt w:val="bullet"/>
      <w:lvlText w:val="o"/>
      <w:lvlJc w:val="left"/>
      <w:pPr>
        <w:ind w:left="3600" w:hanging="360"/>
      </w:pPr>
      <w:rPr>
        <w:rFonts w:ascii="Courier New" w:hAnsi="Courier New" w:hint="default"/>
      </w:rPr>
    </w:lvl>
    <w:lvl w:ilvl="5" w:tplc="F754FA5A">
      <w:start w:val="1"/>
      <w:numFmt w:val="bullet"/>
      <w:lvlText w:val=""/>
      <w:lvlJc w:val="left"/>
      <w:pPr>
        <w:ind w:left="4320" w:hanging="360"/>
      </w:pPr>
      <w:rPr>
        <w:rFonts w:ascii="Wingdings" w:hAnsi="Wingdings" w:hint="default"/>
      </w:rPr>
    </w:lvl>
    <w:lvl w:ilvl="6" w:tplc="044E6FBA">
      <w:start w:val="1"/>
      <w:numFmt w:val="bullet"/>
      <w:lvlText w:val=""/>
      <w:lvlJc w:val="left"/>
      <w:pPr>
        <w:ind w:left="5040" w:hanging="360"/>
      </w:pPr>
      <w:rPr>
        <w:rFonts w:ascii="Symbol" w:hAnsi="Symbol" w:hint="default"/>
      </w:rPr>
    </w:lvl>
    <w:lvl w:ilvl="7" w:tplc="C204844C">
      <w:start w:val="1"/>
      <w:numFmt w:val="bullet"/>
      <w:lvlText w:val="o"/>
      <w:lvlJc w:val="left"/>
      <w:pPr>
        <w:ind w:left="5760" w:hanging="360"/>
      </w:pPr>
      <w:rPr>
        <w:rFonts w:ascii="Courier New" w:hAnsi="Courier New" w:hint="default"/>
      </w:rPr>
    </w:lvl>
    <w:lvl w:ilvl="8" w:tplc="DC40032C">
      <w:start w:val="1"/>
      <w:numFmt w:val="bullet"/>
      <w:lvlText w:val=""/>
      <w:lvlJc w:val="left"/>
      <w:pPr>
        <w:ind w:left="6480" w:hanging="360"/>
      </w:pPr>
      <w:rPr>
        <w:rFonts w:ascii="Wingdings" w:hAnsi="Wingdings" w:hint="default"/>
      </w:rPr>
    </w:lvl>
  </w:abstractNum>
  <w:abstractNum w:abstractNumId="1" w15:restartNumberingAfterBreak="0">
    <w:nsid w:val="0FCF1800"/>
    <w:multiLevelType w:val="hybridMultilevel"/>
    <w:tmpl w:val="E376A2B6"/>
    <w:lvl w:ilvl="0" w:tplc="4AEE1158">
      <w:start w:val="1"/>
      <w:numFmt w:val="lowerRoman"/>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 w15:restartNumberingAfterBreak="0">
    <w:nsid w:val="186D38B6"/>
    <w:multiLevelType w:val="hybridMultilevel"/>
    <w:tmpl w:val="96EAF4D6"/>
    <w:lvl w:ilvl="0" w:tplc="18090003">
      <w:start w:val="1"/>
      <w:numFmt w:val="bullet"/>
      <w:lvlText w:val="o"/>
      <w:lvlJc w:val="left"/>
      <w:pPr>
        <w:ind w:left="720" w:hanging="360"/>
      </w:pPr>
      <w:rPr>
        <w:rFonts w:ascii="Courier New" w:hAnsi="Courier New" w:cs="Courier New"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F734306"/>
    <w:multiLevelType w:val="multilevel"/>
    <w:tmpl w:val="383E0456"/>
    <w:lvl w:ilvl="0">
      <w:start w:val="1"/>
      <w:numFmt w:val="decimal"/>
      <w:pStyle w:val="Heading1"/>
      <w:lvlText w:val="%1."/>
      <w:lvlJc w:val="left"/>
      <w:pPr>
        <w:tabs>
          <w:tab w:val="num" w:pos="480"/>
        </w:tabs>
        <w:ind w:left="480" w:hanging="480"/>
      </w:pPr>
      <w:rPr>
        <w:rFonts w:hint="default"/>
      </w:rPr>
    </w:lvl>
    <w:lvl w:ilvl="1">
      <w:start w:val="1"/>
      <w:numFmt w:val="decimal"/>
      <w:pStyle w:val="Heading2"/>
      <w:lvlText w:val="%1.%2."/>
      <w:lvlJc w:val="left"/>
      <w:pPr>
        <w:tabs>
          <w:tab w:val="num" w:pos="1200"/>
        </w:tabs>
        <w:ind w:left="1200" w:hanging="720"/>
      </w:pPr>
      <w:rPr>
        <w:rFonts w:hint="default"/>
      </w:rPr>
    </w:lvl>
    <w:lvl w:ilvl="2">
      <w:start w:val="1"/>
      <w:numFmt w:val="decimal"/>
      <w:pStyle w:val="Heading3"/>
      <w:lvlText w:val="%1.%2.%3."/>
      <w:lvlJc w:val="left"/>
      <w:pPr>
        <w:tabs>
          <w:tab w:val="num" w:pos="1920"/>
        </w:tabs>
        <w:ind w:left="1920" w:hanging="720"/>
      </w:pPr>
      <w:rPr>
        <w:rFonts w:hint="default"/>
        <w:b w:val="0"/>
        <w:bCs w:val="0"/>
      </w:rPr>
    </w:lvl>
    <w:lvl w:ilvl="3">
      <w:start w:val="1"/>
      <w:numFmt w:val="decimal"/>
      <w:pStyle w:val="Heading4"/>
      <w:lvlText w:val="%1.%2.%3.%4."/>
      <w:lvlJc w:val="left"/>
      <w:pPr>
        <w:tabs>
          <w:tab w:val="num" w:pos="2563"/>
        </w:tabs>
        <w:ind w:left="2563"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2D2A5B22"/>
    <w:multiLevelType w:val="hybridMultilevel"/>
    <w:tmpl w:val="92E26DFA"/>
    <w:lvl w:ilvl="0" w:tplc="CBBA147A">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C00649C8">
      <w:numFmt w:val="bullet"/>
      <w:lvlText w:val="-"/>
      <w:lvlJc w:val="left"/>
      <w:pPr>
        <w:ind w:left="2880" w:hanging="360"/>
      </w:pPr>
      <w:rPr>
        <w:rFonts w:ascii="Arial" w:eastAsia="Times New Roman" w:hAnsi="Arial" w:cs="Aria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311D6617"/>
    <w:multiLevelType w:val="hybridMultilevel"/>
    <w:tmpl w:val="8450754E"/>
    <w:lvl w:ilvl="0" w:tplc="18090001">
      <w:start w:val="1"/>
      <w:numFmt w:val="bullet"/>
      <w:lvlText w:val=""/>
      <w:lvlJc w:val="left"/>
      <w:pPr>
        <w:tabs>
          <w:tab w:val="num" w:pos="720"/>
        </w:tabs>
        <w:ind w:left="720" w:hanging="360"/>
      </w:pPr>
      <w:rPr>
        <w:rFonts w:ascii="Symbol" w:hAnsi="Symbol" w:hint="default"/>
        <w:sz w:val="20"/>
      </w:rPr>
    </w:lvl>
    <w:lvl w:ilvl="1" w:tplc="DFD6A676">
      <w:start w:val="1"/>
      <w:numFmt w:val="bullet"/>
      <w:lvlText w:val=""/>
      <w:lvlJc w:val="left"/>
      <w:pPr>
        <w:tabs>
          <w:tab w:val="num" w:pos="1440"/>
        </w:tabs>
        <w:ind w:left="1440" w:hanging="360"/>
      </w:pPr>
      <w:rPr>
        <w:rFonts w:ascii="Symbol" w:hAnsi="Symbol" w:hint="default"/>
        <w:sz w:val="20"/>
      </w:rPr>
    </w:lvl>
    <w:lvl w:ilvl="2" w:tplc="6D84DDEA" w:tentative="1">
      <w:start w:val="1"/>
      <w:numFmt w:val="bullet"/>
      <w:lvlText w:val=""/>
      <w:lvlJc w:val="left"/>
      <w:pPr>
        <w:tabs>
          <w:tab w:val="num" w:pos="2160"/>
        </w:tabs>
        <w:ind w:left="2160" w:hanging="360"/>
      </w:pPr>
      <w:rPr>
        <w:rFonts w:ascii="Symbol" w:hAnsi="Symbol" w:hint="default"/>
        <w:sz w:val="20"/>
      </w:rPr>
    </w:lvl>
    <w:lvl w:ilvl="3" w:tplc="D5E8C606" w:tentative="1">
      <w:start w:val="1"/>
      <w:numFmt w:val="bullet"/>
      <w:lvlText w:val=""/>
      <w:lvlJc w:val="left"/>
      <w:pPr>
        <w:tabs>
          <w:tab w:val="num" w:pos="2880"/>
        </w:tabs>
        <w:ind w:left="2880" w:hanging="360"/>
      </w:pPr>
      <w:rPr>
        <w:rFonts w:ascii="Symbol" w:hAnsi="Symbol" w:hint="default"/>
        <w:sz w:val="20"/>
      </w:rPr>
    </w:lvl>
    <w:lvl w:ilvl="4" w:tplc="775ED992" w:tentative="1">
      <w:start w:val="1"/>
      <w:numFmt w:val="bullet"/>
      <w:lvlText w:val=""/>
      <w:lvlJc w:val="left"/>
      <w:pPr>
        <w:tabs>
          <w:tab w:val="num" w:pos="3600"/>
        </w:tabs>
        <w:ind w:left="3600" w:hanging="360"/>
      </w:pPr>
      <w:rPr>
        <w:rFonts w:ascii="Symbol" w:hAnsi="Symbol" w:hint="default"/>
        <w:sz w:val="20"/>
      </w:rPr>
    </w:lvl>
    <w:lvl w:ilvl="5" w:tplc="342036BA" w:tentative="1">
      <w:start w:val="1"/>
      <w:numFmt w:val="bullet"/>
      <w:lvlText w:val=""/>
      <w:lvlJc w:val="left"/>
      <w:pPr>
        <w:tabs>
          <w:tab w:val="num" w:pos="4320"/>
        </w:tabs>
        <w:ind w:left="4320" w:hanging="360"/>
      </w:pPr>
      <w:rPr>
        <w:rFonts w:ascii="Symbol" w:hAnsi="Symbol" w:hint="default"/>
        <w:sz w:val="20"/>
      </w:rPr>
    </w:lvl>
    <w:lvl w:ilvl="6" w:tplc="D7BCD814" w:tentative="1">
      <w:start w:val="1"/>
      <w:numFmt w:val="bullet"/>
      <w:lvlText w:val=""/>
      <w:lvlJc w:val="left"/>
      <w:pPr>
        <w:tabs>
          <w:tab w:val="num" w:pos="5040"/>
        </w:tabs>
        <w:ind w:left="5040" w:hanging="360"/>
      </w:pPr>
      <w:rPr>
        <w:rFonts w:ascii="Symbol" w:hAnsi="Symbol" w:hint="default"/>
        <w:sz w:val="20"/>
      </w:rPr>
    </w:lvl>
    <w:lvl w:ilvl="7" w:tplc="20B64D60" w:tentative="1">
      <w:start w:val="1"/>
      <w:numFmt w:val="bullet"/>
      <w:lvlText w:val=""/>
      <w:lvlJc w:val="left"/>
      <w:pPr>
        <w:tabs>
          <w:tab w:val="num" w:pos="5760"/>
        </w:tabs>
        <w:ind w:left="5760" w:hanging="360"/>
      </w:pPr>
      <w:rPr>
        <w:rFonts w:ascii="Symbol" w:hAnsi="Symbol" w:hint="default"/>
        <w:sz w:val="20"/>
      </w:rPr>
    </w:lvl>
    <w:lvl w:ilvl="8" w:tplc="C4CA364A"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31D2425"/>
    <w:multiLevelType w:val="hybridMultilevel"/>
    <w:tmpl w:val="0A98E06E"/>
    <w:lvl w:ilvl="0" w:tplc="1809000F">
      <w:start w:val="1"/>
      <w:numFmt w:val="decimal"/>
      <w:lvlText w:val="%1."/>
      <w:lvlJc w:val="left"/>
      <w:pPr>
        <w:ind w:left="1496" w:hanging="360"/>
      </w:pPr>
      <w:rPr>
        <w:rFonts w:hint="default"/>
      </w:rPr>
    </w:lvl>
    <w:lvl w:ilvl="1" w:tplc="18090019">
      <w:start w:val="1"/>
      <w:numFmt w:val="lowerLetter"/>
      <w:lvlText w:val="%2."/>
      <w:lvlJc w:val="left"/>
      <w:pPr>
        <w:ind w:left="2216" w:hanging="360"/>
      </w:pPr>
    </w:lvl>
    <w:lvl w:ilvl="2" w:tplc="1809001B" w:tentative="1">
      <w:start w:val="1"/>
      <w:numFmt w:val="lowerRoman"/>
      <w:lvlText w:val="%3."/>
      <w:lvlJc w:val="right"/>
      <w:pPr>
        <w:ind w:left="2936" w:hanging="180"/>
      </w:pPr>
    </w:lvl>
    <w:lvl w:ilvl="3" w:tplc="1809000F" w:tentative="1">
      <w:start w:val="1"/>
      <w:numFmt w:val="decimal"/>
      <w:lvlText w:val="%4."/>
      <w:lvlJc w:val="left"/>
      <w:pPr>
        <w:ind w:left="3656" w:hanging="360"/>
      </w:pPr>
    </w:lvl>
    <w:lvl w:ilvl="4" w:tplc="18090019" w:tentative="1">
      <w:start w:val="1"/>
      <w:numFmt w:val="lowerLetter"/>
      <w:lvlText w:val="%5."/>
      <w:lvlJc w:val="left"/>
      <w:pPr>
        <w:ind w:left="4376" w:hanging="360"/>
      </w:pPr>
    </w:lvl>
    <w:lvl w:ilvl="5" w:tplc="1809001B" w:tentative="1">
      <w:start w:val="1"/>
      <w:numFmt w:val="lowerRoman"/>
      <w:lvlText w:val="%6."/>
      <w:lvlJc w:val="right"/>
      <w:pPr>
        <w:ind w:left="5096" w:hanging="180"/>
      </w:pPr>
    </w:lvl>
    <w:lvl w:ilvl="6" w:tplc="1809000F" w:tentative="1">
      <w:start w:val="1"/>
      <w:numFmt w:val="decimal"/>
      <w:lvlText w:val="%7."/>
      <w:lvlJc w:val="left"/>
      <w:pPr>
        <w:ind w:left="5816" w:hanging="360"/>
      </w:pPr>
    </w:lvl>
    <w:lvl w:ilvl="7" w:tplc="18090019" w:tentative="1">
      <w:start w:val="1"/>
      <w:numFmt w:val="lowerLetter"/>
      <w:lvlText w:val="%8."/>
      <w:lvlJc w:val="left"/>
      <w:pPr>
        <w:ind w:left="6536" w:hanging="360"/>
      </w:pPr>
    </w:lvl>
    <w:lvl w:ilvl="8" w:tplc="1809001B" w:tentative="1">
      <w:start w:val="1"/>
      <w:numFmt w:val="lowerRoman"/>
      <w:lvlText w:val="%9."/>
      <w:lvlJc w:val="right"/>
      <w:pPr>
        <w:ind w:left="7256" w:hanging="180"/>
      </w:pPr>
    </w:lvl>
  </w:abstractNum>
  <w:abstractNum w:abstractNumId="7" w15:restartNumberingAfterBreak="0">
    <w:nsid w:val="33864D78"/>
    <w:multiLevelType w:val="hybridMultilevel"/>
    <w:tmpl w:val="817C08D2"/>
    <w:lvl w:ilvl="0" w:tplc="E156251E">
      <w:start w:val="1"/>
      <w:numFmt w:val="decimal"/>
      <w:pStyle w:val="Figuretitle"/>
      <w:lvlText w:val="Figure %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15:restartNumberingAfterBreak="0">
    <w:nsid w:val="3DE12AE4"/>
    <w:multiLevelType w:val="hybridMultilevel"/>
    <w:tmpl w:val="D91A34EC"/>
    <w:lvl w:ilvl="0" w:tplc="D0BEA4F4">
      <w:start w:val="1"/>
      <w:numFmt w:val="decimal"/>
      <w:pStyle w:val="Tabletitle"/>
      <w:lvlText w:val="Table %1:"/>
      <w:lvlJc w:val="left"/>
      <w:pPr>
        <w:ind w:left="360" w:hanging="360"/>
      </w:pPr>
      <w:rPr>
        <w:b w:val="0"/>
        <w:bCs/>
      </w:rPr>
    </w:lvl>
    <w:lvl w:ilvl="1" w:tplc="04090019" w:tentative="1">
      <w:start w:val="1"/>
      <w:numFmt w:val="lowerLetter"/>
      <w:lvlText w:val="%2."/>
      <w:lvlJc w:val="left"/>
      <w:pPr>
        <w:ind w:left="-7208" w:hanging="360"/>
      </w:pPr>
    </w:lvl>
    <w:lvl w:ilvl="2" w:tplc="0409001B" w:tentative="1">
      <w:start w:val="1"/>
      <w:numFmt w:val="lowerRoman"/>
      <w:lvlText w:val="%3."/>
      <w:lvlJc w:val="right"/>
      <w:pPr>
        <w:ind w:left="-6488" w:hanging="180"/>
      </w:pPr>
    </w:lvl>
    <w:lvl w:ilvl="3" w:tplc="0409000F" w:tentative="1">
      <w:start w:val="1"/>
      <w:numFmt w:val="decimal"/>
      <w:lvlText w:val="%4."/>
      <w:lvlJc w:val="left"/>
      <w:pPr>
        <w:ind w:left="-5768" w:hanging="360"/>
      </w:pPr>
    </w:lvl>
    <w:lvl w:ilvl="4" w:tplc="04090019" w:tentative="1">
      <w:start w:val="1"/>
      <w:numFmt w:val="lowerLetter"/>
      <w:lvlText w:val="%5."/>
      <w:lvlJc w:val="left"/>
      <w:pPr>
        <w:ind w:left="-5048" w:hanging="360"/>
      </w:pPr>
    </w:lvl>
    <w:lvl w:ilvl="5" w:tplc="0409001B" w:tentative="1">
      <w:start w:val="1"/>
      <w:numFmt w:val="lowerRoman"/>
      <w:lvlText w:val="%6."/>
      <w:lvlJc w:val="right"/>
      <w:pPr>
        <w:ind w:left="-4328" w:hanging="180"/>
      </w:pPr>
    </w:lvl>
    <w:lvl w:ilvl="6" w:tplc="0409000F" w:tentative="1">
      <w:start w:val="1"/>
      <w:numFmt w:val="decimal"/>
      <w:lvlText w:val="%7."/>
      <w:lvlJc w:val="left"/>
      <w:pPr>
        <w:ind w:left="-3608" w:hanging="360"/>
      </w:pPr>
    </w:lvl>
    <w:lvl w:ilvl="7" w:tplc="04090019" w:tentative="1">
      <w:start w:val="1"/>
      <w:numFmt w:val="lowerLetter"/>
      <w:lvlText w:val="%8."/>
      <w:lvlJc w:val="left"/>
      <w:pPr>
        <w:ind w:left="-2888" w:hanging="360"/>
      </w:pPr>
    </w:lvl>
    <w:lvl w:ilvl="8" w:tplc="0409001B" w:tentative="1">
      <w:start w:val="1"/>
      <w:numFmt w:val="lowerRoman"/>
      <w:lvlText w:val="%9."/>
      <w:lvlJc w:val="right"/>
      <w:pPr>
        <w:ind w:left="-2168" w:hanging="180"/>
      </w:pPr>
    </w:lvl>
  </w:abstractNum>
  <w:abstractNum w:abstractNumId="10" w15:restartNumberingAfterBreak="0">
    <w:nsid w:val="3DF35225"/>
    <w:multiLevelType w:val="hybridMultilevel"/>
    <w:tmpl w:val="3ADA3B6C"/>
    <w:lvl w:ilvl="0" w:tplc="3BBCEC40">
      <w:start w:val="1"/>
      <w:numFmt w:val="bullet"/>
      <w:lvlText w:val=""/>
      <w:lvlJc w:val="left"/>
      <w:pPr>
        <w:ind w:left="720" w:hanging="360"/>
      </w:pPr>
      <w:rPr>
        <w:rFonts w:ascii="Symbol" w:hAnsi="Symbol" w:hint="default"/>
      </w:rPr>
    </w:lvl>
    <w:lvl w:ilvl="1" w:tplc="D62CF69E">
      <w:start w:val="1"/>
      <w:numFmt w:val="bullet"/>
      <w:lvlText w:val="o"/>
      <w:lvlJc w:val="left"/>
      <w:pPr>
        <w:ind w:left="1440" w:hanging="360"/>
      </w:pPr>
      <w:rPr>
        <w:rFonts w:ascii="Courier New" w:hAnsi="Courier New" w:cs="Times New Roman" w:hint="default"/>
      </w:rPr>
    </w:lvl>
    <w:lvl w:ilvl="2" w:tplc="D1AC4578">
      <w:start w:val="1"/>
      <w:numFmt w:val="bullet"/>
      <w:lvlText w:val=""/>
      <w:lvlJc w:val="left"/>
      <w:pPr>
        <w:ind w:left="2160" w:hanging="360"/>
      </w:pPr>
      <w:rPr>
        <w:rFonts w:ascii="Wingdings" w:hAnsi="Wingdings" w:hint="default"/>
      </w:rPr>
    </w:lvl>
    <w:lvl w:ilvl="3" w:tplc="919A3C9E">
      <w:start w:val="1"/>
      <w:numFmt w:val="bullet"/>
      <w:lvlText w:val=""/>
      <w:lvlJc w:val="left"/>
      <w:pPr>
        <w:ind w:left="2880" w:hanging="360"/>
      </w:pPr>
      <w:rPr>
        <w:rFonts w:ascii="Symbol" w:hAnsi="Symbol" w:hint="default"/>
      </w:rPr>
    </w:lvl>
    <w:lvl w:ilvl="4" w:tplc="DF10295A">
      <w:start w:val="1"/>
      <w:numFmt w:val="bullet"/>
      <w:lvlText w:val="o"/>
      <w:lvlJc w:val="left"/>
      <w:pPr>
        <w:ind w:left="3600" w:hanging="360"/>
      </w:pPr>
      <w:rPr>
        <w:rFonts w:ascii="Courier New" w:hAnsi="Courier New" w:cs="Times New Roman" w:hint="default"/>
      </w:rPr>
    </w:lvl>
    <w:lvl w:ilvl="5" w:tplc="BF3CEA6E">
      <w:start w:val="1"/>
      <w:numFmt w:val="bullet"/>
      <w:lvlText w:val=""/>
      <w:lvlJc w:val="left"/>
      <w:pPr>
        <w:ind w:left="4320" w:hanging="360"/>
      </w:pPr>
      <w:rPr>
        <w:rFonts w:ascii="Wingdings" w:hAnsi="Wingdings" w:hint="default"/>
      </w:rPr>
    </w:lvl>
    <w:lvl w:ilvl="6" w:tplc="202E04C0">
      <w:start w:val="1"/>
      <w:numFmt w:val="bullet"/>
      <w:lvlText w:val=""/>
      <w:lvlJc w:val="left"/>
      <w:pPr>
        <w:ind w:left="5040" w:hanging="360"/>
      </w:pPr>
      <w:rPr>
        <w:rFonts w:ascii="Symbol" w:hAnsi="Symbol" w:hint="default"/>
      </w:rPr>
    </w:lvl>
    <w:lvl w:ilvl="7" w:tplc="7B68DD52">
      <w:start w:val="1"/>
      <w:numFmt w:val="bullet"/>
      <w:lvlText w:val="o"/>
      <w:lvlJc w:val="left"/>
      <w:pPr>
        <w:ind w:left="5760" w:hanging="360"/>
      </w:pPr>
      <w:rPr>
        <w:rFonts w:ascii="Courier New" w:hAnsi="Courier New" w:cs="Times New Roman" w:hint="default"/>
      </w:rPr>
    </w:lvl>
    <w:lvl w:ilvl="8" w:tplc="17A0CF8A">
      <w:start w:val="1"/>
      <w:numFmt w:val="bullet"/>
      <w:lvlText w:val=""/>
      <w:lvlJc w:val="left"/>
      <w:pPr>
        <w:ind w:left="6480" w:hanging="360"/>
      </w:pPr>
      <w:rPr>
        <w:rFonts w:ascii="Wingdings" w:hAnsi="Wingdings" w:hint="default"/>
      </w:rPr>
    </w:lvl>
  </w:abstractNum>
  <w:abstractNum w:abstractNumId="11" w15:restartNumberingAfterBreak="0">
    <w:nsid w:val="4FC02F49"/>
    <w:multiLevelType w:val="hybridMultilevel"/>
    <w:tmpl w:val="6CBA79C2"/>
    <w:lvl w:ilvl="0" w:tplc="1809000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15:restartNumberingAfterBreak="0">
    <w:nsid w:val="67E211E1"/>
    <w:multiLevelType w:val="hybridMultilevel"/>
    <w:tmpl w:val="07C423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68526EF3"/>
    <w:multiLevelType w:val="hybridMultilevel"/>
    <w:tmpl w:val="9B602E88"/>
    <w:styleLink w:val="adeListeNumeinfach"/>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6F1D7BEC"/>
    <w:multiLevelType w:val="multilevel"/>
    <w:tmpl w:val="18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70F65F84"/>
    <w:multiLevelType w:val="hybridMultilevel"/>
    <w:tmpl w:val="3364DF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7737497B"/>
    <w:multiLevelType w:val="hybridMultilevel"/>
    <w:tmpl w:val="810AD25A"/>
    <w:styleLink w:val="NumbLstMain"/>
    <w:lvl w:ilvl="0" w:tplc="1FB82F9E">
      <w:start w:val="1"/>
      <w:numFmt w:val="bullet"/>
      <w:lvlText w:val="·"/>
      <w:lvlJc w:val="left"/>
      <w:pPr>
        <w:ind w:left="720" w:hanging="360"/>
      </w:pPr>
      <w:rPr>
        <w:rFonts w:ascii="Symbol" w:hAnsi="Symbol" w:hint="default"/>
      </w:rPr>
    </w:lvl>
    <w:lvl w:ilvl="1" w:tplc="0B80AFFE">
      <w:start w:val="1"/>
      <w:numFmt w:val="bullet"/>
      <w:lvlText w:val="o"/>
      <w:lvlJc w:val="left"/>
      <w:pPr>
        <w:ind w:left="1440" w:hanging="360"/>
      </w:pPr>
      <w:rPr>
        <w:rFonts w:ascii="Courier New" w:hAnsi="Courier New" w:hint="default"/>
      </w:rPr>
    </w:lvl>
    <w:lvl w:ilvl="2" w:tplc="164847F0">
      <w:start w:val="1"/>
      <w:numFmt w:val="bullet"/>
      <w:lvlText w:val=""/>
      <w:lvlJc w:val="left"/>
      <w:pPr>
        <w:ind w:left="2160" w:hanging="360"/>
      </w:pPr>
      <w:rPr>
        <w:rFonts w:ascii="Wingdings" w:hAnsi="Wingdings" w:hint="default"/>
      </w:rPr>
    </w:lvl>
    <w:lvl w:ilvl="3" w:tplc="55F29F9C">
      <w:start w:val="1"/>
      <w:numFmt w:val="bullet"/>
      <w:lvlText w:val=""/>
      <w:lvlJc w:val="left"/>
      <w:pPr>
        <w:ind w:left="2880" w:hanging="360"/>
      </w:pPr>
      <w:rPr>
        <w:rFonts w:ascii="Symbol" w:hAnsi="Symbol" w:hint="default"/>
      </w:rPr>
    </w:lvl>
    <w:lvl w:ilvl="4" w:tplc="90768CB4">
      <w:start w:val="1"/>
      <w:numFmt w:val="bullet"/>
      <w:lvlText w:val="o"/>
      <w:lvlJc w:val="left"/>
      <w:pPr>
        <w:ind w:left="3600" w:hanging="360"/>
      </w:pPr>
      <w:rPr>
        <w:rFonts w:ascii="Courier New" w:hAnsi="Courier New" w:hint="default"/>
      </w:rPr>
    </w:lvl>
    <w:lvl w:ilvl="5" w:tplc="6EFC4B80">
      <w:start w:val="1"/>
      <w:numFmt w:val="bullet"/>
      <w:lvlText w:val=""/>
      <w:lvlJc w:val="left"/>
      <w:pPr>
        <w:ind w:left="4320" w:hanging="360"/>
      </w:pPr>
      <w:rPr>
        <w:rFonts w:ascii="Wingdings" w:hAnsi="Wingdings" w:hint="default"/>
      </w:rPr>
    </w:lvl>
    <w:lvl w:ilvl="6" w:tplc="C0143DE2">
      <w:start w:val="1"/>
      <w:numFmt w:val="bullet"/>
      <w:lvlText w:val=""/>
      <w:lvlJc w:val="left"/>
      <w:pPr>
        <w:ind w:left="5040" w:hanging="360"/>
      </w:pPr>
      <w:rPr>
        <w:rFonts w:ascii="Symbol" w:hAnsi="Symbol" w:hint="default"/>
      </w:rPr>
    </w:lvl>
    <w:lvl w:ilvl="7" w:tplc="7EB091D4">
      <w:start w:val="1"/>
      <w:numFmt w:val="bullet"/>
      <w:lvlText w:val="o"/>
      <w:lvlJc w:val="left"/>
      <w:pPr>
        <w:ind w:left="5760" w:hanging="360"/>
      </w:pPr>
      <w:rPr>
        <w:rFonts w:ascii="Courier New" w:hAnsi="Courier New" w:hint="default"/>
      </w:rPr>
    </w:lvl>
    <w:lvl w:ilvl="8" w:tplc="F3AEFE68">
      <w:start w:val="1"/>
      <w:numFmt w:val="bullet"/>
      <w:lvlText w:val=""/>
      <w:lvlJc w:val="left"/>
      <w:pPr>
        <w:ind w:left="6480" w:hanging="360"/>
      </w:pPr>
      <w:rPr>
        <w:rFonts w:ascii="Wingdings" w:hAnsi="Wingdings" w:hint="default"/>
      </w:rPr>
    </w:lvl>
  </w:abstractNum>
  <w:num w:numId="1" w16cid:durableId="1136339854">
    <w:abstractNumId w:val="0"/>
  </w:num>
  <w:num w:numId="2" w16cid:durableId="1491673283">
    <w:abstractNumId w:val="8"/>
  </w:num>
  <w:num w:numId="3" w16cid:durableId="1406302383">
    <w:abstractNumId w:val="12"/>
  </w:num>
  <w:num w:numId="4" w16cid:durableId="552422607">
    <w:abstractNumId w:val="3"/>
  </w:num>
  <w:num w:numId="5" w16cid:durableId="36005528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88265548">
    <w:abstractNumId w:val="5"/>
  </w:num>
  <w:num w:numId="7" w16cid:durableId="540748917">
    <w:abstractNumId w:val="4"/>
  </w:num>
  <w:num w:numId="8" w16cid:durableId="261037417">
    <w:abstractNumId w:val="17"/>
  </w:num>
  <w:num w:numId="9" w16cid:durableId="1304849438">
    <w:abstractNumId w:val="14"/>
  </w:num>
  <w:num w:numId="10" w16cid:durableId="1776048055">
    <w:abstractNumId w:val="15"/>
  </w:num>
  <w:num w:numId="11" w16cid:durableId="2084377976">
    <w:abstractNumId w:val="1"/>
  </w:num>
  <w:num w:numId="12" w16cid:durableId="1389232225">
    <w:abstractNumId w:val="6"/>
  </w:num>
  <w:num w:numId="13" w16cid:durableId="1043794464">
    <w:abstractNumId w:val="13"/>
  </w:num>
  <w:num w:numId="14" w16cid:durableId="670137780">
    <w:abstractNumId w:val="10"/>
  </w:num>
  <w:num w:numId="15" w16cid:durableId="754087741">
    <w:abstractNumId w:val="11"/>
  </w:num>
  <w:num w:numId="16" w16cid:durableId="1578049259">
    <w:abstractNumId w:val="7"/>
  </w:num>
  <w:num w:numId="17" w16cid:durableId="1486777724">
    <w:abstractNumId w:val="9"/>
  </w:num>
  <w:num w:numId="18" w16cid:durableId="1090005931">
    <w:abstractNumId w:val="2"/>
  </w:num>
  <w:num w:numId="19" w16cid:durableId="1935899104">
    <w:abstractNumId w:val="3"/>
  </w:num>
  <w:num w:numId="20" w16cid:durableId="1196890295">
    <w:abstractNumId w:val="16"/>
  </w:num>
  <w:num w:numId="21" w16cid:durableId="1485928503">
    <w:abstractNumId w:val="9"/>
    <w:lvlOverride w:ilvl="0">
      <w:startOverride w:val="1"/>
    </w:lvlOverride>
  </w:num>
  <w:num w:numId="22" w16cid:durableId="1658993675">
    <w:abstractNumId w:val="9"/>
    <w:lvlOverride w:ilvl="0">
      <w:startOverride w:val="1"/>
    </w:lvlOverride>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hideSpellingErrors/>
  <w:hideGrammaticalErrors/>
  <w:styleLockTheme/>
  <w:styleLockQFSet/>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EPKit_DocumentHasBeenSaved" w:val="true"/>
    <w:docVar w:name="LW_ACCOMPAGNANT.CP" w:val="Accompanying the documents"/>
    <w:docVar w:name="LW_CORRIGENDUM" w:val="&lt;UNUSED&gt;"/>
    <w:docVar w:name="LW_COVERPAGE_EXISTS" w:val="True"/>
    <w:docVar w:name="LW_COVERPAGE_GUID" w:val="FF3BD96C-81FC-4889-9F48-F0108425800C"/>
    <w:docVar w:name="LW_COVERPAGE_TYPE" w:val="1"/>
    <w:docVar w:name="LW_CROSSREFERENCE" w:val="{COM(2026) 616 final} - {COM(2026) 619 final} - {COM(2026) 620 final} - {SEC(2026) 616 final} - {SWD(2026) 617 final} - {SWD(2026) 618 final}"/>
    <w:docVar w:name="LW_DocType" w:val="NORMAL"/>
    <w:docVar w:name="LW_EMISSION" w:val="17.7.2026"/>
    <w:docVar w:name="LW_EMISSION_ISODATE" w:val="2026-07-17"/>
    <w:docVar w:name="LW_EMISSION_LOCATION" w:val="BRX"/>
    <w:docVar w:name="LW_EMISSION_PREFIX" w:val="Brussels, "/>
    <w:docVar w:name="LW_EMISSION_SUFFIX" w:val=" "/>
    <w:docVar w:name="LW_ID_DOCTYPE_NONLW" w:val="CP-026"/>
    <w:docVar w:name="LW_LANGUE" w:val="EN"/>
    <w:docVar w:name="LW_LEVEL_OF_SENSITIVITY" w:val="Standard treatment"/>
    <w:docVar w:name="LW_NOM.INST" w:val="EUROPEAN COMMISSION"/>
    <w:docVar w:name="LW_NOM.INST_JOINTDOC" w:val="&lt;EMPTY&gt;"/>
    <w:docVar w:name="LW_OBJETACTEPRINCIPAL.CP" w:val="DIRECTIVE OF THE EUROPEAN PARLIAMENT AND OF THE COUNCIL amending Directive 2003/87/EC and Decision (EU) 2015/1814 as regards driving competitiveness and cost-effective decarbonisation_x000d__x000b__x000d__x000b__x000d__x000b__x000d__x000b_REGULATION OF THE EUROPEAN PARLIAMENT AND OF THE COUNCIL amending Directive 2003/87/EC as regards revised benchmark values for the heat and fuel benchmarks for the period from 2026 to 2030_x000d__x000b__x000d__x000b__x000d__x000b__x000d__x000b_REGULATION OF THE EUROPEAN PARLIAMENT AND OF THE COUNCIL amending Regulations (EU) 2015/757 and (EU) 2023/1805 to simplify and streamline monitoring, reporting and verification and to align with revisions of the EU Emissions Trading System"/>
    <w:docVar w:name="LW_PART_NBR" w:val="1"/>
    <w:docVar w:name="LW_PART_NBR_TOTAL" w:val="5"/>
    <w:docVar w:name="LW_REF.INST.NEW" w:val="SWD"/>
    <w:docVar w:name="LW_REF.INST.NEW_ADOPTED" w:val="final"/>
    <w:docVar w:name="LW_REF.INST.NEW_TEXT" w:val="(2026) 61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UNUSED&gt;"/>
    <w:docVar w:name="LW_TYPE.DOC.CP" w:val="COMMISSION STAFF WORKING DOCUMENT_x000b__x000b_IMPACT ASSESSMENT REPORT_x000b_"/>
    <w:docVar w:name="LW_TYPEACTEPRINCIPAL.CP" w:val="Proposal for a "/>
    <w:docVar w:name="LwApiVersions" w:val="LW4CoDe 1.24.5.0; LW 9.2, Build 20251112"/>
  </w:docVars>
  <w:rsids>
    <w:rsidRoot w:val="006B087E"/>
    <w:rsid w:val="00000027"/>
    <w:rsid w:val="00000061"/>
    <w:rsid w:val="00000068"/>
    <w:rsid w:val="0000014B"/>
    <w:rsid w:val="00000169"/>
    <w:rsid w:val="00000207"/>
    <w:rsid w:val="000002A4"/>
    <w:rsid w:val="00000337"/>
    <w:rsid w:val="00000368"/>
    <w:rsid w:val="00000449"/>
    <w:rsid w:val="00000599"/>
    <w:rsid w:val="00000602"/>
    <w:rsid w:val="00000646"/>
    <w:rsid w:val="00000671"/>
    <w:rsid w:val="0000073B"/>
    <w:rsid w:val="00000786"/>
    <w:rsid w:val="000007AD"/>
    <w:rsid w:val="00000815"/>
    <w:rsid w:val="00000867"/>
    <w:rsid w:val="0000088B"/>
    <w:rsid w:val="000008DF"/>
    <w:rsid w:val="00000964"/>
    <w:rsid w:val="00000993"/>
    <w:rsid w:val="00000AAA"/>
    <w:rsid w:val="00000B2B"/>
    <w:rsid w:val="00000B78"/>
    <w:rsid w:val="00000BDB"/>
    <w:rsid w:val="00000C0F"/>
    <w:rsid w:val="00000CAA"/>
    <w:rsid w:val="00000CD5"/>
    <w:rsid w:val="00000D4A"/>
    <w:rsid w:val="00000DC1"/>
    <w:rsid w:val="00000E50"/>
    <w:rsid w:val="00000EFD"/>
    <w:rsid w:val="00000F5E"/>
    <w:rsid w:val="00000F64"/>
    <w:rsid w:val="00000F7E"/>
    <w:rsid w:val="00000F8F"/>
    <w:rsid w:val="00001016"/>
    <w:rsid w:val="000010E0"/>
    <w:rsid w:val="000010FF"/>
    <w:rsid w:val="00001118"/>
    <w:rsid w:val="0000112B"/>
    <w:rsid w:val="00001133"/>
    <w:rsid w:val="000011E9"/>
    <w:rsid w:val="000011F0"/>
    <w:rsid w:val="0000123D"/>
    <w:rsid w:val="00001259"/>
    <w:rsid w:val="000012DF"/>
    <w:rsid w:val="00001333"/>
    <w:rsid w:val="0000157B"/>
    <w:rsid w:val="00001599"/>
    <w:rsid w:val="00001636"/>
    <w:rsid w:val="00001697"/>
    <w:rsid w:val="000016DC"/>
    <w:rsid w:val="00001705"/>
    <w:rsid w:val="00001754"/>
    <w:rsid w:val="00001854"/>
    <w:rsid w:val="000018C6"/>
    <w:rsid w:val="00001912"/>
    <w:rsid w:val="0000196D"/>
    <w:rsid w:val="000019C0"/>
    <w:rsid w:val="00001A23"/>
    <w:rsid w:val="00001A30"/>
    <w:rsid w:val="00001B13"/>
    <w:rsid w:val="00001BB7"/>
    <w:rsid w:val="00001BC4"/>
    <w:rsid w:val="00001D0C"/>
    <w:rsid w:val="00001D67"/>
    <w:rsid w:val="00001E6C"/>
    <w:rsid w:val="00001F5D"/>
    <w:rsid w:val="00001F6D"/>
    <w:rsid w:val="00001FF3"/>
    <w:rsid w:val="00002103"/>
    <w:rsid w:val="00002106"/>
    <w:rsid w:val="000021AA"/>
    <w:rsid w:val="00002234"/>
    <w:rsid w:val="00002238"/>
    <w:rsid w:val="0000226D"/>
    <w:rsid w:val="0000227C"/>
    <w:rsid w:val="000022A5"/>
    <w:rsid w:val="000022CE"/>
    <w:rsid w:val="000022CF"/>
    <w:rsid w:val="000023E0"/>
    <w:rsid w:val="000023EF"/>
    <w:rsid w:val="000023F8"/>
    <w:rsid w:val="0000243C"/>
    <w:rsid w:val="00002442"/>
    <w:rsid w:val="00002510"/>
    <w:rsid w:val="0000253C"/>
    <w:rsid w:val="000025BF"/>
    <w:rsid w:val="00002628"/>
    <w:rsid w:val="000026E3"/>
    <w:rsid w:val="00002762"/>
    <w:rsid w:val="000027A8"/>
    <w:rsid w:val="000027C5"/>
    <w:rsid w:val="000027FB"/>
    <w:rsid w:val="00002806"/>
    <w:rsid w:val="0000281A"/>
    <w:rsid w:val="00002902"/>
    <w:rsid w:val="00002908"/>
    <w:rsid w:val="00002919"/>
    <w:rsid w:val="00002984"/>
    <w:rsid w:val="00002A18"/>
    <w:rsid w:val="00002A7B"/>
    <w:rsid w:val="00002AFE"/>
    <w:rsid w:val="00002B76"/>
    <w:rsid w:val="00002BF9"/>
    <w:rsid w:val="00002C3E"/>
    <w:rsid w:val="00002C43"/>
    <w:rsid w:val="00002C53"/>
    <w:rsid w:val="00002C82"/>
    <w:rsid w:val="00002CD2"/>
    <w:rsid w:val="00002D7F"/>
    <w:rsid w:val="00002DBD"/>
    <w:rsid w:val="00002EB6"/>
    <w:rsid w:val="00002EC1"/>
    <w:rsid w:val="00002EEB"/>
    <w:rsid w:val="00002F26"/>
    <w:rsid w:val="00002F6C"/>
    <w:rsid w:val="00002FA8"/>
    <w:rsid w:val="00002FCB"/>
    <w:rsid w:val="00002FD0"/>
    <w:rsid w:val="00002FF7"/>
    <w:rsid w:val="0000300A"/>
    <w:rsid w:val="00003033"/>
    <w:rsid w:val="0000306D"/>
    <w:rsid w:val="00003114"/>
    <w:rsid w:val="00003121"/>
    <w:rsid w:val="000031A8"/>
    <w:rsid w:val="0000324C"/>
    <w:rsid w:val="00003314"/>
    <w:rsid w:val="0000331D"/>
    <w:rsid w:val="000033CB"/>
    <w:rsid w:val="000034D7"/>
    <w:rsid w:val="000034F0"/>
    <w:rsid w:val="000034F7"/>
    <w:rsid w:val="000035A6"/>
    <w:rsid w:val="000036D1"/>
    <w:rsid w:val="000036F7"/>
    <w:rsid w:val="000036FF"/>
    <w:rsid w:val="00003848"/>
    <w:rsid w:val="00003907"/>
    <w:rsid w:val="00003916"/>
    <w:rsid w:val="00003957"/>
    <w:rsid w:val="0000396F"/>
    <w:rsid w:val="00003987"/>
    <w:rsid w:val="00003A04"/>
    <w:rsid w:val="00003A51"/>
    <w:rsid w:val="00003A5F"/>
    <w:rsid w:val="00003A8F"/>
    <w:rsid w:val="00003AE1"/>
    <w:rsid w:val="00003B5D"/>
    <w:rsid w:val="00003C2A"/>
    <w:rsid w:val="00003C2B"/>
    <w:rsid w:val="00003C70"/>
    <w:rsid w:val="00003DB8"/>
    <w:rsid w:val="00003DBB"/>
    <w:rsid w:val="00003DEC"/>
    <w:rsid w:val="00003DF7"/>
    <w:rsid w:val="00003E9C"/>
    <w:rsid w:val="00003EB6"/>
    <w:rsid w:val="00003EC3"/>
    <w:rsid w:val="00003ED5"/>
    <w:rsid w:val="00003EFF"/>
    <w:rsid w:val="00003F1E"/>
    <w:rsid w:val="00003FBE"/>
    <w:rsid w:val="0000402D"/>
    <w:rsid w:val="000040C1"/>
    <w:rsid w:val="00004123"/>
    <w:rsid w:val="000041A2"/>
    <w:rsid w:val="000041BB"/>
    <w:rsid w:val="000041F6"/>
    <w:rsid w:val="00004200"/>
    <w:rsid w:val="00004290"/>
    <w:rsid w:val="000042ED"/>
    <w:rsid w:val="000042F6"/>
    <w:rsid w:val="000043B4"/>
    <w:rsid w:val="000043C1"/>
    <w:rsid w:val="000043FC"/>
    <w:rsid w:val="00004430"/>
    <w:rsid w:val="00004457"/>
    <w:rsid w:val="00004522"/>
    <w:rsid w:val="0000454C"/>
    <w:rsid w:val="0000469A"/>
    <w:rsid w:val="000046A6"/>
    <w:rsid w:val="000046B3"/>
    <w:rsid w:val="0000476E"/>
    <w:rsid w:val="00004778"/>
    <w:rsid w:val="000047C4"/>
    <w:rsid w:val="000047EC"/>
    <w:rsid w:val="000047F9"/>
    <w:rsid w:val="0000480D"/>
    <w:rsid w:val="00004950"/>
    <w:rsid w:val="000049B5"/>
    <w:rsid w:val="00004A03"/>
    <w:rsid w:val="00004A5A"/>
    <w:rsid w:val="00004A8C"/>
    <w:rsid w:val="00004AA3"/>
    <w:rsid w:val="00004AA5"/>
    <w:rsid w:val="00004B61"/>
    <w:rsid w:val="00004BF2"/>
    <w:rsid w:val="00004C03"/>
    <w:rsid w:val="00004C1B"/>
    <w:rsid w:val="00004C97"/>
    <w:rsid w:val="00004D3D"/>
    <w:rsid w:val="00004D55"/>
    <w:rsid w:val="00004D87"/>
    <w:rsid w:val="00004DC4"/>
    <w:rsid w:val="00004E29"/>
    <w:rsid w:val="00004E5F"/>
    <w:rsid w:val="00004E83"/>
    <w:rsid w:val="00004E87"/>
    <w:rsid w:val="00004EA4"/>
    <w:rsid w:val="00004F4D"/>
    <w:rsid w:val="00005015"/>
    <w:rsid w:val="00005019"/>
    <w:rsid w:val="0000505B"/>
    <w:rsid w:val="00005155"/>
    <w:rsid w:val="00005192"/>
    <w:rsid w:val="000051A2"/>
    <w:rsid w:val="00005213"/>
    <w:rsid w:val="000052E4"/>
    <w:rsid w:val="000053CD"/>
    <w:rsid w:val="00005482"/>
    <w:rsid w:val="00005572"/>
    <w:rsid w:val="000055F9"/>
    <w:rsid w:val="0000562E"/>
    <w:rsid w:val="0000566D"/>
    <w:rsid w:val="000056AB"/>
    <w:rsid w:val="000056BB"/>
    <w:rsid w:val="00005755"/>
    <w:rsid w:val="000057E9"/>
    <w:rsid w:val="000057EF"/>
    <w:rsid w:val="00005868"/>
    <w:rsid w:val="00005A6F"/>
    <w:rsid w:val="00005AF2"/>
    <w:rsid w:val="00005B02"/>
    <w:rsid w:val="00005B0D"/>
    <w:rsid w:val="00005B42"/>
    <w:rsid w:val="00005BA9"/>
    <w:rsid w:val="00005C10"/>
    <w:rsid w:val="00005C15"/>
    <w:rsid w:val="00005C20"/>
    <w:rsid w:val="00005C99"/>
    <w:rsid w:val="00005C9F"/>
    <w:rsid w:val="00005D2E"/>
    <w:rsid w:val="00005D58"/>
    <w:rsid w:val="00005DA5"/>
    <w:rsid w:val="00005DED"/>
    <w:rsid w:val="00005DFA"/>
    <w:rsid w:val="00005F68"/>
    <w:rsid w:val="00005FA0"/>
    <w:rsid w:val="00005FCE"/>
    <w:rsid w:val="00005FE3"/>
    <w:rsid w:val="00005FE6"/>
    <w:rsid w:val="00006119"/>
    <w:rsid w:val="0000618B"/>
    <w:rsid w:val="00006190"/>
    <w:rsid w:val="000061CB"/>
    <w:rsid w:val="000061D5"/>
    <w:rsid w:val="00006260"/>
    <w:rsid w:val="0000630A"/>
    <w:rsid w:val="0000630C"/>
    <w:rsid w:val="000063A6"/>
    <w:rsid w:val="000063D5"/>
    <w:rsid w:val="000063F6"/>
    <w:rsid w:val="000063FB"/>
    <w:rsid w:val="00006417"/>
    <w:rsid w:val="0000641D"/>
    <w:rsid w:val="0000645E"/>
    <w:rsid w:val="00006526"/>
    <w:rsid w:val="0000659A"/>
    <w:rsid w:val="000065EE"/>
    <w:rsid w:val="0000661B"/>
    <w:rsid w:val="00006624"/>
    <w:rsid w:val="0000669B"/>
    <w:rsid w:val="000066F5"/>
    <w:rsid w:val="0000674C"/>
    <w:rsid w:val="0000679C"/>
    <w:rsid w:val="000067E8"/>
    <w:rsid w:val="0000685A"/>
    <w:rsid w:val="0000687E"/>
    <w:rsid w:val="000068B9"/>
    <w:rsid w:val="0000691C"/>
    <w:rsid w:val="00006938"/>
    <w:rsid w:val="000069FA"/>
    <w:rsid w:val="00006A52"/>
    <w:rsid w:val="00006B7B"/>
    <w:rsid w:val="00006BAA"/>
    <w:rsid w:val="00006C17"/>
    <w:rsid w:val="00006C6B"/>
    <w:rsid w:val="00006C6D"/>
    <w:rsid w:val="00006D23"/>
    <w:rsid w:val="00006DA5"/>
    <w:rsid w:val="00006DCC"/>
    <w:rsid w:val="00006DCD"/>
    <w:rsid w:val="00006E80"/>
    <w:rsid w:val="00006F04"/>
    <w:rsid w:val="00006F16"/>
    <w:rsid w:val="00006F3E"/>
    <w:rsid w:val="00006F6F"/>
    <w:rsid w:val="00007054"/>
    <w:rsid w:val="000070EC"/>
    <w:rsid w:val="000070FC"/>
    <w:rsid w:val="000071EA"/>
    <w:rsid w:val="0000725C"/>
    <w:rsid w:val="0000729F"/>
    <w:rsid w:val="000072DF"/>
    <w:rsid w:val="0000733F"/>
    <w:rsid w:val="0000735B"/>
    <w:rsid w:val="00007369"/>
    <w:rsid w:val="000073D9"/>
    <w:rsid w:val="000074E8"/>
    <w:rsid w:val="0000750F"/>
    <w:rsid w:val="00007514"/>
    <w:rsid w:val="00007552"/>
    <w:rsid w:val="0000755F"/>
    <w:rsid w:val="00007566"/>
    <w:rsid w:val="000075B6"/>
    <w:rsid w:val="00007633"/>
    <w:rsid w:val="0000764C"/>
    <w:rsid w:val="000076DB"/>
    <w:rsid w:val="00007729"/>
    <w:rsid w:val="0000772E"/>
    <w:rsid w:val="0000775B"/>
    <w:rsid w:val="000077DA"/>
    <w:rsid w:val="000077F0"/>
    <w:rsid w:val="00007835"/>
    <w:rsid w:val="00007854"/>
    <w:rsid w:val="000078A8"/>
    <w:rsid w:val="000078BE"/>
    <w:rsid w:val="00007A37"/>
    <w:rsid w:val="00007AD6"/>
    <w:rsid w:val="00007B4A"/>
    <w:rsid w:val="00007B88"/>
    <w:rsid w:val="00007C4B"/>
    <w:rsid w:val="00007CF1"/>
    <w:rsid w:val="00007D69"/>
    <w:rsid w:val="00007D79"/>
    <w:rsid w:val="00007E51"/>
    <w:rsid w:val="00007F97"/>
    <w:rsid w:val="00010060"/>
    <w:rsid w:val="00010154"/>
    <w:rsid w:val="000101BA"/>
    <w:rsid w:val="000101CE"/>
    <w:rsid w:val="0001021B"/>
    <w:rsid w:val="00010274"/>
    <w:rsid w:val="0001027F"/>
    <w:rsid w:val="000102B7"/>
    <w:rsid w:val="000102DC"/>
    <w:rsid w:val="0001033C"/>
    <w:rsid w:val="0001036D"/>
    <w:rsid w:val="0001047D"/>
    <w:rsid w:val="000104D5"/>
    <w:rsid w:val="000105AB"/>
    <w:rsid w:val="00010657"/>
    <w:rsid w:val="000106A6"/>
    <w:rsid w:val="0001079B"/>
    <w:rsid w:val="000107CA"/>
    <w:rsid w:val="0001082C"/>
    <w:rsid w:val="00010871"/>
    <w:rsid w:val="00010936"/>
    <w:rsid w:val="00010999"/>
    <w:rsid w:val="000109CC"/>
    <w:rsid w:val="00010A60"/>
    <w:rsid w:val="00010A72"/>
    <w:rsid w:val="00010B77"/>
    <w:rsid w:val="00010D4E"/>
    <w:rsid w:val="00010DAD"/>
    <w:rsid w:val="00010DC1"/>
    <w:rsid w:val="00010E06"/>
    <w:rsid w:val="00010E40"/>
    <w:rsid w:val="00010E69"/>
    <w:rsid w:val="00010E7E"/>
    <w:rsid w:val="00010E8D"/>
    <w:rsid w:val="00011011"/>
    <w:rsid w:val="00011050"/>
    <w:rsid w:val="000110EC"/>
    <w:rsid w:val="00011159"/>
    <w:rsid w:val="000111AF"/>
    <w:rsid w:val="000111C6"/>
    <w:rsid w:val="000111E3"/>
    <w:rsid w:val="00011213"/>
    <w:rsid w:val="0001130B"/>
    <w:rsid w:val="00011352"/>
    <w:rsid w:val="00011357"/>
    <w:rsid w:val="0001141F"/>
    <w:rsid w:val="00011432"/>
    <w:rsid w:val="00011473"/>
    <w:rsid w:val="0001151F"/>
    <w:rsid w:val="0001152F"/>
    <w:rsid w:val="00011540"/>
    <w:rsid w:val="0001154A"/>
    <w:rsid w:val="0001157E"/>
    <w:rsid w:val="0001162F"/>
    <w:rsid w:val="00011712"/>
    <w:rsid w:val="00011889"/>
    <w:rsid w:val="000118B9"/>
    <w:rsid w:val="000118F8"/>
    <w:rsid w:val="00011A75"/>
    <w:rsid w:val="00011B60"/>
    <w:rsid w:val="00011BB7"/>
    <w:rsid w:val="00011C6F"/>
    <w:rsid w:val="00011CAC"/>
    <w:rsid w:val="00011CFB"/>
    <w:rsid w:val="00011D4D"/>
    <w:rsid w:val="00011DC1"/>
    <w:rsid w:val="00011DE4"/>
    <w:rsid w:val="00011E0D"/>
    <w:rsid w:val="00011E17"/>
    <w:rsid w:val="00011E7F"/>
    <w:rsid w:val="00011EAD"/>
    <w:rsid w:val="00011EE4"/>
    <w:rsid w:val="00011F8C"/>
    <w:rsid w:val="00011FEC"/>
    <w:rsid w:val="000120BD"/>
    <w:rsid w:val="00012100"/>
    <w:rsid w:val="00012232"/>
    <w:rsid w:val="00012240"/>
    <w:rsid w:val="00012252"/>
    <w:rsid w:val="000122EE"/>
    <w:rsid w:val="0001231E"/>
    <w:rsid w:val="00012438"/>
    <w:rsid w:val="0001246E"/>
    <w:rsid w:val="0001247B"/>
    <w:rsid w:val="000124E7"/>
    <w:rsid w:val="0001252E"/>
    <w:rsid w:val="000125A8"/>
    <w:rsid w:val="0001278D"/>
    <w:rsid w:val="0001280A"/>
    <w:rsid w:val="0001286C"/>
    <w:rsid w:val="000128D0"/>
    <w:rsid w:val="00012994"/>
    <w:rsid w:val="000129D6"/>
    <w:rsid w:val="00012A0E"/>
    <w:rsid w:val="00012A4A"/>
    <w:rsid w:val="00012A8D"/>
    <w:rsid w:val="00012B0A"/>
    <w:rsid w:val="00012B6A"/>
    <w:rsid w:val="00012BA9"/>
    <w:rsid w:val="00012BC1"/>
    <w:rsid w:val="00012BE2"/>
    <w:rsid w:val="00012C21"/>
    <w:rsid w:val="00012C38"/>
    <w:rsid w:val="00012C87"/>
    <w:rsid w:val="00012CA7"/>
    <w:rsid w:val="00012D5F"/>
    <w:rsid w:val="00012D70"/>
    <w:rsid w:val="00012D91"/>
    <w:rsid w:val="00012E34"/>
    <w:rsid w:val="00012E40"/>
    <w:rsid w:val="00012EF3"/>
    <w:rsid w:val="00012F82"/>
    <w:rsid w:val="00012FF7"/>
    <w:rsid w:val="000130A0"/>
    <w:rsid w:val="00013191"/>
    <w:rsid w:val="000131C8"/>
    <w:rsid w:val="000131DD"/>
    <w:rsid w:val="00013212"/>
    <w:rsid w:val="00013277"/>
    <w:rsid w:val="0001328C"/>
    <w:rsid w:val="000132D1"/>
    <w:rsid w:val="00013395"/>
    <w:rsid w:val="0001354D"/>
    <w:rsid w:val="00013552"/>
    <w:rsid w:val="0001358B"/>
    <w:rsid w:val="00013594"/>
    <w:rsid w:val="0001362D"/>
    <w:rsid w:val="0001363C"/>
    <w:rsid w:val="0001363F"/>
    <w:rsid w:val="00013676"/>
    <w:rsid w:val="000136B5"/>
    <w:rsid w:val="000136CF"/>
    <w:rsid w:val="0001372F"/>
    <w:rsid w:val="000138A6"/>
    <w:rsid w:val="000138F6"/>
    <w:rsid w:val="0001390A"/>
    <w:rsid w:val="00013912"/>
    <w:rsid w:val="0001397D"/>
    <w:rsid w:val="000139BC"/>
    <w:rsid w:val="00013A3A"/>
    <w:rsid w:val="00013A71"/>
    <w:rsid w:val="00013AA1"/>
    <w:rsid w:val="00013AB1"/>
    <w:rsid w:val="00013BA1"/>
    <w:rsid w:val="00013BD0"/>
    <w:rsid w:val="00013C0F"/>
    <w:rsid w:val="00013C7D"/>
    <w:rsid w:val="00013C9D"/>
    <w:rsid w:val="00013D33"/>
    <w:rsid w:val="00013D69"/>
    <w:rsid w:val="00013D9B"/>
    <w:rsid w:val="00013DDC"/>
    <w:rsid w:val="00013E1F"/>
    <w:rsid w:val="00013E6F"/>
    <w:rsid w:val="00013E72"/>
    <w:rsid w:val="00013E9A"/>
    <w:rsid w:val="00013F4F"/>
    <w:rsid w:val="00013FDA"/>
    <w:rsid w:val="0001405F"/>
    <w:rsid w:val="000140CA"/>
    <w:rsid w:val="000140D6"/>
    <w:rsid w:val="00014179"/>
    <w:rsid w:val="000141B1"/>
    <w:rsid w:val="000141DA"/>
    <w:rsid w:val="000142C0"/>
    <w:rsid w:val="000143E3"/>
    <w:rsid w:val="000143FA"/>
    <w:rsid w:val="00014465"/>
    <w:rsid w:val="000145B4"/>
    <w:rsid w:val="00014680"/>
    <w:rsid w:val="00014728"/>
    <w:rsid w:val="00014744"/>
    <w:rsid w:val="000147CF"/>
    <w:rsid w:val="0001482B"/>
    <w:rsid w:val="00014848"/>
    <w:rsid w:val="00014857"/>
    <w:rsid w:val="00014873"/>
    <w:rsid w:val="0001487B"/>
    <w:rsid w:val="0001495A"/>
    <w:rsid w:val="00014A0A"/>
    <w:rsid w:val="00014A1B"/>
    <w:rsid w:val="00014AE8"/>
    <w:rsid w:val="00014B22"/>
    <w:rsid w:val="00014BA4"/>
    <w:rsid w:val="00014C61"/>
    <w:rsid w:val="00014CE3"/>
    <w:rsid w:val="00014D2A"/>
    <w:rsid w:val="00014D41"/>
    <w:rsid w:val="00014D72"/>
    <w:rsid w:val="00014E62"/>
    <w:rsid w:val="00014EE4"/>
    <w:rsid w:val="00014EF4"/>
    <w:rsid w:val="00014F75"/>
    <w:rsid w:val="00014FC2"/>
    <w:rsid w:val="0001507C"/>
    <w:rsid w:val="000150CF"/>
    <w:rsid w:val="000150D7"/>
    <w:rsid w:val="00015128"/>
    <w:rsid w:val="0001516D"/>
    <w:rsid w:val="000151E3"/>
    <w:rsid w:val="00015236"/>
    <w:rsid w:val="00015277"/>
    <w:rsid w:val="00015297"/>
    <w:rsid w:val="000152B0"/>
    <w:rsid w:val="00015464"/>
    <w:rsid w:val="000154CA"/>
    <w:rsid w:val="00015522"/>
    <w:rsid w:val="00015547"/>
    <w:rsid w:val="00015603"/>
    <w:rsid w:val="00015651"/>
    <w:rsid w:val="000156E3"/>
    <w:rsid w:val="00015700"/>
    <w:rsid w:val="000157C7"/>
    <w:rsid w:val="00015837"/>
    <w:rsid w:val="00015870"/>
    <w:rsid w:val="000158A9"/>
    <w:rsid w:val="000158F6"/>
    <w:rsid w:val="00015975"/>
    <w:rsid w:val="000159E8"/>
    <w:rsid w:val="00015A2E"/>
    <w:rsid w:val="00015B46"/>
    <w:rsid w:val="00015C85"/>
    <w:rsid w:val="00015D2F"/>
    <w:rsid w:val="00015D49"/>
    <w:rsid w:val="00015D8B"/>
    <w:rsid w:val="00015E4D"/>
    <w:rsid w:val="00015E75"/>
    <w:rsid w:val="000160DF"/>
    <w:rsid w:val="00016144"/>
    <w:rsid w:val="0001627B"/>
    <w:rsid w:val="000162BC"/>
    <w:rsid w:val="000162DD"/>
    <w:rsid w:val="00016378"/>
    <w:rsid w:val="000163D6"/>
    <w:rsid w:val="000163F9"/>
    <w:rsid w:val="0001641F"/>
    <w:rsid w:val="00016448"/>
    <w:rsid w:val="0001646B"/>
    <w:rsid w:val="00016475"/>
    <w:rsid w:val="0001657A"/>
    <w:rsid w:val="000165CD"/>
    <w:rsid w:val="000165E3"/>
    <w:rsid w:val="00016624"/>
    <w:rsid w:val="00016682"/>
    <w:rsid w:val="00016791"/>
    <w:rsid w:val="000167CA"/>
    <w:rsid w:val="000168A8"/>
    <w:rsid w:val="000169A2"/>
    <w:rsid w:val="000169A4"/>
    <w:rsid w:val="000169AD"/>
    <w:rsid w:val="00016B3D"/>
    <w:rsid w:val="00016B3F"/>
    <w:rsid w:val="00016BBE"/>
    <w:rsid w:val="00016BE3"/>
    <w:rsid w:val="00016C67"/>
    <w:rsid w:val="00016C6B"/>
    <w:rsid w:val="00016CDD"/>
    <w:rsid w:val="00016D1C"/>
    <w:rsid w:val="00016D92"/>
    <w:rsid w:val="00016DAE"/>
    <w:rsid w:val="00016DB7"/>
    <w:rsid w:val="00016DC4"/>
    <w:rsid w:val="00016E29"/>
    <w:rsid w:val="00016E81"/>
    <w:rsid w:val="00016EFF"/>
    <w:rsid w:val="00016F97"/>
    <w:rsid w:val="00016FFD"/>
    <w:rsid w:val="00017007"/>
    <w:rsid w:val="0001703E"/>
    <w:rsid w:val="00017096"/>
    <w:rsid w:val="000170BF"/>
    <w:rsid w:val="0001712B"/>
    <w:rsid w:val="000171DC"/>
    <w:rsid w:val="0001720D"/>
    <w:rsid w:val="000172FB"/>
    <w:rsid w:val="000173A8"/>
    <w:rsid w:val="000173E1"/>
    <w:rsid w:val="000173ED"/>
    <w:rsid w:val="00017431"/>
    <w:rsid w:val="0001751B"/>
    <w:rsid w:val="0001751D"/>
    <w:rsid w:val="00017572"/>
    <w:rsid w:val="000175DD"/>
    <w:rsid w:val="0001760A"/>
    <w:rsid w:val="0001760C"/>
    <w:rsid w:val="0001766B"/>
    <w:rsid w:val="00017763"/>
    <w:rsid w:val="00017841"/>
    <w:rsid w:val="000178EB"/>
    <w:rsid w:val="000178F9"/>
    <w:rsid w:val="00017920"/>
    <w:rsid w:val="0001792A"/>
    <w:rsid w:val="00017A53"/>
    <w:rsid w:val="00017A97"/>
    <w:rsid w:val="00017AD2"/>
    <w:rsid w:val="00017AFD"/>
    <w:rsid w:val="00017C5D"/>
    <w:rsid w:val="00017C85"/>
    <w:rsid w:val="00017CAA"/>
    <w:rsid w:val="00017D11"/>
    <w:rsid w:val="00017E3B"/>
    <w:rsid w:val="00017E3E"/>
    <w:rsid w:val="00017ED6"/>
    <w:rsid w:val="00017F33"/>
    <w:rsid w:val="00017F36"/>
    <w:rsid w:val="00017F55"/>
    <w:rsid w:val="00017F7D"/>
    <w:rsid w:val="0002000D"/>
    <w:rsid w:val="00020054"/>
    <w:rsid w:val="00020169"/>
    <w:rsid w:val="00020175"/>
    <w:rsid w:val="0002020C"/>
    <w:rsid w:val="00020216"/>
    <w:rsid w:val="00020227"/>
    <w:rsid w:val="000202DF"/>
    <w:rsid w:val="000202F0"/>
    <w:rsid w:val="00020339"/>
    <w:rsid w:val="00020341"/>
    <w:rsid w:val="00020450"/>
    <w:rsid w:val="000204BB"/>
    <w:rsid w:val="000204ED"/>
    <w:rsid w:val="00020527"/>
    <w:rsid w:val="0002060B"/>
    <w:rsid w:val="00020689"/>
    <w:rsid w:val="0002069C"/>
    <w:rsid w:val="000206BB"/>
    <w:rsid w:val="00020740"/>
    <w:rsid w:val="000207AE"/>
    <w:rsid w:val="00020823"/>
    <w:rsid w:val="00020830"/>
    <w:rsid w:val="00020881"/>
    <w:rsid w:val="0002097C"/>
    <w:rsid w:val="00020988"/>
    <w:rsid w:val="00020A62"/>
    <w:rsid w:val="00020A86"/>
    <w:rsid w:val="00020B66"/>
    <w:rsid w:val="00020C60"/>
    <w:rsid w:val="00020D4B"/>
    <w:rsid w:val="00020D85"/>
    <w:rsid w:val="00020DB5"/>
    <w:rsid w:val="00020EAB"/>
    <w:rsid w:val="00020F9A"/>
    <w:rsid w:val="00020FF9"/>
    <w:rsid w:val="000210CC"/>
    <w:rsid w:val="00021190"/>
    <w:rsid w:val="000211AE"/>
    <w:rsid w:val="00021287"/>
    <w:rsid w:val="0002128E"/>
    <w:rsid w:val="000212E4"/>
    <w:rsid w:val="00021306"/>
    <w:rsid w:val="00021365"/>
    <w:rsid w:val="00021400"/>
    <w:rsid w:val="00021420"/>
    <w:rsid w:val="0002144F"/>
    <w:rsid w:val="00021464"/>
    <w:rsid w:val="0002148F"/>
    <w:rsid w:val="00021570"/>
    <w:rsid w:val="0002158A"/>
    <w:rsid w:val="000215A3"/>
    <w:rsid w:val="0002165F"/>
    <w:rsid w:val="000216A0"/>
    <w:rsid w:val="000216A5"/>
    <w:rsid w:val="00021705"/>
    <w:rsid w:val="0002176B"/>
    <w:rsid w:val="00021770"/>
    <w:rsid w:val="000217B5"/>
    <w:rsid w:val="000217D8"/>
    <w:rsid w:val="00021842"/>
    <w:rsid w:val="000218A7"/>
    <w:rsid w:val="000218E6"/>
    <w:rsid w:val="0002193D"/>
    <w:rsid w:val="00021963"/>
    <w:rsid w:val="00021969"/>
    <w:rsid w:val="00021972"/>
    <w:rsid w:val="0002198C"/>
    <w:rsid w:val="00021A24"/>
    <w:rsid w:val="00021A2A"/>
    <w:rsid w:val="00021C62"/>
    <w:rsid w:val="00021CB0"/>
    <w:rsid w:val="00021CF6"/>
    <w:rsid w:val="00021DBE"/>
    <w:rsid w:val="00021DC3"/>
    <w:rsid w:val="00021DDB"/>
    <w:rsid w:val="00021E20"/>
    <w:rsid w:val="00021EEC"/>
    <w:rsid w:val="00021F59"/>
    <w:rsid w:val="00021F61"/>
    <w:rsid w:val="00021F94"/>
    <w:rsid w:val="00021FBB"/>
    <w:rsid w:val="0002202E"/>
    <w:rsid w:val="0002210E"/>
    <w:rsid w:val="0002212B"/>
    <w:rsid w:val="00022138"/>
    <w:rsid w:val="000221E9"/>
    <w:rsid w:val="00022238"/>
    <w:rsid w:val="0002231F"/>
    <w:rsid w:val="00022327"/>
    <w:rsid w:val="0002236C"/>
    <w:rsid w:val="0002238B"/>
    <w:rsid w:val="000223AD"/>
    <w:rsid w:val="000224A7"/>
    <w:rsid w:val="000224FF"/>
    <w:rsid w:val="000225B4"/>
    <w:rsid w:val="00022611"/>
    <w:rsid w:val="00022616"/>
    <w:rsid w:val="00022696"/>
    <w:rsid w:val="000226A0"/>
    <w:rsid w:val="00022705"/>
    <w:rsid w:val="00022795"/>
    <w:rsid w:val="000227E1"/>
    <w:rsid w:val="00022822"/>
    <w:rsid w:val="00022836"/>
    <w:rsid w:val="000228B4"/>
    <w:rsid w:val="000228EA"/>
    <w:rsid w:val="0002296A"/>
    <w:rsid w:val="00022A7B"/>
    <w:rsid w:val="00022AB1"/>
    <w:rsid w:val="00022AC9"/>
    <w:rsid w:val="00022AF9"/>
    <w:rsid w:val="00022AFB"/>
    <w:rsid w:val="00022B04"/>
    <w:rsid w:val="00022B43"/>
    <w:rsid w:val="00022BB6"/>
    <w:rsid w:val="00022BE2"/>
    <w:rsid w:val="00022BEA"/>
    <w:rsid w:val="00022C54"/>
    <w:rsid w:val="00022CAA"/>
    <w:rsid w:val="00022CF7"/>
    <w:rsid w:val="00022DA2"/>
    <w:rsid w:val="00022DBA"/>
    <w:rsid w:val="00022DBE"/>
    <w:rsid w:val="00022E19"/>
    <w:rsid w:val="00022E88"/>
    <w:rsid w:val="00022ECF"/>
    <w:rsid w:val="00022EDE"/>
    <w:rsid w:val="00022F26"/>
    <w:rsid w:val="0002308F"/>
    <w:rsid w:val="00023091"/>
    <w:rsid w:val="000230AA"/>
    <w:rsid w:val="0002313B"/>
    <w:rsid w:val="00023160"/>
    <w:rsid w:val="00023234"/>
    <w:rsid w:val="000232CE"/>
    <w:rsid w:val="00023357"/>
    <w:rsid w:val="0002335F"/>
    <w:rsid w:val="000233AA"/>
    <w:rsid w:val="000234AE"/>
    <w:rsid w:val="000234FE"/>
    <w:rsid w:val="00023576"/>
    <w:rsid w:val="000235B1"/>
    <w:rsid w:val="00023620"/>
    <w:rsid w:val="0002362F"/>
    <w:rsid w:val="000236F9"/>
    <w:rsid w:val="00023726"/>
    <w:rsid w:val="0002375D"/>
    <w:rsid w:val="000237A6"/>
    <w:rsid w:val="000237AE"/>
    <w:rsid w:val="000237ED"/>
    <w:rsid w:val="000238F5"/>
    <w:rsid w:val="00023956"/>
    <w:rsid w:val="00023A74"/>
    <w:rsid w:val="00023A79"/>
    <w:rsid w:val="00023A8B"/>
    <w:rsid w:val="00023B1D"/>
    <w:rsid w:val="00023B25"/>
    <w:rsid w:val="00023B5E"/>
    <w:rsid w:val="00023B70"/>
    <w:rsid w:val="00023BC6"/>
    <w:rsid w:val="00023BD0"/>
    <w:rsid w:val="00023BD2"/>
    <w:rsid w:val="00023BF2"/>
    <w:rsid w:val="00023C4E"/>
    <w:rsid w:val="00023CA2"/>
    <w:rsid w:val="00023CA5"/>
    <w:rsid w:val="00023CED"/>
    <w:rsid w:val="00023CF9"/>
    <w:rsid w:val="00023D53"/>
    <w:rsid w:val="00023DF7"/>
    <w:rsid w:val="00023E0E"/>
    <w:rsid w:val="00023F53"/>
    <w:rsid w:val="00023FF3"/>
    <w:rsid w:val="00024030"/>
    <w:rsid w:val="000240F9"/>
    <w:rsid w:val="000241CD"/>
    <w:rsid w:val="00024263"/>
    <w:rsid w:val="000242FD"/>
    <w:rsid w:val="0002434D"/>
    <w:rsid w:val="0002438D"/>
    <w:rsid w:val="000243B0"/>
    <w:rsid w:val="00024420"/>
    <w:rsid w:val="0002442B"/>
    <w:rsid w:val="00024479"/>
    <w:rsid w:val="00024492"/>
    <w:rsid w:val="00024493"/>
    <w:rsid w:val="000244D3"/>
    <w:rsid w:val="000244F3"/>
    <w:rsid w:val="00024509"/>
    <w:rsid w:val="00024532"/>
    <w:rsid w:val="000245C5"/>
    <w:rsid w:val="000245E5"/>
    <w:rsid w:val="000245F8"/>
    <w:rsid w:val="0002479E"/>
    <w:rsid w:val="000247E5"/>
    <w:rsid w:val="000247EA"/>
    <w:rsid w:val="000247FB"/>
    <w:rsid w:val="000247FE"/>
    <w:rsid w:val="00024815"/>
    <w:rsid w:val="00024933"/>
    <w:rsid w:val="00024AA5"/>
    <w:rsid w:val="00024AE3"/>
    <w:rsid w:val="00024B38"/>
    <w:rsid w:val="00024BA8"/>
    <w:rsid w:val="00024BAC"/>
    <w:rsid w:val="00024BC1"/>
    <w:rsid w:val="00024BDE"/>
    <w:rsid w:val="00024C7C"/>
    <w:rsid w:val="00024C90"/>
    <w:rsid w:val="00024D1F"/>
    <w:rsid w:val="00024D38"/>
    <w:rsid w:val="00024D44"/>
    <w:rsid w:val="00024D5A"/>
    <w:rsid w:val="00024D7C"/>
    <w:rsid w:val="00024D81"/>
    <w:rsid w:val="00024F75"/>
    <w:rsid w:val="00024F9A"/>
    <w:rsid w:val="00024FAB"/>
    <w:rsid w:val="00024FE2"/>
    <w:rsid w:val="000250DA"/>
    <w:rsid w:val="000251CB"/>
    <w:rsid w:val="000251E7"/>
    <w:rsid w:val="000252F4"/>
    <w:rsid w:val="00025311"/>
    <w:rsid w:val="00025341"/>
    <w:rsid w:val="000254B4"/>
    <w:rsid w:val="000255D0"/>
    <w:rsid w:val="000255F6"/>
    <w:rsid w:val="00025633"/>
    <w:rsid w:val="00025683"/>
    <w:rsid w:val="00025732"/>
    <w:rsid w:val="00025739"/>
    <w:rsid w:val="0002573A"/>
    <w:rsid w:val="000257F8"/>
    <w:rsid w:val="0002583E"/>
    <w:rsid w:val="0002585F"/>
    <w:rsid w:val="000258CA"/>
    <w:rsid w:val="00025980"/>
    <w:rsid w:val="000259C1"/>
    <w:rsid w:val="000259F3"/>
    <w:rsid w:val="00025A64"/>
    <w:rsid w:val="00025AAD"/>
    <w:rsid w:val="00025B10"/>
    <w:rsid w:val="00025B18"/>
    <w:rsid w:val="00025DB0"/>
    <w:rsid w:val="00025DBF"/>
    <w:rsid w:val="00025E2E"/>
    <w:rsid w:val="00025E6F"/>
    <w:rsid w:val="00025EC8"/>
    <w:rsid w:val="00025F35"/>
    <w:rsid w:val="00025FA5"/>
    <w:rsid w:val="00025FD1"/>
    <w:rsid w:val="0002600B"/>
    <w:rsid w:val="00026075"/>
    <w:rsid w:val="00026097"/>
    <w:rsid w:val="00026193"/>
    <w:rsid w:val="000261F2"/>
    <w:rsid w:val="00026215"/>
    <w:rsid w:val="00026251"/>
    <w:rsid w:val="00026278"/>
    <w:rsid w:val="0002628B"/>
    <w:rsid w:val="000262A4"/>
    <w:rsid w:val="000262C6"/>
    <w:rsid w:val="000262CB"/>
    <w:rsid w:val="000262E7"/>
    <w:rsid w:val="000262FB"/>
    <w:rsid w:val="0002638F"/>
    <w:rsid w:val="00026397"/>
    <w:rsid w:val="0002641B"/>
    <w:rsid w:val="00026437"/>
    <w:rsid w:val="0002644A"/>
    <w:rsid w:val="000264A6"/>
    <w:rsid w:val="000264BB"/>
    <w:rsid w:val="000264BE"/>
    <w:rsid w:val="00026578"/>
    <w:rsid w:val="00026586"/>
    <w:rsid w:val="00026591"/>
    <w:rsid w:val="000265DA"/>
    <w:rsid w:val="00026656"/>
    <w:rsid w:val="000266B8"/>
    <w:rsid w:val="000266BC"/>
    <w:rsid w:val="000266EF"/>
    <w:rsid w:val="000266F9"/>
    <w:rsid w:val="0002670B"/>
    <w:rsid w:val="00026716"/>
    <w:rsid w:val="00026734"/>
    <w:rsid w:val="00026761"/>
    <w:rsid w:val="000267B3"/>
    <w:rsid w:val="000267D0"/>
    <w:rsid w:val="000267FF"/>
    <w:rsid w:val="00026860"/>
    <w:rsid w:val="00026868"/>
    <w:rsid w:val="000268BB"/>
    <w:rsid w:val="000268D5"/>
    <w:rsid w:val="000268E8"/>
    <w:rsid w:val="000268F3"/>
    <w:rsid w:val="000269B6"/>
    <w:rsid w:val="00026AC8"/>
    <w:rsid w:val="00026BEB"/>
    <w:rsid w:val="00026BEC"/>
    <w:rsid w:val="00026C0A"/>
    <w:rsid w:val="00026C79"/>
    <w:rsid w:val="00026C9A"/>
    <w:rsid w:val="00026D51"/>
    <w:rsid w:val="00026DD9"/>
    <w:rsid w:val="00026E9D"/>
    <w:rsid w:val="00026EA1"/>
    <w:rsid w:val="00026F32"/>
    <w:rsid w:val="0002701B"/>
    <w:rsid w:val="00027031"/>
    <w:rsid w:val="00027129"/>
    <w:rsid w:val="00027181"/>
    <w:rsid w:val="000271E1"/>
    <w:rsid w:val="00027206"/>
    <w:rsid w:val="00027207"/>
    <w:rsid w:val="0002737C"/>
    <w:rsid w:val="000273AB"/>
    <w:rsid w:val="000273ED"/>
    <w:rsid w:val="0002743B"/>
    <w:rsid w:val="0002743D"/>
    <w:rsid w:val="00027494"/>
    <w:rsid w:val="00027569"/>
    <w:rsid w:val="000275A2"/>
    <w:rsid w:val="000275C4"/>
    <w:rsid w:val="000275E0"/>
    <w:rsid w:val="00027603"/>
    <w:rsid w:val="0002764B"/>
    <w:rsid w:val="000276E3"/>
    <w:rsid w:val="00027750"/>
    <w:rsid w:val="0002780B"/>
    <w:rsid w:val="00027830"/>
    <w:rsid w:val="0002783C"/>
    <w:rsid w:val="0002784A"/>
    <w:rsid w:val="000278A7"/>
    <w:rsid w:val="000279A2"/>
    <w:rsid w:val="00027A9C"/>
    <w:rsid w:val="00027AE5"/>
    <w:rsid w:val="00027B5F"/>
    <w:rsid w:val="00027BA2"/>
    <w:rsid w:val="00027BBA"/>
    <w:rsid w:val="00027C29"/>
    <w:rsid w:val="00027CB4"/>
    <w:rsid w:val="00027CF9"/>
    <w:rsid w:val="00027F0A"/>
    <w:rsid w:val="00027F12"/>
    <w:rsid w:val="00027F31"/>
    <w:rsid w:val="00027F6C"/>
    <w:rsid w:val="00027F6F"/>
    <w:rsid w:val="00030020"/>
    <w:rsid w:val="0003005D"/>
    <w:rsid w:val="00030081"/>
    <w:rsid w:val="000300A8"/>
    <w:rsid w:val="000300D6"/>
    <w:rsid w:val="0003010A"/>
    <w:rsid w:val="0003011F"/>
    <w:rsid w:val="00030172"/>
    <w:rsid w:val="000301DF"/>
    <w:rsid w:val="000301EF"/>
    <w:rsid w:val="00030220"/>
    <w:rsid w:val="00030238"/>
    <w:rsid w:val="00030246"/>
    <w:rsid w:val="00030267"/>
    <w:rsid w:val="00030295"/>
    <w:rsid w:val="00030297"/>
    <w:rsid w:val="000302E5"/>
    <w:rsid w:val="00030371"/>
    <w:rsid w:val="000304F9"/>
    <w:rsid w:val="00030570"/>
    <w:rsid w:val="0003058D"/>
    <w:rsid w:val="000305B7"/>
    <w:rsid w:val="00030639"/>
    <w:rsid w:val="00030669"/>
    <w:rsid w:val="000306DD"/>
    <w:rsid w:val="00030772"/>
    <w:rsid w:val="0003077E"/>
    <w:rsid w:val="000308DA"/>
    <w:rsid w:val="000308F9"/>
    <w:rsid w:val="00030929"/>
    <w:rsid w:val="00030952"/>
    <w:rsid w:val="000309FF"/>
    <w:rsid w:val="00030A05"/>
    <w:rsid w:val="00030AA1"/>
    <w:rsid w:val="00030B68"/>
    <w:rsid w:val="00030BB3"/>
    <w:rsid w:val="00030BC9"/>
    <w:rsid w:val="00030C34"/>
    <w:rsid w:val="00030C3D"/>
    <w:rsid w:val="00030C6A"/>
    <w:rsid w:val="00030C87"/>
    <w:rsid w:val="00030CA0"/>
    <w:rsid w:val="00030E46"/>
    <w:rsid w:val="00030EB9"/>
    <w:rsid w:val="00030ECD"/>
    <w:rsid w:val="00030F24"/>
    <w:rsid w:val="00030F4C"/>
    <w:rsid w:val="00031073"/>
    <w:rsid w:val="00031171"/>
    <w:rsid w:val="0003119F"/>
    <w:rsid w:val="000311BC"/>
    <w:rsid w:val="000311C1"/>
    <w:rsid w:val="00031280"/>
    <w:rsid w:val="000312AA"/>
    <w:rsid w:val="000312E3"/>
    <w:rsid w:val="00031323"/>
    <w:rsid w:val="00031327"/>
    <w:rsid w:val="00031385"/>
    <w:rsid w:val="0003138A"/>
    <w:rsid w:val="00031397"/>
    <w:rsid w:val="0003146E"/>
    <w:rsid w:val="00031472"/>
    <w:rsid w:val="000314A5"/>
    <w:rsid w:val="00031528"/>
    <w:rsid w:val="00031550"/>
    <w:rsid w:val="00031600"/>
    <w:rsid w:val="00031670"/>
    <w:rsid w:val="00031714"/>
    <w:rsid w:val="00031738"/>
    <w:rsid w:val="000317E7"/>
    <w:rsid w:val="000317F1"/>
    <w:rsid w:val="00031814"/>
    <w:rsid w:val="00031853"/>
    <w:rsid w:val="000318D1"/>
    <w:rsid w:val="00031941"/>
    <w:rsid w:val="000319B3"/>
    <w:rsid w:val="00031A2A"/>
    <w:rsid w:val="00031A4B"/>
    <w:rsid w:val="00031B12"/>
    <w:rsid w:val="00031B3C"/>
    <w:rsid w:val="00031BFC"/>
    <w:rsid w:val="00031C63"/>
    <w:rsid w:val="00031C7C"/>
    <w:rsid w:val="00031C9A"/>
    <w:rsid w:val="00031CBD"/>
    <w:rsid w:val="00031DF2"/>
    <w:rsid w:val="00031E2C"/>
    <w:rsid w:val="00031E78"/>
    <w:rsid w:val="00031F85"/>
    <w:rsid w:val="00031FE1"/>
    <w:rsid w:val="00032027"/>
    <w:rsid w:val="00032059"/>
    <w:rsid w:val="000321D8"/>
    <w:rsid w:val="0003224B"/>
    <w:rsid w:val="00032283"/>
    <w:rsid w:val="000322E7"/>
    <w:rsid w:val="00032400"/>
    <w:rsid w:val="0003247A"/>
    <w:rsid w:val="00032495"/>
    <w:rsid w:val="000324BD"/>
    <w:rsid w:val="0003250F"/>
    <w:rsid w:val="00032594"/>
    <w:rsid w:val="000325AB"/>
    <w:rsid w:val="00032631"/>
    <w:rsid w:val="000326AB"/>
    <w:rsid w:val="000326CF"/>
    <w:rsid w:val="000326F0"/>
    <w:rsid w:val="00032714"/>
    <w:rsid w:val="0003274E"/>
    <w:rsid w:val="0003279C"/>
    <w:rsid w:val="0003282D"/>
    <w:rsid w:val="0003286A"/>
    <w:rsid w:val="0003294D"/>
    <w:rsid w:val="000329F5"/>
    <w:rsid w:val="00032A57"/>
    <w:rsid w:val="00032A61"/>
    <w:rsid w:val="00032B79"/>
    <w:rsid w:val="00032BD3"/>
    <w:rsid w:val="00032C3A"/>
    <w:rsid w:val="00032C53"/>
    <w:rsid w:val="00032D87"/>
    <w:rsid w:val="00032EAB"/>
    <w:rsid w:val="00032EEC"/>
    <w:rsid w:val="00032F1B"/>
    <w:rsid w:val="00032F56"/>
    <w:rsid w:val="000330D3"/>
    <w:rsid w:val="000330DA"/>
    <w:rsid w:val="000331F4"/>
    <w:rsid w:val="0003322B"/>
    <w:rsid w:val="00033266"/>
    <w:rsid w:val="00033313"/>
    <w:rsid w:val="0003331A"/>
    <w:rsid w:val="0003336F"/>
    <w:rsid w:val="000333A2"/>
    <w:rsid w:val="000333AC"/>
    <w:rsid w:val="000333DE"/>
    <w:rsid w:val="000334A3"/>
    <w:rsid w:val="000334AD"/>
    <w:rsid w:val="00033557"/>
    <w:rsid w:val="00033587"/>
    <w:rsid w:val="000335DF"/>
    <w:rsid w:val="0003368F"/>
    <w:rsid w:val="00033696"/>
    <w:rsid w:val="000336B8"/>
    <w:rsid w:val="00033997"/>
    <w:rsid w:val="00033A5B"/>
    <w:rsid w:val="00033A9A"/>
    <w:rsid w:val="00033AC2"/>
    <w:rsid w:val="00033AFB"/>
    <w:rsid w:val="00033B75"/>
    <w:rsid w:val="00033B92"/>
    <w:rsid w:val="00033BA4"/>
    <w:rsid w:val="00033BE1"/>
    <w:rsid w:val="00033BEC"/>
    <w:rsid w:val="00033C07"/>
    <w:rsid w:val="00033C75"/>
    <w:rsid w:val="00033D42"/>
    <w:rsid w:val="00033DA1"/>
    <w:rsid w:val="00033DE1"/>
    <w:rsid w:val="00033E74"/>
    <w:rsid w:val="00033E8C"/>
    <w:rsid w:val="00033ECE"/>
    <w:rsid w:val="00033EF1"/>
    <w:rsid w:val="00033EFA"/>
    <w:rsid w:val="00033F3F"/>
    <w:rsid w:val="00033F5C"/>
    <w:rsid w:val="00034009"/>
    <w:rsid w:val="0003409C"/>
    <w:rsid w:val="00034105"/>
    <w:rsid w:val="00034127"/>
    <w:rsid w:val="00034187"/>
    <w:rsid w:val="0003423E"/>
    <w:rsid w:val="000342BB"/>
    <w:rsid w:val="000343A0"/>
    <w:rsid w:val="000343F1"/>
    <w:rsid w:val="00034499"/>
    <w:rsid w:val="0003452B"/>
    <w:rsid w:val="00034534"/>
    <w:rsid w:val="000345F5"/>
    <w:rsid w:val="000346B8"/>
    <w:rsid w:val="00034722"/>
    <w:rsid w:val="0003486E"/>
    <w:rsid w:val="00034883"/>
    <w:rsid w:val="000348A9"/>
    <w:rsid w:val="000349AA"/>
    <w:rsid w:val="000349BC"/>
    <w:rsid w:val="000349C4"/>
    <w:rsid w:val="00034A02"/>
    <w:rsid w:val="00034A3B"/>
    <w:rsid w:val="00034A45"/>
    <w:rsid w:val="00034A70"/>
    <w:rsid w:val="00034B04"/>
    <w:rsid w:val="00034B40"/>
    <w:rsid w:val="00034B77"/>
    <w:rsid w:val="00034B7B"/>
    <w:rsid w:val="00034B94"/>
    <w:rsid w:val="00034BAA"/>
    <w:rsid w:val="00034C34"/>
    <w:rsid w:val="00034C40"/>
    <w:rsid w:val="00034DF6"/>
    <w:rsid w:val="00034DFD"/>
    <w:rsid w:val="00034E71"/>
    <w:rsid w:val="00034EE5"/>
    <w:rsid w:val="00034EE6"/>
    <w:rsid w:val="00034F35"/>
    <w:rsid w:val="0003500D"/>
    <w:rsid w:val="00035029"/>
    <w:rsid w:val="00035076"/>
    <w:rsid w:val="000350AF"/>
    <w:rsid w:val="000350B4"/>
    <w:rsid w:val="000351F1"/>
    <w:rsid w:val="000351F9"/>
    <w:rsid w:val="00035201"/>
    <w:rsid w:val="000352FB"/>
    <w:rsid w:val="0003531C"/>
    <w:rsid w:val="0003544F"/>
    <w:rsid w:val="0003545C"/>
    <w:rsid w:val="00035506"/>
    <w:rsid w:val="00035540"/>
    <w:rsid w:val="0003556B"/>
    <w:rsid w:val="00035750"/>
    <w:rsid w:val="000357DA"/>
    <w:rsid w:val="000357FA"/>
    <w:rsid w:val="00035871"/>
    <w:rsid w:val="000358D9"/>
    <w:rsid w:val="00035908"/>
    <w:rsid w:val="00035936"/>
    <w:rsid w:val="000359A3"/>
    <w:rsid w:val="00035B45"/>
    <w:rsid w:val="00035B66"/>
    <w:rsid w:val="00035D07"/>
    <w:rsid w:val="00035D26"/>
    <w:rsid w:val="00035D4F"/>
    <w:rsid w:val="00035DA9"/>
    <w:rsid w:val="00035DAF"/>
    <w:rsid w:val="00035DB0"/>
    <w:rsid w:val="00035DD3"/>
    <w:rsid w:val="00035E17"/>
    <w:rsid w:val="00035EF2"/>
    <w:rsid w:val="00035F07"/>
    <w:rsid w:val="00035F16"/>
    <w:rsid w:val="00035FF9"/>
    <w:rsid w:val="00036033"/>
    <w:rsid w:val="000360D0"/>
    <w:rsid w:val="000361A4"/>
    <w:rsid w:val="0003620F"/>
    <w:rsid w:val="000362DB"/>
    <w:rsid w:val="000362EE"/>
    <w:rsid w:val="0003632A"/>
    <w:rsid w:val="00036396"/>
    <w:rsid w:val="000363DE"/>
    <w:rsid w:val="00036445"/>
    <w:rsid w:val="00036526"/>
    <w:rsid w:val="00036527"/>
    <w:rsid w:val="000365C8"/>
    <w:rsid w:val="000365F0"/>
    <w:rsid w:val="0003666C"/>
    <w:rsid w:val="00036692"/>
    <w:rsid w:val="000366AD"/>
    <w:rsid w:val="00036763"/>
    <w:rsid w:val="0003678E"/>
    <w:rsid w:val="00036852"/>
    <w:rsid w:val="000368C5"/>
    <w:rsid w:val="00036945"/>
    <w:rsid w:val="0003696D"/>
    <w:rsid w:val="00036977"/>
    <w:rsid w:val="00036A01"/>
    <w:rsid w:val="00036A28"/>
    <w:rsid w:val="00036A48"/>
    <w:rsid w:val="00036A8B"/>
    <w:rsid w:val="00036C36"/>
    <w:rsid w:val="00036C51"/>
    <w:rsid w:val="00036C64"/>
    <w:rsid w:val="00036CBC"/>
    <w:rsid w:val="00036D43"/>
    <w:rsid w:val="00036D45"/>
    <w:rsid w:val="00036DD7"/>
    <w:rsid w:val="00036DE7"/>
    <w:rsid w:val="00036DFD"/>
    <w:rsid w:val="00036E47"/>
    <w:rsid w:val="00036E78"/>
    <w:rsid w:val="00036EAA"/>
    <w:rsid w:val="00036EB5"/>
    <w:rsid w:val="00036F10"/>
    <w:rsid w:val="00036F17"/>
    <w:rsid w:val="00037038"/>
    <w:rsid w:val="00037045"/>
    <w:rsid w:val="00037063"/>
    <w:rsid w:val="00037077"/>
    <w:rsid w:val="0003709E"/>
    <w:rsid w:val="000370E8"/>
    <w:rsid w:val="00037145"/>
    <w:rsid w:val="000371FF"/>
    <w:rsid w:val="0003722C"/>
    <w:rsid w:val="00037266"/>
    <w:rsid w:val="00037332"/>
    <w:rsid w:val="00037396"/>
    <w:rsid w:val="000373E1"/>
    <w:rsid w:val="000374C5"/>
    <w:rsid w:val="000374EE"/>
    <w:rsid w:val="00037504"/>
    <w:rsid w:val="00037519"/>
    <w:rsid w:val="000376F6"/>
    <w:rsid w:val="00037727"/>
    <w:rsid w:val="00037803"/>
    <w:rsid w:val="000378C6"/>
    <w:rsid w:val="00037904"/>
    <w:rsid w:val="0003797F"/>
    <w:rsid w:val="0003798F"/>
    <w:rsid w:val="00037991"/>
    <w:rsid w:val="000379B1"/>
    <w:rsid w:val="000379E4"/>
    <w:rsid w:val="00037A9B"/>
    <w:rsid w:val="00037ACF"/>
    <w:rsid w:val="00037BD3"/>
    <w:rsid w:val="00037C81"/>
    <w:rsid w:val="00037CD1"/>
    <w:rsid w:val="00037DF1"/>
    <w:rsid w:val="00037E4F"/>
    <w:rsid w:val="00037E9B"/>
    <w:rsid w:val="00037EEB"/>
    <w:rsid w:val="00037F11"/>
    <w:rsid w:val="00037F1E"/>
    <w:rsid w:val="00040071"/>
    <w:rsid w:val="00040098"/>
    <w:rsid w:val="00040135"/>
    <w:rsid w:val="0004015D"/>
    <w:rsid w:val="00040189"/>
    <w:rsid w:val="000401BA"/>
    <w:rsid w:val="00040233"/>
    <w:rsid w:val="00040247"/>
    <w:rsid w:val="000402F4"/>
    <w:rsid w:val="000403AE"/>
    <w:rsid w:val="000403DD"/>
    <w:rsid w:val="00040401"/>
    <w:rsid w:val="00040498"/>
    <w:rsid w:val="00040538"/>
    <w:rsid w:val="00040555"/>
    <w:rsid w:val="000405AF"/>
    <w:rsid w:val="00040627"/>
    <w:rsid w:val="0004067F"/>
    <w:rsid w:val="0004071B"/>
    <w:rsid w:val="00040793"/>
    <w:rsid w:val="000407DF"/>
    <w:rsid w:val="000407F1"/>
    <w:rsid w:val="00040832"/>
    <w:rsid w:val="00040861"/>
    <w:rsid w:val="000408BC"/>
    <w:rsid w:val="00040969"/>
    <w:rsid w:val="00040AC5"/>
    <w:rsid w:val="00040AFD"/>
    <w:rsid w:val="00040B56"/>
    <w:rsid w:val="00040B6C"/>
    <w:rsid w:val="00040BB2"/>
    <w:rsid w:val="00040BC4"/>
    <w:rsid w:val="00040C9F"/>
    <w:rsid w:val="00040CC8"/>
    <w:rsid w:val="00040D2F"/>
    <w:rsid w:val="00040E48"/>
    <w:rsid w:val="00040EAE"/>
    <w:rsid w:val="00040F03"/>
    <w:rsid w:val="00040F44"/>
    <w:rsid w:val="00040FEC"/>
    <w:rsid w:val="0004101F"/>
    <w:rsid w:val="000410DE"/>
    <w:rsid w:val="0004113D"/>
    <w:rsid w:val="00041142"/>
    <w:rsid w:val="000413A0"/>
    <w:rsid w:val="000413D2"/>
    <w:rsid w:val="0004141C"/>
    <w:rsid w:val="00041422"/>
    <w:rsid w:val="0004155A"/>
    <w:rsid w:val="00041577"/>
    <w:rsid w:val="0004159E"/>
    <w:rsid w:val="00041639"/>
    <w:rsid w:val="00041666"/>
    <w:rsid w:val="000416AD"/>
    <w:rsid w:val="000416BB"/>
    <w:rsid w:val="00041734"/>
    <w:rsid w:val="00041738"/>
    <w:rsid w:val="00041767"/>
    <w:rsid w:val="00041783"/>
    <w:rsid w:val="000417E3"/>
    <w:rsid w:val="0004180B"/>
    <w:rsid w:val="00041916"/>
    <w:rsid w:val="0004193D"/>
    <w:rsid w:val="000419B4"/>
    <w:rsid w:val="000419E5"/>
    <w:rsid w:val="000419F0"/>
    <w:rsid w:val="00041A1C"/>
    <w:rsid w:val="00041A35"/>
    <w:rsid w:val="00041A4B"/>
    <w:rsid w:val="00041A54"/>
    <w:rsid w:val="00041AFE"/>
    <w:rsid w:val="00041B05"/>
    <w:rsid w:val="00041B3D"/>
    <w:rsid w:val="00041BB7"/>
    <w:rsid w:val="00041C2C"/>
    <w:rsid w:val="00041D2A"/>
    <w:rsid w:val="00041DBA"/>
    <w:rsid w:val="00041DF5"/>
    <w:rsid w:val="00041E01"/>
    <w:rsid w:val="00041E18"/>
    <w:rsid w:val="00041E2F"/>
    <w:rsid w:val="00041EAE"/>
    <w:rsid w:val="00041FA3"/>
    <w:rsid w:val="00042030"/>
    <w:rsid w:val="00042045"/>
    <w:rsid w:val="0004220B"/>
    <w:rsid w:val="00042220"/>
    <w:rsid w:val="000422BD"/>
    <w:rsid w:val="0004233D"/>
    <w:rsid w:val="00042364"/>
    <w:rsid w:val="00042377"/>
    <w:rsid w:val="0004240F"/>
    <w:rsid w:val="00042457"/>
    <w:rsid w:val="000424BC"/>
    <w:rsid w:val="00042501"/>
    <w:rsid w:val="00042517"/>
    <w:rsid w:val="00042535"/>
    <w:rsid w:val="00042544"/>
    <w:rsid w:val="00042659"/>
    <w:rsid w:val="00042695"/>
    <w:rsid w:val="00042717"/>
    <w:rsid w:val="00042782"/>
    <w:rsid w:val="000427C4"/>
    <w:rsid w:val="00042893"/>
    <w:rsid w:val="000428DA"/>
    <w:rsid w:val="00042916"/>
    <w:rsid w:val="00042924"/>
    <w:rsid w:val="0004294A"/>
    <w:rsid w:val="000429A8"/>
    <w:rsid w:val="00042A11"/>
    <w:rsid w:val="00042A64"/>
    <w:rsid w:val="00042AAD"/>
    <w:rsid w:val="00042AD6"/>
    <w:rsid w:val="00042B2C"/>
    <w:rsid w:val="00042B77"/>
    <w:rsid w:val="00042B85"/>
    <w:rsid w:val="00042BCC"/>
    <w:rsid w:val="00042C51"/>
    <w:rsid w:val="00042CE5"/>
    <w:rsid w:val="00042CE9"/>
    <w:rsid w:val="00042CF2"/>
    <w:rsid w:val="00042D42"/>
    <w:rsid w:val="00042D74"/>
    <w:rsid w:val="00042DAE"/>
    <w:rsid w:val="00042E1F"/>
    <w:rsid w:val="00042E82"/>
    <w:rsid w:val="00042EDC"/>
    <w:rsid w:val="00042F33"/>
    <w:rsid w:val="00042FCB"/>
    <w:rsid w:val="00043007"/>
    <w:rsid w:val="0004307A"/>
    <w:rsid w:val="000430AD"/>
    <w:rsid w:val="000430EE"/>
    <w:rsid w:val="00043129"/>
    <w:rsid w:val="000432F4"/>
    <w:rsid w:val="00043355"/>
    <w:rsid w:val="000433B6"/>
    <w:rsid w:val="000433BF"/>
    <w:rsid w:val="000433D8"/>
    <w:rsid w:val="00043403"/>
    <w:rsid w:val="0004346D"/>
    <w:rsid w:val="0004348B"/>
    <w:rsid w:val="00043496"/>
    <w:rsid w:val="000434E3"/>
    <w:rsid w:val="00043507"/>
    <w:rsid w:val="00043587"/>
    <w:rsid w:val="00043607"/>
    <w:rsid w:val="000436DB"/>
    <w:rsid w:val="00043700"/>
    <w:rsid w:val="00043727"/>
    <w:rsid w:val="000437BB"/>
    <w:rsid w:val="000437F3"/>
    <w:rsid w:val="00043861"/>
    <w:rsid w:val="000439D2"/>
    <w:rsid w:val="00043B32"/>
    <w:rsid w:val="00043B48"/>
    <w:rsid w:val="00043B77"/>
    <w:rsid w:val="00043D6A"/>
    <w:rsid w:val="00043D79"/>
    <w:rsid w:val="00043F1D"/>
    <w:rsid w:val="00043F1E"/>
    <w:rsid w:val="00043F39"/>
    <w:rsid w:val="00043F57"/>
    <w:rsid w:val="00043FD5"/>
    <w:rsid w:val="00044019"/>
    <w:rsid w:val="00044047"/>
    <w:rsid w:val="00044121"/>
    <w:rsid w:val="00044132"/>
    <w:rsid w:val="00044144"/>
    <w:rsid w:val="0004414A"/>
    <w:rsid w:val="000441B0"/>
    <w:rsid w:val="000441BE"/>
    <w:rsid w:val="0004424E"/>
    <w:rsid w:val="00044259"/>
    <w:rsid w:val="000442DA"/>
    <w:rsid w:val="0004433A"/>
    <w:rsid w:val="000443FC"/>
    <w:rsid w:val="0004445C"/>
    <w:rsid w:val="0004462F"/>
    <w:rsid w:val="00044671"/>
    <w:rsid w:val="00044790"/>
    <w:rsid w:val="000447F3"/>
    <w:rsid w:val="00044908"/>
    <w:rsid w:val="00044955"/>
    <w:rsid w:val="000449C4"/>
    <w:rsid w:val="00044ACE"/>
    <w:rsid w:val="00044ADE"/>
    <w:rsid w:val="00044B17"/>
    <w:rsid w:val="00044B7C"/>
    <w:rsid w:val="00044C1F"/>
    <w:rsid w:val="00044C4F"/>
    <w:rsid w:val="00044C86"/>
    <w:rsid w:val="00044CEA"/>
    <w:rsid w:val="00044E2C"/>
    <w:rsid w:val="00044EC1"/>
    <w:rsid w:val="00044EEB"/>
    <w:rsid w:val="00044F61"/>
    <w:rsid w:val="00044FBF"/>
    <w:rsid w:val="0004506B"/>
    <w:rsid w:val="000450D2"/>
    <w:rsid w:val="00045153"/>
    <w:rsid w:val="0004520E"/>
    <w:rsid w:val="00045242"/>
    <w:rsid w:val="00045249"/>
    <w:rsid w:val="0004525C"/>
    <w:rsid w:val="00045269"/>
    <w:rsid w:val="000452AB"/>
    <w:rsid w:val="000452B1"/>
    <w:rsid w:val="000452F0"/>
    <w:rsid w:val="000453B4"/>
    <w:rsid w:val="000453BC"/>
    <w:rsid w:val="000453F8"/>
    <w:rsid w:val="000454C0"/>
    <w:rsid w:val="0004551B"/>
    <w:rsid w:val="000455A3"/>
    <w:rsid w:val="000455ED"/>
    <w:rsid w:val="000455F4"/>
    <w:rsid w:val="000455FE"/>
    <w:rsid w:val="0004564A"/>
    <w:rsid w:val="00045655"/>
    <w:rsid w:val="00045686"/>
    <w:rsid w:val="000456D3"/>
    <w:rsid w:val="00045736"/>
    <w:rsid w:val="0004574A"/>
    <w:rsid w:val="0004581E"/>
    <w:rsid w:val="0004584A"/>
    <w:rsid w:val="000458BC"/>
    <w:rsid w:val="000458D1"/>
    <w:rsid w:val="0004593C"/>
    <w:rsid w:val="00045943"/>
    <w:rsid w:val="000459A0"/>
    <w:rsid w:val="00045A54"/>
    <w:rsid w:val="00045B7D"/>
    <w:rsid w:val="00045BAB"/>
    <w:rsid w:val="00045C04"/>
    <w:rsid w:val="00045CB8"/>
    <w:rsid w:val="00045CE6"/>
    <w:rsid w:val="00045D4F"/>
    <w:rsid w:val="00045D52"/>
    <w:rsid w:val="00045DAE"/>
    <w:rsid w:val="00045DBB"/>
    <w:rsid w:val="00045DF3"/>
    <w:rsid w:val="00045E5D"/>
    <w:rsid w:val="00045E81"/>
    <w:rsid w:val="00045E96"/>
    <w:rsid w:val="00045E9B"/>
    <w:rsid w:val="00045EF5"/>
    <w:rsid w:val="00046015"/>
    <w:rsid w:val="000460B8"/>
    <w:rsid w:val="00046107"/>
    <w:rsid w:val="0004612F"/>
    <w:rsid w:val="000461B6"/>
    <w:rsid w:val="000461BC"/>
    <w:rsid w:val="000462BE"/>
    <w:rsid w:val="0004638F"/>
    <w:rsid w:val="00046393"/>
    <w:rsid w:val="0004641D"/>
    <w:rsid w:val="00046471"/>
    <w:rsid w:val="000464A5"/>
    <w:rsid w:val="00046564"/>
    <w:rsid w:val="00046590"/>
    <w:rsid w:val="0004660A"/>
    <w:rsid w:val="00046613"/>
    <w:rsid w:val="00046624"/>
    <w:rsid w:val="00046667"/>
    <w:rsid w:val="0004667C"/>
    <w:rsid w:val="000466A1"/>
    <w:rsid w:val="000466DB"/>
    <w:rsid w:val="0004676D"/>
    <w:rsid w:val="00046779"/>
    <w:rsid w:val="000467B7"/>
    <w:rsid w:val="000468EE"/>
    <w:rsid w:val="000469AD"/>
    <w:rsid w:val="000469B5"/>
    <w:rsid w:val="00046AD8"/>
    <w:rsid w:val="00046BB0"/>
    <w:rsid w:val="00046BB8"/>
    <w:rsid w:val="00046C29"/>
    <w:rsid w:val="00046D70"/>
    <w:rsid w:val="00046EBC"/>
    <w:rsid w:val="00046EE4"/>
    <w:rsid w:val="00046F07"/>
    <w:rsid w:val="00046F6B"/>
    <w:rsid w:val="00046FB7"/>
    <w:rsid w:val="000470AE"/>
    <w:rsid w:val="000470F7"/>
    <w:rsid w:val="00047110"/>
    <w:rsid w:val="0004718F"/>
    <w:rsid w:val="000471C3"/>
    <w:rsid w:val="000471C4"/>
    <w:rsid w:val="000471EB"/>
    <w:rsid w:val="00047200"/>
    <w:rsid w:val="00047266"/>
    <w:rsid w:val="000472AE"/>
    <w:rsid w:val="00047352"/>
    <w:rsid w:val="000473C2"/>
    <w:rsid w:val="0004748C"/>
    <w:rsid w:val="00047523"/>
    <w:rsid w:val="00047549"/>
    <w:rsid w:val="0004757C"/>
    <w:rsid w:val="000475A2"/>
    <w:rsid w:val="0004772E"/>
    <w:rsid w:val="000477B0"/>
    <w:rsid w:val="000477C1"/>
    <w:rsid w:val="000477FC"/>
    <w:rsid w:val="00047958"/>
    <w:rsid w:val="00047A52"/>
    <w:rsid w:val="00047A61"/>
    <w:rsid w:val="00047B6E"/>
    <w:rsid w:val="00047B81"/>
    <w:rsid w:val="00047B84"/>
    <w:rsid w:val="00047C0B"/>
    <w:rsid w:val="00047C15"/>
    <w:rsid w:val="00047C77"/>
    <w:rsid w:val="00047CBB"/>
    <w:rsid w:val="00047CC8"/>
    <w:rsid w:val="00047E4A"/>
    <w:rsid w:val="00047E4B"/>
    <w:rsid w:val="00047E79"/>
    <w:rsid w:val="00047F2A"/>
    <w:rsid w:val="00047F40"/>
    <w:rsid w:val="00047F46"/>
    <w:rsid w:val="00047F53"/>
    <w:rsid w:val="00047F57"/>
    <w:rsid w:val="00047FAC"/>
    <w:rsid w:val="0005002E"/>
    <w:rsid w:val="00050073"/>
    <w:rsid w:val="0005011B"/>
    <w:rsid w:val="00050146"/>
    <w:rsid w:val="0005016C"/>
    <w:rsid w:val="00050183"/>
    <w:rsid w:val="0005023B"/>
    <w:rsid w:val="000502D1"/>
    <w:rsid w:val="000502D5"/>
    <w:rsid w:val="000502F7"/>
    <w:rsid w:val="00050350"/>
    <w:rsid w:val="000503F2"/>
    <w:rsid w:val="000503F6"/>
    <w:rsid w:val="000503FE"/>
    <w:rsid w:val="00050448"/>
    <w:rsid w:val="000504A2"/>
    <w:rsid w:val="000505B1"/>
    <w:rsid w:val="000505EB"/>
    <w:rsid w:val="000506B8"/>
    <w:rsid w:val="000506EE"/>
    <w:rsid w:val="00050792"/>
    <w:rsid w:val="000507D9"/>
    <w:rsid w:val="00050853"/>
    <w:rsid w:val="000508B4"/>
    <w:rsid w:val="00050950"/>
    <w:rsid w:val="0005098B"/>
    <w:rsid w:val="000509B4"/>
    <w:rsid w:val="00050B10"/>
    <w:rsid w:val="00050B2C"/>
    <w:rsid w:val="00050C06"/>
    <w:rsid w:val="00050C18"/>
    <w:rsid w:val="00050C20"/>
    <w:rsid w:val="00050CB4"/>
    <w:rsid w:val="00050D09"/>
    <w:rsid w:val="00050D84"/>
    <w:rsid w:val="00050D99"/>
    <w:rsid w:val="00050DE9"/>
    <w:rsid w:val="00050E0D"/>
    <w:rsid w:val="00050E39"/>
    <w:rsid w:val="00050E91"/>
    <w:rsid w:val="00050EC4"/>
    <w:rsid w:val="00050F5B"/>
    <w:rsid w:val="00050F98"/>
    <w:rsid w:val="00050FDA"/>
    <w:rsid w:val="00051055"/>
    <w:rsid w:val="00051074"/>
    <w:rsid w:val="00051093"/>
    <w:rsid w:val="000510A8"/>
    <w:rsid w:val="000510AE"/>
    <w:rsid w:val="000510C5"/>
    <w:rsid w:val="0005118F"/>
    <w:rsid w:val="0005127D"/>
    <w:rsid w:val="0005139E"/>
    <w:rsid w:val="0005139F"/>
    <w:rsid w:val="00051457"/>
    <w:rsid w:val="000514E2"/>
    <w:rsid w:val="000515A9"/>
    <w:rsid w:val="000515AA"/>
    <w:rsid w:val="00051635"/>
    <w:rsid w:val="0005170D"/>
    <w:rsid w:val="00051788"/>
    <w:rsid w:val="000517E9"/>
    <w:rsid w:val="00051802"/>
    <w:rsid w:val="00051892"/>
    <w:rsid w:val="00051A09"/>
    <w:rsid w:val="00051A2E"/>
    <w:rsid w:val="00051A99"/>
    <w:rsid w:val="00051AEE"/>
    <w:rsid w:val="00051AF1"/>
    <w:rsid w:val="00051BAC"/>
    <w:rsid w:val="00051C29"/>
    <w:rsid w:val="00051CC4"/>
    <w:rsid w:val="00051CE2"/>
    <w:rsid w:val="00051D6C"/>
    <w:rsid w:val="00051DDE"/>
    <w:rsid w:val="00051DE2"/>
    <w:rsid w:val="00051ED5"/>
    <w:rsid w:val="00051F97"/>
    <w:rsid w:val="0005203B"/>
    <w:rsid w:val="00052131"/>
    <w:rsid w:val="0005213F"/>
    <w:rsid w:val="000521CC"/>
    <w:rsid w:val="000521E7"/>
    <w:rsid w:val="0005226D"/>
    <w:rsid w:val="000522BB"/>
    <w:rsid w:val="00052317"/>
    <w:rsid w:val="00052481"/>
    <w:rsid w:val="00052492"/>
    <w:rsid w:val="000524DF"/>
    <w:rsid w:val="0005254B"/>
    <w:rsid w:val="00052569"/>
    <w:rsid w:val="0005258E"/>
    <w:rsid w:val="00052603"/>
    <w:rsid w:val="000526E1"/>
    <w:rsid w:val="00052726"/>
    <w:rsid w:val="000527B3"/>
    <w:rsid w:val="00052819"/>
    <w:rsid w:val="00052842"/>
    <w:rsid w:val="00052875"/>
    <w:rsid w:val="00052891"/>
    <w:rsid w:val="00052A58"/>
    <w:rsid w:val="00052C60"/>
    <w:rsid w:val="00052D79"/>
    <w:rsid w:val="00052DAA"/>
    <w:rsid w:val="00052E60"/>
    <w:rsid w:val="00052EA1"/>
    <w:rsid w:val="00052EBB"/>
    <w:rsid w:val="00052F71"/>
    <w:rsid w:val="00052FC6"/>
    <w:rsid w:val="0005303F"/>
    <w:rsid w:val="00053041"/>
    <w:rsid w:val="00053064"/>
    <w:rsid w:val="000530D7"/>
    <w:rsid w:val="000530ED"/>
    <w:rsid w:val="00053118"/>
    <w:rsid w:val="000532C8"/>
    <w:rsid w:val="000532EB"/>
    <w:rsid w:val="00053495"/>
    <w:rsid w:val="000534C1"/>
    <w:rsid w:val="00053503"/>
    <w:rsid w:val="00053513"/>
    <w:rsid w:val="0005354E"/>
    <w:rsid w:val="000535E4"/>
    <w:rsid w:val="000535E6"/>
    <w:rsid w:val="00053713"/>
    <w:rsid w:val="00053739"/>
    <w:rsid w:val="00053765"/>
    <w:rsid w:val="00053767"/>
    <w:rsid w:val="000537A6"/>
    <w:rsid w:val="000537EC"/>
    <w:rsid w:val="00053832"/>
    <w:rsid w:val="000539BD"/>
    <w:rsid w:val="000539DF"/>
    <w:rsid w:val="00053A18"/>
    <w:rsid w:val="00053AB7"/>
    <w:rsid w:val="00053D6A"/>
    <w:rsid w:val="00053D7A"/>
    <w:rsid w:val="00053E78"/>
    <w:rsid w:val="00053F18"/>
    <w:rsid w:val="00053F30"/>
    <w:rsid w:val="00053F4C"/>
    <w:rsid w:val="00053FF0"/>
    <w:rsid w:val="00053FF7"/>
    <w:rsid w:val="00054036"/>
    <w:rsid w:val="000541A1"/>
    <w:rsid w:val="000541BA"/>
    <w:rsid w:val="00054248"/>
    <w:rsid w:val="0005425F"/>
    <w:rsid w:val="0005426B"/>
    <w:rsid w:val="0005426E"/>
    <w:rsid w:val="000542E8"/>
    <w:rsid w:val="00054319"/>
    <w:rsid w:val="00054374"/>
    <w:rsid w:val="00054377"/>
    <w:rsid w:val="0005439D"/>
    <w:rsid w:val="0005446A"/>
    <w:rsid w:val="00054493"/>
    <w:rsid w:val="000544AE"/>
    <w:rsid w:val="00054533"/>
    <w:rsid w:val="0005453D"/>
    <w:rsid w:val="00054570"/>
    <w:rsid w:val="000545E0"/>
    <w:rsid w:val="000545EC"/>
    <w:rsid w:val="000545FC"/>
    <w:rsid w:val="0005461F"/>
    <w:rsid w:val="000546CA"/>
    <w:rsid w:val="00054736"/>
    <w:rsid w:val="00054750"/>
    <w:rsid w:val="000547B5"/>
    <w:rsid w:val="000548CC"/>
    <w:rsid w:val="000548F1"/>
    <w:rsid w:val="00054902"/>
    <w:rsid w:val="0005498A"/>
    <w:rsid w:val="000549B6"/>
    <w:rsid w:val="000549C7"/>
    <w:rsid w:val="000549CA"/>
    <w:rsid w:val="00054A0C"/>
    <w:rsid w:val="00054A12"/>
    <w:rsid w:val="00054A20"/>
    <w:rsid w:val="00054A77"/>
    <w:rsid w:val="00054AF5"/>
    <w:rsid w:val="00054B25"/>
    <w:rsid w:val="00054B2C"/>
    <w:rsid w:val="00054B2D"/>
    <w:rsid w:val="00054B80"/>
    <w:rsid w:val="00054BE7"/>
    <w:rsid w:val="00054BEB"/>
    <w:rsid w:val="00054C1C"/>
    <w:rsid w:val="00054D5D"/>
    <w:rsid w:val="00054DAA"/>
    <w:rsid w:val="00054DF1"/>
    <w:rsid w:val="00054E11"/>
    <w:rsid w:val="00054E6E"/>
    <w:rsid w:val="00054E95"/>
    <w:rsid w:val="00054F53"/>
    <w:rsid w:val="00055055"/>
    <w:rsid w:val="0005505B"/>
    <w:rsid w:val="000551D8"/>
    <w:rsid w:val="00055204"/>
    <w:rsid w:val="0005527C"/>
    <w:rsid w:val="00055295"/>
    <w:rsid w:val="000552CE"/>
    <w:rsid w:val="000552F8"/>
    <w:rsid w:val="000553EE"/>
    <w:rsid w:val="000554D5"/>
    <w:rsid w:val="000554FA"/>
    <w:rsid w:val="0005551D"/>
    <w:rsid w:val="0005552D"/>
    <w:rsid w:val="00055570"/>
    <w:rsid w:val="000555DA"/>
    <w:rsid w:val="000555F7"/>
    <w:rsid w:val="0005562F"/>
    <w:rsid w:val="000556F0"/>
    <w:rsid w:val="000559AF"/>
    <w:rsid w:val="00055A6E"/>
    <w:rsid w:val="00055A87"/>
    <w:rsid w:val="00055A8E"/>
    <w:rsid w:val="00055AE4"/>
    <w:rsid w:val="00055B14"/>
    <w:rsid w:val="00055C62"/>
    <w:rsid w:val="00055C66"/>
    <w:rsid w:val="00055C6B"/>
    <w:rsid w:val="00055CA2"/>
    <w:rsid w:val="00055D09"/>
    <w:rsid w:val="00055D2B"/>
    <w:rsid w:val="00055DB1"/>
    <w:rsid w:val="00055E47"/>
    <w:rsid w:val="00055E62"/>
    <w:rsid w:val="00055E7D"/>
    <w:rsid w:val="00055ECD"/>
    <w:rsid w:val="00055ED5"/>
    <w:rsid w:val="00055FB5"/>
    <w:rsid w:val="00056185"/>
    <w:rsid w:val="00056199"/>
    <w:rsid w:val="000562E4"/>
    <w:rsid w:val="00056358"/>
    <w:rsid w:val="000563CE"/>
    <w:rsid w:val="0005646C"/>
    <w:rsid w:val="000564D0"/>
    <w:rsid w:val="000564D7"/>
    <w:rsid w:val="00056520"/>
    <w:rsid w:val="0005652B"/>
    <w:rsid w:val="0005652E"/>
    <w:rsid w:val="000565B2"/>
    <w:rsid w:val="000565DF"/>
    <w:rsid w:val="000565E4"/>
    <w:rsid w:val="0005666A"/>
    <w:rsid w:val="00056678"/>
    <w:rsid w:val="000566FC"/>
    <w:rsid w:val="00056732"/>
    <w:rsid w:val="00056759"/>
    <w:rsid w:val="0005675E"/>
    <w:rsid w:val="000567AC"/>
    <w:rsid w:val="00056973"/>
    <w:rsid w:val="000569FC"/>
    <w:rsid w:val="00056AA0"/>
    <w:rsid w:val="00056AB1"/>
    <w:rsid w:val="00056ACA"/>
    <w:rsid w:val="00056ADF"/>
    <w:rsid w:val="00056B11"/>
    <w:rsid w:val="00056B95"/>
    <w:rsid w:val="00056BB0"/>
    <w:rsid w:val="00056C08"/>
    <w:rsid w:val="00056C12"/>
    <w:rsid w:val="00056C13"/>
    <w:rsid w:val="00056C58"/>
    <w:rsid w:val="00056C7A"/>
    <w:rsid w:val="00056CEE"/>
    <w:rsid w:val="00056CFA"/>
    <w:rsid w:val="00056D01"/>
    <w:rsid w:val="00056D6D"/>
    <w:rsid w:val="00056D89"/>
    <w:rsid w:val="00056DC9"/>
    <w:rsid w:val="00056E6F"/>
    <w:rsid w:val="00056FD1"/>
    <w:rsid w:val="00056FDD"/>
    <w:rsid w:val="00056FE5"/>
    <w:rsid w:val="00056FF2"/>
    <w:rsid w:val="00057000"/>
    <w:rsid w:val="00057036"/>
    <w:rsid w:val="00057037"/>
    <w:rsid w:val="000570EB"/>
    <w:rsid w:val="0005715A"/>
    <w:rsid w:val="000571A2"/>
    <w:rsid w:val="00057207"/>
    <w:rsid w:val="00057220"/>
    <w:rsid w:val="00057296"/>
    <w:rsid w:val="000574AB"/>
    <w:rsid w:val="000574CA"/>
    <w:rsid w:val="00057503"/>
    <w:rsid w:val="00057595"/>
    <w:rsid w:val="00057651"/>
    <w:rsid w:val="0005767D"/>
    <w:rsid w:val="000576BA"/>
    <w:rsid w:val="000577B4"/>
    <w:rsid w:val="000577C2"/>
    <w:rsid w:val="000577C7"/>
    <w:rsid w:val="000577CB"/>
    <w:rsid w:val="00057827"/>
    <w:rsid w:val="00057861"/>
    <w:rsid w:val="00057890"/>
    <w:rsid w:val="0005790C"/>
    <w:rsid w:val="00057910"/>
    <w:rsid w:val="00057A22"/>
    <w:rsid w:val="00057A3E"/>
    <w:rsid w:val="00057A60"/>
    <w:rsid w:val="00057B55"/>
    <w:rsid w:val="00057B86"/>
    <w:rsid w:val="00057BD7"/>
    <w:rsid w:val="00057BE7"/>
    <w:rsid w:val="00057C2D"/>
    <w:rsid w:val="00057DDA"/>
    <w:rsid w:val="00057DFF"/>
    <w:rsid w:val="00057E57"/>
    <w:rsid w:val="00057EE8"/>
    <w:rsid w:val="00057EFE"/>
    <w:rsid w:val="00057F9D"/>
    <w:rsid w:val="00057FD6"/>
    <w:rsid w:val="00057FE2"/>
    <w:rsid w:val="00060085"/>
    <w:rsid w:val="000600D8"/>
    <w:rsid w:val="000601AD"/>
    <w:rsid w:val="00060204"/>
    <w:rsid w:val="0006025B"/>
    <w:rsid w:val="000602A1"/>
    <w:rsid w:val="000602AF"/>
    <w:rsid w:val="000602BC"/>
    <w:rsid w:val="000602C7"/>
    <w:rsid w:val="0006035E"/>
    <w:rsid w:val="00060373"/>
    <w:rsid w:val="0006037F"/>
    <w:rsid w:val="0006044E"/>
    <w:rsid w:val="00060511"/>
    <w:rsid w:val="0006057D"/>
    <w:rsid w:val="000605C3"/>
    <w:rsid w:val="000606AA"/>
    <w:rsid w:val="000606B2"/>
    <w:rsid w:val="000606D6"/>
    <w:rsid w:val="0006073F"/>
    <w:rsid w:val="00060779"/>
    <w:rsid w:val="00060869"/>
    <w:rsid w:val="00060888"/>
    <w:rsid w:val="0006099C"/>
    <w:rsid w:val="00060B4F"/>
    <w:rsid w:val="00060C47"/>
    <w:rsid w:val="00060CAC"/>
    <w:rsid w:val="00060CC6"/>
    <w:rsid w:val="00060CCA"/>
    <w:rsid w:val="00060CFD"/>
    <w:rsid w:val="00060DC3"/>
    <w:rsid w:val="00060DD5"/>
    <w:rsid w:val="00060DF9"/>
    <w:rsid w:val="00060E76"/>
    <w:rsid w:val="00060EC0"/>
    <w:rsid w:val="00060EDB"/>
    <w:rsid w:val="00060EEA"/>
    <w:rsid w:val="00060F05"/>
    <w:rsid w:val="00060F73"/>
    <w:rsid w:val="00060F88"/>
    <w:rsid w:val="00061068"/>
    <w:rsid w:val="0006111A"/>
    <w:rsid w:val="0006115A"/>
    <w:rsid w:val="0006121F"/>
    <w:rsid w:val="00061331"/>
    <w:rsid w:val="0006137A"/>
    <w:rsid w:val="00061383"/>
    <w:rsid w:val="00061386"/>
    <w:rsid w:val="000613BA"/>
    <w:rsid w:val="000615EC"/>
    <w:rsid w:val="00061600"/>
    <w:rsid w:val="00061625"/>
    <w:rsid w:val="00061676"/>
    <w:rsid w:val="0006170C"/>
    <w:rsid w:val="000617BC"/>
    <w:rsid w:val="00061856"/>
    <w:rsid w:val="0006187F"/>
    <w:rsid w:val="000618FF"/>
    <w:rsid w:val="00061916"/>
    <w:rsid w:val="0006193B"/>
    <w:rsid w:val="00061941"/>
    <w:rsid w:val="0006197A"/>
    <w:rsid w:val="0006199B"/>
    <w:rsid w:val="00061A70"/>
    <w:rsid w:val="00061AA3"/>
    <w:rsid w:val="00061B76"/>
    <w:rsid w:val="00061BFD"/>
    <w:rsid w:val="00061C89"/>
    <w:rsid w:val="00061CEC"/>
    <w:rsid w:val="00061D95"/>
    <w:rsid w:val="00061F14"/>
    <w:rsid w:val="00061FA9"/>
    <w:rsid w:val="000620B6"/>
    <w:rsid w:val="000620C2"/>
    <w:rsid w:val="0006213E"/>
    <w:rsid w:val="00062142"/>
    <w:rsid w:val="00062150"/>
    <w:rsid w:val="000621AF"/>
    <w:rsid w:val="00062276"/>
    <w:rsid w:val="000622E2"/>
    <w:rsid w:val="00062302"/>
    <w:rsid w:val="00062304"/>
    <w:rsid w:val="00062354"/>
    <w:rsid w:val="00062471"/>
    <w:rsid w:val="000624C2"/>
    <w:rsid w:val="0006256C"/>
    <w:rsid w:val="0006260A"/>
    <w:rsid w:val="00062705"/>
    <w:rsid w:val="0006278B"/>
    <w:rsid w:val="000627C6"/>
    <w:rsid w:val="0006280B"/>
    <w:rsid w:val="0006290A"/>
    <w:rsid w:val="00062A52"/>
    <w:rsid w:val="00062A98"/>
    <w:rsid w:val="00062ACA"/>
    <w:rsid w:val="00062B63"/>
    <w:rsid w:val="00062B84"/>
    <w:rsid w:val="00062B8E"/>
    <w:rsid w:val="00062BEF"/>
    <w:rsid w:val="00062BF8"/>
    <w:rsid w:val="00062C26"/>
    <w:rsid w:val="00062CB6"/>
    <w:rsid w:val="00062CEC"/>
    <w:rsid w:val="00062D1F"/>
    <w:rsid w:val="00062DE3"/>
    <w:rsid w:val="00062E3E"/>
    <w:rsid w:val="00062EFD"/>
    <w:rsid w:val="00062F55"/>
    <w:rsid w:val="00062F8A"/>
    <w:rsid w:val="00062F8E"/>
    <w:rsid w:val="0006300D"/>
    <w:rsid w:val="00063032"/>
    <w:rsid w:val="0006307B"/>
    <w:rsid w:val="000630C6"/>
    <w:rsid w:val="00063163"/>
    <w:rsid w:val="000631D5"/>
    <w:rsid w:val="00063296"/>
    <w:rsid w:val="000632B2"/>
    <w:rsid w:val="000633A5"/>
    <w:rsid w:val="00063409"/>
    <w:rsid w:val="00063418"/>
    <w:rsid w:val="00063430"/>
    <w:rsid w:val="0006344D"/>
    <w:rsid w:val="000634BA"/>
    <w:rsid w:val="00063523"/>
    <w:rsid w:val="00063524"/>
    <w:rsid w:val="00063614"/>
    <w:rsid w:val="00063652"/>
    <w:rsid w:val="00063655"/>
    <w:rsid w:val="000636A0"/>
    <w:rsid w:val="00063721"/>
    <w:rsid w:val="00063818"/>
    <w:rsid w:val="0006384F"/>
    <w:rsid w:val="00063996"/>
    <w:rsid w:val="00063A5E"/>
    <w:rsid w:val="00063AAB"/>
    <w:rsid w:val="00063B03"/>
    <w:rsid w:val="00063B39"/>
    <w:rsid w:val="00063B68"/>
    <w:rsid w:val="00063BFC"/>
    <w:rsid w:val="00063C7B"/>
    <w:rsid w:val="00063F06"/>
    <w:rsid w:val="00063F29"/>
    <w:rsid w:val="00063F9C"/>
    <w:rsid w:val="00063FD0"/>
    <w:rsid w:val="00064018"/>
    <w:rsid w:val="00064036"/>
    <w:rsid w:val="0006405F"/>
    <w:rsid w:val="000641B8"/>
    <w:rsid w:val="000641DF"/>
    <w:rsid w:val="0006422F"/>
    <w:rsid w:val="00064243"/>
    <w:rsid w:val="00064269"/>
    <w:rsid w:val="000642F3"/>
    <w:rsid w:val="0006431A"/>
    <w:rsid w:val="0006431C"/>
    <w:rsid w:val="00064339"/>
    <w:rsid w:val="00064389"/>
    <w:rsid w:val="0006445E"/>
    <w:rsid w:val="00064468"/>
    <w:rsid w:val="0006448B"/>
    <w:rsid w:val="0006449E"/>
    <w:rsid w:val="00064510"/>
    <w:rsid w:val="0006455E"/>
    <w:rsid w:val="00064568"/>
    <w:rsid w:val="00064578"/>
    <w:rsid w:val="000645BD"/>
    <w:rsid w:val="000645C4"/>
    <w:rsid w:val="0006463B"/>
    <w:rsid w:val="00064645"/>
    <w:rsid w:val="000646C0"/>
    <w:rsid w:val="00064845"/>
    <w:rsid w:val="00064857"/>
    <w:rsid w:val="0006485A"/>
    <w:rsid w:val="00064861"/>
    <w:rsid w:val="000648AF"/>
    <w:rsid w:val="000648BF"/>
    <w:rsid w:val="00064906"/>
    <w:rsid w:val="0006492F"/>
    <w:rsid w:val="00064955"/>
    <w:rsid w:val="0006498A"/>
    <w:rsid w:val="00064A00"/>
    <w:rsid w:val="00064AA8"/>
    <w:rsid w:val="00064AEC"/>
    <w:rsid w:val="00064B5D"/>
    <w:rsid w:val="00064BB8"/>
    <w:rsid w:val="00064BED"/>
    <w:rsid w:val="00064C37"/>
    <w:rsid w:val="00064D05"/>
    <w:rsid w:val="00064D22"/>
    <w:rsid w:val="00064D82"/>
    <w:rsid w:val="00064D85"/>
    <w:rsid w:val="00064DC8"/>
    <w:rsid w:val="00064E62"/>
    <w:rsid w:val="00064EA9"/>
    <w:rsid w:val="00064FB6"/>
    <w:rsid w:val="00064FBC"/>
    <w:rsid w:val="00064FD2"/>
    <w:rsid w:val="0006503C"/>
    <w:rsid w:val="00065040"/>
    <w:rsid w:val="0006504D"/>
    <w:rsid w:val="00065085"/>
    <w:rsid w:val="000650DC"/>
    <w:rsid w:val="0006511D"/>
    <w:rsid w:val="00065161"/>
    <w:rsid w:val="000651CB"/>
    <w:rsid w:val="00065381"/>
    <w:rsid w:val="0006538A"/>
    <w:rsid w:val="00065457"/>
    <w:rsid w:val="0006546E"/>
    <w:rsid w:val="000654C0"/>
    <w:rsid w:val="000654C3"/>
    <w:rsid w:val="000654D0"/>
    <w:rsid w:val="00065504"/>
    <w:rsid w:val="00065517"/>
    <w:rsid w:val="00065582"/>
    <w:rsid w:val="000655AB"/>
    <w:rsid w:val="00065614"/>
    <w:rsid w:val="0006563A"/>
    <w:rsid w:val="00065754"/>
    <w:rsid w:val="000657B5"/>
    <w:rsid w:val="00065876"/>
    <w:rsid w:val="000658E3"/>
    <w:rsid w:val="000658ED"/>
    <w:rsid w:val="00065900"/>
    <w:rsid w:val="00065A26"/>
    <w:rsid w:val="00065B24"/>
    <w:rsid w:val="00065BF8"/>
    <w:rsid w:val="00065CC5"/>
    <w:rsid w:val="00065CF9"/>
    <w:rsid w:val="00065EFF"/>
    <w:rsid w:val="00065F4A"/>
    <w:rsid w:val="00065F90"/>
    <w:rsid w:val="00065FFA"/>
    <w:rsid w:val="0006606E"/>
    <w:rsid w:val="00066106"/>
    <w:rsid w:val="0006612F"/>
    <w:rsid w:val="00066142"/>
    <w:rsid w:val="000661C7"/>
    <w:rsid w:val="000661E3"/>
    <w:rsid w:val="000661EC"/>
    <w:rsid w:val="0006624F"/>
    <w:rsid w:val="000662A2"/>
    <w:rsid w:val="0006639C"/>
    <w:rsid w:val="000663FC"/>
    <w:rsid w:val="00066436"/>
    <w:rsid w:val="000664C6"/>
    <w:rsid w:val="000664D3"/>
    <w:rsid w:val="00066548"/>
    <w:rsid w:val="0006654F"/>
    <w:rsid w:val="000665A1"/>
    <w:rsid w:val="00066695"/>
    <w:rsid w:val="000666B2"/>
    <w:rsid w:val="000667C2"/>
    <w:rsid w:val="0006695E"/>
    <w:rsid w:val="0006696E"/>
    <w:rsid w:val="000669BA"/>
    <w:rsid w:val="000669CF"/>
    <w:rsid w:val="00066B69"/>
    <w:rsid w:val="00066B83"/>
    <w:rsid w:val="00066C06"/>
    <w:rsid w:val="00066C4A"/>
    <w:rsid w:val="00066C7F"/>
    <w:rsid w:val="00066D16"/>
    <w:rsid w:val="00066D2E"/>
    <w:rsid w:val="00066D45"/>
    <w:rsid w:val="00066D93"/>
    <w:rsid w:val="00066D97"/>
    <w:rsid w:val="00067049"/>
    <w:rsid w:val="0006705B"/>
    <w:rsid w:val="00067071"/>
    <w:rsid w:val="00067150"/>
    <w:rsid w:val="000671CE"/>
    <w:rsid w:val="00067234"/>
    <w:rsid w:val="000672DA"/>
    <w:rsid w:val="0006731E"/>
    <w:rsid w:val="000673D3"/>
    <w:rsid w:val="000673FC"/>
    <w:rsid w:val="0006742A"/>
    <w:rsid w:val="00067479"/>
    <w:rsid w:val="000675B3"/>
    <w:rsid w:val="000675D0"/>
    <w:rsid w:val="00067691"/>
    <w:rsid w:val="000676B8"/>
    <w:rsid w:val="000676C7"/>
    <w:rsid w:val="00067774"/>
    <w:rsid w:val="000677FA"/>
    <w:rsid w:val="00067866"/>
    <w:rsid w:val="000678DD"/>
    <w:rsid w:val="00067930"/>
    <w:rsid w:val="0006795F"/>
    <w:rsid w:val="00067980"/>
    <w:rsid w:val="00067ABF"/>
    <w:rsid w:val="00067B4E"/>
    <w:rsid w:val="00067B55"/>
    <w:rsid w:val="00067CA6"/>
    <w:rsid w:val="00067CAC"/>
    <w:rsid w:val="00067D59"/>
    <w:rsid w:val="00067DD4"/>
    <w:rsid w:val="00067DD9"/>
    <w:rsid w:val="00067E43"/>
    <w:rsid w:val="00067E5C"/>
    <w:rsid w:val="00067E93"/>
    <w:rsid w:val="00067F42"/>
    <w:rsid w:val="00070008"/>
    <w:rsid w:val="0007009E"/>
    <w:rsid w:val="000700B2"/>
    <w:rsid w:val="000700BC"/>
    <w:rsid w:val="000700D2"/>
    <w:rsid w:val="00070110"/>
    <w:rsid w:val="0007015B"/>
    <w:rsid w:val="00070172"/>
    <w:rsid w:val="00070182"/>
    <w:rsid w:val="0007019C"/>
    <w:rsid w:val="00070215"/>
    <w:rsid w:val="000702B6"/>
    <w:rsid w:val="00070307"/>
    <w:rsid w:val="0007036D"/>
    <w:rsid w:val="000703A6"/>
    <w:rsid w:val="0007050C"/>
    <w:rsid w:val="00070642"/>
    <w:rsid w:val="00070646"/>
    <w:rsid w:val="00070749"/>
    <w:rsid w:val="00070766"/>
    <w:rsid w:val="00070770"/>
    <w:rsid w:val="000707A8"/>
    <w:rsid w:val="000707B8"/>
    <w:rsid w:val="000707BF"/>
    <w:rsid w:val="000707E5"/>
    <w:rsid w:val="0007083D"/>
    <w:rsid w:val="000708B5"/>
    <w:rsid w:val="0007098C"/>
    <w:rsid w:val="000709B9"/>
    <w:rsid w:val="000709EB"/>
    <w:rsid w:val="00070B72"/>
    <w:rsid w:val="00070B91"/>
    <w:rsid w:val="00070C31"/>
    <w:rsid w:val="00070C9D"/>
    <w:rsid w:val="00070E59"/>
    <w:rsid w:val="00070E88"/>
    <w:rsid w:val="00070ECA"/>
    <w:rsid w:val="00071030"/>
    <w:rsid w:val="00071044"/>
    <w:rsid w:val="00071093"/>
    <w:rsid w:val="000710E4"/>
    <w:rsid w:val="00071148"/>
    <w:rsid w:val="0007115F"/>
    <w:rsid w:val="00071162"/>
    <w:rsid w:val="0007119D"/>
    <w:rsid w:val="000711A7"/>
    <w:rsid w:val="000711D8"/>
    <w:rsid w:val="0007129A"/>
    <w:rsid w:val="00071312"/>
    <w:rsid w:val="0007134A"/>
    <w:rsid w:val="00071352"/>
    <w:rsid w:val="0007135A"/>
    <w:rsid w:val="00071374"/>
    <w:rsid w:val="000713D1"/>
    <w:rsid w:val="000713F8"/>
    <w:rsid w:val="00071407"/>
    <w:rsid w:val="00071413"/>
    <w:rsid w:val="0007144D"/>
    <w:rsid w:val="00071499"/>
    <w:rsid w:val="000714EA"/>
    <w:rsid w:val="00071525"/>
    <w:rsid w:val="00071561"/>
    <w:rsid w:val="00071596"/>
    <w:rsid w:val="000715B4"/>
    <w:rsid w:val="00071751"/>
    <w:rsid w:val="0007177A"/>
    <w:rsid w:val="000717EF"/>
    <w:rsid w:val="000718CD"/>
    <w:rsid w:val="000718ED"/>
    <w:rsid w:val="0007192B"/>
    <w:rsid w:val="000719BD"/>
    <w:rsid w:val="000719DF"/>
    <w:rsid w:val="00071A35"/>
    <w:rsid w:val="00071B18"/>
    <w:rsid w:val="00071B1C"/>
    <w:rsid w:val="00071B66"/>
    <w:rsid w:val="00071BFC"/>
    <w:rsid w:val="00071C9D"/>
    <w:rsid w:val="00071CBC"/>
    <w:rsid w:val="00071CD7"/>
    <w:rsid w:val="00071D82"/>
    <w:rsid w:val="00071DCE"/>
    <w:rsid w:val="00071E06"/>
    <w:rsid w:val="00071E1D"/>
    <w:rsid w:val="0007204A"/>
    <w:rsid w:val="00072073"/>
    <w:rsid w:val="00072076"/>
    <w:rsid w:val="000720BE"/>
    <w:rsid w:val="00072106"/>
    <w:rsid w:val="00072270"/>
    <w:rsid w:val="0007245D"/>
    <w:rsid w:val="000724F0"/>
    <w:rsid w:val="00072510"/>
    <w:rsid w:val="00072533"/>
    <w:rsid w:val="0007257D"/>
    <w:rsid w:val="00072614"/>
    <w:rsid w:val="00072632"/>
    <w:rsid w:val="00072636"/>
    <w:rsid w:val="0007263C"/>
    <w:rsid w:val="00072679"/>
    <w:rsid w:val="0007267E"/>
    <w:rsid w:val="0007269A"/>
    <w:rsid w:val="000726CA"/>
    <w:rsid w:val="00072751"/>
    <w:rsid w:val="0007278B"/>
    <w:rsid w:val="00072791"/>
    <w:rsid w:val="000728EA"/>
    <w:rsid w:val="000728F8"/>
    <w:rsid w:val="0007296C"/>
    <w:rsid w:val="00072A82"/>
    <w:rsid w:val="00072A83"/>
    <w:rsid w:val="00072AEE"/>
    <w:rsid w:val="00072B00"/>
    <w:rsid w:val="00072B4F"/>
    <w:rsid w:val="00072BF0"/>
    <w:rsid w:val="00072C26"/>
    <w:rsid w:val="00072C55"/>
    <w:rsid w:val="00072C6E"/>
    <w:rsid w:val="00072D06"/>
    <w:rsid w:val="00072D56"/>
    <w:rsid w:val="00072D5C"/>
    <w:rsid w:val="00072D65"/>
    <w:rsid w:val="00072D99"/>
    <w:rsid w:val="00072E49"/>
    <w:rsid w:val="00072E5E"/>
    <w:rsid w:val="00072E70"/>
    <w:rsid w:val="00072FC0"/>
    <w:rsid w:val="0007308C"/>
    <w:rsid w:val="000730F1"/>
    <w:rsid w:val="000730F6"/>
    <w:rsid w:val="0007311F"/>
    <w:rsid w:val="0007320A"/>
    <w:rsid w:val="00073258"/>
    <w:rsid w:val="0007328D"/>
    <w:rsid w:val="000733B3"/>
    <w:rsid w:val="00073419"/>
    <w:rsid w:val="0007341B"/>
    <w:rsid w:val="0007344F"/>
    <w:rsid w:val="00073472"/>
    <w:rsid w:val="000735A0"/>
    <w:rsid w:val="000735C4"/>
    <w:rsid w:val="000735E0"/>
    <w:rsid w:val="000735FC"/>
    <w:rsid w:val="000736C0"/>
    <w:rsid w:val="00073750"/>
    <w:rsid w:val="000737CF"/>
    <w:rsid w:val="00073888"/>
    <w:rsid w:val="000738A4"/>
    <w:rsid w:val="00073934"/>
    <w:rsid w:val="0007395E"/>
    <w:rsid w:val="00073976"/>
    <w:rsid w:val="00073977"/>
    <w:rsid w:val="00073A3C"/>
    <w:rsid w:val="00073B73"/>
    <w:rsid w:val="00073B88"/>
    <w:rsid w:val="00073BB6"/>
    <w:rsid w:val="00073C5E"/>
    <w:rsid w:val="00073C81"/>
    <w:rsid w:val="00073CD8"/>
    <w:rsid w:val="00073D6B"/>
    <w:rsid w:val="00073D79"/>
    <w:rsid w:val="00073DBA"/>
    <w:rsid w:val="00073DDE"/>
    <w:rsid w:val="00073DF9"/>
    <w:rsid w:val="00073E12"/>
    <w:rsid w:val="00073F38"/>
    <w:rsid w:val="00073F97"/>
    <w:rsid w:val="00073FEF"/>
    <w:rsid w:val="00074067"/>
    <w:rsid w:val="00074078"/>
    <w:rsid w:val="000740BB"/>
    <w:rsid w:val="000740FE"/>
    <w:rsid w:val="00074191"/>
    <w:rsid w:val="0007429A"/>
    <w:rsid w:val="0007429B"/>
    <w:rsid w:val="000742AD"/>
    <w:rsid w:val="00074305"/>
    <w:rsid w:val="00074314"/>
    <w:rsid w:val="00074352"/>
    <w:rsid w:val="000744F6"/>
    <w:rsid w:val="0007455C"/>
    <w:rsid w:val="00074565"/>
    <w:rsid w:val="000745C6"/>
    <w:rsid w:val="00074615"/>
    <w:rsid w:val="00074694"/>
    <w:rsid w:val="000746CA"/>
    <w:rsid w:val="0007472B"/>
    <w:rsid w:val="0007479F"/>
    <w:rsid w:val="000747B7"/>
    <w:rsid w:val="00074802"/>
    <w:rsid w:val="00074805"/>
    <w:rsid w:val="00074812"/>
    <w:rsid w:val="00074894"/>
    <w:rsid w:val="000748D6"/>
    <w:rsid w:val="00074906"/>
    <w:rsid w:val="0007497A"/>
    <w:rsid w:val="00074981"/>
    <w:rsid w:val="00074A35"/>
    <w:rsid w:val="00074B62"/>
    <w:rsid w:val="00074B90"/>
    <w:rsid w:val="00074B95"/>
    <w:rsid w:val="00074C00"/>
    <w:rsid w:val="00074C30"/>
    <w:rsid w:val="00074C44"/>
    <w:rsid w:val="00074C83"/>
    <w:rsid w:val="00074CC8"/>
    <w:rsid w:val="00074CE5"/>
    <w:rsid w:val="00074D59"/>
    <w:rsid w:val="00074DB3"/>
    <w:rsid w:val="00074DCE"/>
    <w:rsid w:val="00074EE3"/>
    <w:rsid w:val="00074F09"/>
    <w:rsid w:val="00074FC5"/>
    <w:rsid w:val="00075004"/>
    <w:rsid w:val="00075011"/>
    <w:rsid w:val="0007501D"/>
    <w:rsid w:val="00075027"/>
    <w:rsid w:val="00075039"/>
    <w:rsid w:val="00075158"/>
    <w:rsid w:val="0007515D"/>
    <w:rsid w:val="00075172"/>
    <w:rsid w:val="00075186"/>
    <w:rsid w:val="00075191"/>
    <w:rsid w:val="00075245"/>
    <w:rsid w:val="0007529A"/>
    <w:rsid w:val="000752C5"/>
    <w:rsid w:val="000752C8"/>
    <w:rsid w:val="00075343"/>
    <w:rsid w:val="0007541C"/>
    <w:rsid w:val="00075470"/>
    <w:rsid w:val="00075479"/>
    <w:rsid w:val="00075546"/>
    <w:rsid w:val="0007562F"/>
    <w:rsid w:val="0007566E"/>
    <w:rsid w:val="000756A8"/>
    <w:rsid w:val="000756B6"/>
    <w:rsid w:val="00075738"/>
    <w:rsid w:val="00075796"/>
    <w:rsid w:val="000757EB"/>
    <w:rsid w:val="00075829"/>
    <w:rsid w:val="0007582C"/>
    <w:rsid w:val="00075843"/>
    <w:rsid w:val="000758C5"/>
    <w:rsid w:val="00075932"/>
    <w:rsid w:val="000759E9"/>
    <w:rsid w:val="00075A94"/>
    <w:rsid w:val="00075ABF"/>
    <w:rsid w:val="00075AF6"/>
    <w:rsid w:val="00075B25"/>
    <w:rsid w:val="00075BAD"/>
    <w:rsid w:val="00075C10"/>
    <w:rsid w:val="00075D13"/>
    <w:rsid w:val="00075E7D"/>
    <w:rsid w:val="00075EB4"/>
    <w:rsid w:val="00075ED8"/>
    <w:rsid w:val="00075F10"/>
    <w:rsid w:val="00075F1D"/>
    <w:rsid w:val="00075F2E"/>
    <w:rsid w:val="00075F92"/>
    <w:rsid w:val="00075FB9"/>
    <w:rsid w:val="000761F5"/>
    <w:rsid w:val="00076228"/>
    <w:rsid w:val="00076260"/>
    <w:rsid w:val="000762CA"/>
    <w:rsid w:val="00076464"/>
    <w:rsid w:val="00076551"/>
    <w:rsid w:val="000765C0"/>
    <w:rsid w:val="000765D9"/>
    <w:rsid w:val="00076631"/>
    <w:rsid w:val="0007664C"/>
    <w:rsid w:val="00076677"/>
    <w:rsid w:val="0007675A"/>
    <w:rsid w:val="00076787"/>
    <w:rsid w:val="00076817"/>
    <w:rsid w:val="00076846"/>
    <w:rsid w:val="00076876"/>
    <w:rsid w:val="00076990"/>
    <w:rsid w:val="0007699C"/>
    <w:rsid w:val="000769A8"/>
    <w:rsid w:val="000769AC"/>
    <w:rsid w:val="000769C2"/>
    <w:rsid w:val="000769E1"/>
    <w:rsid w:val="00076A96"/>
    <w:rsid w:val="00076A99"/>
    <w:rsid w:val="00076B09"/>
    <w:rsid w:val="00076C02"/>
    <w:rsid w:val="00076C2B"/>
    <w:rsid w:val="00076CDA"/>
    <w:rsid w:val="00076CE7"/>
    <w:rsid w:val="00076CFF"/>
    <w:rsid w:val="00076D9F"/>
    <w:rsid w:val="00076DBE"/>
    <w:rsid w:val="00076E5F"/>
    <w:rsid w:val="00076E79"/>
    <w:rsid w:val="00076EB7"/>
    <w:rsid w:val="00076F92"/>
    <w:rsid w:val="0007701E"/>
    <w:rsid w:val="00077020"/>
    <w:rsid w:val="00077051"/>
    <w:rsid w:val="0007706E"/>
    <w:rsid w:val="00077092"/>
    <w:rsid w:val="00077193"/>
    <w:rsid w:val="000772E6"/>
    <w:rsid w:val="000773C4"/>
    <w:rsid w:val="000773F5"/>
    <w:rsid w:val="00077408"/>
    <w:rsid w:val="0007745E"/>
    <w:rsid w:val="0007747B"/>
    <w:rsid w:val="000774C2"/>
    <w:rsid w:val="000774D2"/>
    <w:rsid w:val="00077505"/>
    <w:rsid w:val="000775B1"/>
    <w:rsid w:val="000775B8"/>
    <w:rsid w:val="00077634"/>
    <w:rsid w:val="00077659"/>
    <w:rsid w:val="00077679"/>
    <w:rsid w:val="00077691"/>
    <w:rsid w:val="00077767"/>
    <w:rsid w:val="0007784F"/>
    <w:rsid w:val="0007787A"/>
    <w:rsid w:val="0007789F"/>
    <w:rsid w:val="000778FD"/>
    <w:rsid w:val="00077927"/>
    <w:rsid w:val="00077A18"/>
    <w:rsid w:val="00077A33"/>
    <w:rsid w:val="00077A4B"/>
    <w:rsid w:val="00077A81"/>
    <w:rsid w:val="00077B46"/>
    <w:rsid w:val="00077BE2"/>
    <w:rsid w:val="00077C17"/>
    <w:rsid w:val="00077C92"/>
    <w:rsid w:val="00077CC5"/>
    <w:rsid w:val="00077CDE"/>
    <w:rsid w:val="00077D07"/>
    <w:rsid w:val="00077D3F"/>
    <w:rsid w:val="00077D71"/>
    <w:rsid w:val="00077E50"/>
    <w:rsid w:val="00077EB1"/>
    <w:rsid w:val="00077F0E"/>
    <w:rsid w:val="00077F7D"/>
    <w:rsid w:val="00080010"/>
    <w:rsid w:val="0008003F"/>
    <w:rsid w:val="0008005C"/>
    <w:rsid w:val="000800DC"/>
    <w:rsid w:val="000800FC"/>
    <w:rsid w:val="0008019E"/>
    <w:rsid w:val="000801B2"/>
    <w:rsid w:val="00080248"/>
    <w:rsid w:val="00080256"/>
    <w:rsid w:val="000802CB"/>
    <w:rsid w:val="000802EA"/>
    <w:rsid w:val="000802F1"/>
    <w:rsid w:val="00080329"/>
    <w:rsid w:val="000803D3"/>
    <w:rsid w:val="00080453"/>
    <w:rsid w:val="0008047A"/>
    <w:rsid w:val="00080484"/>
    <w:rsid w:val="000804C4"/>
    <w:rsid w:val="00080555"/>
    <w:rsid w:val="0008063A"/>
    <w:rsid w:val="000806C3"/>
    <w:rsid w:val="00080741"/>
    <w:rsid w:val="000807A6"/>
    <w:rsid w:val="000807D0"/>
    <w:rsid w:val="0008086B"/>
    <w:rsid w:val="00080877"/>
    <w:rsid w:val="00080887"/>
    <w:rsid w:val="00080AB9"/>
    <w:rsid w:val="00080AD0"/>
    <w:rsid w:val="00080B99"/>
    <w:rsid w:val="00080C04"/>
    <w:rsid w:val="00080C94"/>
    <w:rsid w:val="00080D38"/>
    <w:rsid w:val="00080D83"/>
    <w:rsid w:val="00080D87"/>
    <w:rsid w:val="00080DE5"/>
    <w:rsid w:val="00080E1A"/>
    <w:rsid w:val="00080E7A"/>
    <w:rsid w:val="00080EF4"/>
    <w:rsid w:val="00080FD9"/>
    <w:rsid w:val="000810FA"/>
    <w:rsid w:val="00081117"/>
    <w:rsid w:val="00081156"/>
    <w:rsid w:val="0008118D"/>
    <w:rsid w:val="000811FC"/>
    <w:rsid w:val="00081256"/>
    <w:rsid w:val="00081288"/>
    <w:rsid w:val="000812AB"/>
    <w:rsid w:val="000812C0"/>
    <w:rsid w:val="00081323"/>
    <w:rsid w:val="00081381"/>
    <w:rsid w:val="0008138C"/>
    <w:rsid w:val="000813E5"/>
    <w:rsid w:val="0008141F"/>
    <w:rsid w:val="0008142C"/>
    <w:rsid w:val="000814C1"/>
    <w:rsid w:val="00081502"/>
    <w:rsid w:val="0008157E"/>
    <w:rsid w:val="00081650"/>
    <w:rsid w:val="00081680"/>
    <w:rsid w:val="00081689"/>
    <w:rsid w:val="00081796"/>
    <w:rsid w:val="000817B6"/>
    <w:rsid w:val="00081849"/>
    <w:rsid w:val="000818AF"/>
    <w:rsid w:val="000818FB"/>
    <w:rsid w:val="0008196E"/>
    <w:rsid w:val="00081975"/>
    <w:rsid w:val="00081A25"/>
    <w:rsid w:val="00081A46"/>
    <w:rsid w:val="00081AF5"/>
    <w:rsid w:val="00081B92"/>
    <w:rsid w:val="00081B9D"/>
    <w:rsid w:val="00081C6E"/>
    <w:rsid w:val="00081D29"/>
    <w:rsid w:val="00081D39"/>
    <w:rsid w:val="00081DA4"/>
    <w:rsid w:val="00081F36"/>
    <w:rsid w:val="00081F4D"/>
    <w:rsid w:val="00081F51"/>
    <w:rsid w:val="00081F6C"/>
    <w:rsid w:val="00081F96"/>
    <w:rsid w:val="00081FE3"/>
    <w:rsid w:val="0008200B"/>
    <w:rsid w:val="00082025"/>
    <w:rsid w:val="000820CD"/>
    <w:rsid w:val="000820E0"/>
    <w:rsid w:val="00082139"/>
    <w:rsid w:val="000821F6"/>
    <w:rsid w:val="00082270"/>
    <w:rsid w:val="000822CB"/>
    <w:rsid w:val="00082303"/>
    <w:rsid w:val="00082346"/>
    <w:rsid w:val="00082348"/>
    <w:rsid w:val="000823FE"/>
    <w:rsid w:val="00082481"/>
    <w:rsid w:val="0008249D"/>
    <w:rsid w:val="000824BB"/>
    <w:rsid w:val="0008251D"/>
    <w:rsid w:val="0008255D"/>
    <w:rsid w:val="00082563"/>
    <w:rsid w:val="000825B3"/>
    <w:rsid w:val="000825D6"/>
    <w:rsid w:val="000825EC"/>
    <w:rsid w:val="0008264A"/>
    <w:rsid w:val="00082687"/>
    <w:rsid w:val="0008269E"/>
    <w:rsid w:val="00082734"/>
    <w:rsid w:val="0008280D"/>
    <w:rsid w:val="0008287F"/>
    <w:rsid w:val="0008291B"/>
    <w:rsid w:val="00082972"/>
    <w:rsid w:val="000829FE"/>
    <w:rsid w:val="00082C50"/>
    <w:rsid w:val="00082C80"/>
    <w:rsid w:val="00082D86"/>
    <w:rsid w:val="00082DC4"/>
    <w:rsid w:val="00082ED4"/>
    <w:rsid w:val="00082F83"/>
    <w:rsid w:val="00082F90"/>
    <w:rsid w:val="00082F9C"/>
    <w:rsid w:val="00082FB2"/>
    <w:rsid w:val="00082FB8"/>
    <w:rsid w:val="0008307F"/>
    <w:rsid w:val="000830A6"/>
    <w:rsid w:val="000830D1"/>
    <w:rsid w:val="000830E0"/>
    <w:rsid w:val="000830E1"/>
    <w:rsid w:val="0008317B"/>
    <w:rsid w:val="0008318B"/>
    <w:rsid w:val="00083225"/>
    <w:rsid w:val="00083279"/>
    <w:rsid w:val="000832C3"/>
    <w:rsid w:val="0008331F"/>
    <w:rsid w:val="0008337A"/>
    <w:rsid w:val="000833CF"/>
    <w:rsid w:val="000833D1"/>
    <w:rsid w:val="000834AC"/>
    <w:rsid w:val="00083526"/>
    <w:rsid w:val="0008358B"/>
    <w:rsid w:val="00083655"/>
    <w:rsid w:val="0008370B"/>
    <w:rsid w:val="0008371C"/>
    <w:rsid w:val="000838AA"/>
    <w:rsid w:val="00083A03"/>
    <w:rsid w:val="00083A09"/>
    <w:rsid w:val="00083A7B"/>
    <w:rsid w:val="00083B86"/>
    <w:rsid w:val="00083BDF"/>
    <w:rsid w:val="00083D05"/>
    <w:rsid w:val="00083DD7"/>
    <w:rsid w:val="00083DF2"/>
    <w:rsid w:val="00083E09"/>
    <w:rsid w:val="00083E40"/>
    <w:rsid w:val="00083ECD"/>
    <w:rsid w:val="00083EDF"/>
    <w:rsid w:val="00083EF5"/>
    <w:rsid w:val="00083FAA"/>
    <w:rsid w:val="0008401F"/>
    <w:rsid w:val="00084069"/>
    <w:rsid w:val="0008406F"/>
    <w:rsid w:val="00084085"/>
    <w:rsid w:val="000840AF"/>
    <w:rsid w:val="000840C4"/>
    <w:rsid w:val="00084111"/>
    <w:rsid w:val="0008417C"/>
    <w:rsid w:val="00084223"/>
    <w:rsid w:val="00084225"/>
    <w:rsid w:val="00084282"/>
    <w:rsid w:val="0008449A"/>
    <w:rsid w:val="000844B1"/>
    <w:rsid w:val="000844F8"/>
    <w:rsid w:val="00084512"/>
    <w:rsid w:val="00084566"/>
    <w:rsid w:val="0008458D"/>
    <w:rsid w:val="00084612"/>
    <w:rsid w:val="000846E3"/>
    <w:rsid w:val="000847DE"/>
    <w:rsid w:val="000848E0"/>
    <w:rsid w:val="000849A6"/>
    <w:rsid w:val="000849E9"/>
    <w:rsid w:val="000849F7"/>
    <w:rsid w:val="000849FF"/>
    <w:rsid w:val="00084A6E"/>
    <w:rsid w:val="00084A85"/>
    <w:rsid w:val="00084A9B"/>
    <w:rsid w:val="00084B3A"/>
    <w:rsid w:val="00084CB2"/>
    <w:rsid w:val="00084CC0"/>
    <w:rsid w:val="00084D8A"/>
    <w:rsid w:val="00084DCE"/>
    <w:rsid w:val="00084EAA"/>
    <w:rsid w:val="00084EBF"/>
    <w:rsid w:val="00084F01"/>
    <w:rsid w:val="00084F12"/>
    <w:rsid w:val="00084F20"/>
    <w:rsid w:val="00084F25"/>
    <w:rsid w:val="00084F26"/>
    <w:rsid w:val="00084FEA"/>
    <w:rsid w:val="00085027"/>
    <w:rsid w:val="00085078"/>
    <w:rsid w:val="000850E1"/>
    <w:rsid w:val="00085105"/>
    <w:rsid w:val="0008514D"/>
    <w:rsid w:val="00085225"/>
    <w:rsid w:val="0008523C"/>
    <w:rsid w:val="0008527F"/>
    <w:rsid w:val="000852A0"/>
    <w:rsid w:val="0008531B"/>
    <w:rsid w:val="000853E7"/>
    <w:rsid w:val="000853F5"/>
    <w:rsid w:val="00085474"/>
    <w:rsid w:val="00085525"/>
    <w:rsid w:val="0008563E"/>
    <w:rsid w:val="0008567A"/>
    <w:rsid w:val="00085733"/>
    <w:rsid w:val="000857D6"/>
    <w:rsid w:val="00085812"/>
    <w:rsid w:val="0008582B"/>
    <w:rsid w:val="00085843"/>
    <w:rsid w:val="00085858"/>
    <w:rsid w:val="0008592E"/>
    <w:rsid w:val="00085930"/>
    <w:rsid w:val="00085A22"/>
    <w:rsid w:val="00085A4D"/>
    <w:rsid w:val="00085AB6"/>
    <w:rsid w:val="00085AE8"/>
    <w:rsid w:val="00085B71"/>
    <w:rsid w:val="00085D3C"/>
    <w:rsid w:val="00085DD1"/>
    <w:rsid w:val="00085E3D"/>
    <w:rsid w:val="00085F03"/>
    <w:rsid w:val="00085F1D"/>
    <w:rsid w:val="00085F36"/>
    <w:rsid w:val="00085FB8"/>
    <w:rsid w:val="00085FF7"/>
    <w:rsid w:val="0008600B"/>
    <w:rsid w:val="0008609C"/>
    <w:rsid w:val="000860B4"/>
    <w:rsid w:val="000860F6"/>
    <w:rsid w:val="00086156"/>
    <w:rsid w:val="000861B6"/>
    <w:rsid w:val="000861F7"/>
    <w:rsid w:val="00086233"/>
    <w:rsid w:val="00086293"/>
    <w:rsid w:val="000862A6"/>
    <w:rsid w:val="000862E2"/>
    <w:rsid w:val="000862FB"/>
    <w:rsid w:val="00086388"/>
    <w:rsid w:val="00086396"/>
    <w:rsid w:val="0008640B"/>
    <w:rsid w:val="00086507"/>
    <w:rsid w:val="00086590"/>
    <w:rsid w:val="000865B2"/>
    <w:rsid w:val="000865E6"/>
    <w:rsid w:val="0008660B"/>
    <w:rsid w:val="00086661"/>
    <w:rsid w:val="000866E1"/>
    <w:rsid w:val="000867D9"/>
    <w:rsid w:val="000867E8"/>
    <w:rsid w:val="00086859"/>
    <w:rsid w:val="0008687D"/>
    <w:rsid w:val="000868B2"/>
    <w:rsid w:val="000868DC"/>
    <w:rsid w:val="0008690E"/>
    <w:rsid w:val="00086988"/>
    <w:rsid w:val="00086A38"/>
    <w:rsid w:val="00086A63"/>
    <w:rsid w:val="00086A89"/>
    <w:rsid w:val="00086AA2"/>
    <w:rsid w:val="00086ADB"/>
    <w:rsid w:val="00086B6D"/>
    <w:rsid w:val="00086B76"/>
    <w:rsid w:val="00086BD0"/>
    <w:rsid w:val="00086C94"/>
    <w:rsid w:val="00086D20"/>
    <w:rsid w:val="00086D22"/>
    <w:rsid w:val="00086E0A"/>
    <w:rsid w:val="00086E32"/>
    <w:rsid w:val="00086E73"/>
    <w:rsid w:val="00086EA5"/>
    <w:rsid w:val="00086EDD"/>
    <w:rsid w:val="00086EFC"/>
    <w:rsid w:val="00086F1B"/>
    <w:rsid w:val="00086F1E"/>
    <w:rsid w:val="00086F54"/>
    <w:rsid w:val="00086F72"/>
    <w:rsid w:val="00086FAC"/>
    <w:rsid w:val="00086FD4"/>
    <w:rsid w:val="00087036"/>
    <w:rsid w:val="0008707F"/>
    <w:rsid w:val="00087210"/>
    <w:rsid w:val="00087260"/>
    <w:rsid w:val="000872A3"/>
    <w:rsid w:val="000872CF"/>
    <w:rsid w:val="00087322"/>
    <w:rsid w:val="00087338"/>
    <w:rsid w:val="00087344"/>
    <w:rsid w:val="0008739D"/>
    <w:rsid w:val="000873C3"/>
    <w:rsid w:val="000873E3"/>
    <w:rsid w:val="000873FB"/>
    <w:rsid w:val="0008747F"/>
    <w:rsid w:val="00087491"/>
    <w:rsid w:val="00087508"/>
    <w:rsid w:val="000876F4"/>
    <w:rsid w:val="00087712"/>
    <w:rsid w:val="0008777E"/>
    <w:rsid w:val="0008791E"/>
    <w:rsid w:val="00087983"/>
    <w:rsid w:val="000879BB"/>
    <w:rsid w:val="00087AF3"/>
    <w:rsid w:val="00087B19"/>
    <w:rsid w:val="00087B23"/>
    <w:rsid w:val="00087BC7"/>
    <w:rsid w:val="00087BEB"/>
    <w:rsid w:val="00087BF5"/>
    <w:rsid w:val="00087C68"/>
    <w:rsid w:val="00087CBB"/>
    <w:rsid w:val="00087D0D"/>
    <w:rsid w:val="00087D96"/>
    <w:rsid w:val="00087E8F"/>
    <w:rsid w:val="00087EBF"/>
    <w:rsid w:val="00087F21"/>
    <w:rsid w:val="00087FA9"/>
    <w:rsid w:val="00090009"/>
    <w:rsid w:val="0009006F"/>
    <w:rsid w:val="000900CF"/>
    <w:rsid w:val="0009025B"/>
    <w:rsid w:val="000902CB"/>
    <w:rsid w:val="000902DC"/>
    <w:rsid w:val="000902F7"/>
    <w:rsid w:val="0009042C"/>
    <w:rsid w:val="00090483"/>
    <w:rsid w:val="00090516"/>
    <w:rsid w:val="000905A1"/>
    <w:rsid w:val="000905AF"/>
    <w:rsid w:val="00090683"/>
    <w:rsid w:val="0009068E"/>
    <w:rsid w:val="00090696"/>
    <w:rsid w:val="0009069A"/>
    <w:rsid w:val="00090796"/>
    <w:rsid w:val="000907E8"/>
    <w:rsid w:val="000907F1"/>
    <w:rsid w:val="0009085E"/>
    <w:rsid w:val="00090906"/>
    <w:rsid w:val="0009091F"/>
    <w:rsid w:val="00090930"/>
    <w:rsid w:val="00090933"/>
    <w:rsid w:val="00090A69"/>
    <w:rsid w:val="00090AF0"/>
    <w:rsid w:val="00090B6E"/>
    <w:rsid w:val="00090BA8"/>
    <w:rsid w:val="00090BAD"/>
    <w:rsid w:val="00090C54"/>
    <w:rsid w:val="00090CB0"/>
    <w:rsid w:val="00090CCC"/>
    <w:rsid w:val="00090D44"/>
    <w:rsid w:val="00090EF9"/>
    <w:rsid w:val="00090FDB"/>
    <w:rsid w:val="0009100E"/>
    <w:rsid w:val="0009103A"/>
    <w:rsid w:val="00091084"/>
    <w:rsid w:val="0009109D"/>
    <w:rsid w:val="000910FA"/>
    <w:rsid w:val="000911DC"/>
    <w:rsid w:val="000911DD"/>
    <w:rsid w:val="000912AD"/>
    <w:rsid w:val="00091302"/>
    <w:rsid w:val="0009133F"/>
    <w:rsid w:val="00091366"/>
    <w:rsid w:val="00091373"/>
    <w:rsid w:val="00091483"/>
    <w:rsid w:val="0009149F"/>
    <w:rsid w:val="0009154F"/>
    <w:rsid w:val="00091757"/>
    <w:rsid w:val="00091778"/>
    <w:rsid w:val="0009182A"/>
    <w:rsid w:val="0009189E"/>
    <w:rsid w:val="000918A0"/>
    <w:rsid w:val="000918CD"/>
    <w:rsid w:val="00091925"/>
    <w:rsid w:val="0009194D"/>
    <w:rsid w:val="00091982"/>
    <w:rsid w:val="000919EE"/>
    <w:rsid w:val="000919FC"/>
    <w:rsid w:val="00091A46"/>
    <w:rsid w:val="00091ABD"/>
    <w:rsid w:val="00091B4C"/>
    <w:rsid w:val="00091B87"/>
    <w:rsid w:val="00091C7E"/>
    <w:rsid w:val="00091CB2"/>
    <w:rsid w:val="00091CEF"/>
    <w:rsid w:val="00091D00"/>
    <w:rsid w:val="00091D43"/>
    <w:rsid w:val="00091D60"/>
    <w:rsid w:val="00091DAE"/>
    <w:rsid w:val="00091DBC"/>
    <w:rsid w:val="00091E1C"/>
    <w:rsid w:val="00091E5A"/>
    <w:rsid w:val="00091E76"/>
    <w:rsid w:val="00091E8D"/>
    <w:rsid w:val="00091F8D"/>
    <w:rsid w:val="00091FD0"/>
    <w:rsid w:val="0009207F"/>
    <w:rsid w:val="00092080"/>
    <w:rsid w:val="00092086"/>
    <w:rsid w:val="00092145"/>
    <w:rsid w:val="00092195"/>
    <w:rsid w:val="00092203"/>
    <w:rsid w:val="000923D0"/>
    <w:rsid w:val="00092413"/>
    <w:rsid w:val="00092447"/>
    <w:rsid w:val="00092508"/>
    <w:rsid w:val="00092572"/>
    <w:rsid w:val="00092618"/>
    <w:rsid w:val="0009262C"/>
    <w:rsid w:val="00092651"/>
    <w:rsid w:val="00092668"/>
    <w:rsid w:val="000926B8"/>
    <w:rsid w:val="000926E0"/>
    <w:rsid w:val="00092739"/>
    <w:rsid w:val="000927A4"/>
    <w:rsid w:val="000927CA"/>
    <w:rsid w:val="0009282C"/>
    <w:rsid w:val="0009291F"/>
    <w:rsid w:val="00092974"/>
    <w:rsid w:val="00092A76"/>
    <w:rsid w:val="00092B2A"/>
    <w:rsid w:val="00092C20"/>
    <w:rsid w:val="00092C57"/>
    <w:rsid w:val="00092D92"/>
    <w:rsid w:val="00092DE2"/>
    <w:rsid w:val="00092E3E"/>
    <w:rsid w:val="00092E58"/>
    <w:rsid w:val="00092EC2"/>
    <w:rsid w:val="00092FC0"/>
    <w:rsid w:val="00093004"/>
    <w:rsid w:val="00093012"/>
    <w:rsid w:val="00093055"/>
    <w:rsid w:val="000930D4"/>
    <w:rsid w:val="0009311E"/>
    <w:rsid w:val="00093199"/>
    <w:rsid w:val="0009325D"/>
    <w:rsid w:val="00093275"/>
    <w:rsid w:val="00093297"/>
    <w:rsid w:val="0009341D"/>
    <w:rsid w:val="0009342B"/>
    <w:rsid w:val="00093438"/>
    <w:rsid w:val="0009346F"/>
    <w:rsid w:val="00093575"/>
    <w:rsid w:val="000935EA"/>
    <w:rsid w:val="00093608"/>
    <w:rsid w:val="0009360E"/>
    <w:rsid w:val="00093662"/>
    <w:rsid w:val="000936B4"/>
    <w:rsid w:val="000936F4"/>
    <w:rsid w:val="00093764"/>
    <w:rsid w:val="0009377A"/>
    <w:rsid w:val="000938D1"/>
    <w:rsid w:val="000939B3"/>
    <w:rsid w:val="00093B64"/>
    <w:rsid w:val="00093C16"/>
    <w:rsid w:val="00093C56"/>
    <w:rsid w:val="00093C7A"/>
    <w:rsid w:val="00093C97"/>
    <w:rsid w:val="00093CDA"/>
    <w:rsid w:val="00093D4E"/>
    <w:rsid w:val="00093D65"/>
    <w:rsid w:val="00093D67"/>
    <w:rsid w:val="00093DD2"/>
    <w:rsid w:val="00093DD8"/>
    <w:rsid w:val="00093EAB"/>
    <w:rsid w:val="00093EC4"/>
    <w:rsid w:val="00093F4E"/>
    <w:rsid w:val="00093F7C"/>
    <w:rsid w:val="00093F97"/>
    <w:rsid w:val="00093FC2"/>
    <w:rsid w:val="00094036"/>
    <w:rsid w:val="000940D8"/>
    <w:rsid w:val="00094119"/>
    <w:rsid w:val="000941C7"/>
    <w:rsid w:val="00094314"/>
    <w:rsid w:val="00094365"/>
    <w:rsid w:val="0009437E"/>
    <w:rsid w:val="000943A8"/>
    <w:rsid w:val="00094425"/>
    <w:rsid w:val="00094462"/>
    <w:rsid w:val="00094472"/>
    <w:rsid w:val="000944BE"/>
    <w:rsid w:val="0009467A"/>
    <w:rsid w:val="0009467D"/>
    <w:rsid w:val="000946B8"/>
    <w:rsid w:val="000946F0"/>
    <w:rsid w:val="00094773"/>
    <w:rsid w:val="000947D4"/>
    <w:rsid w:val="0009485E"/>
    <w:rsid w:val="00094862"/>
    <w:rsid w:val="000948AD"/>
    <w:rsid w:val="00094986"/>
    <w:rsid w:val="000949CC"/>
    <w:rsid w:val="000949F8"/>
    <w:rsid w:val="00094B11"/>
    <w:rsid w:val="00094B17"/>
    <w:rsid w:val="00094B54"/>
    <w:rsid w:val="00094BE2"/>
    <w:rsid w:val="00094C95"/>
    <w:rsid w:val="00094CC0"/>
    <w:rsid w:val="00094CE6"/>
    <w:rsid w:val="00094DE0"/>
    <w:rsid w:val="00094E2A"/>
    <w:rsid w:val="00094FB9"/>
    <w:rsid w:val="00094FD0"/>
    <w:rsid w:val="00094FF6"/>
    <w:rsid w:val="0009502C"/>
    <w:rsid w:val="0009504F"/>
    <w:rsid w:val="00095065"/>
    <w:rsid w:val="0009509B"/>
    <w:rsid w:val="000950A2"/>
    <w:rsid w:val="00095120"/>
    <w:rsid w:val="0009522C"/>
    <w:rsid w:val="00095231"/>
    <w:rsid w:val="00095248"/>
    <w:rsid w:val="0009537E"/>
    <w:rsid w:val="0009547B"/>
    <w:rsid w:val="00095493"/>
    <w:rsid w:val="0009556B"/>
    <w:rsid w:val="0009558B"/>
    <w:rsid w:val="000955E6"/>
    <w:rsid w:val="00095648"/>
    <w:rsid w:val="00095691"/>
    <w:rsid w:val="000956B4"/>
    <w:rsid w:val="000956D3"/>
    <w:rsid w:val="00095780"/>
    <w:rsid w:val="000957FC"/>
    <w:rsid w:val="0009582A"/>
    <w:rsid w:val="000958B3"/>
    <w:rsid w:val="00095930"/>
    <w:rsid w:val="0009597A"/>
    <w:rsid w:val="000959BD"/>
    <w:rsid w:val="00095A34"/>
    <w:rsid w:val="00095A38"/>
    <w:rsid w:val="00095A6E"/>
    <w:rsid w:val="00095A8F"/>
    <w:rsid w:val="00095ADD"/>
    <w:rsid w:val="00095AEB"/>
    <w:rsid w:val="00095AF8"/>
    <w:rsid w:val="00095B7A"/>
    <w:rsid w:val="00095B84"/>
    <w:rsid w:val="00095C28"/>
    <w:rsid w:val="00095C34"/>
    <w:rsid w:val="00095C51"/>
    <w:rsid w:val="00095CBF"/>
    <w:rsid w:val="00095CC2"/>
    <w:rsid w:val="00095CC9"/>
    <w:rsid w:val="00095D2D"/>
    <w:rsid w:val="00095D7E"/>
    <w:rsid w:val="00095DFF"/>
    <w:rsid w:val="00095E71"/>
    <w:rsid w:val="00095EDA"/>
    <w:rsid w:val="00095F03"/>
    <w:rsid w:val="00095F27"/>
    <w:rsid w:val="00095FDA"/>
    <w:rsid w:val="0009602E"/>
    <w:rsid w:val="00096039"/>
    <w:rsid w:val="000960C5"/>
    <w:rsid w:val="00096118"/>
    <w:rsid w:val="00096197"/>
    <w:rsid w:val="000961DC"/>
    <w:rsid w:val="000961F5"/>
    <w:rsid w:val="000962D7"/>
    <w:rsid w:val="000962DE"/>
    <w:rsid w:val="000962E6"/>
    <w:rsid w:val="0009630B"/>
    <w:rsid w:val="000963AB"/>
    <w:rsid w:val="0009644B"/>
    <w:rsid w:val="0009648E"/>
    <w:rsid w:val="000964EA"/>
    <w:rsid w:val="000964EE"/>
    <w:rsid w:val="00096505"/>
    <w:rsid w:val="0009658C"/>
    <w:rsid w:val="0009659B"/>
    <w:rsid w:val="000965A9"/>
    <w:rsid w:val="0009662D"/>
    <w:rsid w:val="0009663C"/>
    <w:rsid w:val="0009663D"/>
    <w:rsid w:val="00096640"/>
    <w:rsid w:val="0009665E"/>
    <w:rsid w:val="000966FE"/>
    <w:rsid w:val="0009675D"/>
    <w:rsid w:val="00096797"/>
    <w:rsid w:val="0009679B"/>
    <w:rsid w:val="000967C1"/>
    <w:rsid w:val="0009683B"/>
    <w:rsid w:val="0009685D"/>
    <w:rsid w:val="000968D1"/>
    <w:rsid w:val="0009690A"/>
    <w:rsid w:val="00096942"/>
    <w:rsid w:val="00096953"/>
    <w:rsid w:val="00096966"/>
    <w:rsid w:val="00096985"/>
    <w:rsid w:val="000969BB"/>
    <w:rsid w:val="000969EE"/>
    <w:rsid w:val="00096A46"/>
    <w:rsid w:val="00096A9B"/>
    <w:rsid w:val="00096B3D"/>
    <w:rsid w:val="00096B6E"/>
    <w:rsid w:val="00096B90"/>
    <w:rsid w:val="00096BAB"/>
    <w:rsid w:val="00096D19"/>
    <w:rsid w:val="00096D7F"/>
    <w:rsid w:val="00096DBE"/>
    <w:rsid w:val="00096E00"/>
    <w:rsid w:val="00096E35"/>
    <w:rsid w:val="00096E5D"/>
    <w:rsid w:val="00096EB7"/>
    <w:rsid w:val="00096FA8"/>
    <w:rsid w:val="00096FF4"/>
    <w:rsid w:val="00096FFC"/>
    <w:rsid w:val="00097011"/>
    <w:rsid w:val="0009713A"/>
    <w:rsid w:val="00097146"/>
    <w:rsid w:val="00097205"/>
    <w:rsid w:val="00097233"/>
    <w:rsid w:val="000972D0"/>
    <w:rsid w:val="000972F9"/>
    <w:rsid w:val="00097344"/>
    <w:rsid w:val="0009737C"/>
    <w:rsid w:val="000973D1"/>
    <w:rsid w:val="000973D8"/>
    <w:rsid w:val="000973DB"/>
    <w:rsid w:val="000973F3"/>
    <w:rsid w:val="00097423"/>
    <w:rsid w:val="00097472"/>
    <w:rsid w:val="000974CD"/>
    <w:rsid w:val="000974D4"/>
    <w:rsid w:val="00097575"/>
    <w:rsid w:val="0009757F"/>
    <w:rsid w:val="00097584"/>
    <w:rsid w:val="00097609"/>
    <w:rsid w:val="00097666"/>
    <w:rsid w:val="00097713"/>
    <w:rsid w:val="00097724"/>
    <w:rsid w:val="0009788A"/>
    <w:rsid w:val="000978E1"/>
    <w:rsid w:val="00097AA0"/>
    <w:rsid w:val="00097AE5"/>
    <w:rsid w:val="00097BE7"/>
    <w:rsid w:val="00097CE6"/>
    <w:rsid w:val="00097D52"/>
    <w:rsid w:val="00097D85"/>
    <w:rsid w:val="00097DB9"/>
    <w:rsid w:val="00097DF3"/>
    <w:rsid w:val="00097E21"/>
    <w:rsid w:val="00097E26"/>
    <w:rsid w:val="00097E5A"/>
    <w:rsid w:val="00097EAA"/>
    <w:rsid w:val="00097EB2"/>
    <w:rsid w:val="00097F12"/>
    <w:rsid w:val="00097F47"/>
    <w:rsid w:val="00097F6D"/>
    <w:rsid w:val="00097FF7"/>
    <w:rsid w:val="000A002B"/>
    <w:rsid w:val="000A0048"/>
    <w:rsid w:val="000A008C"/>
    <w:rsid w:val="000A00ED"/>
    <w:rsid w:val="000A0118"/>
    <w:rsid w:val="000A013D"/>
    <w:rsid w:val="000A01A6"/>
    <w:rsid w:val="000A0212"/>
    <w:rsid w:val="000A0220"/>
    <w:rsid w:val="000A0232"/>
    <w:rsid w:val="000A036E"/>
    <w:rsid w:val="000A038C"/>
    <w:rsid w:val="000A03FB"/>
    <w:rsid w:val="000A0470"/>
    <w:rsid w:val="000A04B8"/>
    <w:rsid w:val="000A04C0"/>
    <w:rsid w:val="000A04FB"/>
    <w:rsid w:val="000A0523"/>
    <w:rsid w:val="000A0575"/>
    <w:rsid w:val="000A0611"/>
    <w:rsid w:val="000A065F"/>
    <w:rsid w:val="000A06CC"/>
    <w:rsid w:val="000A06D1"/>
    <w:rsid w:val="000A07EA"/>
    <w:rsid w:val="000A081B"/>
    <w:rsid w:val="000A0827"/>
    <w:rsid w:val="000A0833"/>
    <w:rsid w:val="000A083C"/>
    <w:rsid w:val="000A085B"/>
    <w:rsid w:val="000A0A4D"/>
    <w:rsid w:val="000A0B6F"/>
    <w:rsid w:val="000A0B8F"/>
    <w:rsid w:val="000A0BB4"/>
    <w:rsid w:val="000A0BCC"/>
    <w:rsid w:val="000A0C4F"/>
    <w:rsid w:val="000A0C7C"/>
    <w:rsid w:val="000A0D5D"/>
    <w:rsid w:val="000A0DB7"/>
    <w:rsid w:val="000A0E3D"/>
    <w:rsid w:val="000A0EF9"/>
    <w:rsid w:val="000A0F22"/>
    <w:rsid w:val="000A0F95"/>
    <w:rsid w:val="000A0FDA"/>
    <w:rsid w:val="000A1018"/>
    <w:rsid w:val="000A10C8"/>
    <w:rsid w:val="000A112D"/>
    <w:rsid w:val="000A1149"/>
    <w:rsid w:val="000A118A"/>
    <w:rsid w:val="000A12CE"/>
    <w:rsid w:val="000A130E"/>
    <w:rsid w:val="000A132C"/>
    <w:rsid w:val="000A1369"/>
    <w:rsid w:val="000A13D2"/>
    <w:rsid w:val="000A14E1"/>
    <w:rsid w:val="000A160F"/>
    <w:rsid w:val="000A1651"/>
    <w:rsid w:val="000A1658"/>
    <w:rsid w:val="000A166A"/>
    <w:rsid w:val="000A1670"/>
    <w:rsid w:val="000A16D8"/>
    <w:rsid w:val="000A16F6"/>
    <w:rsid w:val="000A170C"/>
    <w:rsid w:val="000A1715"/>
    <w:rsid w:val="000A175F"/>
    <w:rsid w:val="000A17A5"/>
    <w:rsid w:val="000A1819"/>
    <w:rsid w:val="000A1852"/>
    <w:rsid w:val="000A18F6"/>
    <w:rsid w:val="000A199D"/>
    <w:rsid w:val="000A19BF"/>
    <w:rsid w:val="000A1AB0"/>
    <w:rsid w:val="000A1ACA"/>
    <w:rsid w:val="000A1BA6"/>
    <w:rsid w:val="000A1C25"/>
    <w:rsid w:val="000A1D22"/>
    <w:rsid w:val="000A1DC9"/>
    <w:rsid w:val="000A1E30"/>
    <w:rsid w:val="000A1E8C"/>
    <w:rsid w:val="000A1F09"/>
    <w:rsid w:val="000A1F50"/>
    <w:rsid w:val="000A1F6E"/>
    <w:rsid w:val="000A210D"/>
    <w:rsid w:val="000A213E"/>
    <w:rsid w:val="000A2211"/>
    <w:rsid w:val="000A2244"/>
    <w:rsid w:val="000A22CE"/>
    <w:rsid w:val="000A22EB"/>
    <w:rsid w:val="000A23B2"/>
    <w:rsid w:val="000A23BA"/>
    <w:rsid w:val="000A243E"/>
    <w:rsid w:val="000A2453"/>
    <w:rsid w:val="000A24D7"/>
    <w:rsid w:val="000A24F6"/>
    <w:rsid w:val="000A256B"/>
    <w:rsid w:val="000A25BF"/>
    <w:rsid w:val="000A2614"/>
    <w:rsid w:val="000A2770"/>
    <w:rsid w:val="000A27E1"/>
    <w:rsid w:val="000A2834"/>
    <w:rsid w:val="000A2872"/>
    <w:rsid w:val="000A2888"/>
    <w:rsid w:val="000A28B2"/>
    <w:rsid w:val="000A293A"/>
    <w:rsid w:val="000A293E"/>
    <w:rsid w:val="000A297E"/>
    <w:rsid w:val="000A29D0"/>
    <w:rsid w:val="000A29DA"/>
    <w:rsid w:val="000A2A14"/>
    <w:rsid w:val="000A2A42"/>
    <w:rsid w:val="000A2B41"/>
    <w:rsid w:val="000A2B6F"/>
    <w:rsid w:val="000A2B7C"/>
    <w:rsid w:val="000A2BA0"/>
    <w:rsid w:val="000A2C44"/>
    <w:rsid w:val="000A2D1C"/>
    <w:rsid w:val="000A2D44"/>
    <w:rsid w:val="000A2D53"/>
    <w:rsid w:val="000A2DF8"/>
    <w:rsid w:val="000A2E51"/>
    <w:rsid w:val="000A2E5C"/>
    <w:rsid w:val="000A2EB1"/>
    <w:rsid w:val="000A2F08"/>
    <w:rsid w:val="000A2F27"/>
    <w:rsid w:val="000A2F8E"/>
    <w:rsid w:val="000A2FBD"/>
    <w:rsid w:val="000A2FC7"/>
    <w:rsid w:val="000A3065"/>
    <w:rsid w:val="000A311B"/>
    <w:rsid w:val="000A314A"/>
    <w:rsid w:val="000A3217"/>
    <w:rsid w:val="000A32B8"/>
    <w:rsid w:val="000A334C"/>
    <w:rsid w:val="000A3365"/>
    <w:rsid w:val="000A3382"/>
    <w:rsid w:val="000A33B3"/>
    <w:rsid w:val="000A33D3"/>
    <w:rsid w:val="000A3406"/>
    <w:rsid w:val="000A347F"/>
    <w:rsid w:val="000A34C8"/>
    <w:rsid w:val="000A34E5"/>
    <w:rsid w:val="000A35AA"/>
    <w:rsid w:val="000A362A"/>
    <w:rsid w:val="000A36BB"/>
    <w:rsid w:val="000A3757"/>
    <w:rsid w:val="000A378E"/>
    <w:rsid w:val="000A37BD"/>
    <w:rsid w:val="000A3927"/>
    <w:rsid w:val="000A3928"/>
    <w:rsid w:val="000A3A20"/>
    <w:rsid w:val="000A3BC6"/>
    <w:rsid w:val="000A3C99"/>
    <w:rsid w:val="000A3D2C"/>
    <w:rsid w:val="000A3DF7"/>
    <w:rsid w:val="000A3E17"/>
    <w:rsid w:val="000A3E72"/>
    <w:rsid w:val="000A3E7D"/>
    <w:rsid w:val="000A3EE1"/>
    <w:rsid w:val="000A3F2D"/>
    <w:rsid w:val="000A4091"/>
    <w:rsid w:val="000A4221"/>
    <w:rsid w:val="000A4250"/>
    <w:rsid w:val="000A4292"/>
    <w:rsid w:val="000A4300"/>
    <w:rsid w:val="000A437F"/>
    <w:rsid w:val="000A4398"/>
    <w:rsid w:val="000A439A"/>
    <w:rsid w:val="000A43AC"/>
    <w:rsid w:val="000A441B"/>
    <w:rsid w:val="000A446A"/>
    <w:rsid w:val="000A4490"/>
    <w:rsid w:val="000A44E6"/>
    <w:rsid w:val="000A44E9"/>
    <w:rsid w:val="000A44FE"/>
    <w:rsid w:val="000A459A"/>
    <w:rsid w:val="000A45AF"/>
    <w:rsid w:val="000A45B0"/>
    <w:rsid w:val="000A46B7"/>
    <w:rsid w:val="000A4796"/>
    <w:rsid w:val="000A47D7"/>
    <w:rsid w:val="000A47E6"/>
    <w:rsid w:val="000A480D"/>
    <w:rsid w:val="000A481E"/>
    <w:rsid w:val="000A484A"/>
    <w:rsid w:val="000A488B"/>
    <w:rsid w:val="000A48AF"/>
    <w:rsid w:val="000A490C"/>
    <w:rsid w:val="000A4935"/>
    <w:rsid w:val="000A493A"/>
    <w:rsid w:val="000A4978"/>
    <w:rsid w:val="000A4983"/>
    <w:rsid w:val="000A4989"/>
    <w:rsid w:val="000A49D2"/>
    <w:rsid w:val="000A4A00"/>
    <w:rsid w:val="000A4A21"/>
    <w:rsid w:val="000A4A99"/>
    <w:rsid w:val="000A4B09"/>
    <w:rsid w:val="000A4C6F"/>
    <w:rsid w:val="000A4D37"/>
    <w:rsid w:val="000A4D46"/>
    <w:rsid w:val="000A4D5D"/>
    <w:rsid w:val="000A4E0C"/>
    <w:rsid w:val="000A4E83"/>
    <w:rsid w:val="000A4F12"/>
    <w:rsid w:val="000A4F5E"/>
    <w:rsid w:val="000A4F6D"/>
    <w:rsid w:val="000A4F81"/>
    <w:rsid w:val="000A4F89"/>
    <w:rsid w:val="000A500A"/>
    <w:rsid w:val="000A500C"/>
    <w:rsid w:val="000A50AC"/>
    <w:rsid w:val="000A5151"/>
    <w:rsid w:val="000A518C"/>
    <w:rsid w:val="000A51BB"/>
    <w:rsid w:val="000A51D7"/>
    <w:rsid w:val="000A5224"/>
    <w:rsid w:val="000A526E"/>
    <w:rsid w:val="000A529F"/>
    <w:rsid w:val="000A532C"/>
    <w:rsid w:val="000A532F"/>
    <w:rsid w:val="000A5388"/>
    <w:rsid w:val="000A5393"/>
    <w:rsid w:val="000A53A8"/>
    <w:rsid w:val="000A548B"/>
    <w:rsid w:val="000A5500"/>
    <w:rsid w:val="000A556A"/>
    <w:rsid w:val="000A5596"/>
    <w:rsid w:val="000A55CC"/>
    <w:rsid w:val="000A562A"/>
    <w:rsid w:val="000A563B"/>
    <w:rsid w:val="000A577D"/>
    <w:rsid w:val="000A579B"/>
    <w:rsid w:val="000A5806"/>
    <w:rsid w:val="000A5824"/>
    <w:rsid w:val="000A5845"/>
    <w:rsid w:val="000A585F"/>
    <w:rsid w:val="000A588B"/>
    <w:rsid w:val="000A58FE"/>
    <w:rsid w:val="000A593A"/>
    <w:rsid w:val="000A5A00"/>
    <w:rsid w:val="000A5A47"/>
    <w:rsid w:val="000A5A8E"/>
    <w:rsid w:val="000A5A90"/>
    <w:rsid w:val="000A5B2D"/>
    <w:rsid w:val="000A5B6C"/>
    <w:rsid w:val="000A5BA8"/>
    <w:rsid w:val="000A5C24"/>
    <w:rsid w:val="000A5C88"/>
    <w:rsid w:val="000A5D67"/>
    <w:rsid w:val="000A5DC0"/>
    <w:rsid w:val="000A5E02"/>
    <w:rsid w:val="000A5E29"/>
    <w:rsid w:val="000A5F25"/>
    <w:rsid w:val="000A5F76"/>
    <w:rsid w:val="000A5FA0"/>
    <w:rsid w:val="000A5FB5"/>
    <w:rsid w:val="000A6013"/>
    <w:rsid w:val="000A603F"/>
    <w:rsid w:val="000A60B4"/>
    <w:rsid w:val="000A6154"/>
    <w:rsid w:val="000A627D"/>
    <w:rsid w:val="000A62F1"/>
    <w:rsid w:val="000A632E"/>
    <w:rsid w:val="000A6349"/>
    <w:rsid w:val="000A63FF"/>
    <w:rsid w:val="000A646F"/>
    <w:rsid w:val="000A64A1"/>
    <w:rsid w:val="000A6503"/>
    <w:rsid w:val="000A651B"/>
    <w:rsid w:val="000A6562"/>
    <w:rsid w:val="000A6622"/>
    <w:rsid w:val="000A6693"/>
    <w:rsid w:val="000A6765"/>
    <w:rsid w:val="000A6808"/>
    <w:rsid w:val="000A6825"/>
    <w:rsid w:val="000A6946"/>
    <w:rsid w:val="000A69A6"/>
    <w:rsid w:val="000A6A1F"/>
    <w:rsid w:val="000A6A5B"/>
    <w:rsid w:val="000A6B4B"/>
    <w:rsid w:val="000A6B55"/>
    <w:rsid w:val="000A6B5E"/>
    <w:rsid w:val="000A6BFC"/>
    <w:rsid w:val="000A6C45"/>
    <w:rsid w:val="000A6C4F"/>
    <w:rsid w:val="000A6C6E"/>
    <w:rsid w:val="000A6C96"/>
    <w:rsid w:val="000A6CC1"/>
    <w:rsid w:val="000A6DD4"/>
    <w:rsid w:val="000A6DE1"/>
    <w:rsid w:val="000A6E0B"/>
    <w:rsid w:val="000A6E3E"/>
    <w:rsid w:val="000A6E52"/>
    <w:rsid w:val="000A6EBF"/>
    <w:rsid w:val="000A6EE2"/>
    <w:rsid w:val="000A6F07"/>
    <w:rsid w:val="000A6F56"/>
    <w:rsid w:val="000A709C"/>
    <w:rsid w:val="000A70CC"/>
    <w:rsid w:val="000A70F8"/>
    <w:rsid w:val="000A7179"/>
    <w:rsid w:val="000A7214"/>
    <w:rsid w:val="000A727F"/>
    <w:rsid w:val="000A7308"/>
    <w:rsid w:val="000A73C0"/>
    <w:rsid w:val="000A73D6"/>
    <w:rsid w:val="000A7516"/>
    <w:rsid w:val="000A756C"/>
    <w:rsid w:val="000A75E3"/>
    <w:rsid w:val="000A7655"/>
    <w:rsid w:val="000A769E"/>
    <w:rsid w:val="000A76C4"/>
    <w:rsid w:val="000A774B"/>
    <w:rsid w:val="000A77AD"/>
    <w:rsid w:val="000A7813"/>
    <w:rsid w:val="000A7827"/>
    <w:rsid w:val="000A784A"/>
    <w:rsid w:val="000A786A"/>
    <w:rsid w:val="000A786C"/>
    <w:rsid w:val="000A7886"/>
    <w:rsid w:val="000A7A14"/>
    <w:rsid w:val="000A7A87"/>
    <w:rsid w:val="000A7A89"/>
    <w:rsid w:val="000A7A8E"/>
    <w:rsid w:val="000A7B8B"/>
    <w:rsid w:val="000A7C22"/>
    <w:rsid w:val="000A7C50"/>
    <w:rsid w:val="000A7C6E"/>
    <w:rsid w:val="000A7CFA"/>
    <w:rsid w:val="000A7D0B"/>
    <w:rsid w:val="000A7D86"/>
    <w:rsid w:val="000A7DE0"/>
    <w:rsid w:val="000A7DF0"/>
    <w:rsid w:val="000A7E30"/>
    <w:rsid w:val="000A7F25"/>
    <w:rsid w:val="000A7F43"/>
    <w:rsid w:val="000A7F4C"/>
    <w:rsid w:val="000A7F91"/>
    <w:rsid w:val="000A7FBB"/>
    <w:rsid w:val="000A7FC3"/>
    <w:rsid w:val="000A7FFB"/>
    <w:rsid w:val="000B000F"/>
    <w:rsid w:val="000B0033"/>
    <w:rsid w:val="000B0101"/>
    <w:rsid w:val="000B0106"/>
    <w:rsid w:val="000B011C"/>
    <w:rsid w:val="000B014B"/>
    <w:rsid w:val="000B0335"/>
    <w:rsid w:val="000B0338"/>
    <w:rsid w:val="000B0387"/>
    <w:rsid w:val="000B03B5"/>
    <w:rsid w:val="000B0413"/>
    <w:rsid w:val="000B0447"/>
    <w:rsid w:val="000B0502"/>
    <w:rsid w:val="000B0508"/>
    <w:rsid w:val="000B06B9"/>
    <w:rsid w:val="000B0722"/>
    <w:rsid w:val="000B0764"/>
    <w:rsid w:val="000B079F"/>
    <w:rsid w:val="000B0817"/>
    <w:rsid w:val="000B0970"/>
    <w:rsid w:val="000B0978"/>
    <w:rsid w:val="000B0A2A"/>
    <w:rsid w:val="000B0A2F"/>
    <w:rsid w:val="000B0A4F"/>
    <w:rsid w:val="000B0AD3"/>
    <w:rsid w:val="000B0AE4"/>
    <w:rsid w:val="000B0AEC"/>
    <w:rsid w:val="000B0B08"/>
    <w:rsid w:val="000B0B43"/>
    <w:rsid w:val="000B0BA9"/>
    <w:rsid w:val="000B0BDE"/>
    <w:rsid w:val="000B0CC8"/>
    <w:rsid w:val="000B0CF9"/>
    <w:rsid w:val="000B0D62"/>
    <w:rsid w:val="000B0DC1"/>
    <w:rsid w:val="000B0E0F"/>
    <w:rsid w:val="000B0EAB"/>
    <w:rsid w:val="000B0F5B"/>
    <w:rsid w:val="000B0FBD"/>
    <w:rsid w:val="000B1024"/>
    <w:rsid w:val="000B104C"/>
    <w:rsid w:val="000B108D"/>
    <w:rsid w:val="000B1097"/>
    <w:rsid w:val="000B10D2"/>
    <w:rsid w:val="000B113D"/>
    <w:rsid w:val="000B11E4"/>
    <w:rsid w:val="000B123C"/>
    <w:rsid w:val="000B1274"/>
    <w:rsid w:val="000B1306"/>
    <w:rsid w:val="000B137F"/>
    <w:rsid w:val="000B13F2"/>
    <w:rsid w:val="000B1443"/>
    <w:rsid w:val="000B14DF"/>
    <w:rsid w:val="000B150A"/>
    <w:rsid w:val="000B161F"/>
    <w:rsid w:val="000B1639"/>
    <w:rsid w:val="000B167A"/>
    <w:rsid w:val="000B168C"/>
    <w:rsid w:val="000B16DF"/>
    <w:rsid w:val="000B1763"/>
    <w:rsid w:val="000B1797"/>
    <w:rsid w:val="000B17FC"/>
    <w:rsid w:val="000B180B"/>
    <w:rsid w:val="000B181C"/>
    <w:rsid w:val="000B188A"/>
    <w:rsid w:val="000B1910"/>
    <w:rsid w:val="000B19BE"/>
    <w:rsid w:val="000B19D2"/>
    <w:rsid w:val="000B19DF"/>
    <w:rsid w:val="000B19FA"/>
    <w:rsid w:val="000B1A34"/>
    <w:rsid w:val="000B1AE6"/>
    <w:rsid w:val="000B1C30"/>
    <w:rsid w:val="000B1C75"/>
    <w:rsid w:val="000B1CB9"/>
    <w:rsid w:val="000B1CE1"/>
    <w:rsid w:val="000B1D0A"/>
    <w:rsid w:val="000B1D2D"/>
    <w:rsid w:val="000B1D53"/>
    <w:rsid w:val="000B1D66"/>
    <w:rsid w:val="000B1D9A"/>
    <w:rsid w:val="000B1DC8"/>
    <w:rsid w:val="000B1DEF"/>
    <w:rsid w:val="000B1E48"/>
    <w:rsid w:val="000B1EDA"/>
    <w:rsid w:val="000B1EEF"/>
    <w:rsid w:val="000B1FA8"/>
    <w:rsid w:val="000B1FAF"/>
    <w:rsid w:val="000B2102"/>
    <w:rsid w:val="000B21D8"/>
    <w:rsid w:val="000B227C"/>
    <w:rsid w:val="000B22D1"/>
    <w:rsid w:val="000B2353"/>
    <w:rsid w:val="000B2391"/>
    <w:rsid w:val="000B23D3"/>
    <w:rsid w:val="000B2587"/>
    <w:rsid w:val="000B260E"/>
    <w:rsid w:val="000B267F"/>
    <w:rsid w:val="000B27A6"/>
    <w:rsid w:val="000B280D"/>
    <w:rsid w:val="000B2851"/>
    <w:rsid w:val="000B2900"/>
    <w:rsid w:val="000B29AE"/>
    <w:rsid w:val="000B2A4A"/>
    <w:rsid w:val="000B2B13"/>
    <w:rsid w:val="000B2D15"/>
    <w:rsid w:val="000B2D5A"/>
    <w:rsid w:val="000B2D6B"/>
    <w:rsid w:val="000B2D93"/>
    <w:rsid w:val="000B2D9C"/>
    <w:rsid w:val="000B2DBE"/>
    <w:rsid w:val="000B2E26"/>
    <w:rsid w:val="000B2E48"/>
    <w:rsid w:val="000B2E57"/>
    <w:rsid w:val="000B2F5E"/>
    <w:rsid w:val="000B2F8B"/>
    <w:rsid w:val="000B3277"/>
    <w:rsid w:val="000B32AC"/>
    <w:rsid w:val="000B332E"/>
    <w:rsid w:val="000B3347"/>
    <w:rsid w:val="000B33B9"/>
    <w:rsid w:val="000B33D4"/>
    <w:rsid w:val="000B343A"/>
    <w:rsid w:val="000B346E"/>
    <w:rsid w:val="000B34DD"/>
    <w:rsid w:val="000B35D0"/>
    <w:rsid w:val="000B36A9"/>
    <w:rsid w:val="000B36C9"/>
    <w:rsid w:val="000B36CD"/>
    <w:rsid w:val="000B36DB"/>
    <w:rsid w:val="000B377D"/>
    <w:rsid w:val="000B37BC"/>
    <w:rsid w:val="000B37C9"/>
    <w:rsid w:val="000B3923"/>
    <w:rsid w:val="000B3928"/>
    <w:rsid w:val="000B3967"/>
    <w:rsid w:val="000B3970"/>
    <w:rsid w:val="000B3998"/>
    <w:rsid w:val="000B39DD"/>
    <w:rsid w:val="000B3AA4"/>
    <w:rsid w:val="000B3B66"/>
    <w:rsid w:val="000B3B74"/>
    <w:rsid w:val="000B3BFA"/>
    <w:rsid w:val="000B3C05"/>
    <w:rsid w:val="000B3C1C"/>
    <w:rsid w:val="000B3C79"/>
    <w:rsid w:val="000B3CAA"/>
    <w:rsid w:val="000B3CB9"/>
    <w:rsid w:val="000B3CC8"/>
    <w:rsid w:val="000B3CFB"/>
    <w:rsid w:val="000B3D5D"/>
    <w:rsid w:val="000B3D8F"/>
    <w:rsid w:val="000B3E0D"/>
    <w:rsid w:val="000B3E4F"/>
    <w:rsid w:val="000B3EFE"/>
    <w:rsid w:val="000B3F19"/>
    <w:rsid w:val="000B3F3C"/>
    <w:rsid w:val="000B3FDF"/>
    <w:rsid w:val="000B4010"/>
    <w:rsid w:val="000B402C"/>
    <w:rsid w:val="000B4050"/>
    <w:rsid w:val="000B4140"/>
    <w:rsid w:val="000B4182"/>
    <w:rsid w:val="000B4228"/>
    <w:rsid w:val="000B4254"/>
    <w:rsid w:val="000B42D4"/>
    <w:rsid w:val="000B4301"/>
    <w:rsid w:val="000B43ED"/>
    <w:rsid w:val="000B441A"/>
    <w:rsid w:val="000B4438"/>
    <w:rsid w:val="000B44B3"/>
    <w:rsid w:val="000B44F7"/>
    <w:rsid w:val="000B4557"/>
    <w:rsid w:val="000B457C"/>
    <w:rsid w:val="000B4677"/>
    <w:rsid w:val="000B4681"/>
    <w:rsid w:val="000B46F7"/>
    <w:rsid w:val="000B4796"/>
    <w:rsid w:val="000B47A8"/>
    <w:rsid w:val="000B47FA"/>
    <w:rsid w:val="000B4805"/>
    <w:rsid w:val="000B4933"/>
    <w:rsid w:val="000B494E"/>
    <w:rsid w:val="000B49B4"/>
    <w:rsid w:val="000B4A0A"/>
    <w:rsid w:val="000B4A8C"/>
    <w:rsid w:val="000B4AEE"/>
    <w:rsid w:val="000B4B38"/>
    <w:rsid w:val="000B4B3A"/>
    <w:rsid w:val="000B4B3D"/>
    <w:rsid w:val="000B4B66"/>
    <w:rsid w:val="000B4B79"/>
    <w:rsid w:val="000B4BEC"/>
    <w:rsid w:val="000B4D26"/>
    <w:rsid w:val="000B4E5A"/>
    <w:rsid w:val="000B4E5C"/>
    <w:rsid w:val="000B4E72"/>
    <w:rsid w:val="000B4EAB"/>
    <w:rsid w:val="000B4EC3"/>
    <w:rsid w:val="000B4F5E"/>
    <w:rsid w:val="000B4F6F"/>
    <w:rsid w:val="000B4FEF"/>
    <w:rsid w:val="000B5051"/>
    <w:rsid w:val="000B505D"/>
    <w:rsid w:val="000B50BF"/>
    <w:rsid w:val="000B50D7"/>
    <w:rsid w:val="000B50F9"/>
    <w:rsid w:val="000B5117"/>
    <w:rsid w:val="000B5124"/>
    <w:rsid w:val="000B51B5"/>
    <w:rsid w:val="000B520F"/>
    <w:rsid w:val="000B5292"/>
    <w:rsid w:val="000B52C3"/>
    <w:rsid w:val="000B52C6"/>
    <w:rsid w:val="000B52F0"/>
    <w:rsid w:val="000B530D"/>
    <w:rsid w:val="000B531A"/>
    <w:rsid w:val="000B5342"/>
    <w:rsid w:val="000B5365"/>
    <w:rsid w:val="000B53B2"/>
    <w:rsid w:val="000B5421"/>
    <w:rsid w:val="000B5462"/>
    <w:rsid w:val="000B55FF"/>
    <w:rsid w:val="000B56D5"/>
    <w:rsid w:val="000B56F2"/>
    <w:rsid w:val="000B579A"/>
    <w:rsid w:val="000B57C8"/>
    <w:rsid w:val="000B5832"/>
    <w:rsid w:val="000B58BE"/>
    <w:rsid w:val="000B58CB"/>
    <w:rsid w:val="000B5C2F"/>
    <w:rsid w:val="000B5C6C"/>
    <w:rsid w:val="000B5C92"/>
    <w:rsid w:val="000B5CB1"/>
    <w:rsid w:val="000B5D69"/>
    <w:rsid w:val="000B5D83"/>
    <w:rsid w:val="000B5E44"/>
    <w:rsid w:val="000B5EFD"/>
    <w:rsid w:val="000B5F21"/>
    <w:rsid w:val="000B5FB8"/>
    <w:rsid w:val="000B6085"/>
    <w:rsid w:val="000B60CD"/>
    <w:rsid w:val="000B6113"/>
    <w:rsid w:val="000B614C"/>
    <w:rsid w:val="000B618F"/>
    <w:rsid w:val="000B62D8"/>
    <w:rsid w:val="000B62EA"/>
    <w:rsid w:val="000B6333"/>
    <w:rsid w:val="000B6340"/>
    <w:rsid w:val="000B6342"/>
    <w:rsid w:val="000B63BE"/>
    <w:rsid w:val="000B63FA"/>
    <w:rsid w:val="000B63FF"/>
    <w:rsid w:val="000B6440"/>
    <w:rsid w:val="000B644F"/>
    <w:rsid w:val="000B6455"/>
    <w:rsid w:val="000B6509"/>
    <w:rsid w:val="000B657C"/>
    <w:rsid w:val="000B657F"/>
    <w:rsid w:val="000B6595"/>
    <w:rsid w:val="000B66DB"/>
    <w:rsid w:val="000B6715"/>
    <w:rsid w:val="000B672B"/>
    <w:rsid w:val="000B6747"/>
    <w:rsid w:val="000B678B"/>
    <w:rsid w:val="000B678F"/>
    <w:rsid w:val="000B67DB"/>
    <w:rsid w:val="000B67E5"/>
    <w:rsid w:val="000B6843"/>
    <w:rsid w:val="000B68FA"/>
    <w:rsid w:val="000B6973"/>
    <w:rsid w:val="000B69A1"/>
    <w:rsid w:val="000B69C9"/>
    <w:rsid w:val="000B69DC"/>
    <w:rsid w:val="000B69EA"/>
    <w:rsid w:val="000B6A11"/>
    <w:rsid w:val="000B6A38"/>
    <w:rsid w:val="000B6B15"/>
    <w:rsid w:val="000B6BE4"/>
    <w:rsid w:val="000B6C3A"/>
    <w:rsid w:val="000B6D49"/>
    <w:rsid w:val="000B6D94"/>
    <w:rsid w:val="000B6E4A"/>
    <w:rsid w:val="000B6FD9"/>
    <w:rsid w:val="000B6FDC"/>
    <w:rsid w:val="000B702C"/>
    <w:rsid w:val="000B7082"/>
    <w:rsid w:val="000B70D4"/>
    <w:rsid w:val="000B710D"/>
    <w:rsid w:val="000B71F7"/>
    <w:rsid w:val="000B7230"/>
    <w:rsid w:val="000B7252"/>
    <w:rsid w:val="000B7279"/>
    <w:rsid w:val="000B731A"/>
    <w:rsid w:val="000B73F2"/>
    <w:rsid w:val="000B74B2"/>
    <w:rsid w:val="000B7621"/>
    <w:rsid w:val="000B7804"/>
    <w:rsid w:val="000B780E"/>
    <w:rsid w:val="000B7814"/>
    <w:rsid w:val="000B78FA"/>
    <w:rsid w:val="000B7956"/>
    <w:rsid w:val="000B7984"/>
    <w:rsid w:val="000B7A3B"/>
    <w:rsid w:val="000B7A6C"/>
    <w:rsid w:val="000B7A80"/>
    <w:rsid w:val="000B7AE7"/>
    <w:rsid w:val="000B7BBD"/>
    <w:rsid w:val="000B7BC3"/>
    <w:rsid w:val="000B7C8C"/>
    <w:rsid w:val="000B7CF9"/>
    <w:rsid w:val="000B7D18"/>
    <w:rsid w:val="000B7DA6"/>
    <w:rsid w:val="000B7DE8"/>
    <w:rsid w:val="000B7E22"/>
    <w:rsid w:val="000B7EC3"/>
    <w:rsid w:val="000B7F05"/>
    <w:rsid w:val="000B7FDE"/>
    <w:rsid w:val="000B7FF6"/>
    <w:rsid w:val="000C015A"/>
    <w:rsid w:val="000C0192"/>
    <w:rsid w:val="000C01A3"/>
    <w:rsid w:val="000C01C8"/>
    <w:rsid w:val="000C0292"/>
    <w:rsid w:val="000C0296"/>
    <w:rsid w:val="000C02F9"/>
    <w:rsid w:val="000C0302"/>
    <w:rsid w:val="000C0364"/>
    <w:rsid w:val="000C038C"/>
    <w:rsid w:val="000C03D1"/>
    <w:rsid w:val="000C03D3"/>
    <w:rsid w:val="000C0413"/>
    <w:rsid w:val="000C0511"/>
    <w:rsid w:val="000C056B"/>
    <w:rsid w:val="000C0576"/>
    <w:rsid w:val="000C0645"/>
    <w:rsid w:val="000C077F"/>
    <w:rsid w:val="000C0781"/>
    <w:rsid w:val="000C078E"/>
    <w:rsid w:val="000C081C"/>
    <w:rsid w:val="000C0852"/>
    <w:rsid w:val="000C089E"/>
    <w:rsid w:val="000C0926"/>
    <w:rsid w:val="000C09D4"/>
    <w:rsid w:val="000C09D8"/>
    <w:rsid w:val="000C09EF"/>
    <w:rsid w:val="000C0AE1"/>
    <w:rsid w:val="000C0B2E"/>
    <w:rsid w:val="000C0B96"/>
    <w:rsid w:val="000C0BC4"/>
    <w:rsid w:val="000C0BFF"/>
    <w:rsid w:val="000C0C3E"/>
    <w:rsid w:val="000C0CB0"/>
    <w:rsid w:val="000C0CDC"/>
    <w:rsid w:val="000C0CF0"/>
    <w:rsid w:val="000C0D0B"/>
    <w:rsid w:val="000C0F00"/>
    <w:rsid w:val="000C0F09"/>
    <w:rsid w:val="000C1049"/>
    <w:rsid w:val="000C10A6"/>
    <w:rsid w:val="000C10CC"/>
    <w:rsid w:val="000C1145"/>
    <w:rsid w:val="000C119E"/>
    <w:rsid w:val="000C1208"/>
    <w:rsid w:val="000C1248"/>
    <w:rsid w:val="000C1307"/>
    <w:rsid w:val="000C138F"/>
    <w:rsid w:val="000C13A7"/>
    <w:rsid w:val="000C13F3"/>
    <w:rsid w:val="000C15C4"/>
    <w:rsid w:val="000C1630"/>
    <w:rsid w:val="000C16CF"/>
    <w:rsid w:val="000C16D5"/>
    <w:rsid w:val="000C1703"/>
    <w:rsid w:val="000C174F"/>
    <w:rsid w:val="000C1797"/>
    <w:rsid w:val="000C17A4"/>
    <w:rsid w:val="000C180B"/>
    <w:rsid w:val="000C1885"/>
    <w:rsid w:val="000C19CF"/>
    <w:rsid w:val="000C1AB8"/>
    <w:rsid w:val="000C1ADD"/>
    <w:rsid w:val="000C1B1A"/>
    <w:rsid w:val="000C1B5F"/>
    <w:rsid w:val="000C1B6C"/>
    <w:rsid w:val="000C1BA9"/>
    <w:rsid w:val="000C1BF8"/>
    <w:rsid w:val="000C1C2A"/>
    <w:rsid w:val="000C1D21"/>
    <w:rsid w:val="000C1D41"/>
    <w:rsid w:val="000C1D64"/>
    <w:rsid w:val="000C1D7B"/>
    <w:rsid w:val="000C1DD1"/>
    <w:rsid w:val="000C1DDD"/>
    <w:rsid w:val="000C1DFA"/>
    <w:rsid w:val="000C1ED5"/>
    <w:rsid w:val="000C1ED6"/>
    <w:rsid w:val="000C1F43"/>
    <w:rsid w:val="000C1F4B"/>
    <w:rsid w:val="000C1FA1"/>
    <w:rsid w:val="000C1FE3"/>
    <w:rsid w:val="000C1FE5"/>
    <w:rsid w:val="000C1FF1"/>
    <w:rsid w:val="000C2003"/>
    <w:rsid w:val="000C2012"/>
    <w:rsid w:val="000C203D"/>
    <w:rsid w:val="000C2053"/>
    <w:rsid w:val="000C20D9"/>
    <w:rsid w:val="000C2150"/>
    <w:rsid w:val="000C21D5"/>
    <w:rsid w:val="000C22C3"/>
    <w:rsid w:val="000C22D9"/>
    <w:rsid w:val="000C22F2"/>
    <w:rsid w:val="000C2313"/>
    <w:rsid w:val="000C2386"/>
    <w:rsid w:val="000C24F0"/>
    <w:rsid w:val="000C25C1"/>
    <w:rsid w:val="000C25C4"/>
    <w:rsid w:val="000C25D6"/>
    <w:rsid w:val="000C263A"/>
    <w:rsid w:val="000C2657"/>
    <w:rsid w:val="000C2680"/>
    <w:rsid w:val="000C26D8"/>
    <w:rsid w:val="000C278A"/>
    <w:rsid w:val="000C279F"/>
    <w:rsid w:val="000C27AD"/>
    <w:rsid w:val="000C27C9"/>
    <w:rsid w:val="000C27D6"/>
    <w:rsid w:val="000C2832"/>
    <w:rsid w:val="000C2839"/>
    <w:rsid w:val="000C2844"/>
    <w:rsid w:val="000C2929"/>
    <w:rsid w:val="000C2949"/>
    <w:rsid w:val="000C295B"/>
    <w:rsid w:val="000C29B0"/>
    <w:rsid w:val="000C29B4"/>
    <w:rsid w:val="000C29F9"/>
    <w:rsid w:val="000C2A33"/>
    <w:rsid w:val="000C2A53"/>
    <w:rsid w:val="000C2AB7"/>
    <w:rsid w:val="000C2B01"/>
    <w:rsid w:val="000C2B2C"/>
    <w:rsid w:val="000C2B45"/>
    <w:rsid w:val="000C2B8A"/>
    <w:rsid w:val="000C2BD8"/>
    <w:rsid w:val="000C2CA0"/>
    <w:rsid w:val="000C2CA6"/>
    <w:rsid w:val="000C2D3C"/>
    <w:rsid w:val="000C2D5D"/>
    <w:rsid w:val="000C2DE7"/>
    <w:rsid w:val="000C2E78"/>
    <w:rsid w:val="000C2E91"/>
    <w:rsid w:val="000C2EFC"/>
    <w:rsid w:val="000C2F00"/>
    <w:rsid w:val="000C2F6D"/>
    <w:rsid w:val="000C2FB5"/>
    <w:rsid w:val="000C2FBD"/>
    <w:rsid w:val="000C308A"/>
    <w:rsid w:val="000C3106"/>
    <w:rsid w:val="000C3149"/>
    <w:rsid w:val="000C31A0"/>
    <w:rsid w:val="000C31C8"/>
    <w:rsid w:val="000C31C9"/>
    <w:rsid w:val="000C31E5"/>
    <w:rsid w:val="000C3237"/>
    <w:rsid w:val="000C3243"/>
    <w:rsid w:val="000C3244"/>
    <w:rsid w:val="000C3266"/>
    <w:rsid w:val="000C32E9"/>
    <w:rsid w:val="000C32EE"/>
    <w:rsid w:val="000C3311"/>
    <w:rsid w:val="000C3473"/>
    <w:rsid w:val="000C354A"/>
    <w:rsid w:val="000C357F"/>
    <w:rsid w:val="000C35C7"/>
    <w:rsid w:val="000C35F4"/>
    <w:rsid w:val="000C36C8"/>
    <w:rsid w:val="000C379B"/>
    <w:rsid w:val="000C37A6"/>
    <w:rsid w:val="000C37B9"/>
    <w:rsid w:val="000C382A"/>
    <w:rsid w:val="000C3899"/>
    <w:rsid w:val="000C3904"/>
    <w:rsid w:val="000C3912"/>
    <w:rsid w:val="000C3935"/>
    <w:rsid w:val="000C3A58"/>
    <w:rsid w:val="000C3AD7"/>
    <w:rsid w:val="000C3AFF"/>
    <w:rsid w:val="000C3B0A"/>
    <w:rsid w:val="000C3C42"/>
    <w:rsid w:val="000C3CAD"/>
    <w:rsid w:val="000C3CE8"/>
    <w:rsid w:val="000C3D21"/>
    <w:rsid w:val="000C3D4D"/>
    <w:rsid w:val="000C3D53"/>
    <w:rsid w:val="000C3D77"/>
    <w:rsid w:val="000C410B"/>
    <w:rsid w:val="000C4195"/>
    <w:rsid w:val="000C41E4"/>
    <w:rsid w:val="000C4208"/>
    <w:rsid w:val="000C425C"/>
    <w:rsid w:val="000C426A"/>
    <w:rsid w:val="000C4391"/>
    <w:rsid w:val="000C4560"/>
    <w:rsid w:val="000C4575"/>
    <w:rsid w:val="000C4586"/>
    <w:rsid w:val="000C45F0"/>
    <w:rsid w:val="000C4630"/>
    <w:rsid w:val="000C4643"/>
    <w:rsid w:val="000C466F"/>
    <w:rsid w:val="000C46A9"/>
    <w:rsid w:val="000C46D5"/>
    <w:rsid w:val="000C4754"/>
    <w:rsid w:val="000C4757"/>
    <w:rsid w:val="000C4791"/>
    <w:rsid w:val="000C47CA"/>
    <w:rsid w:val="000C47D4"/>
    <w:rsid w:val="000C485B"/>
    <w:rsid w:val="000C48C1"/>
    <w:rsid w:val="000C48F0"/>
    <w:rsid w:val="000C496C"/>
    <w:rsid w:val="000C4987"/>
    <w:rsid w:val="000C499A"/>
    <w:rsid w:val="000C499D"/>
    <w:rsid w:val="000C4A7D"/>
    <w:rsid w:val="000C4A80"/>
    <w:rsid w:val="000C4ABD"/>
    <w:rsid w:val="000C4AC6"/>
    <w:rsid w:val="000C4AD0"/>
    <w:rsid w:val="000C4ADC"/>
    <w:rsid w:val="000C4B0C"/>
    <w:rsid w:val="000C4B65"/>
    <w:rsid w:val="000C4B6A"/>
    <w:rsid w:val="000C4B82"/>
    <w:rsid w:val="000C4BC9"/>
    <w:rsid w:val="000C4BD0"/>
    <w:rsid w:val="000C4BF7"/>
    <w:rsid w:val="000C4CB2"/>
    <w:rsid w:val="000C4CC7"/>
    <w:rsid w:val="000C4CE5"/>
    <w:rsid w:val="000C4D68"/>
    <w:rsid w:val="000C4EF5"/>
    <w:rsid w:val="000C4F30"/>
    <w:rsid w:val="000C4FB4"/>
    <w:rsid w:val="000C5028"/>
    <w:rsid w:val="000C5030"/>
    <w:rsid w:val="000C5039"/>
    <w:rsid w:val="000C506D"/>
    <w:rsid w:val="000C50F3"/>
    <w:rsid w:val="000C510E"/>
    <w:rsid w:val="000C51A9"/>
    <w:rsid w:val="000C51B5"/>
    <w:rsid w:val="000C51F8"/>
    <w:rsid w:val="000C5263"/>
    <w:rsid w:val="000C5265"/>
    <w:rsid w:val="000C52D4"/>
    <w:rsid w:val="000C530C"/>
    <w:rsid w:val="000C5340"/>
    <w:rsid w:val="000C538D"/>
    <w:rsid w:val="000C53DF"/>
    <w:rsid w:val="000C53F6"/>
    <w:rsid w:val="000C542E"/>
    <w:rsid w:val="000C5448"/>
    <w:rsid w:val="000C5474"/>
    <w:rsid w:val="000C54EB"/>
    <w:rsid w:val="000C553C"/>
    <w:rsid w:val="000C5576"/>
    <w:rsid w:val="000C5647"/>
    <w:rsid w:val="000C5661"/>
    <w:rsid w:val="000C5662"/>
    <w:rsid w:val="000C5694"/>
    <w:rsid w:val="000C570E"/>
    <w:rsid w:val="000C5730"/>
    <w:rsid w:val="000C5764"/>
    <w:rsid w:val="000C577B"/>
    <w:rsid w:val="000C57CC"/>
    <w:rsid w:val="000C5828"/>
    <w:rsid w:val="000C58BB"/>
    <w:rsid w:val="000C5921"/>
    <w:rsid w:val="000C594D"/>
    <w:rsid w:val="000C5969"/>
    <w:rsid w:val="000C596F"/>
    <w:rsid w:val="000C5AD5"/>
    <w:rsid w:val="000C5B0A"/>
    <w:rsid w:val="000C5B52"/>
    <w:rsid w:val="000C5C08"/>
    <w:rsid w:val="000C5C5F"/>
    <w:rsid w:val="000C5C65"/>
    <w:rsid w:val="000C5C70"/>
    <w:rsid w:val="000C5CF4"/>
    <w:rsid w:val="000C5D41"/>
    <w:rsid w:val="000C5DB1"/>
    <w:rsid w:val="000C5DD0"/>
    <w:rsid w:val="000C5E1C"/>
    <w:rsid w:val="000C5E4D"/>
    <w:rsid w:val="000C5FA8"/>
    <w:rsid w:val="000C600F"/>
    <w:rsid w:val="000C604C"/>
    <w:rsid w:val="000C60B3"/>
    <w:rsid w:val="000C6172"/>
    <w:rsid w:val="000C61BA"/>
    <w:rsid w:val="000C61BB"/>
    <w:rsid w:val="000C61D5"/>
    <w:rsid w:val="000C62A0"/>
    <w:rsid w:val="000C653C"/>
    <w:rsid w:val="000C6598"/>
    <w:rsid w:val="000C6599"/>
    <w:rsid w:val="000C65CE"/>
    <w:rsid w:val="000C6681"/>
    <w:rsid w:val="000C66A7"/>
    <w:rsid w:val="000C66F3"/>
    <w:rsid w:val="000C6748"/>
    <w:rsid w:val="000C6767"/>
    <w:rsid w:val="000C67A8"/>
    <w:rsid w:val="000C67AC"/>
    <w:rsid w:val="000C67DD"/>
    <w:rsid w:val="000C67E6"/>
    <w:rsid w:val="000C6852"/>
    <w:rsid w:val="000C6886"/>
    <w:rsid w:val="000C690F"/>
    <w:rsid w:val="000C6925"/>
    <w:rsid w:val="000C69C1"/>
    <w:rsid w:val="000C69E1"/>
    <w:rsid w:val="000C6AD8"/>
    <w:rsid w:val="000C6AF8"/>
    <w:rsid w:val="000C6AFA"/>
    <w:rsid w:val="000C6AFF"/>
    <w:rsid w:val="000C6B47"/>
    <w:rsid w:val="000C6B64"/>
    <w:rsid w:val="000C6B82"/>
    <w:rsid w:val="000C6B89"/>
    <w:rsid w:val="000C6BB5"/>
    <w:rsid w:val="000C6BDE"/>
    <w:rsid w:val="000C6BE3"/>
    <w:rsid w:val="000C6C28"/>
    <w:rsid w:val="000C6CC2"/>
    <w:rsid w:val="000C6CD7"/>
    <w:rsid w:val="000C6D41"/>
    <w:rsid w:val="000C6D66"/>
    <w:rsid w:val="000C6D6A"/>
    <w:rsid w:val="000C6DBB"/>
    <w:rsid w:val="000C6DD5"/>
    <w:rsid w:val="000C6DD7"/>
    <w:rsid w:val="000C6DF4"/>
    <w:rsid w:val="000C6E30"/>
    <w:rsid w:val="000C6E39"/>
    <w:rsid w:val="000C6E85"/>
    <w:rsid w:val="000C6EE3"/>
    <w:rsid w:val="000C6F3C"/>
    <w:rsid w:val="000C6F87"/>
    <w:rsid w:val="000C6FCD"/>
    <w:rsid w:val="000C6FED"/>
    <w:rsid w:val="000C700B"/>
    <w:rsid w:val="000C7052"/>
    <w:rsid w:val="000C70B3"/>
    <w:rsid w:val="000C71C6"/>
    <w:rsid w:val="000C7210"/>
    <w:rsid w:val="000C7287"/>
    <w:rsid w:val="000C72D5"/>
    <w:rsid w:val="000C72D9"/>
    <w:rsid w:val="000C7315"/>
    <w:rsid w:val="000C733A"/>
    <w:rsid w:val="000C7389"/>
    <w:rsid w:val="000C739D"/>
    <w:rsid w:val="000C73E7"/>
    <w:rsid w:val="000C73FD"/>
    <w:rsid w:val="000C742D"/>
    <w:rsid w:val="000C7435"/>
    <w:rsid w:val="000C7440"/>
    <w:rsid w:val="000C74B6"/>
    <w:rsid w:val="000C74D3"/>
    <w:rsid w:val="000C7527"/>
    <w:rsid w:val="000C7540"/>
    <w:rsid w:val="000C762F"/>
    <w:rsid w:val="000C7663"/>
    <w:rsid w:val="000C76BD"/>
    <w:rsid w:val="000C76DC"/>
    <w:rsid w:val="000C77E2"/>
    <w:rsid w:val="000C77E3"/>
    <w:rsid w:val="000C7819"/>
    <w:rsid w:val="000C7824"/>
    <w:rsid w:val="000C7975"/>
    <w:rsid w:val="000C7A03"/>
    <w:rsid w:val="000C7B39"/>
    <w:rsid w:val="000C7C68"/>
    <w:rsid w:val="000C7C9D"/>
    <w:rsid w:val="000C7E0A"/>
    <w:rsid w:val="000C7EC4"/>
    <w:rsid w:val="000C7FDF"/>
    <w:rsid w:val="000C7FF5"/>
    <w:rsid w:val="000D001E"/>
    <w:rsid w:val="000D0126"/>
    <w:rsid w:val="000D01F5"/>
    <w:rsid w:val="000D02AA"/>
    <w:rsid w:val="000D032F"/>
    <w:rsid w:val="000D038E"/>
    <w:rsid w:val="000D046C"/>
    <w:rsid w:val="000D0495"/>
    <w:rsid w:val="000D0635"/>
    <w:rsid w:val="000D0773"/>
    <w:rsid w:val="000D07CA"/>
    <w:rsid w:val="000D07F9"/>
    <w:rsid w:val="000D0809"/>
    <w:rsid w:val="000D08A8"/>
    <w:rsid w:val="000D08CE"/>
    <w:rsid w:val="000D0948"/>
    <w:rsid w:val="000D0A0D"/>
    <w:rsid w:val="000D0AC3"/>
    <w:rsid w:val="000D0B18"/>
    <w:rsid w:val="000D0B29"/>
    <w:rsid w:val="000D0B3D"/>
    <w:rsid w:val="000D0BD0"/>
    <w:rsid w:val="000D0BD6"/>
    <w:rsid w:val="000D0BEF"/>
    <w:rsid w:val="000D0D2A"/>
    <w:rsid w:val="000D0D36"/>
    <w:rsid w:val="000D0D69"/>
    <w:rsid w:val="000D0DC3"/>
    <w:rsid w:val="000D0E14"/>
    <w:rsid w:val="000D0E61"/>
    <w:rsid w:val="000D0E7C"/>
    <w:rsid w:val="000D0F12"/>
    <w:rsid w:val="000D0F83"/>
    <w:rsid w:val="000D0F8B"/>
    <w:rsid w:val="000D0FE6"/>
    <w:rsid w:val="000D100F"/>
    <w:rsid w:val="000D113A"/>
    <w:rsid w:val="000D1169"/>
    <w:rsid w:val="000D11B5"/>
    <w:rsid w:val="000D1270"/>
    <w:rsid w:val="000D1271"/>
    <w:rsid w:val="000D12F7"/>
    <w:rsid w:val="000D1301"/>
    <w:rsid w:val="000D1313"/>
    <w:rsid w:val="000D136B"/>
    <w:rsid w:val="000D1373"/>
    <w:rsid w:val="000D13AA"/>
    <w:rsid w:val="000D159C"/>
    <w:rsid w:val="000D15FC"/>
    <w:rsid w:val="000D1611"/>
    <w:rsid w:val="000D1627"/>
    <w:rsid w:val="000D16D4"/>
    <w:rsid w:val="000D172B"/>
    <w:rsid w:val="000D18EA"/>
    <w:rsid w:val="000D193F"/>
    <w:rsid w:val="000D196B"/>
    <w:rsid w:val="000D19B3"/>
    <w:rsid w:val="000D1A25"/>
    <w:rsid w:val="000D1A2B"/>
    <w:rsid w:val="000D1AC1"/>
    <w:rsid w:val="000D1AF0"/>
    <w:rsid w:val="000D1B2C"/>
    <w:rsid w:val="000D1B38"/>
    <w:rsid w:val="000D1BDE"/>
    <w:rsid w:val="000D1CC5"/>
    <w:rsid w:val="000D1CF4"/>
    <w:rsid w:val="000D1D04"/>
    <w:rsid w:val="000D1E2E"/>
    <w:rsid w:val="000D1E44"/>
    <w:rsid w:val="000D1E8C"/>
    <w:rsid w:val="000D1EC4"/>
    <w:rsid w:val="000D1ED4"/>
    <w:rsid w:val="000D1FCE"/>
    <w:rsid w:val="000D21BD"/>
    <w:rsid w:val="000D21E2"/>
    <w:rsid w:val="000D2211"/>
    <w:rsid w:val="000D224E"/>
    <w:rsid w:val="000D22B3"/>
    <w:rsid w:val="000D234F"/>
    <w:rsid w:val="000D244D"/>
    <w:rsid w:val="000D24D2"/>
    <w:rsid w:val="000D24D3"/>
    <w:rsid w:val="000D2620"/>
    <w:rsid w:val="000D2644"/>
    <w:rsid w:val="000D282C"/>
    <w:rsid w:val="000D28D0"/>
    <w:rsid w:val="000D2969"/>
    <w:rsid w:val="000D29AC"/>
    <w:rsid w:val="000D2A41"/>
    <w:rsid w:val="000D2AAA"/>
    <w:rsid w:val="000D2AC1"/>
    <w:rsid w:val="000D2AE9"/>
    <w:rsid w:val="000D2AF6"/>
    <w:rsid w:val="000D2B36"/>
    <w:rsid w:val="000D2B82"/>
    <w:rsid w:val="000D2C00"/>
    <w:rsid w:val="000D2C59"/>
    <w:rsid w:val="000D2C5E"/>
    <w:rsid w:val="000D2D24"/>
    <w:rsid w:val="000D2D2C"/>
    <w:rsid w:val="000D2D5B"/>
    <w:rsid w:val="000D2D8B"/>
    <w:rsid w:val="000D2DC3"/>
    <w:rsid w:val="000D2DC4"/>
    <w:rsid w:val="000D2DD9"/>
    <w:rsid w:val="000D2E3B"/>
    <w:rsid w:val="000D2E46"/>
    <w:rsid w:val="000D2F75"/>
    <w:rsid w:val="000D2FB0"/>
    <w:rsid w:val="000D2FCC"/>
    <w:rsid w:val="000D2FFF"/>
    <w:rsid w:val="000D307A"/>
    <w:rsid w:val="000D30D3"/>
    <w:rsid w:val="000D3226"/>
    <w:rsid w:val="000D32C9"/>
    <w:rsid w:val="000D32D1"/>
    <w:rsid w:val="000D3376"/>
    <w:rsid w:val="000D337A"/>
    <w:rsid w:val="000D3428"/>
    <w:rsid w:val="000D349E"/>
    <w:rsid w:val="000D3516"/>
    <w:rsid w:val="000D3582"/>
    <w:rsid w:val="000D35CD"/>
    <w:rsid w:val="000D364B"/>
    <w:rsid w:val="000D36A0"/>
    <w:rsid w:val="000D36A2"/>
    <w:rsid w:val="000D379E"/>
    <w:rsid w:val="000D3808"/>
    <w:rsid w:val="000D3850"/>
    <w:rsid w:val="000D3855"/>
    <w:rsid w:val="000D38B7"/>
    <w:rsid w:val="000D391E"/>
    <w:rsid w:val="000D39C8"/>
    <w:rsid w:val="000D39D5"/>
    <w:rsid w:val="000D3A35"/>
    <w:rsid w:val="000D3A51"/>
    <w:rsid w:val="000D3A88"/>
    <w:rsid w:val="000D3A9C"/>
    <w:rsid w:val="000D3BAF"/>
    <w:rsid w:val="000D3C7A"/>
    <w:rsid w:val="000D3C83"/>
    <w:rsid w:val="000D3C89"/>
    <w:rsid w:val="000D3C8B"/>
    <w:rsid w:val="000D3CDE"/>
    <w:rsid w:val="000D3D5E"/>
    <w:rsid w:val="000D3E1C"/>
    <w:rsid w:val="000D3F03"/>
    <w:rsid w:val="000D3F21"/>
    <w:rsid w:val="000D3F84"/>
    <w:rsid w:val="000D401F"/>
    <w:rsid w:val="000D40BB"/>
    <w:rsid w:val="000D4150"/>
    <w:rsid w:val="000D41E3"/>
    <w:rsid w:val="000D4244"/>
    <w:rsid w:val="000D42BE"/>
    <w:rsid w:val="000D4318"/>
    <w:rsid w:val="000D4332"/>
    <w:rsid w:val="000D43D8"/>
    <w:rsid w:val="000D43EA"/>
    <w:rsid w:val="000D447B"/>
    <w:rsid w:val="000D448E"/>
    <w:rsid w:val="000D44D7"/>
    <w:rsid w:val="000D4543"/>
    <w:rsid w:val="000D4576"/>
    <w:rsid w:val="000D45D0"/>
    <w:rsid w:val="000D45D1"/>
    <w:rsid w:val="000D4618"/>
    <w:rsid w:val="000D466E"/>
    <w:rsid w:val="000D46A2"/>
    <w:rsid w:val="000D46D8"/>
    <w:rsid w:val="000D4785"/>
    <w:rsid w:val="000D4826"/>
    <w:rsid w:val="000D4878"/>
    <w:rsid w:val="000D4895"/>
    <w:rsid w:val="000D489F"/>
    <w:rsid w:val="000D497B"/>
    <w:rsid w:val="000D49DE"/>
    <w:rsid w:val="000D4A1F"/>
    <w:rsid w:val="000D4A7F"/>
    <w:rsid w:val="000D4B15"/>
    <w:rsid w:val="000D4B65"/>
    <w:rsid w:val="000D4B8A"/>
    <w:rsid w:val="000D4B91"/>
    <w:rsid w:val="000D4BEA"/>
    <w:rsid w:val="000D4BF7"/>
    <w:rsid w:val="000D4CFF"/>
    <w:rsid w:val="000D4E10"/>
    <w:rsid w:val="000D4F2F"/>
    <w:rsid w:val="000D4FFC"/>
    <w:rsid w:val="000D5011"/>
    <w:rsid w:val="000D502A"/>
    <w:rsid w:val="000D5058"/>
    <w:rsid w:val="000D508D"/>
    <w:rsid w:val="000D510B"/>
    <w:rsid w:val="000D5149"/>
    <w:rsid w:val="000D514C"/>
    <w:rsid w:val="000D5150"/>
    <w:rsid w:val="000D51EC"/>
    <w:rsid w:val="000D5219"/>
    <w:rsid w:val="000D52D2"/>
    <w:rsid w:val="000D5365"/>
    <w:rsid w:val="000D53A3"/>
    <w:rsid w:val="000D542C"/>
    <w:rsid w:val="000D544A"/>
    <w:rsid w:val="000D547E"/>
    <w:rsid w:val="000D54A4"/>
    <w:rsid w:val="000D54B5"/>
    <w:rsid w:val="000D55EF"/>
    <w:rsid w:val="000D570A"/>
    <w:rsid w:val="000D574D"/>
    <w:rsid w:val="000D5837"/>
    <w:rsid w:val="000D5842"/>
    <w:rsid w:val="000D5889"/>
    <w:rsid w:val="000D590E"/>
    <w:rsid w:val="000D5928"/>
    <w:rsid w:val="000D5B11"/>
    <w:rsid w:val="000D5B1A"/>
    <w:rsid w:val="000D5B91"/>
    <w:rsid w:val="000D5C0C"/>
    <w:rsid w:val="000D5C0E"/>
    <w:rsid w:val="000D5C4A"/>
    <w:rsid w:val="000D5C71"/>
    <w:rsid w:val="000D5C87"/>
    <w:rsid w:val="000D5D52"/>
    <w:rsid w:val="000D5DEF"/>
    <w:rsid w:val="000D5E1B"/>
    <w:rsid w:val="000D5E2B"/>
    <w:rsid w:val="000D5E47"/>
    <w:rsid w:val="000D5ED3"/>
    <w:rsid w:val="000D5F34"/>
    <w:rsid w:val="000D5FB5"/>
    <w:rsid w:val="000D5FE8"/>
    <w:rsid w:val="000D6033"/>
    <w:rsid w:val="000D60BB"/>
    <w:rsid w:val="000D60F5"/>
    <w:rsid w:val="000D6116"/>
    <w:rsid w:val="000D6199"/>
    <w:rsid w:val="000D621F"/>
    <w:rsid w:val="000D6239"/>
    <w:rsid w:val="000D6264"/>
    <w:rsid w:val="000D6282"/>
    <w:rsid w:val="000D62A4"/>
    <w:rsid w:val="000D62C2"/>
    <w:rsid w:val="000D62EE"/>
    <w:rsid w:val="000D6336"/>
    <w:rsid w:val="000D63A0"/>
    <w:rsid w:val="000D63EE"/>
    <w:rsid w:val="000D63F2"/>
    <w:rsid w:val="000D63FB"/>
    <w:rsid w:val="000D6428"/>
    <w:rsid w:val="000D644D"/>
    <w:rsid w:val="000D64F7"/>
    <w:rsid w:val="000D651A"/>
    <w:rsid w:val="000D6563"/>
    <w:rsid w:val="000D65C3"/>
    <w:rsid w:val="000D6638"/>
    <w:rsid w:val="000D66D8"/>
    <w:rsid w:val="000D670D"/>
    <w:rsid w:val="000D67D2"/>
    <w:rsid w:val="000D67DE"/>
    <w:rsid w:val="000D67FF"/>
    <w:rsid w:val="000D68B2"/>
    <w:rsid w:val="000D6907"/>
    <w:rsid w:val="000D69A5"/>
    <w:rsid w:val="000D69AF"/>
    <w:rsid w:val="000D69D4"/>
    <w:rsid w:val="000D69EB"/>
    <w:rsid w:val="000D6A2A"/>
    <w:rsid w:val="000D6A3D"/>
    <w:rsid w:val="000D6A45"/>
    <w:rsid w:val="000D6AA4"/>
    <w:rsid w:val="000D6B36"/>
    <w:rsid w:val="000D6C04"/>
    <w:rsid w:val="000D6C47"/>
    <w:rsid w:val="000D6C66"/>
    <w:rsid w:val="000D6C71"/>
    <w:rsid w:val="000D6CDD"/>
    <w:rsid w:val="000D6D6B"/>
    <w:rsid w:val="000D6D94"/>
    <w:rsid w:val="000D6E35"/>
    <w:rsid w:val="000D6E73"/>
    <w:rsid w:val="000D6E7B"/>
    <w:rsid w:val="000D6F2B"/>
    <w:rsid w:val="000D7049"/>
    <w:rsid w:val="000D7063"/>
    <w:rsid w:val="000D707F"/>
    <w:rsid w:val="000D713A"/>
    <w:rsid w:val="000D71AD"/>
    <w:rsid w:val="000D720F"/>
    <w:rsid w:val="000D72D7"/>
    <w:rsid w:val="000D7319"/>
    <w:rsid w:val="000D7342"/>
    <w:rsid w:val="000D73BE"/>
    <w:rsid w:val="000D73F4"/>
    <w:rsid w:val="000D741B"/>
    <w:rsid w:val="000D7471"/>
    <w:rsid w:val="000D751B"/>
    <w:rsid w:val="000D7522"/>
    <w:rsid w:val="000D7581"/>
    <w:rsid w:val="000D7625"/>
    <w:rsid w:val="000D7635"/>
    <w:rsid w:val="000D770D"/>
    <w:rsid w:val="000D77B4"/>
    <w:rsid w:val="000D77D3"/>
    <w:rsid w:val="000D7843"/>
    <w:rsid w:val="000D78BC"/>
    <w:rsid w:val="000D7924"/>
    <w:rsid w:val="000D7938"/>
    <w:rsid w:val="000D796A"/>
    <w:rsid w:val="000D7ACB"/>
    <w:rsid w:val="000D7B20"/>
    <w:rsid w:val="000D7B27"/>
    <w:rsid w:val="000D7B87"/>
    <w:rsid w:val="000D7B8F"/>
    <w:rsid w:val="000D7DC1"/>
    <w:rsid w:val="000D7DFF"/>
    <w:rsid w:val="000D7E02"/>
    <w:rsid w:val="000D7E0E"/>
    <w:rsid w:val="000D7E5D"/>
    <w:rsid w:val="000D7F5A"/>
    <w:rsid w:val="000D7F76"/>
    <w:rsid w:val="000D7FB0"/>
    <w:rsid w:val="000D7FF8"/>
    <w:rsid w:val="000DEFCB"/>
    <w:rsid w:val="000E024F"/>
    <w:rsid w:val="000E0342"/>
    <w:rsid w:val="000E0370"/>
    <w:rsid w:val="000E042F"/>
    <w:rsid w:val="000E045F"/>
    <w:rsid w:val="000E0526"/>
    <w:rsid w:val="000E0570"/>
    <w:rsid w:val="000E0589"/>
    <w:rsid w:val="000E05A8"/>
    <w:rsid w:val="000E05D9"/>
    <w:rsid w:val="000E06C0"/>
    <w:rsid w:val="000E06D3"/>
    <w:rsid w:val="000E06D4"/>
    <w:rsid w:val="000E0740"/>
    <w:rsid w:val="000E0790"/>
    <w:rsid w:val="000E07B7"/>
    <w:rsid w:val="000E093A"/>
    <w:rsid w:val="000E096B"/>
    <w:rsid w:val="000E09DE"/>
    <w:rsid w:val="000E09E7"/>
    <w:rsid w:val="000E0A46"/>
    <w:rsid w:val="000E0AC1"/>
    <w:rsid w:val="000E0B0E"/>
    <w:rsid w:val="000E0BB3"/>
    <w:rsid w:val="000E0C54"/>
    <w:rsid w:val="000E0C55"/>
    <w:rsid w:val="000E0C65"/>
    <w:rsid w:val="000E0CCB"/>
    <w:rsid w:val="000E0CF4"/>
    <w:rsid w:val="000E0D53"/>
    <w:rsid w:val="000E0DC7"/>
    <w:rsid w:val="000E0DE8"/>
    <w:rsid w:val="000E0E27"/>
    <w:rsid w:val="000E0E89"/>
    <w:rsid w:val="000E0E97"/>
    <w:rsid w:val="000E0EFB"/>
    <w:rsid w:val="000E0F94"/>
    <w:rsid w:val="000E0FB0"/>
    <w:rsid w:val="000E10C0"/>
    <w:rsid w:val="000E124E"/>
    <w:rsid w:val="000E128B"/>
    <w:rsid w:val="000E12B0"/>
    <w:rsid w:val="000E12B3"/>
    <w:rsid w:val="000E12D3"/>
    <w:rsid w:val="000E12EE"/>
    <w:rsid w:val="000E137D"/>
    <w:rsid w:val="000E150E"/>
    <w:rsid w:val="000E1540"/>
    <w:rsid w:val="000E1590"/>
    <w:rsid w:val="000E15F1"/>
    <w:rsid w:val="000E1661"/>
    <w:rsid w:val="000E1687"/>
    <w:rsid w:val="000E16B1"/>
    <w:rsid w:val="000E16BC"/>
    <w:rsid w:val="000E16E6"/>
    <w:rsid w:val="000E1725"/>
    <w:rsid w:val="000E1789"/>
    <w:rsid w:val="000E17CA"/>
    <w:rsid w:val="000E17E5"/>
    <w:rsid w:val="000E17ED"/>
    <w:rsid w:val="000E185A"/>
    <w:rsid w:val="000E19CA"/>
    <w:rsid w:val="000E19EA"/>
    <w:rsid w:val="000E1A18"/>
    <w:rsid w:val="000E1A49"/>
    <w:rsid w:val="000E1B45"/>
    <w:rsid w:val="000E1BA1"/>
    <w:rsid w:val="000E1BA2"/>
    <w:rsid w:val="000E1BDD"/>
    <w:rsid w:val="000E1BE8"/>
    <w:rsid w:val="000E1C10"/>
    <w:rsid w:val="000E1C29"/>
    <w:rsid w:val="000E1C42"/>
    <w:rsid w:val="000E1CE5"/>
    <w:rsid w:val="000E1D7A"/>
    <w:rsid w:val="000E1DB1"/>
    <w:rsid w:val="000E1DD7"/>
    <w:rsid w:val="000E1F3C"/>
    <w:rsid w:val="000E1F9D"/>
    <w:rsid w:val="000E1FD5"/>
    <w:rsid w:val="000E1FF4"/>
    <w:rsid w:val="000E2068"/>
    <w:rsid w:val="000E20A6"/>
    <w:rsid w:val="000E20DF"/>
    <w:rsid w:val="000E21B2"/>
    <w:rsid w:val="000E21FF"/>
    <w:rsid w:val="000E2260"/>
    <w:rsid w:val="000E2263"/>
    <w:rsid w:val="000E2276"/>
    <w:rsid w:val="000E2321"/>
    <w:rsid w:val="000E233F"/>
    <w:rsid w:val="000E235E"/>
    <w:rsid w:val="000E2468"/>
    <w:rsid w:val="000E24AD"/>
    <w:rsid w:val="000E250A"/>
    <w:rsid w:val="000E2559"/>
    <w:rsid w:val="000E2571"/>
    <w:rsid w:val="000E2576"/>
    <w:rsid w:val="000E258B"/>
    <w:rsid w:val="000E2621"/>
    <w:rsid w:val="000E2679"/>
    <w:rsid w:val="000E2696"/>
    <w:rsid w:val="000E26BF"/>
    <w:rsid w:val="000E26FF"/>
    <w:rsid w:val="000E2729"/>
    <w:rsid w:val="000E2791"/>
    <w:rsid w:val="000E2826"/>
    <w:rsid w:val="000E2893"/>
    <w:rsid w:val="000E28E3"/>
    <w:rsid w:val="000E290D"/>
    <w:rsid w:val="000E2974"/>
    <w:rsid w:val="000E29E6"/>
    <w:rsid w:val="000E2B05"/>
    <w:rsid w:val="000E2B8C"/>
    <w:rsid w:val="000E2C60"/>
    <w:rsid w:val="000E2D1C"/>
    <w:rsid w:val="000E2DC3"/>
    <w:rsid w:val="000E2E26"/>
    <w:rsid w:val="000E2F0D"/>
    <w:rsid w:val="000E2F11"/>
    <w:rsid w:val="000E3086"/>
    <w:rsid w:val="000E314E"/>
    <w:rsid w:val="000E3159"/>
    <w:rsid w:val="000E323F"/>
    <w:rsid w:val="000E3262"/>
    <w:rsid w:val="000E3292"/>
    <w:rsid w:val="000E32D9"/>
    <w:rsid w:val="000E32DB"/>
    <w:rsid w:val="000E332F"/>
    <w:rsid w:val="000E33E6"/>
    <w:rsid w:val="000E3414"/>
    <w:rsid w:val="000E3420"/>
    <w:rsid w:val="000E344C"/>
    <w:rsid w:val="000E345B"/>
    <w:rsid w:val="000E34D8"/>
    <w:rsid w:val="000E34E8"/>
    <w:rsid w:val="000E3502"/>
    <w:rsid w:val="000E3575"/>
    <w:rsid w:val="000E36A2"/>
    <w:rsid w:val="000E36AC"/>
    <w:rsid w:val="000E37C5"/>
    <w:rsid w:val="000E37D7"/>
    <w:rsid w:val="000E385D"/>
    <w:rsid w:val="000E3864"/>
    <w:rsid w:val="000E38BE"/>
    <w:rsid w:val="000E39CF"/>
    <w:rsid w:val="000E39FE"/>
    <w:rsid w:val="000E3A89"/>
    <w:rsid w:val="000E3AA3"/>
    <w:rsid w:val="000E3AEC"/>
    <w:rsid w:val="000E3B16"/>
    <w:rsid w:val="000E3B2D"/>
    <w:rsid w:val="000E3BB9"/>
    <w:rsid w:val="000E3BD3"/>
    <w:rsid w:val="000E3C62"/>
    <w:rsid w:val="000E3D78"/>
    <w:rsid w:val="000E3DD1"/>
    <w:rsid w:val="000E3E03"/>
    <w:rsid w:val="000E3E26"/>
    <w:rsid w:val="000E3E60"/>
    <w:rsid w:val="000E3E73"/>
    <w:rsid w:val="000E3EF8"/>
    <w:rsid w:val="000E3F0A"/>
    <w:rsid w:val="000E3F7E"/>
    <w:rsid w:val="000E3FB7"/>
    <w:rsid w:val="000E400D"/>
    <w:rsid w:val="000E4032"/>
    <w:rsid w:val="000E40AE"/>
    <w:rsid w:val="000E4194"/>
    <w:rsid w:val="000E41A1"/>
    <w:rsid w:val="000E41E2"/>
    <w:rsid w:val="000E4219"/>
    <w:rsid w:val="000E4229"/>
    <w:rsid w:val="000E42CF"/>
    <w:rsid w:val="000E4333"/>
    <w:rsid w:val="000E4380"/>
    <w:rsid w:val="000E43C6"/>
    <w:rsid w:val="000E4416"/>
    <w:rsid w:val="000E44CE"/>
    <w:rsid w:val="000E452D"/>
    <w:rsid w:val="000E4553"/>
    <w:rsid w:val="000E4571"/>
    <w:rsid w:val="000E4590"/>
    <w:rsid w:val="000E4612"/>
    <w:rsid w:val="000E4626"/>
    <w:rsid w:val="000E467A"/>
    <w:rsid w:val="000E468A"/>
    <w:rsid w:val="000E4863"/>
    <w:rsid w:val="000E4903"/>
    <w:rsid w:val="000E4A1E"/>
    <w:rsid w:val="000E4A7D"/>
    <w:rsid w:val="000E4B0B"/>
    <w:rsid w:val="000E4B6E"/>
    <w:rsid w:val="000E4BF2"/>
    <w:rsid w:val="000E4C06"/>
    <w:rsid w:val="000E4C76"/>
    <w:rsid w:val="000E4D65"/>
    <w:rsid w:val="000E4DA1"/>
    <w:rsid w:val="000E4E59"/>
    <w:rsid w:val="000E4E7B"/>
    <w:rsid w:val="000E4F3B"/>
    <w:rsid w:val="000E4F60"/>
    <w:rsid w:val="000E4F6C"/>
    <w:rsid w:val="000E4F7D"/>
    <w:rsid w:val="000E501F"/>
    <w:rsid w:val="000E50C0"/>
    <w:rsid w:val="000E5152"/>
    <w:rsid w:val="000E51DD"/>
    <w:rsid w:val="000E5263"/>
    <w:rsid w:val="000E5286"/>
    <w:rsid w:val="000E52AC"/>
    <w:rsid w:val="000E52AE"/>
    <w:rsid w:val="000E52B0"/>
    <w:rsid w:val="000E52B6"/>
    <w:rsid w:val="000E539C"/>
    <w:rsid w:val="000E545C"/>
    <w:rsid w:val="000E5532"/>
    <w:rsid w:val="000E5580"/>
    <w:rsid w:val="000E5598"/>
    <w:rsid w:val="000E5678"/>
    <w:rsid w:val="000E573D"/>
    <w:rsid w:val="000E5760"/>
    <w:rsid w:val="000E576F"/>
    <w:rsid w:val="000E585F"/>
    <w:rsid w:val="000E58C5"/>
    <w:rsid w:val="000E58DF"/>
    <w:rsid w:val="000E58EB"/>
    <w:rsid w:val="000E5913"/>
    <w:rsid w:val="000E594B"/>
    <w:rsid w:val="000E594C"/>
    <w:rsid w:val="000E59E1"/>
    <w:rsid w:val="000E5A55"/>
    <w:rsid w:val="000E5AEA"/>
    <w:rsid w:val="000E5B8E"/>
    <w:rsid w:val="000E5BBC"/>
    <w:rsid w:val="000E5BCE"/>
    <w:rsid w:val="000E5C16"/>
    <w:rsid w:val="000E5C33"/>
    <w:rsid w:val="000E5CF4"/>
    <w:rsid w:val="000E5D48"/>
    <w:rsid w:val="000E5D90"/>
    <w:rsid w:val="000E5DF8"/>
    <w:rsid w:val="000E5E00"/>
    <w:rsid w:val="000E5E24"/>
    <w:rsid w:val="000E5E64"/>
    <w:rsid w:val="000E5ED3"/>
    <w:rsid w:val="000E5FB3"/>
    <w:rsid w:val="000E6003"/>
    <w:rsid w:val="000E615F"/>
    <w:rsid w:val="000E61F8"/>
    <w:rsid w:val="000E622F"/>
    <w:rsid w:val="000E623C"/>
    <w:rsid w:val="000E625B"/>
    <w:rsid w:val="000E6277"/>
    <w:rsid w:val="000E62CE"/>
    <w:rsid w:val="000E63A2"/>
    <w:rsid w:val="000E63FD"/>
    <w:rsid w:val="000E6408"/>
    <w:rsid w:val="000E6584"/>
    <w:rsid w:val="000E65EC"/>
    <w:rsid w:val="000E65F4"/>
    <w:rsid w:val="000E661D"/>
    <w:rsid w:val="000E6624"/>
    <w:rsid w:val="000E6677"/>
    <w:rsid w:val="000E66B2"/>
    <w:rsid w:val="000E671B"/>
    <w:rsid w:val="000E675E"/>
    <w:rsid w:val="000E675F"/>
    <w:rsid w:val="000E6786"/>
    <w:rsid w:val="000E67D9"/>
    <w:rsid w:val="000E6809"/>
    <w:rsid w:val="000E68C0"/>
    <w:rsid w:val="000E68DD"/>
    <w:rsid w:val="000E68FE"/>
    <w:rsid w:val="000E6955"/>
    <w:rsid w:val="000E6A74"/>
    <w:rsid w:val="000E6B73"/>
    <w:rsid w:val="000E6B92"/>
    <w:rsid w:val="000E6C30"/>
    <w:rsid w:val="000E6CCA"/>
    <w:rsid w:val="000E6CE0"/>
    <w:rsid w:val="000E6D6E"/>
    <w:rsid w:val="000E6DD0"/>
    <w:rsid w:val="000E6DE5"/>
    <w:rsid w:val="000E6E6D"/>
    <w:rsid w:val="000E6E72"/>
    <w:rsid w:val="000E6F65"/>
    <w:rsid w:val="000E6FB7"/>
    <w:rsid w:val="000E6FFA"/>
    <w:rsid w:val="000E700F"/>
    <w:rsid w:val="000E7048"/>
    <w:rsid w:val="000E7054"/>
    <w:rsid w:val="000E70C7"/>
    <w:rsid w:val="000E7124"/>
    <w:rsid w:val="000E7136"/>
    <w:rsid w:val="000E714F"/>
    <w:rsid w:val="000E71DA"/>
    <w:rsid w:val="000E7316"/>
    <w:rsid w:val="000E7338"/>
    <w:rsid w:val="000E73C8"/>
    <w:rsid w:val="000E7434"/>
    <w:rsid w:val="000E754F"/>
    <w:rsid w:val="000E758D"/>
    <w:rsid w:val="000E75D8"/>
    <w:rsid w:val="000E7610"/>
    <w:rsid w:val="000E761F"/>
    <w:rsid w:val="000E76CD"/>
    <w:rsid w:val="000E776A"/>
    <w:rsid w:val="000E7898"/>
    <w:rsid w:val="000E78DA"/>
    <w:rsid w:val="000E7949"/>
    <w:rsid w:val="000E7966"/>
    <w:rsid w:val="000E7A46"/>
    <w:rsid w:val="000E7A75"/>
    <w:rsid w:val="000E7AC7"/>
    <w:rsid w:val="000E7B93"/>
    <w:rsid w:val="000E7BB3"/>
    <w:rsid w:val="000E7BC6"/>
    <w:rsid w:val="000E7E0E"/>
    <w:rsid w:val="000E7E69"/>
    <w:rsid w:val="000E7F18"/>
    <w:rsid w:val="000E7F51"/>
    <w:rsid w:val="000E7FD7"/>
    <w:rsid w:val="000F00C2"/>
    <w:rsid w:val="000F00FC"/>
    <w:rsid w:val="000F010A"/>
    <w:rsid w:val="000F01DB"/>
    <w:rsid w:val="000F020D"/>
    <w:rsid w:val="000F022F"/>
    <w:rsid w:val="000F023B"/>
    <w:rsid w:val="000F0431"/>
    <w:rsid w:val="000F045C"/>
    <w:rsid w:val="000F0475"/>
    <w:rsid w:val="000F04D7"/>
    <w:rsid w:val="000F050A"/>
    <w:rsid w:val="000F059C"/>
    <w:rsid w:val="000F0620"/>
    <w:rsid w:val="000F0621"/>
    <w:rsid w:val="000F06E4"/>
    <w:rsid w:val="000F0707"/>
    <w:rsid w:val="000F076C"/>
    <w:rsid w:val="000F07A4"/>
    <w:rsid w:val="000F07A7"/>
    <w:rsid w:val="000F07EF"/>
    <w:rsid w:val="000F08FD"/>
    <w:rsid w:val="000F0930"/>
    <w:rsid w:val="000F0958"/>
    <w:rsid w:val="000F096C"/>
    <w:rsid w:val="000F09D0"/>
    <w:rsid w:val="000F09D6"/>
    <w:rsid w:val="000F0A13"/>
    <w:rsid w:val="000F0A40"/>
    <w:rsid w:val="000F0A61"/>
    <w:rsid w:val="000F0AC3"/>
    <w:rsid w:val="000F0B6F"/>
    <w:rsid w:val="000F0BD4"/>
    <w:rsid w:val="000F0C2C"/>
    <w:rsid w:val="000F0C32"/>
    <w:rsid w:val="000F0C47"/>
    <w:rsid w:val="000F0C77"/>
    <w:rsid w:val="000F0CDD"/>
    <w:rsid w:val="000F0D01"/>
    <w:rsid w:val="000F0D92"/>
    <w:rsid w:val="000F0DD4"/>
    <w:rsid w:val="000F0DED"/>
    <w:rsid w:val="000F0E46"/>
    <w:rsid w:val="000F0E5D"/>
    <w:rsid w:val="000F0EE1"/>
    <w:rsid w:val="000F0F32"/>
    <w:rsid w:val="000F0F4C"/>
    <w:rsid w:val="000F0F55"/>
    <w:rsid w:val="000F0F67"/>
    <w:rsid w:val="000F0FE8"/>
    <w:rsid w:val="000F1018"/>
    <w:rsid w:val="000F1072"/>
    <w:rsid w:val="000F10FD"/>
    <w:rsid w:val="000F112B"/>
    <w:rsid w:val="000F1202"/>
    <w:rsid w:val="000F1312"/>
    <w:rsid w:val="000F142D"/>
    <w:rsid w:val="000F145B"/>
    <w:rsid w:val="000F14CC"/>
    <w:rsid w:val="000F1540"/>
    <w:rsid w:val="000F156A"/>
    <w:rsid w:val="000F159D"/>
    <w:rsid w:val="000F162D"/>
    <w:rsid w:val="000F16A5"/>
    <w:rsid w:val="000F16B2"/>
    <w:rsid w:val="000F172A"/>
    <w:rsid w:val="000F1767"/>
    <w:rsid w:val="000F1838"/>
    <w:rsid w:val="000F18C8"/>
    <w:rsid w:val="000F18C9"/>
    <w:rsid w:val="000F1A34"/>
    <w:rsid w:val="000F1A4E"/>
    <w:rsid w:val="000F1A53"/>
    <w:rsid w:val="000F1A65"/>
    <w:rsid w:val="000F1B05"/>
    <w:rsid w:val="000F1B15"/>
    <w:rsid w:val="000F1B43"/>
    <w:rsid w:val="000F1BB4"/>
    <w:rsid w:val="000F1C82"/>
    <w:rsid w:val="000F1CFD"/>
    <w:rsid w:val="000F1D1C"/>
    <w:rsid w:val="000F1D92"/>
    <w:rsid w:val="000F1DF6"/>
    <w:rsid w:val="000F1E23"/>
    <w:rsid w:val="000F1E74"/>
    <w:rsid w:val="000F1FCC"/>
    <w:rsid w:val="000F2069"/>
    <w:rsid w:val="000F20FC"/>
    <w:rsid w:val="000F21AB"/>
    <w:rsid w:val="000F23C5"/>
    <w:rsid w:val="000F2451"/>
    <w:rsid w:val="000F2455"/>
    <w:rsid w:val="000F2459"/>
    <w:rsid w:val="000F249B"/>
    <w:rsid w:val="000F24EA"/>
    <w:rsid w:val="000F2570"/>
    <w:rsid w:val="000F257D"/>
    <w:rsid w:val="000F25A8"/>
    <w:rsid w:val="000F25BE"/>
    <w:rsid w:val="000F25DA"/>
    <w:rsid w:val="000F2603"/>
    <w:rsid w:val="000F26BE"/>
    <w:rsid w:val="000F276D"/>
    <w:rsid w:val="000F27D1"/>
    <w:rsid w:val="000F27EA"/>
    <w:rsid w:val="000F2848"/>
    <w:rsid w:val="000F28A1"/>
    <w:rsid w:val="000F28FF"/>
    <w:rsid w:val="000F2931"/>
    <w:rsid w:val="000F295D"/>
    <w:rsid w:val="000F29A4"/>
    <w:rsid w:val="000F29DF"/>
    <w:rsid w:val="000F2A2B"/>
    <w:rsid w:val="000F2ABC"/>
    <w:rsid w:val="000F2B42"/>
    <w:rsid w:val="000F2BC8"/>
    <w:rsid w:val="000F2C08"/>
    <w:rsid w:val="000F2C21"/>
    <w:rsid w:val="000F2CD6"/>
    <w:rsid w:val="000F2CE1"/>
    <w:rsid w:val="000F2D22"/>
    <w:rsid w:val="000F2D49"/>
    <w:rsid w:val="000F2E11"/>
    <w:rsid w:val="000F2FF1"/>
    <w:rsid w:val="000F3050"/>
    <w:rsid w:val="000F306A"/>
    <w:rsid w:val="000F30A2"/>
    <w:rsid w:val="000F30DE"/>
    <w:rsid w:val="000F3125"/>
    <w:rsid w:val="000F3186"/>
    <w:rsid w:val="000F31CD"/>
    <w:rsid w:val="000F3204"/>
    <w:rsid w:val="000F3223"/>
    <w:rsid w:val="000F325D"/>
    <w:rsid w:val="000F326A"/>
    <w:rsid w:val="000F326B"/>
    <w:rsid w:val="000F3288"/>
    <w:rsid w:val="000F338D"/>
    <w:rsid w:val="000F33C9"/>
    <w:rsid w:val="000F33F3"/>
    <w:rsid w:val="000F34B4"/>
    <w:rsid w:val="000F357B"/>
    <w:rsid w:val="000F365D"/>
    <w:rsid w:val="000F36D3"/>
    <w:rsid w:val="000F3712"/>
    <w:rsid w:val="000F371B"/>
    <w:rsid w:val="000F3738"/>
    <w:rsid w:val="000F3766"/>
    <w:rsid w:val="000F37A4"/>
    <w:rsid w:val="000F3894"/>
    <w:rsid w:val="000F38D4"/>
    <w:rsid w:val="000F394F"/>
    <w:rsid w:val="000F3A2A"/>
    <w:rsid w:val="000F3A30"/>
    <w:rsid w:val="000F3A72"/>
    <w:rsid w:val="000F3AA3"/>
    <w:rsid w:val="000F3AAD"/>
    <w:rsid w:val="000F3B74"/>
    <w:rsid w:val="000F3BD7"/>
    <w:rsid w:val="000F3D16"/>
    <w:rsid w:val="000F3DA1"/>
    <w:rsid w:val="000F3DA2"/>
    <w:rsid w:val="000F3EB5"/>
    <w:rsid w:val="000F3EBB"/>
    <w:rsid w:val="000F3F24"/>
    <w:rsid w:val="000F3F2A"/>
    <w:rsid w:val="000F3F3B"/>
    <w:rsid w:val="000F40EA"/>
    <w:rsid w:val="000F41A6"/>
    <w:rsid w:val="000F41A9"/>
    <w:rsid w:val="000F41AB"/>
    <w:rsid w:val="000F420E"/>
    <w:rsid w:val="000F4290"/>
    <w:rsid w:val="000F429A"/>
    <w:rsid w:val="000F433C"/>
    <w:rsid w:val="000F43A6"/>
    <w:rsid w:val="000F447D"/>
    <w:rsid w:val="000F44A5"/>
    <w:rsid w:val="000F44CA"/>
    <w:rsid w:val="000F44D2"/>
    <w:rsid w:val="000F4610"/>
    <w:rsid w:val="000F462C"/>
    <w:rsid w:val="000F4666"/>
    <w:rsid w:val="000F469B"/>
    <w:rsid w:val="000F46BD"/>
    <w:rsid w:val="000F46C8"/>
    <w:rsid w:val="000F4717"/>
    <w:rsid w:val="000F472B"/>
    <w:rsid w:val="000F47A0"/>
    <w:rsid w:val="000F4844"/>
    <w:rsid w:val="000F48BB"/>
    <w:rsid w:val="000F4923"/>
    <w:rsid w:val="000F4954"/>
    <w:rsid w:val="000F4991"/>
    <w:rsid w:val="000F49CB"/>
    <w:rsid w:val="000F4B50"/>
    <w:rsid w:val="000F4BFF"/>
    <w:rsid w:val="000F4C27"/>
    <w:rsid w:val="000F4D44"/>
    <w:rsid w:val="000F4D56"/>
    <w:rsid w:val="000F4D7F"/>
    <w:rsid w:val="000F4E1C"/>
    <w:rsid w:val="000F4E21"/>
    <w:rsid w:val="000F4E3F"/>
    <w:rsid w:val="000F4E69"/>
    <w:rsid w:val="000F4F14"/>
    <w:rsid w:val="000F4F79"/>
    <w:rsid w:val="000F4F89"/>
    <w:rsid w:val="000F5036"/>
    <w:rsid w:val="000F503C"/>
    <w:rsid w:val="000F504A"/>
    <w:rsid w:val="000F5081"/>
    <w:rsid w:val="000F524B"/>
    <w:rsid w:val="000F524E"/>
    <w:rsid w:val="000F5355"/>
    <w:rsid w:val="000F543F"/>
    <w:rsid w:val="000F546E"/>
    <w:rsid w:val="000F54C4"/>
    <w:rsid w:val="000F54F1"/>
    <w:rsid w:val="000F5520"/>
    <w:rsid w:val="000F5594"/>
    <w:rsid w:val="000F5671"/>
    <w:rsid w:val="000F56C8"/>
    <w:rsid w:val="000F56DF"/>
    <w:rsid w:val="000F5710"/>
    <w:rsid w:val="000F572B"/>
    <w:rsid w:val="000F578B"/>
    <w:rsid w:val="000F57AD"/>
    <w:rsid w:val="000F57C7"/>
    <w:rsid w:val="000F5814"/>
    <w:rsid w:val="000F584D"/>
    <w:rsid w:val="000F587F"/>
    <w:rsid w:val="000F589A"/>
    <w:rsid w:val="000F5972"/>
    <w:rsid w:val="000F59B3"/>
    <w:rsid w:val="000F5A36"/>
    <w:rsid w:val="000F5B5B"/>
    <w:rsid w:val="000F5BD3"/>
    <w:rsid w:val="000F5C32"/>
    <w:rsid w:val="000F5C64"/>
    <w:rsid w:val="000F5C6B"/>
    <w:rsid w:val="000F5CDD"/>
    <w:rsid w:val="000F5CFD"/>
    <w:rsid w:val="000F5D0D"/>
    <w:rsid w:val="000F5E91"/>
    <w:rsid w:val="000F5F0B"/>
    <w:rsid w:val="000F5F20"/>
    <w:rsid w:val="000F5F34"/>
    <w:rsid w:val="000F5F60"/>
    <w:rsid w:val="000F5F92"/>
    <w:rsid w:val="000F5FCA"/>
    <w:rsid w:val="000F601D"/>
    <w:rsid w:val="000F6068"/>
    <w:rsid w:val="000F60D2"/>
    <w:rsid w:val="000F6101"/>
    <w:rsid w:val="000F6138"/>
    <w:rsid w:val="000F615E"/>
    <w:rsid w:val="000F618E"/>
    <w:rsid w:val="000F61DC"/>
    <w:rsid w:val="000F624C"/>
    <w:rsid w:val="000F6294"/>
    <w:rsid w:val="000F631E"/>
    <w:rsid w:val="000F63B4"/>
    <w:rsid w:val="000F6459"/>
    <w:rsid w:val="000F64EC"/>
    <w:rsid w:val="000F6577"/>
    <w:rsid w:val="000F6586"/>
    <w:rsid w:val="000F65B0"/>
    <w:rsid w:val="000F65E2"/>
    <w:rsid w:val="000F66A8"/>
    <w:rsid w:val="000F66C2"/>
    <w:rsid w:val="000F66E5"/>
    <w:rsid w:val="000F66E9"/>
    <w:rsid w:val="000F66FB"/>
    <w:rsid w:val="000F6758"/>
    <w:rsid w:val="000F68A5"/>
    <w:rsid w:val="000F68E5"/>
    <w:rsid w:val="000F6909"/>
    <w:rsid w:val="000F69B0"/>
    <w:rsid w:val="000F69DD"/>
    <w:rsid w:val="000F6A48"/>
    <w:rsid w:val="000F6A60"/>
    <w:rsid w:val="000F6B2F"/>
    <w:rsid w:val="000F6B3E"/>
    <w:rsid w:val="000F6B95"/>
    <w:rsid w:val="000F6C90"/>
    <w:rsid w:val="000F6D85"/>
    <w:rsid w:val="000F6DB1"/>
    <w:rsid w:val="000F6DC4"/>
    <w:rsid w:val="000F6E3B"/>
    <w:rsid w:val="000F709C"/>
    <w:rsid w:val="000F7139"/>
    <w:rsid w:val="000F7153"/>
    <w:rsid w:val="000F716E"/>
    <w:rsid w:val="000F71C0"/>
    <w:rsid w:val="000F71FB"/>
    <w:rsid w:val="000F724C"/>
    <w:rsid w:val="000F724D"/>
    <w:rsid w:val="000F7258"/>
    <w:rsid w:val="000F72C8"/>
    <w:rsid w:val="000F731B"/>
    <w:rsid w:val="000F732E"/>
    <w:rsid w:val="000F7450"/>
    <w:rsid w:val="000F7460"/>
    <w:rsid w:val="000F7496"/>
    <w:rsid w:val="000F74DF"/>
    <w:rsid w:val="000F75BF"/>
    <w:rsid w:val="000F7618"/>
    <w:rsid w:val="000F7752"/>
    <w:rsid w:val="000F7827"/>
    <w:rsid w:val="000F7833"/>
    <w:rsid w:val="000F7845"/>
    <w:rsid w:val="000F78E4"/>
    <w:rsid w:val="000F7921"/>
    <w:rsid w:val="000F79BD"/>
    <w:rsid w:val="000F79FC"/>
    <w:rsid w:val="000F7A27"/>
    <w:rsid w:val="000F7A33"/>
    <w:rsid w:val="000F7AE2"/>
    <w:rsid w:val="000F7B3F"/>
    <w:rsid w:val="000F7B88"/>
    <w:rsid w:val="000F7C5A"/>
    <w:rsid w:val="000F7C73"/>
    <w:rsid w:val="000F7CB1"/>
    <w:rsid w:val="000F7D75"/>
    <w:rsid w:val="000F7DF4"/>
    <w:rsid w:val="000F7EA5"/>
    <w:rsid w:val="000F7EE9"/>
    <w:rsid w:val="000F7EF2"/>
    <w:rsid w:val="000F7F1F"/>
    <w:rsid w:val="000F8D57"/>
    <w:rsid w:val="00100094"/>
    <w:rsid w:val="001000B7"/>
    <w:rsid w:val="001000DF"/>
    <w:rsid w:val="0010013B"/>
    <w:rsid w:val="00100146"/>
    <w:rsid w:val="001001BE"/>
    <w:rsid w:val="00100226"/>
    <w:rsid w:val="00100236"/>
    <w:rsid w:val="00100271"/>
    <w:rsid w:val="001002E4"/>
    <w:rsid w:val="001002F8"/>
    <w:rsid w:val="0010030D"/>
    <w:rsid w:val="00100379"/>
    <w:rsid w:val="0010040D"/>
    <w:rsid w:val="00100451"/>
    <w:rsid w:val="001004BF"/>
    <w:rsid w:val="001004D2"/>
    <w:rsid w:val="001004DF"/>
    <w:rsid w:val="00100520"/>
    <w:rsid w:val="001005CC"/>
    <w:rsid w:val="00100613"/>
    <w:rsid w:val="00100618"/>
    <w:rsid w:val="00100628"/>
    <w:rsid w:val="00100656"/>
    <w:rsid w:val="001006D4"/>
    <w:rsid w:val="001007A2"/>
    <w:rsid w:val="00100826"/>
    <w:rsid w:val="00100993"/>
    <w:rsid w:val="001009E9"/>
    <w:rsid w:val="001009F0"/>
    <w:rsid w:val="00100A60"/>
    <w:rsid w:val="00100B2F"/>
    <w:rsid w:val="00100B30"/>
    <w:rsid w:val="00100B74"/>
    <w:rsid w:val="00100BAD"/>
    <w:rsid w:val="00100C5E"/>
    <w:rsid w:val="00100CC3"/>
    <w:rsid w:val="00100CD3"/>
    <w:rsid w:val="00100CDE"/>
    <w:rsid w:val="00100D39"/>
    <w:rsid w:val="00100D3A"/>
    <w:rsid w:val="00100D53"/>
    <w:rsid w:val="00100DA4"/>
    <w:rsid w:val="00100DEF"/>
    <w:rsid w:val="00100DFA"/>
    <w:rsid w:val="00100E39"/>
    <w:rsid w:val="00100F07"/>
    <w:rsid w:val="00100F30"/>
    <w:rsid w:val="00100F7A"/>
    <w:rsid w:val="00100F8B"/>
    <w:rsid w:val="00101027"/>
    <w:rsid w:val="00101056"/>
    <w:rsid w:val="00101158"/>
    <w:rsid w:val="001011B9"/>
    <w:rsid w:val="0010122D"/>
    <w:rsid w:val="0010125F"/>
    <w:rsid w:val="00101284"/>
    <w:rsid w:val="0010128A"/>
    <w:rsid w:val="0010129C"/>
    <w:rsid w:val="001012A1"/>
    <w:rsid w:val="001012D5"/>
    <w:rsid w:val="00101327"/>
    <w:rsid w:val="001013F3"/>
    <w:rsid w:val="001014AE"/>
    <w:rsid w:val="001014BF"/>
    <w:rsid w:val="001015ED"/>
    <w:rsid w:val="00101682"/>
    <w:rsid w:val="001016A9"/>
    <w:rsid w:val="0010176C"/>
    <w:rsid w:val="00101775"/>
    <w:rsid w:val="0010178B"/>
    <w:rsid w:val="00101799"/>
    <w:rsid w:val="001017B7"/>
    <w:rsid w:val="0010181A"/>
    <w:rsid w:val="001019A4"/>
    <w:rsid w:val="001019B7"/>
    <w:rsid w:val="00101AC9"/>
    <w:rsid w:val="00101BCF"/>
    <w:rsid w:val="00101C25"/>
    <w:rsid w:val="00101C4F"/>
    <w:rsid w:val="00101D69"/>
    <w:rsid w:val="00101D8C"/>
    <w:rsid w:val="00101E77"/>
    <w:rsid w:val="00101E8A"/>
    <w:rsid w:val="00101EF3"/>
    <w:rsid w:val="00101F36"/>
    <w:rsid w:val="00101F37"/>
    <w:rsid w:val="00102031"/>
    <w:rsid w:val="00102059"/>
    <w:rsid w:val="0010207D"/>
    <w:rsid w:val="001020B9"/>
    <w:rsid w:val="001020EC"/>
    <w:rsid w:val="00102137"/>
    <w:rsid w:val="0010213A"/>
    <w:rsid w:val="001021E5"/>
    <w:rsid w:val="0010221D"/>
    <w:rsid w:val="00102237"/>
    <w:rsid w:val="0010224F"/>
    <w:rsid w:val="00102285"/>
    <w:rsid w:val="001022A3"/>
    <w:rsid w:val="001022C5"/>
    <w:rsid w:val="001022C7"/>
    <w:rsid w:val="001022D2"/>
    <w:rsid w:val="001024C9"/>
    <w:rsid w:val="00102553"/>
    <w:rsid w:val="001026A7"/>
    <w:rsid w:val="0010271F"/>
    <w:rsid w:val="00102795"/>
    <w:rsid w:val="0010280D"/>
    <w:rsid w:val="00102847"/>
    <w:rsid w:val="00102852"/>
    <w:rsid w:val="0010285C"/>
    <w:rsid w:val="0010287A"/>
    <w:rsid w:val="001028C9"/>
    <w:rsid w:val="0010291B"/>
    <w:rsid w:val="001029C5"/>
    <w:rsid w:val="00102A49"/>
    <w:rsid w:val="00102A54"/>
    <w:rsid w:val="00102A5D"/>
    <w:rsid w:val="00102AC0"/>
    <w:rsid w:val="00102B38"/>
    <w:rsid w:val="00102C7F"/>
    <w:rsid w:val="00102CBE"/>
    <w:rsid w:val="00102E75"/>
    <w:rsid w:val="00102E80"/>
    <w:rsid w:val="00102E8A"/>
    <w:rsid w:val="00102E96"/>
    <w:rsid w:val="00102EB1"/>
    <w:rsid w:val="00103019"/>
    <w:rsid w:val="00103020"/>
    <w:rsid w:val="00103167"/>
    <w:rsid w:val="00103185"/>
    <w:rsid w:val="001031B0"/>
    <w:rsid w:val="001031CD"/>
    <w:rsid w:val="0010325F"/>
    <w:rsid w:val="00103364"/>
    <w:rsid w:val="001033F5"/>
    <w:rsid w:val="001034C0"/>
    <w:rsid w:val="00103597"/>
    <w:rsid w:val="001035BF"/>
    <w:rsid w:val="001035CB"/>
    <w:rsid w:val="00103653"/>
    <w:rsid w:val="0010365D"/>
    <w:rsid w:val="001036C3"/>
    <w:rsid w:val="0010376B"/>
    <w:rsid w:val="0010376F"/>
    <w:rsid w:val="0010378E"/>
    <w:rsid w:val="0010379A"/>
    <w:rsid w:val="001037A4"/>
    <w:rsid w:val="001037F6"/>
    <w:rsid w:val="001038DC"/>
    <w:rsid w:val="001038F3"/>
    <w:rsid w:val="00103919"/>
    <w:rsid w:val="001039C3"/>
    <w:rsid w:val="00103A1C"/>
    <w:rsid w:val="00103A3E"/>
    <w:rsid w:val="00103A46"/>
    <w:rsid w:val="00103AEA"/>
    <w:rsid w:val="00103B06"/>
    <w:rsid w:val="00103B49"/>
    <w:rsid w:val="00103B4B"/>
    <w:rsid w:val="00103B5F"/>
    <w:rsid w:val="00103B64"/>
    <w:rsid w:val="00103BEF"/>
    <w:rsid w:val="00103D21"/>
    <w:rsid w:val="00103D81"/>
    <w:rsid w:val="00103EEF"/>
    <w:rsid w:val="00103F7B"/>
    <w:rsid w:val="00103FB3"/>
    <w:rsid w:val="00103FFB"/>
    <w:rsid w:val="0010406E"/>
    <w:rsid w:val="0010410A"/>
    <w:rsid w:val="0010421E"/>
    <w:rsid w:val="00104224"/>
    <w:rsid w:val="0010422E"/>
    <w:rsid w:val="00104271"/>
    <w:rsid w:val="001042AC"/>
    <w:rsid w:val="00104406"/>
    <w:rsid w:val="00104458"/>
    <w:rsid w:val="00104483"/>
    <w:rsid w:val="00104539"/>
    <w:rsid w:val="00104677"/>
    <w:rsid w:val="001046E2"/>
    <w:rsid w:val="0010472A"/>
    <w:rsid w:val="00104756"/>
    <w:rsid w:val="001047B5"/>
    <w:rsid w:val="001047F5"/>
    <w:rsid w:val="00104953"/>
    <w:rsid w:val="0010496C"/>
    <w:rsid w:val="001049D6"/>
    <w:rsid w:val="001049F4"/>
    <w:rsid w:val="00104A6C"/>
    <w:rsid w:val="00104ACE"/>
    <w:rsid w:val="00104B33"/>
    <w:rsid w:val="00104BBD"/>
    <w:rsid w:val="00104BDA"/>
    <w:rsid w:val="00104CC4"/>
    <w:rsid w:val="00104E9A"/>
    <w:rsid w:val="00104EAE"/>
    <w:rsid w:val="00104EB1"/>
    <w:rsid w:val="00104EBA"/>
    <w:rsid w:val="00104FD1"/>
    <w:rsid w:val="0010509E"/>
    <w:rsid w:val="001050EA"/>
    <w:rsid w:val="00105129"/>
    <w:rsid w:val="00105144"/>
    <w:rsid w:val="00105196"/>
    <w:rsid w:val="00105249"/>
    <w:rsid w:val="00105327"/>
    <w:rsid w:val="00105346"/>
    <w:rsid w:val="00105351"/>
    <w:rsid w:val="001053A6"/>
    <w:rsid w:val="001053E6"/>
    <w:rsid w:val="00105467"/>
    <w:rsid w:val="001054EF"/>
    <w:rsid w:val="00105526"/>
    <w:rsid w:val="0010556D"/>
    <w:rsid w:val="00105583"/>
    <w:rsid w:val="001055C5"/>
    <w:rsid w:val="00105601"/>
    <w:rsid w:val="00105788"/>
    <w:rsid w:val="001057C4"/>
    <w:rsid w:val="001057CA"/>
    <w:rsid w:val="001057DD"/>
    <w:rsid w:val="001057DF"/>
    <w:rsid w:val="0010581D"/>
    <w:rsid w:val="001059FF"/>
    <w:rsid w:val="00105A08"/>
    <w:rsid w:val="00105A35"/>
    <w:rsid w:val="00105A5D"/>
    <w:rsid w:val="00105AD3"/>
    <w:rsid w:val="00105AD6"/>
    <w:rsid w:val="00105B0F"/>
    <w:rsid w:val="00105B65"/>
    <w:rsid w:val="00105CE8"/>
    <w:rsid w:val="00105DA9"/>
    <w:rsid w:val="00105DC1"/>
    <w:rsid w:val="00105E54"/>
    <w:rsid w:val="00105F1F"/>
    <w:rsid w:val="00105F63"/>
    <w:rsid w:val="00105F8E"/>
    <w:rsid w:val="00105FB0"/>
    <w:rsid w:val="00105FF4"/>
    <w:rsid w:val="0010603F"/>
    <w:rsid w:val="001060C6"/>
    <w:rsid w:val="00106276"/>
    <w:rsid w:val="0010636A"/>
    <w:rsid w:val="001063D6"/>
    <w:rsid w:val="001063DE"/>
    <w:rsid w:val="00106488"/>
    <w:rsid w:val="001064F2"/>
    <w:rsid w:val="0010655B"/>
    <w:rsid w:val="00106609"/>
    <w:rsid w:val="0010666C"/>
    <w:rsid w:val="00106677"/>
    <w:rsid w:val="001066AD"/>
    <w:rsid w:val="0010672B"/>
    <w:rsid w:val="00106770"/>
    <w:rsid w:val="00106778"/>
    <w:rsid w:val="001067B8"/>
    <w:rsid w:val="001067BC"/>
    <w:rsid w:val="0010684C"/>
    <w:rsid w:val="001068B0"/>
    <w:rsid w:val="001068F4"/>
    <w:rsid w:val="00106904"/>
    <w:rsid w:val="00106994"/>
    <w:rsid w:val="001069BE"/>
    <w:rsid w:val="00106A07"/>
    <w:rsid w:val="00106B16"/>
    <w:rsid w:val="00106B44"/>
    <w:rsid w:val="00106B5C"/>
    <w:rsid w:val="00106B6F"/>
    <w:rsid w:val="00106BD9"/>
    <w:rsid w:val="00106C0D"/>
    <w:rsid w:val="00106CDF"/>
    <w:rsid w:val="00106D86"/>
    <w:rsid w:val="00106DFF"/>
    <w:rsid w:val="00106E91"/>
    <w:rsid w:val="00106F1A"/>
    <w:rsid w:val="00106F29"/>
    <w:rsid w:val="00106F67"/>
    <w:rsid w:val="00106F8D"/>
    <w:rsid w:val="00106FF6"/>
    <w:rsid w:val="00107056"/>
    <w:rsid w:val="00107151"/>
    <w:rsid w:val="00107193"/>
    <w:rsid w:val="0010719A"/>
    <w:rsid w:val="0010727D"/>
    <w:rsid w:val="001072BC"/>
    <w:rsid w:val="00107404"/>
    <w:rsid w:val="0010747F"/>
    <w:rsid w:val="0010752D"/>
    <w:rsid w:val="0010754C"/>
    <w:rsid w:val="001075BC"/>
    <w:rsid w:val="001075D2"/>
    <w:rsid w:val="001075E0"/>
    <w:rsid w:val="001076FC"/>
    <w:rsid w:val="00107769"/>
    <w:rsid w:val="0010778C"/>
    <w:rsid w:val="001077A8"/>
    <w:rsid w:val="001078DA"/>
    <w:rsid w:val="00107A0A"/>
    <w:rsid w:val="00107A16"/>
    <w:rsid w:val="00107A1D"/>
    <w:rsid w:val="00107A43"/>
    <w:rsid w:val="00107ACA"/>
    <w:rsid w:val="00107AD3"/>
    <w:rsid w:val="00107B07"/>
    <w:rsid w:val="00107B27"/>
    <w:rsid w:val="00107B2A"/>
    <w:rsid w:val="00107B31"/>
    <w:rsid w:val="00107B84"/>
    <w:rsid w:val="00107C49"/>
    <w:rsid w:val="00107DB5"/>
    <w:rsid w:val="00107DB9"/>
    <w:rsid w:val="00107F48"/>
    <w:rsid w:val="00107F60"/>
    <w:rsid w:val="00107FC4"/>
    <w:rsid w:val="00110097"/>
    <w:rsid w:val="001100CB"/>
    <w:rsid w:val="001100F0"/>
    <w:rsid w:val="00110116"/>
    <w:rsid w:val="00110120"/>
    <w:rsid w:val="00110270"/>
    <w:rsid w:val="001102B1"/>
    <w:rsid w:val="001102D1"/>
    <w:rsid w:val="00110361"/>
    <w:rsid w:val="001105D6"/>
    <w:rsid w:val="00110618"/>
    <w:rsid w:val="00110639"/>
    <w:rsid w:val="00110648"/>
    <w:rsid w:val="00110732"/>
    <w:rsid w:val="001107E8"/>
    <w:rsid w:val="001108CC"/>
    <w:rsid w:val="00110995"/>
    <w:rsid w:val="00110A54"/>
    <w:rsid w:val="00110AF8"/>
    <w:rsid w:val="00110B18"/>
    <w:rsid w:val="00110B3C"/>
    <w:rsid w:val="00110B85"/>
    <w:rsid w:val="00110BF1"/>
    <w:rsid w:val="00110BFC"/>
    <w:rsid w:val="00110C04"/>
    <w:rsid w:val="00110CA8"/>
    <w:rsid w:val="00110CF1"/>
    <w:rsid w:val="00110D5B"/>
    <w:rsid w:val="00110DCE"/>
    <w:rsid w:val="00110DEE"/>
    <w:rsid w:val="00110E53"/>
    <w:rsid w:val="00110E61"/>
    <w:rsid w:val="00110EBD"/>
    <w:rsid w:val="00110FC1"/>
    <w:rsid w:val="00110FCF"/>
    <w:rsid w:val="00110FED"/>
    <w:rsid w:val="0011102A"/>
    <w:rsid w:val="00111037"/>
    <w:rsid w:val="00111115"/>
    <w:rsid w:val="00111119"/>
    <w:rsid w:val="0011112B"/>
    <w:rsid w:val="001111A7"/>
    <w:rsid w:val="001111C0"/>
    <w:rsid w:val="001111F3"/>
    <w:rsid w:val="0011128D"/>
    <w:rsid w:val="001112A7"/>
    <w:rsid w:val="001112F7"/>
    <w:rsid w:val="0011130D"/>
    <w:rsid w:val="001114C1"/>
    <w:rsid w:val="001114D7"/>
    <w:rsid w:val="0011151F"/>
    <w:rsid w:val="00111530"/>
    <w:rsid w:val="00111596"/>
    <w:rsid w:val="001115D5"/>
    <w:rsid w:val="00111656"/>
    <w:rsid w:val="0011165A"/>
    <w:rsid w:val="0011172D"/>
    <w:rsid w:val="00111854"/>
    <w:rsid w:val="0011186C"/>
    <w:rsid w:val="00111915"/>
    <w:rsid w:val="001119AF"/>
    <w:rsid w:val="001119BD"/>
    <w:rsid w:val="001119D9"/>
    <w:rsid w:val="00111A15"/>
    <w:rsid w:val="00111A43"/>
    <w:rsid w:val="00111BD6"/>
    <w:rsid w:val="00111BE0"/>
    <w:rsid w:val="00111C28"/>
    <w:rsid w:val="00111C62"/>
    <w:rsid w:val="00111C6F"/>
    <w:rsid w:val="00111C77"/>
    <w:rsid w:val="00111CBF"/>
    <w:rsid w:val="00111CCD"/>
    <w:rsid w:val="00111CD2"/>
    <w:rsid w:val="00111D9F"/>
    <w:rsid w:val="00111E13"/>
    <w:rsid w:val="00111E30"/>
    <w:rsid w:val="00111E44"/>
    <w:rsid w:val="00111E8E"/>
    <w:rsid w:val="00111F43"/>
    <w:rsid w:val="0011202A"/>
    <w:rsid w:val="001120D3"/>
    <w:rsid w:val="0011211A"/>
    <w:rsid w:val="0011216F"/>
    <w:rsid w:val="00112241"/>
    <w:rsid w:val="00112286"/>
    <w:rsid w:val="001122D8"/>
    <w:rsid w:val="001122E0"/>
    <w:rsid w:val="00112306"/>
    <w:rsid w:val="001123A3"/>
    <w:rsid w:val="001123B9"/>
    <w:rsid w:val="001123D8"/>
    <w:rsid w:val="001124B3"/>
    <w:rsid w:val="001124D3"/>
    <w:rsid w:val="00112584"/>
    <w:rsid w:val="001125B3"/>
    <w:rsid w:val="001125F2"/>
    <w:rsid w:val="00112607"/>
    <w:rsid w:val="0011267A"/>
    <w:rsid w:val="001126C6"/>
    <w:rsid w:val="001126D5"/>
    <w:rsid w:val="001126EC"/>
    <w:rsid w:val="0011271E"/>
    <w:rsid w:val="00112764"/>
    <w:rsid w:val="00112772"/>
    <w:rsid w:val="001127CD"/>
    <w:rsid w:val="001127D7"/>
    <w:rsid w:val="00112828"/>
    <w:rsid w:val="0011282A"/>
    <w:rsid w:val="00112843"/>
    <w:rsid w:val="0011285A"/>
    <w:rsid w:val="0011288C"/>
    <w:rsid w:val="00112941"/>
    <w:rsid w:val="0011299A"/>
    <w:rsid w:val="001129C2"/>
    <w:rsid w:val="00112A88"/>
    <w:rsid w:val="00112AD1"/>
    <w:rsid w:val="00112ADF"/>
    <w:rsid w:val="00112B17"/>
    <w:rsid w:val="00112B4D"/>
    <w:rsid w:val="00112CE9"/>
    <w:rsid w:val="00112CF8"/>
    <w:rsid w:val="00112D0D"/>
    <w:rsid w:val="00112D2A"/>
    <w:rsid w:val="00112D5D"/>
    <w:rsid w:val="00112DB4"/>
    <w:rsid w:val="00112FC2"/>
    <w:rsid w:val="00112FFF"/>
    <w:rsid w:val="0011301D"/>
    <w:rsid w:val="00113033"/>
    <w:rsid w:val="0011307F"/>
    <w:rsid w:val="001131CF"/>
    <w:rsid w:val="00113234"/>
    <w:rsid w:val="0011329B"/>
    <w:rsid w:val="0011329D"/>
    <w:rsid w:val="001133B0"/>
    <w:rsid w:val="001133BD"/>
    <w:rsid w:val="00113474"/>
    <w:rsid w:val="00113512"/>
    <w:rsid w:val="00113516"/>
    <w:rsid w:val="00113550"/>
    <w:rsid w:val="001135AC"/>
    <w:rsid w:val="001135CA"/>
    <w:rsid w:val="0011367B"/>
    <w:rsid w:val="001136A3"/>
    <w:rsid w:val="001136C8"/>
    <w:rsid w:val="001136F6"/>
    <w:rsid w:val="00113737"/>
    <w:rsid w:val="00113753"/>
    <w:rsid w:val="00113985"/>
    <w:rsid w:val="00113A2F"/>
    <w:rsid w:val="00113A6A"/>
    <w:rsid w:val="00113ABE"/>
    <w:rsid w:val="00113AE1"/>
    <w:rsid w:val="00113B5B"/>
    <w:rsid w:val="00113B67"/>
    <w:rsid w:val="00113B70"/>
    <w:rsid w:val="00113B7E"/>
    <w:rsid w:val="00113BDB"/>
    <w:rsid w:val="00113C12"/>
    <w:rsid w:val="00113DB8"/>
    <w:rsid w:val="00113DC9"/>
    <w:rsid w:val="00113DCE"/>
    <w:rsid w:val="00113E32"/>
    <w:rsid w:val="00113E95"/>
    <w:rsid w:val="00113EA6"/>
    <w:rsid w:val="00113ED4"/>
    <w:rsid w:val="00113F34"/>
    <w:rsid w:val="00113F8E"/>
    <w:rsid w:val="001140A3"/>
    <w:rsid w:val="001140E9"/>
    <w:rsid w:val="0011415E"/>
    <w:rsid w:val="001141D6"/>
    <w:rsid w:val="0011422F"/>
    <w:rsid w:val="001142A5"/>
    <w:rsid w:val="001142FE"/>
    <w:rsid w:val="001144C0"/>
    <w:rsid w:val="00114518"/>
    <w:rsid w:val="00114641"/>
    <w:rsid w:val="00114689"/>
    <w:rsid w:val="00114737"/>
    <w:rsid w:val="0011476C"/>
    <w:rsid w:val="0011479E"/>
    <w:rsid w:val="001147D8"/>
    <w:rsid w:val="00114809"/>
    <w:rsid w:val="0011480B"/>
    <w:rsid w:val="00114842"/>
    <w:rsid w:val="0011486A"/>
    <w:rsid w:val="0011487F"/>
    <w:rsid w:val="001148BA"/>
    <w:rsid w:val="0011492D"/>
    <w:rsid w:val="00114933"/>
    <w:rsid w:val="0011494B"/>
    <w:rsid w:val="00114B42"/>
    <w:rsid w:val="00114B64"/>
    <w:rsid w:val="00114BA3"/>
    <w:rsid w:val="00114BAC"/>
    <w:rsid w:val="00114BB9"/>
    <w:rsid w:val="00114BBC"/>
    <w:rsid w:val="00114C3A"/>
    <w:rsid w:val="00114C92"/>
    <w:rsid w:val="00114D74"/>
    <w:rsid w:val="00114E03"/>
    <w:rsid w:val="00114F25"/>
    <w:rsid w:val="00114F29"/>
    <w:rsid w:val="00114F42"/>
    <w:rsid w:val="00114FCA"/>
    <w:rsid w:val="00115058"/>
    <w:rsid w:val="0011508B"/>
    <w:rsid w:val="00115204"/>
    <w:rsid w:val="00115291"/>
    <w:rsid w:val="0011536E"/>
    <w:rsid w:val="001153D6"/>
    <w:rsid w:val="0011547A"/>
    <w:rsid w:val="0011547F"/>
    <w:rsid w:val="001154E9"/>
    <w:rsid w:val="0011557E"/>
    <w:rsid w:val="00115586"/>
    <w:rsid w:val="00115593"/>
    <w:rsid w:val="00115685"/>
    <w:rsid w:val="00115706"/>
    <w:rsid w:val="0011589D"/>
    <w:rsid w:val="001158A4"/>
    <w:rsid w:val="00115948"/>
    <w:rsid w:val="0011599E"/>
    <w:rsid w:val="001159AB"/>
    <w:rsid w:val="001159BC"/>
    <w:rsid w:val="00115A80"/>
    <w:rsid w:val="00115A8E"/>
    <w:rsid w:val="00115ACD"/>
    <w:rsid w:val="00115B68"/>
    <w:rsid w:val="00115C25"/>
    <w:rsid w:val="00115D29"/>
    <w:rsid w:val="00115D51"/>
    <w:rsid w:val="00115EBE"/>
    <w:rsid w:val="00116030"/>
    <w:rsid w:val="00116064"/>
    <w:rsid w:val="0011608E"/>
    <w:rsid w:val="00116093"/>
    <w:rsid w:val="001160A0"/>
    <w:rsid w:val="001160F4"/>
    <w:rsid w:val="0011623B"/>
    <w:rsid w:val="001162A0"/>
    <w:rsid w:val="00116378"/>
    <w:rsid w:val="00116382"/>
    <w:rsid w:val="00116458"/>
    <w:rsid w:val="001164D7"/>
    <w:rsid w:val="0011651C"/>
    <w:rsid w:val="00116532"/>
    <w:rsid w:val="00116577"/>
    <w:rsid w:val="00116595"/>
    <w:rsid w:val="001165E1"/>
    <w:rsid w:val="00116601"/>
    <w:rsid w:val="0011667A"/>
    <w:rsid w:val="001166B1"/>
    <w:rsid w:val="001166FB"/>
    <w:rsid w:val="001167B6"/>
    <w:rsid w:val="001167EF"/>
    <w:rsid w:val="0011680D"/>
    <w:rsid w:val="00116858"/>
    <w:rsid w:val="0011688F"/>
    <w:rsid w:val="001168E5"/>
    <w:rsid w:val="00116973"/>
    <w:rsid w:val="00116995"/>
    <w:rsid w:val="001169D2"/>
    <w:rsid w:val="00116A9A"/>
    <w:rsid w:val="00116AE7"/>
    <w:rsid w:val="00116AF3"/>
    <w:rsid w:val="00116BE8"/>
    <w:rsid w:val="00116C0D"/>
    <w:rsid w:val="00116C58"/>
    <w:rsid w:val="00116C89"/>
    <w:rsid w:val="00116CD6"/>
    <w:rsid w:val="00116D34"/>
    <w:rsid w:val="00116E36"/>
    <w:rsid w:val="00116E5C"/>
    <w:rsid w:val="00116E8E"/>
    <w:rsid w:val="00116E93"/>
    <w:rsid w:val="00116F0A"/>
    <w:rsid w:val="00116F4E"/>
    <w:rsid w:val="00116F5D"/>
    <w:rsid w:val="00116FB3"/>
    <w:rsid w:val="0011706F"/>
    <w:rsid w:val="001170FF"/>
    <w:rsid w:val="0011714D"/>
    <w:rsid w:val="00117151"/>
    <w:rsid w:val="001171DA"/>
    <w:rsid w:val="001171ED"/>
    <w:rsid w:val="001172BB"/>
    <w:rsid w:val="00117364"/>
    <w:rsid w:val="0011736B"/>
    <w:rsid w:val="00117378"/>
    <w:rsid w:val="001173DB"/>
    <w:rsid w:val="001173DC"/>
    <w:rsid w:val="00117413"/>
    <w:rsid w:val="0011745F"/>
    <w:rsid w:val="001174C4"/>
    <w:rsid w:val="0011753C"/>
    <w:rsid w:val="00117575"/>
    <w:rsid w:val="00117579"/>
    <w:rsid w:val="001175A9"/>
    <w:rsid w:val="00117635"/>
    <w:rsid w:val="00117756"/>
    <w:rsid w:val="0011775C"/>
    <w:rsid w:val="00117831"/>
    <w:rsid w:val="0011786F"/>
    <w:rsid w:val="00117897"/>
    <w:rsid w:val="001178D8"/>
    <w:rsid w:val="00117997"/>
    <w:rsid w:val="00117A4B"/>
    <w:rsid w:val="00117A9C"/>
    <w:rsid w:val="00117AF0"/>
    <w:rsid w:val="00117B3F"/>
    <w:rsid w:val="00117B75"/>
    <w:rsid w:val="00117C11"/>
    <w:rsid w:val="00117C92"/>
    <w:rsid w:val="00117CBD"/>
    <w:rsid w:val="00117CC4"/>
    <w:rsid w:val="00117CEF"/>
    <w:rsid w:val="00117D0A"/>
    <w:rsid w:val="00117D22"/>
    <w:rsid w:val="00117D93"/>
    <w:rsid w:val="00117E31"/>
    <w:rsid w:val="00117EF7"/>
    <w:rsid w:val="00117F18"/>
    <w:rsid w:val="00117F53"/>
    <w:rsid w:val="0011E345"/>
    <w:rsid w:val="001200AE"/>
    <w:rsid w:val="0012017B"/>
    <w:rsid w:val="00120281"/>
    <w:rsid w:val="001202A6"/>
    <w:rsid w:val="001202E6"/>
    <w:rsid w:val="001203C9"/>
    <w:rsid w:val="00120438"/>
    <w:rsid w:val="001204B4"/>
    <w:rsid w:val="00120538"/>
    <w:rsid w:val="00120559"/>
    <w:rsid w:val="0012057E"/>
    <w:rsid w:val="0012059E"/>
    <w:rsid w:val="0012060D"/>
    <w:rsid w:val="00120631"/>
    <w:rsid w:val="00120719"/>
    <w:rsid w:val="00120799"/>
    <w:rsid w:val="00120817"/>
    <w:rsid w:val="0012083E"/>
    <w:rsid w:val="00120897"/>
    <w:rsid w:val="001208D6"/>
    <w:rsid w:val="001208DB"/>
    <w:rsid w:val="00120931"/>
    <w:rsid w:val="00120932"/>
    <w:rsid w:val="00120945"/>
    <w:rsid w:val="0012094B"/>
    <w:rsid w:val="00120974"/>
    <w:rsid w:val="001209A0"/>
    <w:rsid w:val="001209A3"/>
    <w:rsid w:val="001209C9"/>
    <w:rsid w:val="00120A03"/>
    <w:rsid w:val="00120A21"/>
    <w:rsid w:val="00120A31"/>
    <w:rsid w:val="00120A3C"/>
    <w:rsid w:val="00120A63"/>
    <w:rsid w:val="00120B8A"/>
    <w:rsid w:val="00120BB8"/>
    <w:rsid w:val="00120BC5"/>
    <w:rsid w:val="00120BF8"/>
    <w:rsid w:val="00120C28"/>
    <w:rsid w:val="00120D8A"/>
    <w:rsid w:val="00120D8C"/>
    <w:rsid w:val="00120DF5"/>
    <w:rsid w:val="00120E2C"/>
    <w:rsid w:val="00120E83"/>
    <w:rsid w:val="00120E8B"/>
    <w:rsid w:val="00120EBB"/>
    <w:rsid w:val="00120F8C"/>
    <w:rsid w:val="0012106A"/>
    <w:rsid w:val="00121074"/>
    <w:rsid w:val="00121086"/>
    <w:rsid w:val="001210CC"/>
    <w:rsid w:val="0012115F"/>
    <w:rsid w:val="001211B2"/>
    <w:rsid w:val="0012121C"/>
    <w:rsid w:val="001212AA"/>
    <w:rsid w:val="001212CA"/>
    <w:rsid w:val="001213D1"/>
    <w:rsid w:val="0012147C"/>
    <w:rsid w:val="00121497"/>
    <w:rsid w:val="001214D1"/>
    <w:rsid w:val="0012159C"/>
    <w:rsid w:val="00121648"/>
    <w:rsid w:val="0012167F"/>
    <w:rsid w:val="00121691"/>
    <w:rsid w:val="001216C9"/>
    <w:rsid w:val="001216E8"/>
    <w:rsid w:val="00121781"/>
    <w:rsid w:val="00121892"/>
    <w:rsid w:val="0012192E"/>
    <w:rsid w:val="0012194E"/>
    <w:rsid w:val="00121A13"/>
    <w:rsid w:val="00121A7E"/>
    <w:rsid w:val="00121A81"/>
    <w:rsid w:val="00121AFA"/>
    <w:rsid w:val="00121BE2"/>
    <w:rsid w:val="00121C1F"/>
    <w:rsid w:val="00121CA4"/>
    <w:rsid w:val="00121D15"/>
    <w:rsid w:val="00121D65"/>
    <w:rsid w:val="00121D66"/>
    <w:rsid w:val="00121DA8"/>
    <w:rsid w:val="00121F3C"/>
    <w:rsid w:val="00121F53"/>
    <w:rsid w:val="00121F79"/>
    <w:rsid w:val="00121FB7"/>
    <w:rsid w:val="0012205B"/>
    <w:rsid w:val="0012208C"/>
    <w:rsid w:val="00122186"/>
    <w:rsid w:val="001221CB"/>
    <w:rsid w:val="001221EB"/>
    <w:rsid w:val="00122219"/>
    <w:rsid w:val="001222A2"/>
    <w:rsid w:val="001222D5"/>
    <w:rsid w:val="00122358"/>
    <w:rsid w:val="001223C3"/>
    <w:rsid w:val="0012242B"/>
    <w:rsid w:val="00122469"/>
    <w:rsid w:val="00122478"/>
    <w:rsid w:val="001224A1"/>
    <w:rsid w:val="001224B3"/>
    <w:rsid w:val="00122581"/>
    <w:rsid w:val="0012258B"/>
    <w:rsid w:val="001225B6"/>
    <w:rsid w:val="001225CD"/>
    <w:rsid w:val="001225EC"/>
    <w:rsid w:val="0012268E"/>
    <w:rsid w:val="001226D8"/>
    <w:rsid w:val="00122748"/>
    <w:rsid w:val="001227E3"/>
    <w:rsid w:val="001227E7"/>
    <w:rsid w:val="00122849"/>
    <w:rsid w:val="001228E8"/>
    <w:rsid w:val="00122900"/>
    <w:rsid w:val="00122A06"/>
    <w:rsid w:val="00122B18"/>
    <w:rsid w:val="00122B73"/>
    <w:rsid w:val="00122B83"/>
    <w:rsid w:val="00122BD5"/>
    <w:rsid w:val="00122BD9"/>
    <w:rsid w:val="00122C12"/>
    <w:rsid w:val="00122C36"/>
    <w:rsid w:val="00122C59"/>
    <w:rsid w:val="00122C84"/>
    <w:rsid w:val="00122CFA"/>
    <w:rsid w:val="00122D00"/>
    <w:rsid w:val="00122D4C"/>
    <w:rsid w:val="00122D8F"/>
    <w:rsid w:val="00122DDF"/>
    <w:rsid w:val="00122DFB"/>
    <w:rsid w:val="00123052"/>
    <w:rsid w:val="00123068"/>
    <w:rsid w:val="001230B7"/>
    <w:rsid w:val="001230C3"/>
    <w:rsid w:val="00123164"/>
    <w:rsid w:val="0012320A"/>
    <w:rsid w:val="0012321C"/>
    <w:rsid w:val="0012322F"/>
    <w:rsid w:val="001232CF"/>
    <w:rsid w:val="001232DA"/>
    <w:rsid w:val="00123313"/>
    <w:rsid w:val="001233D4"/>
    <w:rsid w:val="00123448"/>
    <w:rsid w:val="00123456"/>
    <w:rsid w:val="00123464"/>
    <w:rsid w:val="001234A8"/>
    <w:rsid w:val="00123557"/>
    <w:rsid w:val="00123598"/>
    <w:rsid w:val="00123708"/>
    <w:rsid w:val="0012373B"/>
    <w:rsid w:val="00123748"/>
    <w:rsid w:val="00123898"/>
    <w:rsid w:val="001238F5"/>
    <w:rsid w:val="0012390B"/>
    <w:rsid w:val="00123948"/>
    <w:rsid w:val="00123967"/>
    <w:rsid w:val="00123980"/>
    <w:rsid w:val="001239B1"/>
    <w:rsid w:val="001239D0"/>
    <w:rsid w:val="00123AC6"/>
    <w:rsid w:val="00123B13"/>
    <w:rsid w:val="00123B22"/>
    <w:rsid w:val="00123B6C"/>
    <w:rsid w:val="00123B7D"/>
    <w:rsid w:val="00123BC1"/>
    <w:rsid w:val="00123C36"/>
    <w:rsid w:val="00123CCE"/>
    <w:rsid w:val="00123D0F"/>
    <w:rsid w:val="00123EDD"/>
    <w:rsid w:val="00123EFB"/>
    <w:rsid w:val="00123F91"/>
    <w:rsid w:val="00123FCA"/>
    <w:rsid w:val="001240BB"/>
    <w:rsid w:val="001240EB"/>
    <w:rsid w:val="00124102"/>
    <w:rsid w:val="0012413F"/>
    <w:rsid w:val="0012423F"/>
    <w:rsid w:val="00124404"/>
    <w:rsid w:val="00124453"/>
    <w:rsid w:val="001244A5"/>
    <w:rsid w:val="001244C4"/>
    <w:rsid w:val="00124529"/>
    <w:rsid w:val="0012452A"/>
    <w:rsid w:val="00124547"/>
    <w:rsid w:val="0012457B"/>
    <w:rsid w:val="001245B9"/>
    <w:rsid w:val="001246CD"/>
    <w:rsid w:val="00124711"/>
    <w:rsid w:val="00124737"/>
    <w:rsid w:val="001247D5"/>
    <w:rsid w:val="0012480F"/>
    <w:rsid w:val="001248DC"/>
    <w:rsid w:val="001248E0"/>
    <w:rsid w:val="00124A53"/>
    <w:rsid w:val="00124A6A"/>
    <w:rsid w:val="00124AFC"/>
    <w:rsid w:val="00124B31"/>
    <w:rsid w:val="00124B39"/>
    <w:rsid w:val="00124BBC"/>
    <w:rsid w:val="00124C21"/>
    <w:rsid w:val="00124CB6"/>
    <w:rsid w:val="00124D33"/>
    <w:rsid w:val="00124D3E"/>
    <w:rsid w:val="00124D7F"/>
    <w:rsid w:val="00124DBB"/>
    <w:rsid w:val="00124E66"/>
    <w:rsid w:val="00124E68"/>
    <w:rsid w:val="00124E94"/>
    <w:rsid w:val="00124EC3"/>
    <w:rsid w:val="00124EDF"/>
    <w:rsid w:val="00124F8A"/>
    <w:rsid w:val="00124FC2"/>
    <w:rsid w:val="00124FC9"/>
    <w:rsid w:val="00125009"/>
    <w:rsid w:val="00125103"/>
    <w:rsid w:val="0012510B"/>
    <w:rsid w:val="0012514B"/>
    <w:rsid w:val="00125210"/>
    <w:rsid w:val="0012523D"/>
    <w:rsid w:val="0012526C"/>
    <w:rsid w:val="00125272"/>
    <w:rsid w:val="00125389"/>
    <w:rsid w:val="00125402"/>
    <w:rsid w:val="001254C1"/>
    <w:rsid w:val="001254C8"/>
    <w:rsid w:val="00125566"/>
    <w:rsid w:val="0012557F"/>
    <w:rsid w:val="001255D1"/>
    <w:rsid w:val="00125673"/>
    <w:rsid w:val="001256B5"/>
    <w:rsid w:val="001256C9"/>
    <w:rsid w:val="0012571B"/>
    <w:rsid w:val="0012574F"/>
    <w:rsid w:val="001257B5"/>
    <w:rsid w:val="001258B3"/>
    <w:rsid w:val="0012599B"/>
    <w:rsid w:val="001259F5"/>
    <w:rsid w:val="00125A5E"/>
    <w:rsid w:val="00125B78"/>
    <w:rsid w:val="00125C30"/>
    <w:rsid w:val="00125C48"/>
    <w:rsid w:val="00125C5E"/>
    <w:rsid w:val="00125CDD"/>
    <w:rsid w:val="00125CFB"/>
    <w:rsid w:val="00125D49"/>
    <w:rsid w:val="00125EB1"/>
    <w:rsid w:val="00125EE2"/>
    <w:rsid w:val="00125F87"/>
    <w:rsid w:val="00125FFE"/>
    <w:rsid w:val="00126016"/>
    <w:rsid w:val="001260E5"/>
    <w:rsid w:val="0012612B"/>
    <w:rsid w:val="0012619B"/>
    <w:rsid w:val="001262B7"/>
    <w:rsid w:val="001262E0"/>
    <w:rsid w:val="00126307"/>
    <w:rsid w:val="00126360"/>
    <w:rsid w:val="0012638F"/>
    <w:rsid w:val="001263DF"/>
    <w:rsid w:val="00126435"/>
    <w:rsid w:val="0012643A"/>
    <w:rsid w:val="001264D3"/>
    <w:rsid w:val="00126527"/>
    <w:rsid w:val="00126568"/>
    <w:rsid w:val="00126593"/>
    <w:rsid w:val="00126645"/>
    <w:rsid w:val="00126671"/>
    <w:rsid w:val="001266AB"/>
    <w:rsid w:val="00126850"/>
    <w:rsid w:val="001268A5"/>
    <w:rsid w:val="001269CA"/>
    <w:rsid w:val="001269D1"/>
    <w:rsid w:val="00126A0E"/>
    <w:rsid w:val="00126A3C"/>
    <w:rsid w:val="00126AE0"/>
    <w:rsid w:val="00126B22"/>
    <w:rsid w:val="00126C2E"/>
    <w:rsid w:val="00126C7A"/>
    <w:rsid w:val="00126CE9"/>
    <w:rsid w:val="00126D61"/>
    <w:rsid w:val="00126D77"/>
    <w:rsid w:val="00126D98"/>
    <w:rsid w:val="00126DB6"/>
    <w:rsid w:val="00126EA7"/>
    <w:rsid w:val="00126F3D"/>
    <w:rsid w:val="00126F44"/>
    <w:rsid w:val="00126FA6"/>
    <w:rsid w:val="00126FDB"/>
    <w:rsid w:val="00126FE2"/>
    <w:rsid w:val="00127002"/>
    <w:rsid w:val="00127005"/>
    <w:rsid w:val="00127032"/>
    <w:rsid w:val="00127042"/>
    <w:rsid w:val="001270A2"/>
    <w:rsid w:val="001270A8"/>
    <w:rsid w:val="001270A9"/>
    <w:rsid w:val="00127161"/>
    <w:rsid w:val="00127287"/>
    <w:rsid w:val="001272A8"/>
    <w:rsid w:val="001272DF"/>
    <w:rsid w:val="00127328"/>
    <w:rsid w:val="0012745E"/>
    <w:rsid w:val="001274C3"/>
    <w:rsid w:val="001274EE"/>
    <w:rsid w:val="0012751B"/>
    <w:rsid w:val="00127576"/>
    <w:rsid w:val="0012773E"/>
    <w:rsid w:val="00127761"/>
    <w:rsid w:val="00127789"/>
    <w:rsid w:val="00127819"/>
    <w:rsid w:val="00127879"/>
    <w:rsid w:val="001278C0"/>
    <w:rsid w:val="00127918"/>
    <w:rsid w:val="00127977"/>
    <w:rsid w:val="001279FA"/>
    <w:rsid w:val="00127A44"/>
    <w:rsid w:val="00127AEC"/>
    <w:rsid w:val="00127B5E"/>
    <w:rsid w:val="00127C4E"/>
    <w:rsid w:val="00127CD5"/>
    <w:rsid w:val="00127DA4"/>
    <w:rsid w:val="00127DC5"/>
    <w:rsid w:val="00127E30"/>
    <w:rsid w:val="00127E6D"/>
    <w:rsid w:val="00127EA6"/>
    <w:rsid w:val="00127F79"/>
    <w:rsid w:val="00127FE4"/>
    <w:rsid w:val="0013000B"/>
    <w:rsid w:val="00130183"/>
    <w:rsid w:val="001301BA"/>
    <w:rsid w:val="001301F8"/>
    <w:rsid w:val="00130213"/>
    <w:rsid w:val="00130319"/>
    <w:rsid w:val="00130384"/>
    <w:rsid w:val="00130405"/>
    <w:rsid w:val="0013040E"/>
    <w:rsid w:val="00130438"/>
    <w:rsid w:val="00130564"/>
    <w:rsid w:val="001305F8"/>
    <w:rsid w:val="001306C4"/>
    <w:rsid w:val="001306F4"/>
    <w:rsid w:val="00130759"/>
    <w:rsid w:val="00130787"/>
    <w:rsid w:val="00130818"/>
    <w:rsid w:val="0013085C"/>
    <w:rsid w:val="001308C8"/>
    <w:rsid w:val="001308CC"/>
    <w:rsid w:val="00130951"/>
    <w:rsid w:val="001309F1"/>
    <w:rsid w:val="00130A2A"/>
    <w:rsid w:val="00130AD4"/>
    <w:rsid w:val="00130AFC"/>
    <w:rsid w:val="00130B08"/>
    <w:rsid w:val="00130B16"/>
    <w:rsid w:val="00130B91"/>
    <w:rsid w:val="00130BCB"/>
    <w:rsid w:val="00130BE9"/>
    <w:rsid w:val="00130C08"/>
    <w:rsid w:val="00130CA6"/>
    <w:rsid w:val="00130CD9"/>
    <w:rsid w:val="00130CEF"/>
    <w:rsid w:val="00130D39"/>
    <w:rsid w:val="00130D87"/>
    <w:rsid w:val="00130DAB"/>
    <w:rsid w:val="00130E37"/>
    <w:rsid w:val="00130E42"/>
    <w:rsid w:val="00130E8E"/>
    <w:rsid w:val="00130F88"/>
    <w:rsid w:val="00131049"/>
    <w:rsid w:val="001310A7"/>
    <w:rsid w:val="0013113C"/>
    <w:rsid w:val="0013115B"/>
    <w:rsid w:val="00131200"/>
    <w:rsid w:val="0013120A"/>
    <w:rsid w:val="0013133F"/>
    <w:rsid w:val="00131380"/>
    <w:rsid w:val="001313A7"/>
    <w:rsid w:val="00131436"/>
    <w:rsid w:val="0013150E"/>
    <w:rsid w:val="001316A8"/>
    <w:rsid w:val="00131793"/>
    <w:rsid w:val="0013179B"/>
    <w:rsid w:val="001317A3"/>
    <w:rsid w:val="00131829"/>
    <w:rsid w:val="00131833"/>
    <w:rsid w:val="001318EF"/>
    <w:rsid w:val="001319F0"/>
    <w:rsid w:val="00131A00"/>
    <w:rsid w:val="00131AA7"/>
    <w:rsid w:val="00131B73"/>
    <w:rsid w:val="00131C6A"/>
    <w:rsid w:val="00131C70"/>
    <w:rsid w:val="00131D06"/>
    <w:rsid w:val="00131D87"/>
    <w:rsid w:val="00131D93"/>
    <w:rsid w:val="00131E55"/>
    <w:rsid w:val="00131EB0"/>
    <w:rsid w:val="00131F60"/>
    <w:rsid w:val="0013216C"/>
    <w:rsid w:val="0013219A"/>
    <w:rsid w:val="001321FB"/>
    <w:rsid w:val="0013221A"/>
    <w:rsid w:val="00132241"/>
    <w:rsid w:val="00132269"/>
    <w:rsid w:val="001322D8"/>
    <w:rsid w:val="00132383"/>
    <w:rsid w:val="0013247D"/>
    <w:rsid w:val="00132495"/>
    <w:rsid w:val="001324DA"/>
    <w:rsid w:val="00132526"/>
    <w:rsid w:val="00132537"/>
    <w:rsid w:val="00132542"/>
    <w:rsid w:val="001325D7"/>
    <w:rsid w:val="001325F3"/>
    <w:rsid w:val="0013262B"/>
    <w:rsid w:val="0013272C"/>
    <w:rsid w:val="00132752"/>
    <w:rsid w:val="00132809"/>
    <w:rsid w:val="0013284F"/>
    <w:rsid w:val="001328B5"/>
    <w:rsid w:val="0013299C"/>
    <w:rsid w:val="001329B0"/>
    <w:rsid w:val="00132A1B"/>
    <w:rsid w:val="00132A72"/>
    <w:rsid w:val="00132B11"/>
    <w:rsid w:val="00132B95"/>
    <w:rsid w:val="00132BC0"/>
    <w:rsid w:val="00132BDC"/>
    <w:rsid w:val="00132C43"/>
    <w:rsid w:val="00132C4D"/>
    <w:rsid w:val="00132C8D"/>
    <w:rsid w:val="00132D9F"/>
    <w:rsid w:val="00132DBC"/>
    <w:rsid w:val="00132DDA"/>
    <w:rsid w:val="00132E65"/>
    <w:rsid w:val="00132FB5"/>
    <w:rsid w:val="00132FD6"/>
    <w:rsid w:val="00133007"/>
    <w:rsid w:val="00133026"/>
    <w:rsid w:val="00133056"/>
    <w:rsid w:val="0013306B"/>
    <w:rsid w:val="00133088"/>
    <w:rsid w:val="001330BD"/>
    <w:rsid w:val="00133176"/>
    <w:rsid w:val="001331A7"/>
    <w:rsid w:val="001331F8"/>
    <w:rsid w:val="00133265"/>
    <w:rsid w:val="00133318"/>
    <w:rsid w:val="00133399"/>
    <w:rsid w:val="001333A5"/>
    <w:rsid w:val="0013340C"/>
    <w:rsid w:val="0013350B"/>
    <w:rsid w:val="00133544"/>
    <w:rsid w:val="00133582"/>
    <w:rsid w:val="00133597"/>
    <w:rsid w:val="001335BB"/>
    <w:rsid w:val="00133691"/>
    <w:rsid w:val="001336A5"/>
    <w:rsid w:val="0013372C"/>
    <w:rsid w:val="001337C1"/>
    <w:rsid w:val="00133806"/>
    <w:rsid w:val="00133816"/>
    <w:rsid w:val="00133869"/>
    <w:rsid w:val="00133893"/>
    <w:rsid w:val="001338E5"/>
    <w:rsid w:val="001338E9"/>
    <w:rsid w:val="001338F9"/>
    <w:rsid w:val="001338FA"/>
    <w:rsid w:val="0013396E"/>
    <w:rsid w:val="001339D7"/>
    <w:rsid w:val="00133A17"/>
    <w:rsid w:val="00133A1C"/>
    <w:rsid w:val="00133AE0"/>
    <w:rsid w:val="00133B15"/>
    <w:rsid w:val="00133BBB"/>
    <w:rsid w:val="00133C51"/>
    <w:rsid w:val="00133C58"/>
    <w:rsid w:val="00133CDE"/>
    <w:rsid w:val="00133CFE"/>
    <w:rsid w:val="00133DF8"/>
    <w:rsid w:val="00133E0E"/>
    <w:rsid w:val="00133E3F"/>
    <w:rsid w:val="00133EEA"/>
    <w:rsid w:val="00133EEB"/>
    <w:rsid w:val="00133F5E"/>
    <w:rsid w:val="00133FAF"/>
    <w:rsid w:val="00133FE5"/>
    <w:rsid w:val="00133FEE"/>
    <w:rsid w:val="00134004"/>
    <w:rsid w:val="00134042"/>
    <w:rsid w:val="0013406B"/>
    <w:rsid w:val="00134099"/>
    <w:rsid w:val="001340A4"/>
    <w:rsid w:val="001340AA"/>
    <w:rsid w:val="00134149"/>
    <w:rsid w:val="001341F7"/>
    <w:rsid w:val="00134293"/>
    <w:rsid w:val="001342C0"/>
    <w:rsid w:val="001343BB"/>
    <w:rsid w:val="00134418"/>
    <w:rsid w:val="0013445E"/>
    <w:rsid w:val="0013453B"/>
    <w:rsid w:val="001345F7"/>
    <w:rsid w:val="001345FA"/>
    <w:rsid w:val="00134631"/>
    <w:rsid w:val="0013466C"/>
    <w:rsid w:val="00134672"/>
    <w:rsid w:val="00134695"/>
    <w:rsid w:val="001346D3"/>
    <w:rsid w:val="00134789"/>
    <w:rsid w:val="0013479D"/>
    <w:rsid w:val="001347BC"/>
    <w:rsid w:val="00134815"/>
    <w:rsid w:val="001348B6"/>
    <w:rsid w:val="001348BB"/>
    <w:rsid w:val="001348E4"/>
    <w:rsid w:val="00134911"/>
    <w:rsid w:val="0013491F"/>
    <w:rsid w:val="00134986"/>
    <w:rsid w:val="00134990"/>
    <w:rsid w:val="0013499F"/>
    <w:rsid w:val="001349E3"/>
    <w:rsid w:val="00134A20"/>
    <w:rsid w:val="00134A38"/>
    <w:rsid w:val="00134A4F"/>
    <w:rsid w:val="00134AFE"/>
    <w:rsid w:val="00134B02"/>
    <w:rsid w:val="00134C55"/>
    <w:rsid w:val="00134D45"/>
    <w:rsid w:val="00134D47"/>
    <w:rsid w:val="00134DA1"/>
    <w:rsid w:val="00134DBE"/>
    <w:rsid w:val="00134E48"/>
    <w:rsid w:val="00134EE6"/>
    <w:rsid w:val="00134EFB"/>
    <w:rsid w:val="00135076"/>
    <w:rsid w:val="001350C4"/>
    <w:rsid w:val="001350CD"/>
    <w:rsid w:val="00135111"/>
    <w:rsid w:val="00135240"/>
    <w:rsid w:val="0013527D"/>
    <w:rsid w:val="001352B0"/>
    <w:rsid w:val="001353E9"/>
    <w:rsid w:val="001353F6"/>
    <w:rsid w:val="00135427"/>
    <w:rsid w:val="00135436"/>
    <w:rsid w:val="0013547D"/>
    <w:rsid w:val="0013547F"/>
    <w:rsid w:val="0013549A"/>
    <w:rsid w:val="001354BF"/>
    <w:rsid w:val="001354D5"/>
    <w:rsid w:val="00135500"/>
    <w:rsid w:val="00135525"/>
    <w:rsid w:val="00135526"/>
    <w:rsid w:val="0013567B"/>
    <w:rsid w:val="001356DA"/>
    <w:rsid w:val="001356FA"/>
    <w:rsid w:val="0013574B"/>
    <w:rsid w:val="00135791"/>
    <w:rsid w:val="001359DA"/>
    <w:rsid w:val="00135A5D"/>
    <w:rsid w:val="00135A64"/>
    <w:rsid w:val="00135C1A"/>
    <w:rsid w:val="00135C7A"/>
    <w:rsid w:val="00135CD4"/>
    <w:rsid w:val="00135CE4"/>
    <w:rsid w:val="00135D10"/>
    <w:rsid w:val="00135D96"/>
    <w:rsid w:val="00135DA2"/>
    <w:rsid w:val="00135DEB"/>
    <w:rsid w:val="00135F3B"/>
    <w:rsid w:val="00135F6D"/>
    <w:rsid w:val="00135FAD"/>
    <w:rsid w:val="0013601A"/>
    <w:rsid w:val="00136040"/>
    <w:rsid w:val="00136076"/>
    <w:rsid w:val="00136094"/>
    <w:rsid w:val="0013609D"/>
    <w:rsid w:val="001360CD"/>
    <w:rsid w:val="001360F2"/>
    <w:rsid w:val="0013614C"/>
    <w:rsid w:val="0013616B"/>
    <w:rsid w:val="001361DB"/>
    <w:rsid w:val="001361EF"/>
    <w:rsid w:val="00136207"/>
    <w:rsid w:val="00136212"/>
    <w:rsid w:val="0013632F"/>
    <w:rsid w:val="0013638D"/>
    <w:rsid w:val="001363C9"/>
    <w:rsid w:val="001363ED"/>
    <w:rsid w:val="0013653B"/>
    <w:rsid w:val="00136559"/>
    <w:rsid w:val="00136581"/>
    <w:rsid w:val="00136598"/>
    <w:rsid w:val="001365AF"/>
    <w:rsid w:val="0013661B"/>
    <w:rsid w:val="0013664F"/>
    <w:rsid w:val="001366B7"/>
    <w:rsid w:val="001366B8"/>
    <w:rsid w:val="00136799"/>
    <w:rsid w:val="00136899"/>
    <w:rsid w:val="00136981"/>
    <w:rsid w:val="001369C2"/>
    <w:rsid w:val="00136A3F"/>
    <w:rsid w:val="00136A5F"/>
    <w:rsid w:val="00136AEA"/>
    <w:rsid w:val="00136B53"/>
    <w:rsid w:val="00136BBD"/>
    <w:rsid w:val="00136BCB"/>
    <w:rsid w:val="00136C54"/>
    <w:rsid w:val="00136D9A"/>
    <w:rsid w:val="00136DCF"/>
    <w:rsid w:val="00136F27"/>
    <w:rsid w:val="00136F49"/>
    <w:rsid w:val="00136F4C"/>
    <w:rsid w:val="00137071"/>
    <w:rsid w:val="001370B3"/>
    <w:rsid w:val="001370C4"/>
    <w:rsid w:val="001371A2"/>
    <w:rsid w:val="0013720B"/>
    <w:rsid w:val="001372BE"/>
    <w:rsid w:val="001372FE"/>
    <w:rsid w:val="0013734E"/>
    <w:rsid w:val="00137462"/>
    <w:rsid w:val="001374B1"/>
    <w:rsid w:val="001374D6"/>
    <w:rsid w:val="0013751E"/>
    <w:rsid w:val="0013754B"/>
    <w:rsid w:val="00137551"/>
    <w:rsid w:val="00137581"/>
    <w:rsid w:val="001375E7"/>
    <w:rsid w:val="00137694"/>
    <w:rsid w:val="0013778C"/>
    <w:rsid w:val="001377A4"/>
    <w:rsid w:val="001377B2"/>
    <w:rsid w:val="001377FC"/>
    <w:rsid w:val="0013783A"/>
    <w:rsid w:val="00137893"/>
    <w:rsid w:val="001378A3"/>
    <w:rsid w:val="001378A7"/>
    <w:rsid w:val="001378DE"/>
    <w:rsid w:val="00137969"/>
    <w:rsid w:val="001379F8"/>
    <w:rsid w:val="00137A23"/>
    <w:rsid w:val="00137A36"/>
    <w:rsid w:val="00137A4D"/>
    <w:rsid w:val="00137A53"/>
    <w:rsid w:val="00137AD3"/>
    <w:rsid w:val="00137B09"/>
    <w:rsid w:val="00137B41"/>
    <w:rsid w:val="00137BF3"/>
    <w:rsid w:val="00137CFC"/>
    <w:rsid w:val="00137D4B"/>
    <w:rsid w:val="00137D56"/>
    <w:rsid w:val="00137DCD"/>
    <w:rsid w:val="00137DF4"/>
    <w:rsid w:val="00137E4D"/>
    <w:rsid w:val="00137E8F"/>
    <w:rsid w:val="00137EA1"/>
    <w:rsid w:val="00137FA9"/>
    <w:rsid w:val="00137FC7"/>
    <w:rsid w:val="00140017"/>
    <w:rsid w:val="00140042"/>
    <w:rsid w:val="00140173"/>
    <w:rsid w:val="001403A1"/>
    <w:rsid w:val="00140533"/>
    <w:rsid w:val="00140552"/>
    <w:rsid w:val="00140558"/>
    <w:rsid w:val="00140569"/>
    <w:rsid w:val="0014056E"/>
    <w:rsid w:val="00140592"/>
    <w:rsid w:val="001405A4"/>
    <w:rsid w:val="001405AA"/>
    <w:rsid w:val="00140601"/>
    <w:rsid w:val="00140697"/>
    <w:rsid w:val="001406EB"/>
    <w:rsid w:val="0014086F"/>
    <w:rsid w:val="00140890"/>
    <w:rsid w:val="001408B1"/>
    <w:rsid w:val="00140901"/>
    <w:rsid w:val="00140925"/>
    <w:rsid w:val="001409CD"/>
    <w:rsid w:val="00140ADC"/>
    <w:rsid w:val="00140B12"/>
    <w:rsid w:val="00140B46"/>
    <w:rsid w:val="00140BB6"/>
    <w:rsid w:val="00140C62"/>
    <w:rsid w:val="00140D08"/>
    <w:rsid w:val="00140D0D"/>
    <w:rsid w:val="00140D93"/>
    <w:rsid w:val="00140DA4"/>
    <w:rsid w:val="00140E55"/>
    <w:rsid w:val="00140F11"/>
    <w:rsid w:val="00140F2A"/>
    <w:rsid w:val="00140F5F"/>
    <w:rsid w:val="00140FFC"/>
    <w:rsid w:val="00141092"/>
    <w:rsid w:val="001410A6"/>
    <w:rsid w:val="001410AD"/>
    <w:rsid w:val="001410B1"/>
    <w:rsid w:val="001410D8"/>
    <w:rsid w:val="001410F2"/>
    <w:rsid w:val="00141138"/>
    <w:rsid w:val="0014115E"/>
    <w:rsid w:val="00141165"/>
    <w:rsid w:val="00141193"/>
    <w:rsid w:val="0014131E"/>
    <w:rsid w:val="0014136C"/>
    <w:rsid w:val="00141490"/>
    <w:rsid w:val="001414A1"/>
    <w:rsid w:val="001414A4"/>
    <w:rsid w:val="00141675"/>
    <w:rsid w:val="00141682"/>
    <w:rsid w:val="001416A0"/>
    <w:rsid w:val="001416ED"/>
    <w:rsid w:val="00141754"/>
    <w:rsid w:val="0014178E"/>
    <w:rsid w:val="001417CB"/>
    <w:rsid w:val="001417F4"/>
    <w:rsid w:val="001418F8"/>
    <w:rsid w:val="00141912"/>
    <w:rsid w:val="00141921"/>
    <w:rsid w:val="00141B05"/>
    <w:rsid w:val="00141B11"/>
    <w:rsid w:val="00141BAC"/>
    <w:rsid w:val="00141BD4"/>
    <w:rsid w:val="00141C7C"/>
    <w:rsid w:val="00141C8A"/>
    <w:rsid w:val="00141CC3"/>
    <w:rsid w:val="00141CC9"/>
    <w:rsid w:val="00141D0C"/>
    <w:rsid w:val="00141D86"/>
    <w:rsid w:val="00141E9A"/>
    <w:rsid w:val="00141EFD"/>
    <w:rsid w:val="00141F8E"/>
    <w:rsid w:val="00142161"/>
    <w:rsid w:val="001421C7"/>
    <w:rsid w:val="0014223C"/>
    <w:rsid w:val="0014228B"/>
    <w:rsid w:val="0014228E"/>
    <w:rsid w:val="001422BD"/>
    <w:rsid w:val="001422BF"/>
    <w:rsid w:val="0014242B"/>
    <w:rsid w:val="0014243C"/>
    <w:rsid w:val="0014243D"/>
    <w:rsid w:val="001424C5"/>
    <w:rsid w:val="001424D9"/>
    <w:rsid w:val="001424F0"/>
    <w:rsid w:val="00142508"/>
    <w:rsid w:val="0014253D"/>
    <w:rsid w:val="0014253E"/>
    <w:rsid w:val="00142599"/>
    <w:rsid w:val="001425C6"/>
    <w:rsid w:val="0014265C"/>
    <w:rsid w:val="00142668"/>
    <w:rsid w:val="00142700"/>
    <w:rsid w:val="001427BB"/>
    <w:rsid w:val="001427D7"/>
    <w:rsid w:val="00142950"/>
    <w:rsid w:val="00142978"/>
    <w:rsid w:val="00142982"/>
    <w:rsid w:val="00142A1D"/>
    <w:rsid w:val="00142A66"/>
    <w:rsid w:val="00142A7F"/>
    <w:rsid w:val="00142AB9"/>
    <w:rsid w:val="00142ADF"/>
    <w:rsid w:val="00142BA3"/>
    <w:rsid w:val="00142BF7"/>
    <w:rsid w:val="00142C05"/>
    <w:rsid w:val="00142CE9"/>
    <w:rsid w:val="00142D4D"/>
    <w:rsid w:val="00142D90"/>
    <w:rsid w:val="00142E24"/>
    <w:rsid w:val="00142E5D"/>
    <w:rsid w:val="00142FCD"/>
    <w:rsid w:val="00143007"/>
    <w:rsid w:val="00143060"/>
    <w:rsid w:val="00143106"/>
    <w:rsid w:val="0014310C"/>
    <w:rsid w:val="00143183"/>
    <w:rsid w:val="001431EA"/>
    <w:rsid w:val="0014320F"/>
    <w:rsid w:val="00143272"/>
    <w:rsid w:val="00143295"/>
    <w:rsid w:val="001432D6"/>
    <w:rsid w:val="001432F3"/>
    <w:rsid w:val="0014341C"/>
    <w:rsid w:val="0014347E"/>
    <w:rsid w:val="00143495"/>
    <w:rsid w:val="001434A1"/>
    <w:rsid w:val="001434E0"/>
    <w:rsid w:val="001434ED"/>
    <w:rsid w:val="00143647"/>
    <w:rsid w:val="001436AA"/>
    <w:rsid w:val="001436B6"/>
    <w:rsid w:val="001436C1"/>
    <w:rsid w:val="001436C4"/>
    <w:rsid w:val="001436E1"/>
    <w:rsid w:val="0014375C"/>
    <w:rsid w:val="001437E1"/>
    <w:rsid w:val="00143858"/>
    <w:rsid w:val="001438CB"/>
    <w:rsid w:val="00143A6A"/>
    <w:rsid w:val="00143B7A"/>
    <w:rsid w:val="00143C30"/>
    <w:rsid w:val="00143C68"/>
    <w:rsid w:val="00143C84"/>
    <w:rsid w:val="00143D08"/>
    <w:rsid w:val="00143D6B"/>
    <w:rsid w:val="00143D9E"/>
    <w:rsid w:val="00143DA9"/>
    <w:rsid w:val="00143E1E"/>
    <w:rsid w:val="00143E28"/>
    <w:rsid w:val="00143E39"/>
    <w:rsid w:val="00143E6E"/>
    <w:rsid w:val="00143EFC"/>
    <w:rsid w:val="00143F20"/>
    <w:rsid w:val="001440BE"/>
    <w:rsid w:val="001440F2"/>
    <w:rsid w:val="00144137"/>
    <w:rsid w:val="001441AE"/>
    <w:rsid w:val="001441CC"/>
    <w:rsid w:val="001441EB"/>
    <w:rsid w:val="00144212"/>
    <w:rsid w:val="00144297"/>
    <w:rsid w:val="00144357"/>
    <w:rsid w:val="00144392"/>
    <w:rsid w:val="001443FF"/>
    <w:rsid w:val="001444DE"/>
    <w:rsid w:val="001444EC"/>
    <w:rsid w:val="001444F7"/>
    <w:rsid w:val="001445D5"/>
    <w:rsid w:val="001445E0"/>
    <w:rsid w:val="00144600"/>
    <w:rsid w:val="00144636"/>
    <w:rsid w:val="0014475C"/>
    <w:rsid w:val="00144788"/>
    <w:rsid w:val="0014478C"/>
    <w:rsid w:val="001447B6"/>
    <w:rsid w:val="001447B7"/>
    <w:rsid w:val="001448B3"/>
    <w:rsid w:val="001449CD"/>
    <w:rsid w:val="00144AB1"/>
    <w:rsid w:val="00144B32"/>
    <w:rsid w:val="00144B43"/>
    <w:rsid w:val="00144C1F"/>
    <w:rsid w:val="00144C38"/>
    <w:rsid w:val="00144D57"/>
    <w:rsid w:val="00144D66"/>
    <w:rsid w:val="00144D71"/>
    <w:rsid w:val="00144D74"/>
    <w:rsid w:val="00144D77"/>
    <w:rsid w:val="00144E19"/>
    <w:rsid w:val="00144E30"/>
    <w:rsid w:val="00144E68"/>
    <w:rsid w:val="00144EBE"/>
    <w:rsid w:val="00144ED0"/>
    <w:rsid w:val="00144F2B"/>
    <w:rsid w:val="00144F5A"/>
    <w:rsid w:val="00144F5D"/>
    <w:rsid w:val="00145007"/>
    <w:rsid w:val="00145023"/>
    <w:rsid w:val="001450E2"/>
    <w:rsid w:val="001450F4"/>
    <w:rsid w:val="00145108"/>
    <w:rsid w:val="00145180"/>
    <w:rsid w:val="0014518A"/>
    <w:rsid w:val="001451EA"/>
    <w:rsid w:val="00145265"/>
    <w:rsid w:val="001452C0"/>
    <w:rsid w:val="00145341"/>
    <w:rsid w:val="00145346"/>
    <w:rsid w:val="0014534A"/>
    <w:rsid w:val="00145524"/>
    <w:rsid w:val="00145531"/>
    <w:rsid w:val="00145547"/>
    <w:rsid w:val="0014557A"/>
    <w:rsid w:val="0014558E"/>
    <w:rsid w:val="00145623"/>
    <w:rsid w:val="0014563F"/>
    <w:rsid w:val="001456E5"/>
    <w:rsid w:val="001457C1"/>
    <w:rsid w:val="001457D0"/>
    <w:rsid w:val="00145806"/>
    <w:rsid w:val="00145816"/>
    <w:rsid w:val="001458E5"/>
    <w:rsid w:val="00145ACC"/>
    <w:rsid w:val="00145AF9"/>
    <w:rsid w:val="00145B8C"/>
    <w:rsid w:val="00145B94"/>
    <w:rsid w:val="00145CC3"/>
    <w:rsid w:val="00145CCF"/>
    <w:rsid w:val="00145DC5"/>
    <w:rsid w:val="00145DE9"/>
    <w:rsid w:val="00145DEC"/>
    <w:rsid w:val="00146040"/>
    <w:rsid w:val="00146178"/>
    <w:rsid w:val="001461F7"/>
    <w:rsid w:val="00146215"/>
    <w:rsid w:val="00146256"/>
    <w:rsid w:val="0014629F"/>
    <w:rsid w:val="001462B8"/>
    <w:rsid w:val="001462C8"/>
    <w:rsid w:val="001462F5"/>
    <w:rsid w:val="001462FA"/>
    <w:rsid w:val="0014633E"/>
    <w:rsid w:val="001463B0"/>
    <w:rsid w:val="001463E5"/>
    <w:rsid w:val="0014641A"/>
    <w:rsid w:val="00146437"/>
    <w:rsid w:val="00146515"/>
    <w:rsid w:val="001465C6"/>
    <w:rsid w:val="0014660D"/>
    <w:rsid w:val="00146621"/>
    <w:rsid w:val="00146789"/>
    <w:rsid w:val="00146795"/>
    <w:rsid w:val="0014680A"/>
    <w:rsid w:val="001468D4"/>
    <w:rsid w:val="0014691C"/>
    <w:rsid w:val="001469B1"/>
    <w:rsid w:val="001469DB"/>
    <w:rsid w:val="00146A11"/>
    <w:rsid w:val="00146A13"/>
    <w:rsid w:val="00146AC8"/>
    <w:rsid w:val="00146BF0"/>
    <w:rsid w:val="00146C50"/>
    <w:rsid w:val="00146CF1"/>
    <w:rsid w:val="00146D06"/>
    <w:rsid w:val="00146DC3"/>
    <w:rsid w:val="00146DDC"/>
    <w:rsid w:val="00146DDD"/>
    <w:rsid w:val="00146E6E"/>
    <w:rsid w:val="00146E86"/>
    <w:rsid w:val="00146EC7"/>
    <w:rsid w:val="00146F40"/>
    <w:rsid w:val="00146F41"/>
    <w:rsid w:val="0014701E"/>
    <w:rsid w:val="00147024"/>
    <w:rsid w:val="00147084"/>
    <w:rsid w:val="00147085"/>
    <w:rsid w:val="00147095"/>
    <w:rsid w:val="00147191"/>
    <w:rsid w:val="001471A3"/>
    <w:rsid w:val="00147211"/>
    <w:rsid w:val="0014726B"/>
    <w:rsid w:val="001473B8"/>
    <w:rsid w:val="00147461"/>
    <w:rsid w:val="001474CC"/>
    <w:rsid w:val="001474E5"/>
    <w:rsid w:val="001474E7"/>
    <w:rsid w:val="00147501"/>
    <w:rsid w:val="00147529"/>
    <w:rsid w:val="001475A0"/>
    <w:rsid w:val="001475E8"/>
    <w:rsid w:val="00147640"/>
    <w:rsid w:val="00147660"/>
    <w:rsid w:val="00147702"/>
    <w:rsid w:val="001477BD"/>
    <w:rsid w:val="001477CF"/>
    <w:rsid w:val="001479C2"/>
    <w:rsid w:val="00147A0F"/>
    <w:rsid w:val="00147A3C"/>
    <w:rsid w:val="00147A53"/>
    <w:rsid w:val="00147A8F"/>
    <w:rsid w:val="00147B3B"/>
    <w:rsid w:val="00147B8E"/>
    <w:rsid w:val="00147BD7"/>
    <w:rsid w:val="00147C11"/>
    <w:rsid w:val="00147C1B"/>
    <w:rsid w:val="00147D91"/>
    <w:rsid w:val="00147FAC"/>
    <w:rsid w:val="00147FC8"/>
    <w:rsid w:val="00150033"/>
    <w:rsid w:val="00150079"/>
    <w:rsid w:val="001500A4"/>
    <w:rsid w:val="001501E7"/>
    <w:rsid w:val="00150282"/>
    <w:rsid w:val="0015037D"/>
    <w:rsid w:val="00150382"/>
    <w:rsid w:val="0015038D"/>
    <w:rsid w:val="001503CB"/>
    <w:rsid w:val="0015040E"/>
    <w:rsid w:val="001504FC"/>
    <w:rsid w:val="00150522"/>
    <w:rsid w:val="00150538"/>
    <w:rsid w:val="0015059E"/>
    <w:rsid w:val="0015063E"/>
    <w:rsid w:val="00150723"/>
    <w:rsid w:val="00150806"/>
    <w:rsid w:val="001508A7"/>
    <w:rsid w:val="00150972"/>
    <w:rsid w:val="001509F5"/>
    <w:rsid w:val="00150A9C"/>
    <w:rsid w:val="00150B53"/>
    <w:rsid w:val="00150C2F"/>
    <w:rsid w:val="00150C3C"/>
    <w:rsid w:val="00150C7C"/>
    <w:rsid w:val="00150D36"/>
    <w:rsid w:val="00150DA3"/>
    <w:rsid w:val="00150ED2"/>
    <w:rsid w:val="00150F8B"/>
    <w:rsid w:val="00150FB1"/>
    <w:rsid w:val="00151062"/>
    <w:rsid w:val="001510AB"/>
    <w:rsid w:val="00151124"/>
    <w:rsid w:val="00151159"/>
    <w:rsid w:val="0015115A"/>
    <w:rsid w:val="00151238"/>
    <w:rsid w:val="0015126C"/>
    <w:rsid w:val="001512C9"/>
    <w:rsid w:val="0015131C"/>
    <w:rsid w:val="00151420"/>
    <w:rsid w:val="00151430"/>
    <w:rsid w:val="00151523"/>
    <w:rsid w:val="0015152A"/>
    <w:rsid w:val="0015154C"/>
    <w:rsid w:val="00151557"/>
    <w:rsid w:val="0015156C"/>
    <w:rsid w:val="00151583"/>
    <w:rsid w:val="001515A0"/>
    <w:rsid w:val="001515D6"/>
    <w:rsid w:val="001515E1"/>
    <w:rsid w:val="0015161D"/>
    <w:rsid w:val="00151655"/>
    <w:rsid w:val="001516C2"/>
    <w:rsid w:val="00151780"/>
    <w:rsid w:val="001517C5"/>
    <w:rsid w:val="00151805"/>
    <w:rsid w:val="0015184A"/>
    <w:rsid w:val="0015188C"/>
    <w:rsid w:val="001518CE"/>
    <w:rsid w:val="001518DF"/>
    <w:rsid w:val="0015192C"/>
    <w:rsid w:val="00151A21"/>
    <w:rsid w:val="00151A42"/>
    <w:rsid w:val="00151A90"/>
    <w:rsid w:val="00151B3D"/>
    <w:rsid w:val="00151B60"/>
    <w:rsid w:val="00151C4B"/>
    <w:rsid w:val="00151D4A"/>
    <w:rsid w:val="00151DB7"/>
    <w:rsid w:val="00151DCF"/>
    <w:rsid w:val="00151F56"/>
    <w:rsid w:val="00151FBD"/>
    <w:rsid w:val="00151FE0"/>
    <w:rsid w:val="00152034"/>
    <w:rsid w:val="0015204E"/>
    <w:rsid w:val="0015205E"/>
    <w:rsid w:val="001520B0"/>
    <w:rsid w:val="00152148"/>
    <w:rsid w:val="00152149"/>
    <w:rsid w:val="0015214F"/>
    <w:rsid w:val="00152156"/>
    <w:rsid w:val="0015219A"/>
    <w:rsid w:val="0015224C"/>
    <w:rsid w:val="00152280"/>
    <w:rsid w:val="001522A4"/>
    <w:rsid w:val="001522F1"/>
    <w:rsid w:val="00152358"/>
    <w:rsid w:val="001523FA"/>
    <w:rsid w:val="00152422"/>
    <w:rsid w:val="00152427"/>
    <w:rsid w:val="00152511"/>
    <w:rsid w:val="001525B8"/>
    <w:rsid w:val="001526AC"/>
    <w:rsid w:val="001526F9"/>
    <w:rsid w:val="001526FB"/>
    <w:rsid w:val="00152780"/>
    <w:rsid w:val="001527E2"/>
    <w:rsid w:val="001527FF"/>
    <w:rsid w:val="0015281E"/>
    <w:rsid w:val="001528CD"/>
    <w:rsid w:val="0015292D"/>
    <w:rsid w:val="00152943"/>
    <w:rsid w:val="00152A08"/>
    <w:rsid w:val="00152A35"/>
    <w:rsid w:val="00152AAB"/>
    <w:rsid w:val="00152B26"/>
    <w:rsid w:val="00152C26"/>
    <w:rsid w:val="00152C31"/>
    <w:rsid w:val="00152C4A"/>
    <w:rsid w:val="00152C58"/>
    <w:rsid w:val="00152C8E"/>
    <w:rsid w:val="00152CF5"/>
    <w:rsid w:val="00152D1B"/>
    <w:rsid w:val="00152D64"/>
    <w:rsid w:val="00152DA5"/>
    <w:rsid w:val="00152DB3"/>
    <w:rsid w:val="00152DBD"/>
    <w:rsid w:val="00152E06"/>
    <w:rsid w:val="00152EE6"/>
    <w:rsid w:val="00152F65"/>
    <w:rsid w:val="00152FC0"/>
    <w:rsid w:val="00153016"/>
    <w:rsid w:val="00153041"/>
    <w:rsid w:val="00153103"/>
    <w:rsid w:val="0015314C"/>
    <w:rsid w:val="00153209"/>
    <w:rsid w:val="00153220"/>
    <w:rsid w:val="0015331E"/>
    <w:rsid w:val="00153393"/>
    <w:rsid w:val="001533C4"/>
    <w:rsid w:val="0015341B"/>
    <w:rsid w:val="00153610"/>
    <w:rsid w:val="00153648"/>
    <w:rsid w:val="001536C2"/>
    <w:rsid w:val="001536DB"/>
    <w:rsid w:val="001536DC"/>
    <w:rsid w:val="001537C4"/>
    <w:rsid w:val="001537D6"/>
    <w:rsid w:val="00153902"/>
    <w:rsid w:val="0015399E"/>
    <w:rsid w:val="001539E1"/>
    <w:rsid w:val="00153A20"/>
    <w:rsid w:val="00153A29"/>
    <w:rsid w:val="00153A60"/>
    <w:rsid w:val="00153A75"/>
    <w:rsid w:val="00153ADE"/>
    <w:rsid w:val="00153B08"/>
    <w:rsid w:val="00153BE5"/>
    <w:rsid w:val="00153D09"/>
    <w:rsid w:val="00153D0B"/>
    <w:rsid w:val="00153D2F"/>
    <w:rsid w:val="00153D38"/>
    <w:rsid w:val="00153D41"/>
    <w:rsid w:val="00153E4C"/>
    <w:rsid w:val="00153EA5"/>
    <w:rsid w:val="00153F3D"/>
    <w:rsid w:val="00153FA9"/>
    <w:rsid w:val="00154097"/>
    <w:rsid w:val="00154165"/>
    <w:rsid w:val="001541CC"/>
    <w:rsid w:val="0015422F"/>
    <w:rsid w:val="00154299"/>
    <w:rsid w:val="00154363"/>
    <w:rsid w:val="0015439D"/>
    <w:rsid w:val="001543DF"/>
    <w:rsid w:val="0015457F"/>
    <w:rsid w:val="001545DF"/>
    <w:rsid w:val="0015472E"/>
    <w:rsid w:val="00154782"/>
    <w:rsid w:val="001547B8"/>
    <w:rsid w:val="001547CC"/>
    <w:rsid w:val="00154871"/>
    <w:rsid w:val="00154953"/>
    <w:rsid w:val="001549DB"/>
    <w:rsid w:val="00154AA7"/>
    <w:rsid w:val="00154B04"/>
    <w:rsid w:val="00154B8A"/>
    <w:rsid w:val="00154D49"/>
    <w:rsid w:val="00154D4D"/>
    <w:rsid w:val="00154EA1"/>
    <w:rsid w:val="00154EBF"/>
    <w:rsid w:val="00154F49"/>
    <w:rsid w:val="00154F5E"/>
    <w:rsid w:val="00155029"/>
    <w:rsid w:val="0015508B"/>
    <w:rsid w:val="00155373"/>
    <w:rsid w:val="001553C3"/>
    <w:rsid w:val="001553DE"/>
    <w:rsid w:val="001553E6"/>
    <w:rsid w:val="00155420"/>
    <w:rsid w:val="00155427"/>
    <w:rsid w:val="0015545D"/>
    <w:rsid w:val="001554EF"/>
    <w:rsid w:val="00155564"/>
    <w:rsid w:val="001555E6"/>
    <w:rsid w:val="00155601"/>
    <w:rsid w:val="001556D7"/>
    <w:rsid w:val="0015571D"/>
    <w:rsid w:val="00155744"/>
    <w:rsid w:val="00155760"/>
    <w:rsid w:val="001557B6"/>
    <w:rsid w:val="001557CF"/>
    <w:rsid w:val="0015583A"/>
    <w:rsid w:val="0015586D"/>
    <w:rsid w:val="0015587A"/>
    <w:rsid w:val="001558C0"/>
    <w:rsid w:val="001558D2"/>
    <w:rsid w:val="00155A2A"/>
    <w:rsid w:val="00155A3D"/>
    <w:rsid w:val="00155BA3"/>
    <w:rsid w:val="00155BB6"/>
    <w:rsid w:val="00155BDF"/>
    <w:rsid w:val="00155CAC"/>
    <w:rsid w:val="00155DE5"/>
    <w:rsid w:val="00155EDB"/>
    <w:rsid w:val="00155F16"/>
    <w:rsid w:val="00156026"/>
    <w:rsid w:val="001560CA"/>
    <w:rsid w:val="001560CC"/>
    <w:rsid w:val="0015611D"/>
    <w:rsid w:val="0015613B"/>
    <w:rsid w:val="0015623D"/>
    <w:rsid w:val="001562FF"/>
    <w:rsid w:val="00156386"/>
    <w:rsid w:val="00156388"/>
    <w:rsid w:val="001563B7"/>
    <w:rsid w:val="00156475"/>
    <w:rsid w:val="00156486"/>
    <w:rsid w:val="001564E6"/>
    <w:rsid w:val="00156508"/>
    <w:rsid w:val="0015650C"/>
    <w:rsid w:val="001565F1"/>
    <w:rsid w:val="00156682"/>
    <w:rsid w:val="0015668B"/>
    <w:rsid w:val="001566FB"/>
    <w:rsid w:val="001567AC"/>
    <w:rsid w:val="001568CB"/>
    <w:rsid w:val="00156913"/>
    <w:rsid w:val="00156920"/>
    <w:rsid w:val="00156AAA"/>
    <w:rsid w:val="00156B18"/>
    <w:rsid w:val="00156B21"/>
    <w:rsid w:val="00156B40"/>
    <w:rsid w:val="00156B56"/>
    <w:rsid w:val="00156BCC"/>
    <w:rsid w:val="00156BDE"/>
    <w:rsid w:val="00156BE5"/>
    <w:rsid w:val="00156BFC"/>
    <w:rsid w:val="00156C01"/>
    <w:rsid w:val="00156C21"/>
    <w:rsid w:val="00156C6C"/>
    <w:rsid w:val="00156D15"/>
    <w:rsid w:val="00156D3C"/>
    <w:rsid w:val="00156D45"/>
    <w:rsid w:val="00156D5E"/>
    <w:rsid w:val="00156D64"/>
    <w:rsid w:val="00156D7C"/>
    <w:rsid w:val="00156E73"/>
    <w:rsid w:val="00156F2C"/>
    <w:rsid w:val="00156FEB"/>
    <w:rsid w:val="00157070"/>
    <w:rsid w:val="001570E3"/>
    <w:rsid w:val="00157133"/>
    <w:rsid w:val="001571E8"/>
    <w:rsid w:val="001571ED"/>
    <w:rsid w:val="00157200"/>
    <w:rsid w:val="0015721C"/>
    <w:rsid w:val="00157249"/>
    <w:rsid w:val="00157271"/>
    <w:rsid w:val="001572C6"/>
    <w:rsid w:val="001572C9"/>
    <w:rsid w:val="001573C2"/>
    <w:rsid w:val="00157408"/>
    <w:rsid w:val="001574E7"/>
    <w:rsid w:val="001574ED"/>
    <w:rsid w:val="00157531"/>
    <w:rsid w:val="001575A9"/>
    <w:rsid w:val="001575F2"/>
    <w:rsid w:val="001575F9"/>
    <w:rsid w:val="0015760D"/>
    <w:rsid w:val="00157616"/>
    <w:rsid w:val="0015761D"/>
    <w:rsid w:val="00157668"/>
    <w:rsid w:val="00157713"/>
    <w:rsid w:val="00157749"/>
    <w:rsid w:val="0015774D"/>
    <w:rsid w:val="00157767"/>
    <w:rsid w:val="001577E9"/>
    <w:rsid w:val="00157838"/>
    <w:rsid w:val="0015785B"/>
    <w:rsid w:val="00157896"/>
    <w:rsid w:val="001578B6"/>
    <w:rsid w:val="001578BA"/>
    <w:rsid w:val="001578FB"/>
    <w:rsid w:val="00157971"/>
    <w:rsid w:val="001579C1"/>
    <w:rsid w:val="00157A56"/>
    <w:rsid w:val="00157AA9"/>
    <w:rsid w:val="00157ADB"/>
    <w:rsid w:val="00157B29"/>
    <w:rsid w:val="00157B61"/>
    <w:rsid w:val="00157CDB"/>
    <w:rsid w:val="00157F8A"/>
    <w:rsid w:val="00157F91"/>
    <w:rsid w:val="0016002B"/>
    <w:rsid w:val="00160089"/>
    <w:rsid w:val="001600A9"/>
    <w:rsid w:val="00160179"/>
    <w:rsid w:val="001602D3"/>
    <w:rsid w:val="0016031D"/>
    <w:rsid w:val="00160322"/>
    <w:rsid w:val="001603AB"/>
    <w:rsid w:val="001603FC"/>
    <w:rsid w:val="0016040C"/>
    <w:rsid w:val="0016044A"/>
    <w:rsid w:val="0016056B"/>
    <w:rsid w:val="0016058E"/>
    <w:rsid w:val="0016059C"/>
    <w:rsid w:val="001605A0"/>
    <w:rsid w:val="0016064F"/>
    <w:rsid w:val="0016067B"/>
    <w:rsid w:val="001606FE"/>
    <w:rsid w:val="0016079A"/>
    <w:rsid w:val="001607E7"/>
    <w:rsid w:val="00160893"/>
    <w:rsid w:val="0016096C"/>
    <w:rsid w:val="001609D8"/>
    <w:rsid w:val="00160A9F"/>
    <w:rsid w:val="00160AD6"/>
    <w:rsid w:val="00160B01"/>
    <w:rsid w:val="00160B16"/>
    <w:rsid w:val="00160B48"/>
    <w:rsid w:val="00160B88"/>
    <w:rsid w:val="00160BB0"/>
    <w:rsid w:val="00160C81"/>
    <w:rsid w:val="00160D49"/>
    <w:rsid w:val="00160DC6"/>
    <w:rsid w:val="00160DE5"/>
    <w:rsid w:val="00160DE9"/>
    <w:rsid w:val="00160E04"/>
    <w:rsid w:val="00160E43"/>
    <w:rsid w:val="00160F40"/>
    <w:rsid w:val="00160FC1"/>
    <w:rsid w:val="00160FE0"/>
    <w:rsid w:val="00160FF9"/>
    <w:rsid w:val="0016105F"/>
    <w:rsid w:val="001610B1"/>
    <w:rsid w:val="001610FE"/>
    <w:rsid w:val="00161105"/>
    <w:rsid w:val="00161135"/>
    <w:rsid w:val="001611C5"/>
    <w:rsid w:val="001611E6"/>
    <w:rsid w:val="00161208"/>
    <w:rsid w:val="001613EF"/>
    <w:rsid w:val="0016144B"/>
    <w:rsid w:val="0016150A"/>
    <w:rsid w:val="001616FD"/>
    <w:rsid w:val="00161710"/>
    <w:rsid w:val="00161750"/>
    <w:rsid w:val="00161804"/>
    <w:rsid w:val="00161824"/>
    <w:rsid w:val="00161831"/>
    <w:rsid w:val="00161863"/>
    <w:rsid w:val="00161870"/>
    <w:rsid w:val="00161903"/>
    <w:rsid w:val="00161A8A"/>
    <w:rsid w:val="00161B93"/>
    <w:rsid w:val="00161BBB"/>
    <w:rsid w:val="00161C78"/>
    <w:rsid w:val="00161C8A"/>
    <w:rsid w:val="00161CB2"/>
    <w:rsid w:val="00161D0A"/>
    <w:rsid w:val="00161D54"/>
    <w:rsid w:val="00161E09"/>
    <w:rsid w:val="00161E47"/>
    <w:rsid w:val="00161F1B"/>
    <w:rsid w:val="00161F5E"/>
    <w:rsid w:val="00161F9B"/>
    <w:rsid w:val="001620C3"/>
    <w:rsid w:val="001620D5"/>
    <w:rsid w:val="00162167"/>
    <w:rsid w:val="0016220E"/>
    <w:rsid w:val="00162231"/>
    <w:rsid w:val="0016227C"/>
    <w:rsid w:val="0016237C"/>
    <w:rsid w:val="001623C5"/>
    <w:rsid w:val="001623F0"/>
    <w:rsid w:val="0016243C"/>
    <w:rsid w:val="00162453"/>
    <w:rsid w:val="0016253D"/>
    <w:rsid w:val="00162584"/>
    <w:rsid w:val="00162591"/>
    <w:rsid w:val="001626C0"/>
    <w:rsid w:val="001627EA"/>
    <w:rsid w:val="001627F9"/>
    <w:rsid w:val="0016280B"/>
    <w:rsid w:val="0016280C"/>
    <w:rsid w:val="00162813"/>
    <w:rsid w:val="001628B2"/>
    <w:rsid w:val="001628C5"/>
    <w:rsid w:val="001628F4"/>
    <w:rsid w:val="001628FD"/>
    <w:rsid w:val="00162931"/>
    <w:rsid w:val="00162938"/>
    <w:rsid w:val="00162965"/>
    <w:rsid w:val="00162968"/>
    <w:rsid w:val="00162A71"/>
    <w:rsid w:val="00162B71"/>
    <w:rsid w:val="00162B8D"/>
    <w:rsid w:val="00162C1C"/>
    <w:rsid w:val="00162D2C"/>
    <w:rsid w:val="00162E2C"/>
    <w:rsid w:val="00162E80"/>
    <w:rsid w:val="00162F65"/>
    <w:rsid w:val="00162FE7"/>
    <w:rsid w:val="0016303C"/>
    <w:rsid w:val="00163041"/>
    <w:rsid w:val="00163085"/>
    <w:rsid w:val="00163094"/>
    <w:rsid w:val="001630DE"/>
    <w:rsid w:val="00163121"/>
    <w:rsid w:val="0016313B"/>
    <w:rsid w:val="001631B2"/>
    <w:rsid w:val="00163252"/>
    <w:rsid w:val="00163370"/>
    <w:rsid w:val="0016342A"/>
    <w:rsid w:val="00163461"/>
    <w:rsid w:val="00163474"/>
    <w:rsid w:val="001634C0"/>
    <w:rsid w:val="00163570"/>
    <w:rsid w:val="001635BF"/>
    <w:rsid w:val="00163691"/>
    <w:rsid w:val="001636FF"/>
    <w:rsid w:val="00163733"/>
    <w:rsid w:val="00163736"/>
    <w:rsid w:val="001637D3"/>
    <w:rsid w:val="00163863"/>
    <w:rsid w:val="00163A1E"/>
    <w:rsid w:val="00163A6C"/>
    <w:rsid w:val="00163A74"/>
    <w:rsid w:val="00163A8D"/>
    <w:rsid w:val="00163AFD"/>
    <w:rsid w:val="00163B4C"/>
    <w:rsid w:val="00163B5B"/>
    <w:rsid w:val="00163C00"/>
    <w:rsid w:val="00163C24"/>
    <w:rsid w:val="00163C56"/>
    <w:rsid w:val="00163C6B"/>
    <w:rsid w:val="00163C8A"/>
    <w:rsid w:val="00163C8C"/>
    <w:rsid w:val="00163CD1"/>
    <w:rsid w:val="00163D00"/>
    <w:rsid w:val="00163D5D"/>
    <w:rsid w:val="00163DA2"/>
    <w:rsid w:val="00163EA6"/>
    <w:rsid w:val="00163F68"/>
    <w:rsid w:val="00163F9C"/>
    <w:rsid w:val="00163FA8"/>
    <w:rsid w:val="00163FB3"/>
    <w:rsid w:val="00163FC4"/>
    <w:rsid w:val="00163FFC"/>
    <w:rsid w:val="0016405B"/>
    <w:rsid w:val="0016408B"/>
    <w:rsid w:val="001640CD"/>
    <w:rsid w:val="001640E3"/>
    <w:rsid w:val="00164184"/>
    <w:rsid w:val="00164188"/>
    <w:rsid w:val="001641D9"/>
    <w:rsid w:val="001641E9"/>
    <w:rsid w:val="0016421E"/>
    <w:rsid w:val="0016430D"/>
    <w:rsid w:val="00164316"/>
    <w:rsid w:val="00164398"/>
    <w:rsid w:val="001643A3"/>
    <w:rsid w:val="001643B3"/>
    <w:rsid w:val="001643B4"/>
    <w:rsid w:val="001643CA"/>
    <w:rsid w:val="001643FC"/>
    <w:rsid w:val="00164413"/>
    <w:rsid w:val="00164419"/>
    <w:rsid w:val="001644A6"/>
    <w:rsid w:val="001645B4"/>
    <w:rsid w:val="001646DA"/>
    <w:rsid w:val="00164746"/>
    <w:rsid w:val="00164789"/>
    <w:rsid w:val="0016478D"/>
    <w:rsid w:val="001647C5"/>
    <w:rsid w:val="001649DB"/>
    <w:rsid w:val="00164A4B"/>
    <w:rsid w:val="00164AF1"/>
    <w:rsid w:val="00164BBA"/>
    <w:rsid w:val="00164BF2"/>
    <w:rsid w:val="00164C14"/>
    <w:rsid w:val="00164C16"/>
    <w:rsid w:val="00164C67"/>
    <w:rsid w:val="00164C88"/>
    <w:rsid w:val="00164D7E"/>
    <w:rsid w:val="00164D84"/>
    <w:rsid w:val="00164DB2"/>
    <w:rsid w:val="00164DC5"/>
    <w:rsid w:val="00164E13"/>
    <w:rsid w:val="00164E21"/>
    <w:rsid w:val="00164E8B"/>
    <w:rsid w:val="00164EB7"/>
    <w:rsid w:val="00164F19"/>
    <w:rsid w:val="00164F56"/>
    <w:rsid w:val="00164F70"/>
    <w:rsid w:val="00164F92"/>
    <w:rsid w:val="00164F9D"/>
    <w:rsid w:val="00164FCD"/>
    <w:rsid w:val="00165023"/>
    <w:rsid w:val="001650D9"/>
    <w:rsid w:val="001652B7"/>
    <w:rsid w:val="001652FC"/>
    <w:rsid w:val="001653F2"/>
    <w:rsid w:val="00165427"/>
    <w:rsid w:val="00165490"/>
    <w:rsid w:val="001654ED"/>
    <w:rsid w:val="001654F4"/>
    <w:rsid w:val="0016551B"/>
    <w:rsid w:val="00165579"/>
    <w:rsid w:val="00165592"/>
    <w:rsid w:val="001656C7"/>
    <w:rsid w:val="001656E6"/>
    <w:rsid w:val="00165750"/>
    <w:rsid w:val="001657A4"/>
    <w:rsid w:val="00165801"/>
    <w:rsid w:val="00165981"/>
    <w:rsid w:val="001659C9"/>
    <w:rsid w:val="00165A1E"/>
    <w:rsid w:val="00165A21"/>
    <w:rsid w:val="00165A45"/>
    <w:rsid w:val="00165B53"/>
    <w:rsid w:val="00165B60"/>
    <w:rsid w:val="00165C04"/>
    <w:rsid w:val="00165C7E"/>
    <w:rsid w:val="00165CB0"/>
    <w:rsid w:val="00165CDF"/>
    <w:rsid w:val="00165D19"/>
    <w:rsid w:val="00165DF0"/>
    <w:rsid w:val="00165DF8"/>
    <w:rsid w:val="00165E40"/>
    <w:rsid w:val="00165ECA"/>
    <w:rsid w:val="00165F2F"/>
    <w:rsid w:val="00165F6A"/>
    <w:rsid w:val="00165FC9"/>
    <w:rsid w:val="0016601A"/>
    <w:rsid w:val="0016605B"/>
    <w:rsid w:val="00166149"/>
    <w:rsid w:val="00166160"/>
    <w:rsid w:val="00166184"/>
    <w:rsid w:val="0016619E"/>
    <w:rsid w:val="001662CF"/>
    <w:rsid w:val="001662E8"/>
    <w:rsid w:val="001663B5"/>
    <w:rsid w:val="001663FF"/>
    <w:rsid w:val="001664D8"/>
    <w:rsid w:val="0016653F"/>
    <w:rsid w:val="00166559"/>
    <w:rsid w:val="0016657D"/>
    <w:rsid w:val="001665E2"/>
    <w:rsid w:val="001665E8"/>
    <w:rsid w:val="00166608"/>
    <w:rsid w:val="0016660D"/>
    <w:rsid w:val="00166747"/>
    <w:rsid w:val="00166775"/>
    <w:rsid w:val="001667C6"/>
    <w:rsid w:val="001667CF"/>
    <w:rsid w:val="001667E4"/>
    <w:rsid w:val="00166844"/>
    <w:rsid w:val="001668B5"/>
    <w:rsid w:val="001668F9"/>
    <w:rsid w:val="00166903"/>
    <w:rsid w:val="0016696C"/>
    <w:rsid w:val="00166972"/>
    <w:rsid w:val="001669C7"/>
    <w:rsid w:val="00166A49"/>
    <w:rsid w:val="00166AB5"/>
    <w:rsid w:val="00166B20"/>
    <w:rsid w:val="00166BA4"/>
    <w:rsid w:val="00166C02"/>
    <w:rsid w:val="00166C22"/>
    <w:rsid w:val="00166C26"/>
    <w:rsid w:val="00166C41"/>
    <w:rsid w:val="00166C8B"/>
    <w:rsid w:val="00166CD8"/>
    <w:rsid w:val="00166D14"/>
    <w:rsid w:val="00166D33"/>
    <w:rsid w:val="00166DCE"/>
    <w:rsid w:val="00166E89"/>
    <w:rsid w:val="00166FA6"/>
    <w:rsid w:val="00166FC3"/>
    <w:rsid w:val="00167013"/>
    <w:rsid w:val="0016704C"/>
    <w:rsid w:val="001670DE"/>
    <w:rsid w:val="00167117"/>
    <w:rsid w:val="001671C8"/>
    <w:rsid w:val="001671D7"/>
    <w:rsid w:val="00167201"/>
    <w:rsid w:val="00167285"/>
    <w:rsid w:val="0016728C"/>
    <w:rsid w:val="0016729A"/>
    <w:rsid w:val="001672B0"/>
    <w:rsid w:val="001672DB"/>
    <w:rsid w:val="00167309"/>
    <w:rsid w:val="001673C1"/>
    <w:rsid w:val="001673D1"/>
    <w:rsid w:val="00167456"/>
    <w:rsid w:val="00167464"/>
    <w:rsid w:val="001674BA"/>
    <w:rsid w:val="001674F8"/>
    <w:rsid w:val="00167558"/>
    <w:rsid w:val="0016759F"/>
    <w:rsid w:val="00167665"/>
    <w:rsid w:val="001676BB"/>
    <w:rsid w:val="001676F6"/>
    <w:rsid w:val="001677D6"/>
    <w:rsid w:val="001678DA"/>
    <w:rsid w:val="00167933"/>
    <w:rsid w:val="00167996"/>
    <w:rsid w:val="00167A2E"/>
    <w:rsid w:val="00167A97"/>
    <w:rsid w:val="00167ABC"/>
    <w:rsid w:val="00167CA4"/>
    <w:rsid w:val="00167D06"/>
    <w:rsid w:val="00167E1E"/>
    <w:rsid w:val="00167F00"/>
    <w:rsid w:val="001700C1"/>
    <w:rsid w:val="00170105"/>
    <w:rsid w:val="0017014A"/>
    <w:rsid w:val="00170189"/>
    <w:rsid w:val="0017020E"/>
    <w:rsid w:val="00170256"/>
    <w:rsid w:val="00170283"/>
    <w:rsid w:val="001703E2"/>
    <w:rsid w:val="0017040E"/>
    <w:rsid w:val="0017041E"/>
    <w:rsid w:val="00170461"/>
    <w:rsid w:val="00170477"/>
    <w:rsid w:val="00170550"/>
    <w:rsid w:val="0017069B"/>
    <w:rsid w:val="001706B3"/>
    <w:rsid w:val="0017077E"/>
    <w:rsid w:val="00170783"/>
    <w:rsid w:val="001708EB"/>
    <w:rsid w:val="00170931"/>
    <w:rsid w:val="001709D0"/>
    <w:rsid w:val="001709F0"/>
    <w:rsid w:val="00170A19"/>
    <w:rsid w:val="00170A50"/>
    <w:rsid w:val="00170A71"/>
    <w:rsid w:val="00170AAC"/>
    <w:rsid w:val="00170B98"/>
    <w:rsid w:val="00170C4F"/>
    <w:rsid w:val="00170C98"/>
    <w:rsid w:val="00170CA7"/>
    <w:rsid w:val="00170D06"/>
    <w:rsid w:val="00170D9E"/>
    <w:rsid w:val="00170DBB"/>
    <w:rsid w:val="00170E68"/>
    <w:rsid w:val="00170E9A"/>
    <w:rsid w:val="00170F01"/>
    <w:rsid w:val="00170F09"/>
    <w:rsid w:val="00170F39"/>
    <w:rsid w:val="00170F4E"/>
    <w:rsid w:val="00170FAD"/>
    <w:rsid w:val="00171061"/>
    <w:rsid w:val="00171083"/>
    <w:rsid w:val="001710EF"/>
    <w:rsid w:val="00171115"/>
    <w:rsid w:val="00171130"/>
    <w:rsid w:val="00171158"/>
    <w:rsid w:val="0017116F"/>
    <w:rsid w:val="0017117B"/>
    <w:rsid w:val="00171181"/>
    <w:rsid w:val="00171214"/>
    <w:rsid w:val="00171248"/>
    <w:rsid w:val="001712A6"/>
    <w:rsid w:val="001712BD"/>
    <w:rsid w:val="0017132B"/>
    <w:rsid w:val="0017133A"/>
    <w:rsid w:val="001713BB"/>
    <w:rsid w:val="001713EB"/>
    <w:rsid w:val="001713FF"/>
    <w:rsid w:val="00171415"/>
    <w:rsid w:val="00171423"/>
    <w:rsid w:val="0017145E"/>
    <w:rsid w:val="001714D2"/>
    <w:rsid w:val="001714E2"/>
    <w:rsid w:val="00171524"/>
    <w:rsid w:val="0017154A"/>
    <w:rsid w:val="001716DA"/>
    <w:rsid w:val="00171883"/>
    <w:rsid w:val="001719C4"/>
    <w:rsid w:val="00171A09"/>
    <w:rsid w:val="00171A0C"/>
    <w:rsid w:val="00171B02"/>
    <w:rsid w:val="00171B80"/>
    <w:rsid w:val="00171B8B"/>
    <w:rsid w:val="00171BC4"/>
    <w:rsid w:val="00171C05"/>
    <w:rsid w:val="00171C9F"/>
    <w:rsid w:val="00171CAC"/>
    <w:rsid w:val="00171CB8"/>
    <w:rsid w:val="00171CC7"/>
    <w:rsid w:val="00171D39"/>
    <w:rsid w:val="00171D42"/>
    <w:rsid w:val="00171D5C"/>
    <w:rsid w:val="00171D7D"/>
    <w:rsid w:val="00171E59"/>
    <w:rsid w:val="00171E5B"/>
    <w:rsid w:val="00171E81"/>
    <w:rsid w:val="00171E96"/>
    <w:rsid w:val="00171F62"/>
    <w:rsid w:val="00171F78"/>
    <w:rsid w:val="00172039"/>
    <w:rsid w:val="0017203E"/>
    <w:rsid w:val="001721B6"/>
    <w:rsid w:val="0017239B"/>
    <w:rsid w:val="001723B6"/>
    <w:rsid w:val="001723C2"/>
    <w:rsid w:val="001723CB"/>
    <w:rsid w:val="001723FF"/>
    <w:rsid w:val="0017241E"/>
    <w:rsid w:val="00172429"/>
    <w:rsid w:val="00172434"/>
    <w:rsid w:val="00172459"/>
    <w:rsid w:val="0017245D"/>
    <w:rsid w:val="00172475"/>
    <w:rsid w:val="001725BC"/>
    <w:rsid w:val="001725BD"/>
    <w:rsid w:val="001725ED"/>
    <w:rsid w:val="00172613"/>
    <w:rsid w:val="00172653"/>
    <w:rsid w:val="0017265B"/>
    <w:rsid w:val="001726C4"/>
    <w:rsid w:val="001726C7"/>
    <w:rsid w:val="001726E3"/>
    <w:rsid w:val="001726EA"/>
    <w:rsid w:val="00172823"/>
    <w:rsid w:val="0017285D"/>
    <w:rsid w:val="001729B4"/>
    <w:rsid w:val="001729CE"/>
    <w:rsid w:val="00172A3E"/>
    <w:rsid w:val="00172AD4"/>
    <w:rsid w:val="00172AF4"/>
    <w:rsid w:val="00172B82"/>
    <w:rsid w:val="00172DA7"/>
    <w:rsid w:val="00172E81"/>
    <w:rsid w:val="00172EF0"/>
    <w:rsid w:val="00172EFF"/>
    <w:rsid w:val="00172F0C"/>
    <w:rsid w:val="00172F12"/>
    <w:rsid w:val="00172F22"/>
    <w:rsid w:val="00172F43"/>
    <w:rsid w:val="00172FC6"/>
    <w:rsid w:val="00173081"/>
    <w:rsid w:val="001730A5"/>
    <w:rsid w:val="00173116"/>
    <w:rsid w:val="0017311D"/>
    <w:rsid w:val="0017319E"/>
    <w:rsid w:val="00173234"/>
    <w:rsid w:val="0017326C"/>
    <w:rsid w:val="001732D6"/>
    <w:rsid w:val="0017336F"/>
    <w:rsid w:val="00173427"/>
    <w:rsid w:val="00173429"/>
    <w:rsid w:val="00173442"/>
    <w:rsid w:val="00173497"/>
    <w:rsid w:val="00173536"/>
    <w:rsid w:val="00173547"/>
    <w:rsid w:val="0017359F"/>
    <w:rsid w:val="001735C1"/>
    <w:rsid w:val="00173625"/>
    <w:rsid w:val="00173660"/>
    <w:rsid w:val="0017366F"/>
    <w:rsid w:val="00173681"/>
    <w:rsid w:val="001736F9"/>
    <w:rsid w:val="00173732"/>
    <w:rsid w:val="00173783"/>
    <w:rsid w:val="001737AD"/>
    <w:rsid w:val="001737E7"/>
    <w:rsid w:val="00173846"/>
    <w:rsid w:val="00173869"/>
    <w:rsid w:val="001738D2"/>
    <w:rsid w:val="001738DD"/>
    <w:rsid w:val="001739A8"/>
    <w:rsid w:val="001739F0"/>
    <w:rsid w:val="00173A76"/>
    <w:rsid w:val="00173AAD"/>
    <w:rsid w:val="00173AF5"/>
    <w:rsid w:val="00173BE9"/>
    <w:rsid w:val="00173C2E"/>
    <w:rsid w:val="00173CF9"/>
    <w:rsid w:val="00173D32"/>
    <w:rsid w:val="00173D36"/>
    <w:rsid w:val="00173DC6"/>
    <w:rsid w:val="00173E6B"/>
    <w:rsid w:val="00173EA1"/>
    <w:rsid w:val="00173ECD"/>
    <w:rsid w:val="00173ED9"/>
    <w:rsid w:val="00173F95"/>
    <w:rsid w:val="00173F9B"/>
    <w:rsid w:val="00173FAA"/>
    <w:rsid w:val="00174021"/>
    <w:rsid w:val="0017407B"/>
    <w:rsid w:val="00174158"/>
    <w:rsid w:val="0017419A"/>
    <w:rsid w:val="00174248"/>
    <w:rsid w:val="001742C0"/>
    <w:rsid w:val="0017437D"/>
    <w:rsid w:val="001743A7"/>
    <w:rsid w:val="001743EC"/>
    <w:rsid w:val="0017446A"/>
    <w:rsid w:val="0017446C"/>
    <w:rsid w:val="00174485"/>
    <w:rsid w:val="00174514"/>
    <w:rsid w:val="00174520"/>
    <w:rsid w:val="00174542"/>
    <w:rsid w:val="001745C5"/>
    <w:rsid w:val="00174600"/>
    <w:rsid w:val="0017464B"/>
    <w:rsid w:val="00174668"/>
    <w:rsid w:val="001746BF"/>
    <w:rsid w:val="001746F0"/>
    <w:rsid w:val="00174748"/>
    <w:rsid w:val="0017477A"/>
    <w:rsid w:val="001747CB"/>
    <w:rsid w:val="001747CE"/>
    <w:rsid w:val="001747E2"/>
    <w:rsid w:val="00174800"/>
    <w:rsid w:val="0017483B"/>
    <w:rsid w:val="00174850"/>
    <w:rsid w:val="00174857"/>
    <w:rsid w:val="00174858"/>
    <w:rsid w:val="00174878"/>
    <w:rsid w:val="001748CD"/>
    <w:rsid w:val="00174989"/>
    <w:rsid w:val="001749B3"/>
    <w:rsid w:val="00174A81"/>
    <w:rsid w:val="00174AA3"/>
    <w:rsid w:val="00174AA5"/>
    <w:rsid w:val="00174AF2"/>
    <w:rsid w:val="00174B8E"/>
    <w:rsid w:val="00174D12"/>
    <w:rsid w:val="00174D5E"/>
    <w:rsid w:val="00174E45"/>
    <w:rsid w:val="00174E47"/>
    <w:rsid w:val="00174E6E"/>
    <w:rsid w:val="00174EC4"/>
    <w:rsid w:val="00174F82"/>
    <w:rsid w:val="00175043"/>
    <w:rsid w:val="00175054"/>
    <w:rsid w:val="00175065"/>
    <w:rsid w:val="00175079"/>
    <w:rsid w:val="001750D2"/>
    <w:rsid w:val="001751B8"/>
    <w:rsid w:val="001751BA"/>
    <w:rsid w:val="0017529D"/>
    <w:rsid w:val="001752A9"/>
    <w:rsid w:val="001752B3"/>
    <w:rsid w:val="001752C1"/>
    <w:rsid w:val="00175303"/>
    <w:rsid w:val="0017532E"/>
    <w:rsid w:val="001754CB"/>
    <w:rsid w:val="00175543"/>
    <w:rsid w:val="0017558B"/>
    <w:rsid w:val="0017559C"/>
    <w:rsid w:val="00175618"/>
    <w:rsid w:val="0017562C"/>
    <w:rsid w:val="00175686"/>
    <w:rsid w:val="00175697"/>
    <w:rsid w:val="00175710"/>
    <w:rsid w:val="001757AE"/>
    <w:rsid w:val="00175863"/>
    <w:rsid w:val="00175935"/>
    <w:rsid w:val="0017593C"/>
    <w:rsid w:val="0017594E"/>
    <w:rsid w:val="00175960"/>
    <w:rsid w:val="00175A01"/>
    <w:rsid w:val="00175A42"/>
    <w:rsid w:val="00175A6A"/>
    <w:rsid w:val="00175A7D"/>
    <w:rsid w:val="00175A7E"/>
    <w:rsid w:val="00175AC7"/>
    <w:rsid w:val="00175B8F"/>
    <w:rsid w:val="00175BC8"/>
    <w:rsid w:val="00175BE7"/>
    <w:rsid w:val="00175BF8"/>
    <w:rsid w:val="00175C41"/>
    <w:rsid w:val="00175C70"/>
    <w:rsid w:val="00175C93"/>
    <w:rsid w:val="00175C94"/>
    <w:rsid w:val="00175D10"/>
    <w:rsid w:val="00175D31"/>
    <w:rsid w:val="00175D87"/>
    <w:rsid w:val="00175D8C"/>
    <w:rsid w:val="00175D94"/>
    <w:rsid w:val="00175DCB"/>
    <w:rsid w:val="00175DF6"/>
    <w:rsid w:val="00175E04"/>
    <w:rsid w:val="00175E20"/>
    <w:rsid w:val="00175E4A"/>
    <w:rsid w:val="00175E9E"/>
    <w:rsid w:val="00175EB7"/>
    <w:rsid w:val="00175ECF"/>
    <w:rsid w:val="00175F84"/>
    <w:rsid w:val="00175F9F"/>
    <w:rsid w:val="0017601C"/>
    <w:rsid w:val="00176177"/>
    <w:rsid w:val="00176199"/>
    <w:rsid w:val="001761D4"/>
    <w:rsid w:val="00176237"/>
    <w:rsid w:val="00176267"/>
    <w:rsid w:val="001762A5"/>
    <w:rsid w:val="001762BF"/>
    <w:rsid w:val="001762F9"/>
    <w:rsid w:val="00176339"/>
    <w:rsid w:val="0017639D"/>
    <w:rsid w:val="001763E4"/>
    <w:rsid w:val="00176441"/>
    <w:rsid w:val="001764DD"/>
    <w:rsid w:val="00176510"/>
    <w:rsid w:val="00176518"/>
    <w:rsid w:val="0017659C"/>
    <w:rsid w:val="00176733"/>
    <w:rsid w:val="00176753"/>
    <w:rsid w:val="001767B0"/>
    <w:rsid w:val="001768BD"/>
    <w:rsid w:val="001768DD"/>
    <w:rsid w:val="0017690D"/>
    <w:rsid w:val="00176A0A"/>
    <w:rsid w:val="00176A1D"/>
    <w:rsid w:val="00176AB3"/>
    <w:rsid w:val="00176AE6"/>
    <w:rsid w:val="00176B40"/>
    <w:rsid w:val="00176B46"/>
    <w:rsid w:val="00176B80"/>
    <w:rsid w:val="00176BD1"/>
    <w:rsid w:val="00176BDE"/>
    <w:rsid w:val="00176CA7"/>
    <w:rsid w:val="00176D8E"/>
    <w:rsid w:val="00176DE8"/>
    <w:rsid w:val="00176DF4"/>
    <w:rsid w:val="00176E83"/>
    <w:rsid w:val="00176E91"/>
    <w:rsid w:val="00176F33"/>
    <w:rsid w:val="00176F9B"/>
    <w:rsid w:val="00176FBC"/>
    <w:rsid w:val="00177016"/>
    <w:rsid w:val="0017703E"/>
    <w:rsid w:val="0017706A"/>
    <w:rsid w:val="00177076"/>
    <w:rsid w:val="00177090"/>
    <w:rsid w:val="0017715D"/>
    <w:rsid w:val="00177272"/>
    <w:rsid w:val="00177296"/>
    <w:rsid w:val="00177299"/>
    <w:rsid w:val="0017729B"/>
    <w:rsid w:val="001772E5"/>
    <w:rsid w:val="001772F3"/>
    <w:rsid w:val="00177306"/>
    <w:rsid w:val="001773CA"/>
    <w:rsid w:val="00177416"/>
    <w:rsid w:val="0017742F"/>
    <w:rsid w:val="00177462"/>
    <w:rsid w:val="00177522"/>
    <w:rsid w:val="0017753E"/>
    <w:rsid w:val="00177540"/>
    <w:rsid w:val="00177578"/>
    <w:rsid w:val="0017757F"/>
    <w:rsid w:val="001775DC"/>
    <w:rsid w:val="00177613"/>
    <w:rsid w:val="0017761F"/>
    <w:rsid w:val="0017767A"/>
    <w:rsid w:val="001776C6"/>
    <w:rsid w:val="00177735"/>
    <w:rsid w:val="0017778A"/>
    <w:rsid w:val="00177799"/>
    <w:rsid w:val="001777AB"/>
    <w:rsid w:val="001777F9"/>
    <w:rsid w:val="0017781B"/>
    <w:rsid w:val="00177868"/>
    <w:rsid w:val="0017789E"/>
    <w:rsid w:val="001778ED"/>
    <w:rsid w:val="0017795E"/>
    <w:rsid w:val="00177A3F"/>
    <w:rsid w:val="00177AC0"/>
    <w:rsid w:val="00177AF2"/>
    <w:rsid w:val="00177B49"/>
    <w:rsid w:val="00177BAC"/>
    <w:rsid w:val="00177BAF"/>
    <w:rsid w:val="00177BDD"/>
    <w:rsid w:val="00177BE5"/>
    <w:rsid w:val="00177C0D"/>
    <w:rsid w:val="00177C10"/>
    <w:rsid w:val="00177C66"/>
    <w:rsid w:val="00177C71"/>
    <w:rsid w:val="00177C92"/>
    <w:rsid w:val="00177CB9"/>
    <w:rsid w:val="00177D1C"/>
    <w:rsid w:val="00177E2F"/>
    <w:rsid w:val="00177EB0"/>
    <w:rsid w:val="00177EBC"/>
    <w:rsid w:val="00177F1C"/>
    <w:rsid w:val="00177FA7"/>
    <w:rsid w:val="001800C3"/>
    <w:rsid w:val="0018013D"/>
    <w:rsid w:val="0018024C"/>
    <w:rsid w:val="001802EE"/>
    <w:rsid w:val="001802F3"/>
    <w:rsid w:val="001803DC"/>
    <w:rsid w:val="0018040C"/>
    <w:rsid w:val="00180537"/>
    <w:rsid w:val="0018063C"/>
    <w:rsid w:val="0018064C"/>
    <w:rsid w:val="00180690"/>
    <w:rsid w:val="001806DF"/>
    <w:rsid w:val="001807E9"/>
    <w:rsid w:val="001807EB"/>
    <w:rsid w:val="001807F1"/>
    <w:rsid w:val="0018080E"/>
    <w:rsid w:val="00180852"/>
    <w:rsid w:val="001808C2"/>
    <w:rsid w:val="001808F0"/>
    <w:rsid w:val="001808F5"/>
    <w:rsid w:val="00180939"/>
    <w:rsid w:val="00180A69"/>
    <w:rsid w:val="00180B55"/>
    <w:rsid w:val="00180C39"/>
    <w:rsid w:val="00180CC2"/>
    <w:rsid w:val="00180D4A"/>
    <w:rsid w:val="00180D83"/>
    <w:rsid w:val="00180DAF"/>
    <w:rsid w:val="00180E32"/>
    <w:rsid w:val="00180E47"/>
    <w:rsid w:val="00180E77"/>
    <w:rsid w:val="00180E8D"/>
    <w:rsid w:val="00180EA6"/>
    <w:rsid w:val="00180ED2"/>
    <w:rsid w:val="00180F57"/>
    <w:rsid w:val="00180FC4"/>
    <w:rsid w:val="00180FCE"/>
    <w:rsid w:val="001810E0"/>
    <w:rsid w:val="0018128D"/>
    <w:rsid w:val="001812CF"/>
    <w:rsid w:val="001812ED"/>
    <w:rsid w:val="00181350"/>
    <w:rsid w:val="00181380"/>
    <w:rsid w:val="00181398"/>
    <w:rsid w:val="001813DF"/>
    <w:rsid w:val="0018140C"/>
    <w:rsid w:val="00181451"/>
    <w:rsid w:val="001814AC"/>
    <w:rsid w:val="001814B1"/>
    <w:rsid w:val="001814F5"/>
    <w:rsid w:val="00181514"/>
    <w:rsid w:val="00181524"/>
    <w:rsid w:val="00181545"/>
    <w:rsid w:val="0018158B"/>
    <w:rsid w:val="001815B5"/>
    <w:rsid w:val="00181615"/>
    <w:rsid w:val="0018163D"/>
    <w:rsid w:val="0018165E"/>
    <w:rsid w:val="001816BD"/>
    <w:rsid w:val="001816E0"/>
    <w:rsid w:val="001816EB"/>
    <w:rsid w:val="001817F7"/>
    <w:rsid w:val="00181812"/>
    <w:rsid w:val="00181849"/>
    <w:rsid w:val="0018185D"/>
    <w:rsid w:val="001819B3"/>
    <w:rsid w:val="00181A2F"/>
    <w:rsid w:val="00181A66"/>
    <w:rsid w:val="00181A8C"/>
    <w:rsid w:val="00181AC6"/>
    <w:rsid w:val="00181AD4"/>
    <w:rsid w:val="00181B35"/>
    <w:rsid w:val="00181B69"/>
    <w:rsid w:val="00181B9E"/>
    <w:rsid w:val="00181BCC"/>
    <w:rsid w:val="00181C92"/>
    <w:rsid w:val="00181D7F"/>
    <w:rsid w:val="00181DBE"/>
    <w:rsid w:val="00181DDD"/>
    <w:rsid w:val="00181E43"/>
    <w:rsid w:val="00181E9B"/>
    <w:rsid w:val="00181EB3"/>
    <w:rsid w:val="00181EE5"/>
    <w:rsid w:val="00181F46"/>
    <w:rsid w:val="00181F54"/>
    <w:rsid w:val="00181FCC"/>
    <w:rsid w:val="00182056"/>
    <w:rsid w:val="0018205B"/>
    <w:rsid w:val="0018206D"/>
    <w:rsid w:val="001820D7"/>
    <w:rsid w:val="001820E5"/>
    <w:rsid w:val="001820EB"/>
    <w:rsid w:val="0018212B"/>
    <w:rsid w:val="00182223"/>
    <w:rsid w:val="00182247"/>
    <w:rsid w:val="001822C6"/>
    <w:rsid w:val="00182307"/>
    <w:rsid w:val="00182383"/>
    <w:rsid w:val="001823BD"/>
    <w:rsid w:val="001823E3"/>
    <w:rsid w:val="001823F3"/>
    <w:rsid w:val="0018242E"/>
    <w:rsid w:val="00182593"/>
    <w:rsid w:val="001825C7"/>
    <w:rsid w:val="001825F0"/>
    <w:rsid w:val="001826FE"/>
    <w:rsid w:val="00182786"/>
    <w:rsid w:val="00182873"/>
    <w:rsid w:val="001828E2"/>
    <w:rsid w:val="00182901"/>
    <w:rsid w:val="0018295A"/>
    <w:rsid w:val="0018297F"/>
    <w:rsid w:val="00182983"/>
    <w:rsid w:val="0018299B"/>
    <w:rsid w:val="00182A18"/>
    <w:rsid w:val="00182A43"/>
    <w:rsid w:val="00182A4B"/>
    <w:rsid w:val="00182A69"/>
    <w:rsid w:val="00182AA8"/>
    <w:rsid w:val="00182ACC"/>
    <w:rsid w:val="00182AFD"/>
    <w:rsid w:val="00182B88"/>
    <w:rsid w:val="00182BED"/>
    <w:rsid w:val="00182C29"/>
    <w:rsid w:val="00182D11"/>
    <w:rsid w:val="00182D44"/>
    <w:rsid w:val="00182D69"/>
    <w:rsid w:val="00182D74"/>
    <w:rsid w:val="00182DBD"/>
    <w:rsid w:val="00182DE5"/>
    <w:rsid w:val="00182DED"/>
    <w:rsid w:val="00182E52"/>
    <w:rsid w:val="00182E7D"/>
    <w:rsid w:val="00182EB7"/>
    <w:rsid w:val="00182ED8"/>
    <w:rsid w:val="00182F25"/>
    <w:rsid w:val="00182F6A"/>
    <w:rsid w:val="00182FA3"/>
    <w:rsid w:val="00182FD2"/>
    <w:rsid w:val="00183038"/>
    <w:rsid w:val="00183049"/>
    <w:rsid w:val="00183066"/>
    <w:rsid w:val="00183126"/>
    <w:rsid w:val="0018312A"/>
    <w:rsid w:val="0018312F"/>
    <w:rsid w:val="00183136"/>
    <w:rsid w:val="0018317D"/>
    <w:rsid w:val="001831C5"/>
    <w:rsid w:val="001831DD"/>
    <w:rsid w:val="001831E8"/>
    <w:rsid w:val="00183236"/>
    <w:rsid w:val="0018327E"/>
    <w:rsid w:val="00183296"/>
    <w:rsid w:val="0018337C"/>
    <w:rsid w:val="00183382"/>
    <w:rsid w:val="001833B8"/>
    <w:rsid w:val="001833C8"/>
    <w:rsid w:val="00183460"/>
    <w:rsid w:val="00183475"/>
    <w:rsid w:val="00183610"/>
    <w:rsid w:val="0018362F"/>
    <w:rsid w:val="00183656"/>
    <w:rsid w:val="001836E9"/>
    <w:rsid w:val="001838A8"/>
    <w:rsid w:val="001838FB"/>
    <w:rsid w:val="00183993"/>
    <w:rsid w:val="001839CA"/>
    <w:rsid w:val="001839CC"/>
    <w:rsid w:val="00183B03"/>
    <w:rsid w:val="00183B21"/>
    <w:rsid w:val="00183B2A"/>
    <w:rsid w:val="00183B2D"/>
    <w:rsid w:val="00183B75"/>
    <w:rsid w:val="00183C37"/>
    <w:rsid w:val="00183C66"/>
    <w:rsid w:val="00183C8B"/>
    <w:rsid w:val="00183CBD"/>
    <w:rsid w:val="00183D24"/>
    <w:rsid w:val="00183D25"/>
    <w:rsid w:val="00183D43"/>
    <w:rsid w:val="00183D54"/>
    <w:rsid w:val="00183DC5"/>
    <w:rsid w:val="00183E3A"/>
    <w:rsid w:val="00183E8D"/>
    <w:rsid w:val="00184004"/>
    <w:rsid w:val="001840FE"/>
    <w:rsid w:val="0018419D"/>
    <w:rsid w:val="001841B6"/>
    <w:rsid w:val="001841BE"/>
    <w:rsid w:val="00184211"/>
    <w:rsid w:val="001842D5"/>
    <w:rsid w:val="00184319"/>
    <w:rsid w:val="00184372"/>
    <w:rsid w:val="00184455"/>
    <w:rsid w:val="001844C2"/>
    <w:rsid w:val="001844EE"/>
    <w:rsid w:val="0018456A"/>
    <w:rsid w:val="001845C9"/>
    <w:rsid w:val="001845CD"/>
    <w:rsid w:val="00184619"/>
    <w:rsid w:val="0018463D"/>
    <w:rsid w:val="0018466B"/>
    <w:rsid w:val="001846B1"/>
    <w:rsid w:val="001846FF"/>
    <w:rsid w:val="0018479E"/>
    <w:rsid w:val="001847A1"/>
    <w:rsid w:val="00184803"/>
    <w:rsid w:val="00184805"/>
    <w:rsid w:val="0018488E"/>
    <w:rsid w:val="0018490E"/>
    <w:rsid w:val="0018493F"/>
    <w:rsid w:val="0018496D"/>
    <w:rsid w:val="001849EA"/>
    <w:rsid w:val="00184A1A"/>
    <w:rsid w:val="00184A84"/>
    <w:rsid w:val="00184AA7"/>
    <w:rsid w:val="00184B8D"/>
    <w:rsid w:val="00184CA6"/>
    <w:rsid w:val="00184CC4"/>
    <w:rsid w:val="00184CCC"/>
    <w:rsid w:val="00184D3E"/>
    <w:rsid w:val="00184D52"/>
    <w:rsid w:val="00184D61"/>
    <w:rsid w:val="00184D86"/>
    <w:rsid w:val="00184DC3"/>
    <w:rsid w:val="00184E25"/>
    <w:rsid w:val="00184E28"/>
    <w:rsid w:val="00184EC8"/>
    <w:rsid w:val="00184EE2"/>
    <w:rsid w:val="00184F5D"/>
    <w:rsid w:val="00184F8B"/>
    <w:rsid w:val="0018508F"/>
    <w:rsid w:val="001851C4"/>
    <w:rsid w:val="0018524B"/>
    <w:rsid w:val="0018524E"/>
    <w:rsid w:val="001852F8"/>
    <w:rsid w:val="00185338"/>
    <w:rsid w:val="001853CF"/>
    <w:rsid w:val="001853EB"/>
    <w:rsid w:val="00185420"/>
    <w:rsid w:val="0018543C"/>
    <w:rsid w:val="00185462"/>
    <w:rsid w:val="0018550B"/>
    <w:rsid w:val="001855C5"/>
    <w:rsid w:val="001855D0"/>
    <w:rsid w:val="0018562B"/>
    <w:rsid w:val="001856C2"/>
    <w:rsid w:val="001856CF"/>
    <w:rsid w:val="0018576A"/>
    <w:rsid w:val="001857AE"/>
    <w:rsid w:val="001857F5"/>
    <w:rsid w:val="0018583B"/>
    <w:rsid w:val="00185915"/>
    <w:rsid w:val="001859B3"/>
    <w:rsid w:val="00185A2A"/>
    <w:rsid w:val="00185AA3"/>
    <w:rsid w:val="00185B85"/>
    <w:rsid w:val="00185B88"/>
    <w:rsid w:val="00185BD0"/>
    <w:rsid w:val="00185C23"/>
    <w:rsid w:val="00185C45"/>
    <w:rsid w:val="00185CE0"/>
    <w:rsid w:val="00185CFB"/>
    <w:rsid w:val="00185CFC"/>
    <w:rsid w:val="00185D15"/>
    <w:rsid w:val="00185D38"/>
    <w:rsid w:val="00185D3C"/>
    <w:rsid w:val="00185D91"/>
    <w:rsid w:val="00185E79"/>
    <w:rsid w:val="00185F5F"/>
    <w:rsid w:val="00185F75"/>
    <w:rsid w:val="00185FF7"/>
    <w:rsid w:val="00186170"/>
    <w:rsid w:val="001861DF"/>
    <w:rsid w:val="001861EB"/>
    <w:rsid w:val="001861F3"/>
    <w:rsid w:val="00186218"/>
    <w:rsid w:val="001862E6"/>
    <w:rsid w:val="0018630B"/>
    <w:rsid w:val="0018635F"/>
    <w:rsid w:val="00186372"/>
    <w:rsid w:val="00186375"/>
    <w:rsid w:val="0018637B"/>
    <w:rsid w:val="0018638E"/>
    <w:rsid w:val="00186400"/>
    <w:rsid w:val="00186476"/>
    <w:rsid w:val="0018651D"/>
    <w:rsid w:val="001865FC"/>
    <w:rsid w:val="00186659"/>
    <w:rsid w:val="00186679"/>
    <w:rsid w:val="001866A5"/>
    <w:rsid w:val="001866DB"/>
    <w:rsid w:val="00186723"/>
    <w:rsid w:val="001867AC"/>
    <w:rsid w:val="001867B8"/>
    <w:rsid w:val="00186804"/>
    <w:rsid w:val="00186858"/>
    <w:rsid w:val="001868B7"/>
    <w:rsid w:val="00186985"/>
    <w:rsid w:val="0018698B"/>
    <w:rsid w:val="001869EE"/>
    <w:rsid w:val="00186A81"/>
    <w:rsid w:val="00186B58"/>
    <w:rsid w:val="00186BDF"/>
    <w:rsid w:val="00186C84"/>
    <w:rsid w:val="00186CC7"/>
    <w:rsid w:val="00186D36"/>
    <w:rsid w:val="00186D4C"/>
    <w:rsid w:val="00186D53"/>
    <w:rsid w:val="00186E62"/>
    <w:rsid w:val="00186EEA"/>
    <w:rsid w:val="00186F16"/>
    <w:rsid w:val="00186F2C"/>
    <w:rsid w:val="00186FAE"/>
    <w:rsid w:val="00186FB4"/>
    <w:rsid w:val="00187101"/>
    <w:rsid w:val="00187109"/>
    <w:rsid w:val="0018714A"/>
    <w:rsid w:val="00187172"/>
    <w:rsid w:val="001871B1"/>
    <w:rsid w:val="0018724D"/>
    <w:rsid w:val="001872E0"/>
    <w:rsid w:val="001872FD"/>
    <w:rsid w:val="00187378"/>
    <w:rsid w:val="0018737F"/>
    <w:rsid w:val="00187427"/>
    <w:rsid w:val="001875F3"/>
    <w:rsid w:val="00187648"/>
    <w:rsid w:val="00187665"/>
    <w:rsid w:val="001876F7"/>
    <w:rsid w:val="001876FE"/>
    <w:rsid w:val="00187794"/>
    <w:rsid w:val="001877A9"/>
    <w:rsid w:val="001877C1"/>
    <w:rsid w:val="00187806"/>
    <w:rsid w:val="0018780D"/>
    <w:rsid w:val="00187847"/>
    <w:rsid w:val="0018799F"/>
    <w:rsid w:val="001879B4"/>
    <w:rsid w:val="001879EE"/>
    <w:rsid w:val="00187A49"/>
    <w:rsid w:val="00187A7C"/>
    <w:rsid w:val="00187A9D"/>
    <w:rsid w:val="00187AFF"/>
    <w:rsid w:val="00187B67"/>
    <w:rsid w:val="00187BC6"/>
    <w:rsid w:val="00187C73"/>
    <w:rsid w:val="00187CBE"/>
    <w:rsid w:val="00187D14"/>
    <w:rsid w:val="00187D38"/>
    <w:rsid w:val="00187D4E"/>
    <w:rsid w:val="00187D63"/>
    <w:rsid w:val="00187E79"/>
    <w:rsid w:val="00187EDE"/>
    <w:rsid w:val="00187FB6"/>
    <w:rsid w:val="00187FC9"/>
    <w:rsid w:val="00190008"/>
    <w:rsid w:val="00190022"/>
    <w:rsid w:val="001900B5"/>
    <w:rsid w:val="00190171"/>
    <w:rsid w:val="0019025B"/>
    <w:rsid w:val="001903AE"/>
    <w:rsid w:val="00190423"/>
    <w:rsid w:val="001904EE"/>
    <w:rsid w:val="0019050B"/>
    <w:rsid w:val="0019052D"/>
    <w:rsid w:val="001905F8"/>
    <w:rsid w:val="00190605"/>
    <w:rsid w:val="0019067D"/>
    <w:rsid w:val="001906C2"/>
    <w:rsid w:val="0019074C"/>
    <w:rsid w:val="00190760"/>
    <w:rsid w:val="001907F9"/>
    <w:rsid w:val="0019086E"/>
    <w:rsid w:val="0019089E"/>
    <w:rsid w:val="001908FB"/>
    <w:rsid w:val="00190921"/>
    <w:rsid w:val="00190AAE"/>
    <w:rsid w:val="00190AD7"/>
    <w:rsid w:val="00190B0B"/>
    <w:rsid w:val="00190B3D"/>
    <w:rsid w:val="00190B9D"/>
    <w:rsid w:val="00190BAB"/>
    <w:rsid w:val="00190C04"/>
    <w:rsid w:val="00190CA2"/>
    <w:rsid w:val="00190DB5"/>
    <w:rsid w:val="00190F16"/>
    <w:rsid w:val="00190F32"/>
    <w:rsid w:val="00190F3B"/>
    <w:rsid w:val="00190F48"/>
    <w:rsid w:val="00190FB5"/>
    <w:rsid w:val="00190FD1"/>
    <w:rsid w:val="00191007"/>
    <w:rsid w:val="00191020"/>
    <w:rsid w:val="00191150"/>
    <w:rsid w:val="001911F5"/>
    <w:rsid w:val="001911FC"/>
    <w:rsid w:val="0019121F"/>
    <w:rsid w:val="00191290"/>
    <w:rsid w:val="001912C5"/>
    <w:rsid w:val="001912CB"/>
    <w:rsid w:val="00191344"/>
    <w:rsid w:val="0019137E"/>
    <w:rsid w:val="001913A2"/>
    <w:rsid w:val="0019143D"/>
    <w:rsid w:val="00191447"/>
    <w:rsid w:val="0019147C"/>
    <w:rsid w:val="0019157E"/>
    <w:rsid w:val="001915A1"/>
    <w:rsid w:val="001915AB"/>
    <w:rsid w:val="001915CB"/>
    <w:rsid w:val="00191625"/>
    <w:rsid w:val="00191634"/>
    <w:rsid w:val="001916A1"/>
    <w:rsid w:val="001916DB"/>
    <w:rsid w:val="00191743"/>
    <w:rsid w:val="0019177D"/>
    <w:rsid w:val="00191781"/>
    <w:rsid w:val="0019181A"/>
    <w:rsid w:val="0019182B"/>
    <w:rsid w:val="00191834"/>
    <w:rsid w:val="00191883"/>
    <w:rsid w:val="001918FC"/>
    <w:rsid w:val="001919C4"/>
    <w:rsid w:val="001919D5"/>
    <w:rsid w:val="001919ED"/>
    <w:rsid w:val="00191A20"/>
    <w:rsid w:val="00191AFC"/>
    <w:rsid w:val="00191B27"/>
    <w:rsid w:val="00191B33"/>
    <w:rsid w:val="00191B5A"/>
    <w:rsid w:val="00191BBB"/>
    <w:rsid w:val="00191BCA"/>
    <w:rsid w:val="00191C43"/>
    <w:rsid w:val="00191C75"/>
    <w:rsid w:val="00191CE4"/>
    <w:rsid w:val="00191CE9"/>
    <w:rsid w:val="00191D81"/>
    <w:rsid w:val="00191E17"/>
    <w:rsid w:val="00191E41"/>
    <w:rsid w:val="00191E42"/>
    <w:rsid w:val="00191E4F"/>
    <w:rsid w:val="00191EA7"/>
    <w:rsid w:val="00191EC1"/>
    <w:rsid w:val="00191ED1"/>
    <w:rsid w:val="00191EF0"/>
    <w:rsid w:val="00191F05"/>
    <w:rsid w:val="00191F63"/>
    <w:rsid w:val="00191FC7"/>
    <w:rsid w:val="00192057"/>
    <w:rsid w:val="001920FB"/>
    <w:rsid w:val="00192126"/>
    <w:rsid w:val="0019212B"/>
    <w:rsid w:val="0019212F"/>
    <w:rsid w:val="0019216F"/>
    <w:rsid w:val="001921BA"/>
    <w:rsid w:val="00192259"/>
    <w:rsid w:val="00192266"/>
    <w:rsid w:val="0019226F"/>
    <w:rsid w:val="001922A9"/>
    <w:rsid w:val="001922DA"/>
    <w:rsid w:val="0019236A"/>
    <w:rsid w:val="001923EE"/>
    <w:rsid w:val="0019246E"/>
    <w:rsid w:val="00192480"/>
    <w:rsid w:val="0019262D"/>
    <w:rsid w:val="00192726"/>
    <w:rsid w:val="00192756"/>
    <w:rsid w:val="00192788"/>
    <w:rsid w:val="00192791"/>
    <w:rsid w:val="00192808"/>
    <w:rsid w:val="0019286A"/>
    <w:rsid w:val="001928A1"/>
    <w:rsid w:val="00192995"/>
    <w:rsid w:val="00192A07"/>
    <w:rsid w:val="00192A09"/>
    <w:rsid w:val="00192A19"/>
    <w:rsid w:val="00192AAE"/>
    <w:rsid w:val="00192AC7"/>
    <w:rsid w:val="00192BC3"/>
    <w:rsid w:val="00192BD3"/>
    <w:rsid w:val="00192BD7"/>
    <w:rsid w:val="00192C3C"/>
    <w:rsid w:val="00192C86"/>
    <w:rsid w:val="00192CA6"/>
    <w:rsid w:val="00192CA9"/>
    <w:rsid w:val="00192D90"/>
    <w:rsid w:val="00192E42"/>
    <w:rsid w:val="00192ECE"/>
    <w:rsid w:val="00192F6F"/>
    <w:rsid w:val="00192F77"/>
    <w:rsid w:val="00192FD4"/>
    <w:rsid w:val="00192FF7"/>
    <w:rsid w:val="00193029"/>
    <w:rsid w:val="00193033"/>
    <w:rsid w:val="001930AD"/>
    <w:rsid w:val="001931E0"/>
    <w:rsid w:val="00193226"/>
    <w:rsid w:val="0019323A"/>
    <w:rsid w:val="00193261"/>
    <w:rsid w:val="0019328E"/>
    <w:rsid w:val="00193443"/>
    <w:rsid w:val="0019345A"/>
    <w:rsid w:val="001934DD"/>
    <w:rsid w:val="001934EB"/>
    <w:rsid w:val="00193515"/>
    <w:rsid w:val="00193516"/>
    <w:rsid w:val="00193523"/>
    <w:rsid w:val="00193577"/>
    <w:rsid w:val="001935DF"/>
    <w:rsid w:val="001935E3"/>
    <w:rsid w:val="001935FE"/>
    <w:rsid w:val="00193625"/>
    <w:rsid w:val="001936C1"/>
    <w:rsid w:val="001936E4"/>
    <w:rsid w:val="001936F1"/>
    <w:rsid w:val="001937C6"/>
    <w:rsid w:val="0019383A"/>
    <w:rsid w:val="001938ED"/>
    <w:rsid w:val="001938F2"/>
    <w:rsid w:val="0019395F"/>
    <w:rsid w:val="001939E5"/>
    <w:rsid w:val="00193A04"/>
    <w:rsid w:val="00193A6A"/>
    <w:rsid w:val="00193A9E"/>
    <w:rsid w:val="00193AFA"/>
    <w:rsid w:val="00193B2C"/>
    <w:rsid w:val="00193B54"/>
    <w:rsid w:val="00193B66"/>
    <w:rsid w:val="00193CCF"/>
    <w:rsid w:val="00193D66"/>
    <w:rsid w:val="00193E80"/>
    <w:rsid w:val="00193EF9"/>
    <w:rsid w:val="00193F31"/>
    <w:rsid w:val="00193FA8"/>
    <w:rsid w:val="00193FC6"/>
    <w:rsid w:val="00193FE3"/>
    <w:rsid w:val="001940D2"/>
    <w:rsid w:val="001940F4"/>
    <w:rsid w:val="0019412F"/>
    <w:rsid w:val="001941D1"/>
    <w:rsid w:val="00194229"/>
    <w:rsid w:val="001942D5"/>
    <w:rsid w:val="001942DD"/>
    <w:rsid w:val="001945FC"/>
    <w:rsid w:val="0019468B"/>
    <w:rsid w:val="001947CD"/>
    <w:rsid w:val="001947D5"/>
    <w:rsid w:val="001948AC"/>
    <w:rsid w:val="001948C5"/>
    <w:rsid w:val="001948D2"/>
    <w:rsid w:val="001948F9"/>
    <w:rsid w:val="00194917"/>
    <w:rsid w:val="00194921"/>
    <w:rsid w:val="0019492E"/>
    <w:rsid w:val="0019497C"/>
    <w:rsid w:val="00194A04"/>
    <w:rsid w:val="00194A14"/>
    <w:rsid w:val="00194A1D"/>
    <w:rsid w:val="00194A2B"/>
    <w:rsid w:val="00194AE6"/>
    <w:rsid w:val="00194AF9"/>
    <w:rsid w:val="00194B3D"/>
    <w:rsid w:val="00194C6A"/>
    <w:rsid w:val="00194CFD"/>
    <w:rsid w:val="00194D0C"/>
    <w:rsid w:val="00194D0D"/>
    <w:rsid w:val="00194D15"/>
    <w:rsid w:val="00194D1A"/>
    <w:rsid w:val="00194D37"/>
    <w:rsid w:val="00194D40"/>
    <w:rsid w:val="00194D52"/>
    <w:rsid w:val="00194DCC"/>
    <w:rsid w:val="00194E48"/>
    <w:rsid w:val="00194E5B"/>
    <w:rsid w:val="00194EFF"/>
    <w:rsid w:val="0019507B"/>
    <w:rsid w:val="0019507C"/>
    <w:rsid w:val="0019507E"/>
    <w:rsid w:val="001950F5"/>
    <w:rsid w:val="00195197"/>
    <w:rsid w:val="0019521A"/>
    <w:rsid w:val="00195221"/>
    <w:rsid w:val="0019522C"/>
    <w:rsid w:val="00195254"/>
    <w:rsid w:val="001952BB"/>
    <w:rsid w:val="00195320"/>
    <w:rsid w:val="00195346"/>
    <w:rsid w:val="00195361"/>
    <w:rsid w:val="00195426"/>
    <w:rsid w:val="001955B9"/>
    <w:rsid w:val="0019570E"/>
    <w:rsid w:val="0019572E"/>
    <w:rsid w:val="0019573F"/>
    <w:rsid w:val="0019574D"/>
    <w:rsid w:val="00195876"/>
    <w:rsid w:val="001958BC"/>
    <w:rsid w:val="001959D3"/>
    <w:rsid w:val="001959FF"/>
    <w:rsid w:val="00195A2F"/>
    <w:rsid w:val="00195AE0"/>
    <w:rsid w:val="00195AFC"/>
    <w:rsid w:val="00195B1C"/>
    <w:rsid w:val="00195B57"/>
    <w:rsid w:val="00195B8E"/>
    <w:rsid w:val="00195BBB"/>
    <w:rsid w:val="00195C28"/>
    <w:rsid w:val="00195D04"/>
    <w:rsid w:val="00195E28"/>
    <w:rsid w:val="00195F19"/>
    <w:rsid w:val="00195F8C"/>
    <w:rsid w:val="00195FCF"/>
    <w:rsid w:val="00195FDD"/>
    <w:rsid w:val="00195FEB"/>
    <w:rsid w:val="0019602B"/>
    <w:rsid w:val="00196065"/>
    <w:rsid w:val="001960FA"/>
    <w:rsid w:val="00196151"/>
    <w:rsid w:val="0019618F"/>
    <w:rsid w:val="00196190"/>
    <w:rsid w:val="001961DB"/>
    <w:rsid w:val="001961EE"/>
    <w:rsid w:val="001961F4"/>
    <w:rsid w:val="00196254"/>
    <w:rsid w:val="001962DD"/>
    <w:rsid w:val="001962F5"/>
    <w:rsid w:val="001963DF"/>
    <w:rsid w:val="00196413"/>
    <w:rsid w:val="0019643A"/>
    <w:rsid w:val="001964C1"/>
    <w:rsid w:val="00196521"/>
    <w:rsid w:val="0019652E"/>
    <w:rsid w:val="00196538"/>
    <w:rsid w:val="00196539"/>
    <w:rsid w:val="00196569"/>
    <w:rsid w:val="00196625"/>
    <w:rsid w:val="00196665"/>
    <w:rsid w:val="0019673B"/>
    <w:rsid w:val="00196833"/>
    <w:rsid w:val="00196854"/>
    <w:rsid w:val="001968D6"/>
    <w:rsid w:val="00196933"/>
    <w:rsid w:val="0019699B"/>
    <w:rsid w:val="0019699E"/>
    <w:rsid w:val="001969B9"/>
    <w:rsid w:val="001969F0"/>
    <w:rsid w:val="00196A93"/>
    <w:rsid w:val="00196BA6"/>
    <w:rsid w:val="00196BCF"/>
    <w:rsid w:val="00196C26"/>
    <w:rsid w:val="00196C36"/>
    <w:rsid w:val="00196D67"/>
    <w:rsid w:val="00196D6C"/>
    <w:rsid w:val="00196DFD"/>
    <w:rsid w:val="00196E00"/>
    <w:rsid w:val="00196E46"/>
    <w:rsid w:val="00196F12"/>
    <w:rsid w:val="00196F42"/>
    <w:rsid w:val="00196F78"/>
    <w:rsid w:val="00196F93"/>
    <w:rsid w:val="00197082"/>
    <w:rsid w:val="0019709B"/>
    <w:rsid w:val="00197104"/>
    <w:rsid w:val="00197198"/>
    <w:rsid w:val="001971FD"/>
    <w:rsid w:val="00197214"/>
    <w:rsid w:val="0019721F"/>
    <w:rsid w:val="00197266"/>
    <w:rsid w:val="00197344"/>
    <w:rsid w:val="001973E8"/>
    <w:rsid w:val="00197480"/>
    <w:rsid w:val="0019748B"/>
    <w:rsid w:val="001975F2"/>
    <w:rsid w:val="00197685"/>
    <w:rsid w:val="001976BD"/>
    <w:rsid w:val="001976C5"/>
    <w:rsid w:val="001976FF"/>
    <w:rsid w:val="0019774A"/>
    <w:rsid w:val="00197753"/>
    <w:rsid w:val="00197758"/>
    <w:rsid w:val="001977B5"/>
    <w:rsid w:val="00197838"/>
    <w:rsid w:val="001978B6"/>
    <w:rsid w:val="00197912"/>
    <w:rsid w:val="00197979"/>
    <w:rsid w:val="00197A92"/>
    <w:rsid w:val="00197B18"/>
    <w:rsid w:val="00197B51"/>
    <w:rsid w:val="00197B65"/>
    <w:rsid w:val="00197BA6"/>
    <w:rsid w:val="00197BD5"/>
    <w:rsid w:val="00197BF1"/>
    <w:rsid w:val="00197C0F"/>
    <w:rsid w:val="00197C58"/>
    <w:rsid w:val="00197DA4"/>
    <w:rsid w:val="00197DED"/>
    <w:rsid w:val="00197DFE"/>
    <w:rsid w:val="00197E6C"/>
    <w:rsid w:val="00197F0F"/>
    <w:rsid w:val="001A000B"/>
    <w:rsid w:val="001A0072"/>
    <w:rsid w:val="001A00D1"/>
    <w:rsid w:val="001A00EC"/>
    <w:rsid w:val="001A015C"/>
    <w:rsid w:val="001A0167"/>
    <w:rsid w:val="001A01C6"/>
    <w:rsid w:val="001A021D"/>
    <w:rsid w:val="001A02AE"/>
    <w:rsid w:val="001A02CF"/>
    <w:rsid w:val="001A0312"/>
    <w:rsid w:val="001A033C"/>
    <w:rsid w:val="001A036A"/>
    <w:rsid w:val="001A0389"/>
    <w:rsid w:val="001A03FC"/>
    <w:rsid w:val="001A0551"/>
    <w:rsid w:val="001A06D7"/>
    <w:rsid w:val="001A0744"/>
    <w:rsid w:val="001A0754"/>
    <w:rsid w:val="001A0797"/>
    <w:rsid w:val="001A07A9"/>
    <w:rsid w:val="001A07DF"/>
    <w:rsid w:val="001A08BE"/>
    <w:rsid w:val="001A0922"/>
    <w:rsid w:val="001A098B"/>
    <w:rsid w:val="001A09DF"/>
    <w:rsid w:val="001A0A33"/>
    <w:rsid w:val="001A0AC4"/>
    <w:rsid w:val="001A0AE2"/>
    <w:rsid w:val="001A0AF6"/>
    <w:rsid w:val="001A0CBC"/>
    <w:rsid w:val="001A0CCE"/>
    <w:rsid w:val="001A0CF6"/>
    <w:rsid w:val="001A0CFE"/>
    <w:rsid w:val="001A0D12"/>
    <w:rsid w:val="001A0E8D"/>
    <w:rsid w:val="001A0EA2"/>
    <w:rsid w:val="001A0FDA"/>
    <w:rsid w:val="001A0FFF"/>
    <w:rsid w:val="001A106D"/>
    <w:rsid w:val="001A107D"/>
    <w:rsid w:val="001A1093"/>
    <w:rsid w:val="001A10A5"/>
    <w:rsid w:val="001A10A6"/>
    <w:rsid w:val="001A10C4"/>
    <w:rsid w:val="001A1149"/>
    <w:rsid w:val="001A1170"/>
    <w:rsid w:val="001A120E"/>
    <w:rsid w:val="001A1285"/>
    <w:rsid w:val="001A1288"/>
    <w:rsid w:val="001A1298"/>
    <w:rsid w:val="001A13CF"/>
    <w:rsid w:val="001A145F"/>
    <w:rsid w:val="001A1481"/>
    <w:rsid w:val="001A14B3"/>
    <w:rsid w:val="001A1559"/>
    <w:rsid w:val="001A15C6"/>
    <w:rsid w:val="001A165E"/>
    <w:rsid w:val="001A177C"/>
    <w:rsid w:val="001A17A8"/>
    <w:rsid w:val="001A17B5"/>
    <w:rsid w:val="001A17CB"/>
    <w:rsid w:val="001A186D"/>
    <w:rsid w:val="001A18B9"/>
    <w:rsid w:val="001A18C6"/>
    <w:rsid w:val="001A18E0"/>
    <w:rsid w:val="001A1924"/>
    <w:rsid w:val="001A1979"/>
    <w:rsid w:val="001A199D"/>
    <w:rsid w:val="001A1AE2"/>
    <w:rsid w:val="001A1B79"/>
    <w:rsid w:val="001A1B97"/>
    <w:rsid w:val="001A1BA9"/>
    <w:rsid w:val="001A1BEC"/>
    <w:rsid w:val="001A1C70"/>
    <w:rsid w:val="001A1CBD"/>
    <w:rsid w:val="001A1CD0"/>
    <w:rsid w:val="001A1D4B"/>
    <w:rsid w:val="001A1E15"/>
    <w:rsid w:val="001A1E2D"/>
    <w:rsid w:val="001A1EE3"/>
    <w:rsid w:val="001A1F65"/>
    <w:rsid w:val="001A1F88"/>
    <w:rsid w:val="001A1F9E"/>
    <w:rsid w:val="001A1FC9"/>
    <w:rsid w:val="001A2016"/>
    <w:rsid w:val="001A2056"/>
    <w:rsid w:val="001A20F1"/>
    <w:rsid w:val="001A213B"/>
    <w:rsid w:val="001A2193"/>
    <w:rsid w:val="001A2194"/>
    <w:rsid w:val="001A2206"/>
    <w:rsid w:val="001A2233"/>
    <w:rsid w:val="001A22A6"/>
    <w:rsid w:val="001A2308"/>
    <w:rsid w:val="001A23C5"/>
    <w:rsid w:val="001A23E6"/>
    <w:rsid w:val="001A2457"/>
    <w:rsid w:val="001A2463"/>
    <w:rsid w:val="001A2476"/>
    <w:rsid w:val="001A2542"/>
    <w:rsid w:val="001A257D"/>
    <w:rsid w:val="001A25C5"/>
    <w:rsid w:val="001A25D5"/>
    <w:rsid w:val="001A2625"/>
    <w:rsid w:val="001A265E"/>
    <w:rsid w:val="001A267B"/>
    <w:rsid w:val="001A2714"/>
    <w:rsid w:val="001A272D"/>
    <w:rsid w:val="001A2786"/>
    <w:rsid w:val="001A2823"/>
    <w:rsid w:val="001A286D"/>
    <w:rsid w:val="001A288A"/>
    <w:rsid w:val="001A28BC"/>
    <w:rsid w:val="001A2905"/>
    <w:rsid w:val="001A2970"/>
    <w:rsid w:val="001A2A86"/>
    <w:rsid w:val="001A2B19"/>
    <w:rsid w:val="001A2BB1"/>
    <w:rsid w:val="001A2C4F"/>
    <w:rsid w:val="001A2D13"/>
    <w:rsid w:val="001A2D1F"/>
    <w:rsid w:val="001A2D54"/>
    <w:rsid w:val="001A2D6D"/>
    <w:rsid w:val="001A2DA7"/>
    <w:rsid w:val="001A2DFC"/>
    <w:rsid w:val="001A2E5F"/>
    <w:rsid w:val="001A2ED1"/>
    <w:rsid w:val="001A2EE1"/>
    <w:rsid w:val="001A2F19"/>
    <w:rsid w:val="001A2F25"/>
    <w:rsid w:val="001A2F9D"/>
    <w:rsid w:val="001A313D"/>
    <w:rsid w:val="001A3142"/>
    <w:rsid w:val="001A31F2"/>
    <w:rsid w:val="001A32C8"/>
    <w:rsid w:val="001A32E9"/>
    <w:rsid w:val="001A32EE"/>
    <w:rsid w:val="001A333A"/>
    <w:rsid w:val="001A3346"/>
    <w:rsid w:val="001A3379"/>
    <w:rsid w:val="001A3463"/>
    <w:rsid w:val="001A349B"/>
    <w:rsid w:val="001A34D2"/>
    <w:rsid w:val="001A34EC"/>
    <w:rsid w:val="001A352F"/>
    <w:rsid w:val="001A3580"/>
    <w:rsid w:val="001A3610"/>
    <w:rsid w:val="001A3621"/>
    <w:rsid w:val="001A3668"/>
    <w:rsid w:val="001A386C"/>
    <w:rsid w:val="001A3881"/>
    <w:rsid w:val="001A38E8"/>
    <w:rsid w:val="001A3926"/>
    <w:rsid w:val="001A3965"/>
    <w:rsid w:val="001A39DB"/>
    <w:rsid w:val="001A39F0"/>
    <w:rsid w:val="001A3AAD"/>
    <w:rsid w:val="001A3B40"/>
    <w:rsid w:val="001A3B4E"/>
    <w:rsid w:val="001A3B96"/>
    <w:rsid w:val="001A3C11"/>
    <w:rsid w:val="001A3C2A"/>
    <w:rsid w:val="001A3C63"/>
    <w:rsid w:val="001A3CDD"/>
    <w:rsid w:val="001A3D06"/>
    <w:rsid w:val="001A3D2E"/>
    <w:rsid w:val="001A3DAA"/>
    <w:rsid w:val="001A3EC8"/>
    <w:rsid w:val="001A3F3B"/>
    <w:rsid w:val="001A3F6B"/>
    <w:rsid w:val="001A3F87"/>
    <w:rsid w:val="001A3FAA"/>
    <w:rsid w:val="001A405D"/>
    <w:rsid w:val="001A40CA"/>
    <w:rsid w:val="001A429E"/>
    <w:rsid w:val="001A42CC"/>
    <w:rsid w:val="001A434D"/>
    <w:rsid w:val="001A437D"/>
    <w:rsid w:val="001A43AD"/>
    <w:rsid w:val="001A43F4"/>
    <w:rsid w:val="001A4419"/>
    <w:rsid w:val="001A44F2"/>
    <w:rsid w:val="001A4519"/>
    <w:rsid w:val="001A45B0"/>
    <w:rsid w:val="001A4635"/>
    <w:rsid w:val="001A46A5"/>
    <w:rsid w:val="001A46D9"/>
    <w:rsid w:val="001A46EC"/>
    <w:rsid w:val="001A4745"/>
    <w:rsid w:val="001A47CF"/>
    <w:rsid w:val="001A4850"/>
    <w:rsid w:val="001A486D"/>
    <w:rsid w:val="001A4894"/>
    <w:rsid w:val="001A48A4"/>
    <w:rsid w:val="001A48CE"/>
    <w:rsid w:val="001A4957"/>
    <w:rsid w:val="001A496A"/>
    <w:rsid w:val="001A4A0E"/>
    <w:rsid w:val="001A4B0F"/>
    <w:rsid w:val="001A4B43"/>
    <w:rsid w:val="001A4B74"/>
    <w:rsid w:val="001A4BE3"/>
    <w:rsid w:val="001A4BF3"/>
    <w:rsid w:val="001A4CD1"/>
    <w:rsid w:val="001A4D31"/>
    <w:rsid w:val="001A4D86"/>
    <w:rsid w:val="001A4E3F"/>
    <w:rsid w:val="001A4EE2"/>
    <w:rsid w:val="001A4EE3"/>
    <w:rsid w:val="001A4EE9"/>
    <w:rsid w:val="001A4F85"/>
    <w:rsid w:val="001A5054"/>
    <w:rsid w:val="001A50F8"/>
    <w:rsid w:val="001A5135"/>
    <w:rsid w:val="001A5141"/>
    <w:rsid w:val="001A51CE"/>
    <w:rsid w:val="001A51F4"/>
    <w:rsid w:val="001A522A"/>
    <w:rsid w:val="001A529D"/>
    <w:rsid w:val="001A52A4"/>
    <w:rsid w:val="001A52C1"/>
    <w:rsid w:val="001A5348"/>
    <w:rsid w:val="001A537D"/>
    <w:rsid w:val="001A5480"/>
    <w:rsid w:val="001A54AE"/>
    <w:rsid w:val="001A54B2"/>
    <w:rsid w:val="001A54F3"/>
    <w:rsid w:val="001A550C"/>
    <w:rsid w:val="001A5544"/>
    <w:rsid w:val="001A5552"/>
    <w:rsid w:val="001A55AB"/>
    <w:rsid w:val="001A572B"/>
    <w:rsid w:val="001A57F5"/>
    <w:rsid w:val="001A580C"/>
    <w:rsid w:val="001A582F"/>
    <w:rsid w:val="001A5879"/>
    <w:rsid w:val="001A58B0"/>
    <w:rsid w:val="001A58FF"/>
    <w:rsid w:val="001A5903"/>
    <w:rsid w:val="001A597A"/>
    <w:rsid w:val="001A59C5"/>
    <w:rsid w:val="001A5A1C"/>
    <w:rsid w:val="001A5B3A"/>
    <w:rsid w:val="001A5BA7"/>
    <w:rsid w:val="001A5C51"/>
    <w:rsid w:val="001A5CF3"/>
    <w:rsid w:val="001A5D2C"/>
    <w:rsid w:val="001A5D4F"/>
    <w:rsid w:val="001A5D66"/>
    <w:rsid w:val="001A5DBB"/>
    <w:rsid w:val="001A5E3A"/>
    <w:rsid w:val="001A5E4E"/>
    <w:rsid w:val="001A5E5F"/>
    <w:rsid w:val="001A5EF6"/>
    <w:rsid w:val="001A5F12"/>
    <w:rsid w:val="001A5FCF"/>
    <w:rsid w:val="001A5FE4"/>
    <w:rsid w:val="001A5FF5"/>
    <w:rsid w:val="001A5FF6"/>
    <w:rsid w:val="001A5FFC"/>
    <w:rsid w:val="001A603F"/>
    <w:rsid w:val="001A6088"/>
    <w:rsid w:val="001A6123"/>
    <w:rsid w:val="001A619F"/>
    <w:rsid w:val="001A6200"/>
    <w:rsid w:val="001A621B"/>
    <w:rsid w:val="001A6299"/>
    <w:rsid w:val="001A62BA"/>
    <w:rsid w:val="001A62DF"/>
    <w:rsid w:val="001A635D"/>
    <w:rsid w:val="001A63D4"/>
    <w:rsid w:val="001A643A"/>
    <w:rsid w:val="001A64F6"/>
    <w:rsid w:val="001A64FD"/>
    <w:rsid w:val="001A65DD"/>
    <w:rsid w:val="001A65E1"/>
    <w:rsid w:val="001A65F1"/>
    <w:rsid w:val="001A6607"/>
    <w:rsid w:val="001A66E6"/>
    <w:rsid w:val="001A672F"/>
    <w:rsid w:val="001A674C"/>
    <w:rsid w:val="001A677B"/>
    <w:rsid w:val="001A67A2"/>
    <w:rsid w:val="001A67FE"/>
    <w:rsid w:val="001A680D"/>
    <w:rsid w:val="001A6854"/>
    <w:rsid w:val="001A6946"/>
    <w:rsid w:val="001A6990"/>
    <w:rsid w:val="001A699B"/>
    <w:rsid w:val="001A6A0D"/>
    <w:rsid w:val="001A6A19"/>
    <w:rsid w:val="001A6A4A"/>
    <w:rsid w:val="001A6A5E"/>
    <w:rsid w:val="001A6B11"/>
    <w:rsid w:val="001A6B4E"/>
    <w:rsid w:val="001A6CA5"/>
    <w:rsid w:val="001A6CE1"/>
    <w:rsid w:val="001A6DB0"/>
    <w:rsid w:val="001A6ECF"/>
    <w:rsid w:val="001A6F33"/>
    <w:rsid w:val="001A6F51"/>
    <w:rsid w:val="001A6FA7"/>
    <w:rsid w:val="001A703D"/>
    <w:rsid w:val="001A719A"/>
    <w:rsid w:val="001A71CF"/>
    <w:rsid w:val="001A720E"/>
    <w:rsid w:val="001A7248"/>
    <w:rsid w:val="001A7251"/>
    <w:rsid w:val="001A7257"/>
    <w:rsid w:val="001A72A2"/>
    <w:rsid w:val="001A72BB"/>
    <w:rsid w:val="001A72FC"/>
    <w:rsid w:val="001A7338"/>
    <w:rsid w:val="001A73A3"/>
    <w:rsid w:val="001A7403"/>
    <w:rsid w:val="001A748B"/>
    <w:rsid w:val="001A74EB"/>
    <w:rsid w:val="001A755C"/>
    <w:rsid w:val="001A75AA"/>
    <w:rsid w:val="001A75B6"/>
    <w:rsid w:val="001A75B9"/>
    <w:rsid w:val="001A75E0"/>
    <w:rsid w:val="001A7614"/>
    <w:rsid w:val="001A767A"/>
    <w:rsid w:val="001A76B7"/>
    <w:rsid w:val="001A76D9"/>
    <w:rsid w:val="001A770E"/>
    <w:rsid w:val="001A77AE"/>
    <w:rsid w:val="001A77F8"/>
    <w:rsid w:val="001A780D"/>
    <w:rsid w:val="001A7835"/>
    <w:rsid w:val="001A7863"/>
    <w:rsid w:val="001A788D"/>
    <w:rsid w:val="001A788F"/>
    <w:rsid w:val="001A7981"/>
    <w:rsid w:val="001A799B"/>
    <w:rsid w:val="001A7B12"/>
    <w:rsid w:val="001A7B75"/>
    <w:rsid w:val="001A7B9C"/>
    <w:rsid w:val="001A7C53"/>
    <w:rsid w:val="001A7C62"/>
    <w:rsid w:val="001A7C9B"/>
    <w:rsid w:val="001A7CDD"/>
    <w:rsid w:val="001A7D38"/>
    <w:rsid w:val="001A7D54"/>
    <w:rsid w:val="001A7D6E"/>
    <w:rsid w:val="001A7DCB"/>
    <w:rsid w:val="001A7E01"/>
    <w:rsid w:val="001A7E24"/>
    <w:rsid w:val="001A7E3A"/>
    <w:rsid w:val="001A7E7A"/>
    <w:rsid w:val="001A7F71"/>
    <w:rsid w:val="001A7F9F"/>
    <w:rsid w:val="001A7FA4"/>
    <w:rsid w:val="001B0008"/>
    <w:rsid w:val="001B008F"/>
    <w:rsid w:val="001B00A8"/>
    <w:rsid w:val="001B00B3"/>
    <w:rsid w:val="001B00F2"/>
    <w:rsid w:val="001B011D"/>
    <w:rsid w:val="001B0121"/>
    <w:rsid w:val="001B0124"/>
    <w:rsid w:val="001B0161"/>
    <w:rsid w:val="001B01DA"/>
    <w:rsid w:val="001B0221"/>
    <w:rsid w:val="001B02FE"/>
    <w:rsid w:val="001B0376"/>
    <w:rsid w:val="001B0437"/>
    <w:rsid w:val="001B0465"/>
    <w:rsid w:val="001B0494"/>
    <w:rsid w:val="001B054D"/>
    <w:rsid w:val="001B0639"/>
    <w:rsid w:val="001B06F8"/>
    <w:rsid w:val="001B0720"/>
    <w:rsid w:val="001B0810"/>
    <w:rsid w:val="001B088E"/>
    <w:rsid w:val="001B0901"/>
    <w:rsid w:val="001B0909"/>
    <w:rsid w:val="001B096D"/>
    <w:rsid w:val="001B0ADD"/>
    <w:rsid w:val="001B0B1E"/>
    <w:rsid w:val="001B0B28"/>
    <w:rsid w:val="001B0B35"/>
    <w:rsid w:val="001B0B3A"/>
    <w:rsid w:val="001B0B4C"/>
    <w:rsid w:val="001B0B4E"/>
    <w:rsid w:val="001B0B59"/>
    <w:rsid w:val="001B0B5B"/>
    <w:rsid w:val="001B0B75"/>
    <w:rsid w:val="001B0BE2"/>
    <w:rsid w:val="001B0D01"/>
    <w:rsid w:val="001B0D2B"/>
    <w:rsid w:val="001B0D3C"/>
    <w:rsid w:val="001B0DF5"/>
    <w:rsid w:val="001B0E73"/>
    <w:rsid w:val="001B0EA7"/>
    <w:rsid w:val="001B0EE7"/>
    <w:rsid w:val="001B0F1A"/>
    <w:rsid w:val="001B0F38"/>
    <w:rsid w:val="001B1046"/>
    <w:rsid w:val="001B104A"/>
    <w:rsid w:val="001B106E"/>
    <w:rsid w:val="001B106F"/>
    <w:rsid w:val="001B10E9"/>
    <w:rsid w:val="001B1149"/>
    <w:rsid w:val="001B1151"/>
    <w:rsid w:val="001B11D7"/>
    <w:rsid w:val="001B1239"/>
    <w:rsid w:val="001B146E"/>
    <w:rsid w:val="001B148B"/>
    <w:rsid w:val="001B150F"/>
    <w:rsid w:val="001B158A"/>
    <w:rsid w:val="001B167D"/>
    <w:rsid w:val="001B1697"/>
    <w:rsid w:val="001B16A0"/>
    <w:rsid w:val="001B178B"/>
    <w:rsid w:val="001B17CA"/>
    <w:rsid w:val="001B19DE"/>
    <w:rsid w:val="001B1A76"/>
    <w:rsid w:val="001B1A9D"/>
    <w:rsid w:val="001B1B83"/>
    <w:rsid w:val="001B1BD0"/>
    <w:rsid w:val="001B1C46"/>
    <w:rsid w:val="001B1C9A"/>
    <w:rsid w:val="001B1CE9"/>
    <w:rsid w:val="001B1D4A"/>
    <w:rsid w:val="001B1D55"/>
    <w:rsid w:val="001B1D8E"/>
    <w:rsid w:val="001B1D94"/>
    <w:rsid w:val="001B1E56"/>
    <w:rsid w:val="001B1F19"/>
    <w:rsid w:val="001B1F28"/>
    <w:rsid w:val="001B1F37"/>
    <w:rsid w:val="001B1F83"/>
    <w:rsid w:val="001B1FC0"/>
    <w:rsid w:val="001B1FEB"/>
    <w:rsid w:val="001B200E"/>
    <w:rsid w:val="001B2026"/>
    <w:rsid w:val="001B20A2"/>
    <w:rsid w:val="001B20BF"/>
    <w:rsid w:val="001B22E2"/>
    <w:rsid w:val="001B2343"/>
    <w:rsid w:val="001B23B7"/>
    <w:rsid w:val="001B23D3"/>
    <w:rsid w:val="001B2487"/>
    <w:rsid w:val="001B249B"/>
    <w:rsid w:val="001B2547"/>
    <w:rsid w:val="001B257B"/>
    <w:rsid w:val="001B25BB"/>
    <w:rsid w:val="001B2638"/>
    <w:rsid w:val="001B2639"/>
    <w:rsid w:val="001B266B"/>
    <w:rsid w:val="001B266D"/>
    <w:rsid w:val="001B26BC"/>
    <w:rsid w:val="001B26DE"/>
    <w:rsid w:val="001B271C"/>
    <w:rsid w:val="001B27F1"/>
    <w:rsid w:val="001B2806"/>
    <w:rsid w:val="001B28B6"/>
    <w:rsid w:val="001B28D9"/>
    <w:rsid w:val="001B296F"/>
    <w:rsid w:val="001B298C"/>
    <w:rsid w:val="001B2A31"/>
    <w:rsid w:val="001B2A86"/>
    <w:rsid w:val="001B2AC6"/>
    <w:rsid w:val="001B2B13"/>
    <w:rsid w:val="001B2B50"/>
    <w:rsid w:val="001B2C13"/>
    <w:rsid w:val="001B2C35"/>
    <w:rsid w:val="001B2C6F"/>
    <w:rsid w:val="001B2C9B"/>
    <w:rsid w:val="001B2CA6"/>
    <w:rsid w:val="001B2CD9"/>
    <w:rsid w:val="001B2E20"/>
    <w:rsid w:val="001B2E7D"/>
    <w:rsid w:val="001B2E9E"/>
    <w:rsid w:val="001B2F26"/>
    <w:rsid w:val="001B2F6A"/>
    <w:rsid w:val="001B2FD2"/>
    <w:rsid w:val="001B302D"/>
    <w:rsid w:val="001B3052"/>
    <w:rsid w:val="001B30F5"/>
    <w:rsid w:val="001B314C"/>
    <w:rsid w:val="001B3156"/>
    <w:rsid w:val="001B31A3"/>
    <w:rsid w:val="001B3221"/>
    <w:rsid w:val="001B329F"/>
    <w:rsid w:val="001B32BC"/>
    <w:rsid w:val="001B330F"/>
    <w:rsid w:val="001B332F"/>
    <w:rsid w:val="001B34A6"/>
    <w:rsid w:val="001B34E5"/>
    <w:rsid w:val="001B363F"/>
    <w:rsid w:val="001B3655"/>
    <w:rsid w:val="001B3826"/>
    <w:rsid w:val="001B384A"/>
    <w:rsid w:val="001B3872"/>
    <w:rsid w:val="001B3892"/>
    <w:rsid w:val="001B39BF"/>
    <w:rsid w:val="001B39D3"/>
    <w:rsid w:val="001B3A34"/>
    <w:rsid w:val="001B3A3A"/>
    <w:rsid w:val="001B3A41"/>
    <w:rsid w:val="001B3A57"/>
    <w:rsid w:val="001B3ADA"/>
    <w:rsid w:val="001B3B5F"/>
    <w:rsid w:val="001B3CE1"/>
    <w:rsid w:val="001B3D05"/>
    <w:rsid w:val="001B3D30"/>
    <w:rsid w:val="001B3D38"/>
    <w:rsid w:val="001B3E13"/>
    <w:rsid w:val="001B3E4D"/>
    <w:rsid w:val="001B3EF1"/>
    <w:rsid w:val="001B3FBA"/>
    <w:rsid w:val="001B4011"/>
    <w:rsid w:val="001B4025"/>
    <w:rsid w:val="001B404B"/>
    <w:rsid w:val="001B4065"/>
    <w:rsid w:val="001B41D7"/>
    <w:rsid w:val="001B41FA"/>
    <w:rsid w:val="001B4239"/>
    <w:rsid w:val="001B4245"/>
    <w:rsid w:val="001B42E0"/>
    <w:rsid w:val="001B4315"/>
    <w:rsid w:val="001B431D"/>
    <w:rsid w:val="001B442A"/>
    <w:rsid w:val="001B4432"/>
    <w:rsid w:val="001B44B3"/>
    <w:rsid w:val="001B4509"/>
    <w:rsid w:val="001B454F"/>
    <w:rsid w:val="001B4554"/>
    <w:rsid w:val="001B4563"/>
    <w:rsid w:val="001B4714"/>
    <w:rsid w:val="001B4760"/>
    <w:rsid w:val="001B4789"/>
    <w:rsid w:val="001B4826"/>
    <w:rsid w:val="001B487E"/>
    <w:rsid w:val="001B48A6"/>
    <w:rsid w:val="001B48B4"/>
    <w:rsid w:val="001B4912"/>
    <w:rsid w:val="001B49E5"/>
    <w:rsid w:val="001B49EE"/>
    <w:rsid w:val="001B4A16"/>
    <w:rsid w:val="001B4A37"/>
    <w:rsid w:val="001B4A3F"/>
    <w:rsid w:val="001B4B01"/>
    <w:rsid w:val="001B4B18"/>
    <w:rsid w:val="001B4B31"/>
    <w:rsid w:val="001B4BA3"/>
    <w:rsid w:val="001B4D0A"/>
    <w:rsid w:val="001B4D85"/>
    <w:rsid w:val="001B4DCC"/>
    <w:rsid w:val="001B4E09"/>
    <w:rsid w:val="001B4F51"/>
    <w:rsid w:val="001B5047"/>
    <w:rsid w:val="001B5116"/>
    <w:rsid w:val="001B515B"/>
    <w:rsid w:val="001B5188"/>
    <w:rsid w:val="001B523B"/>
    <w:rsid w:val="001B5392"/>
    <w:rsid w:val="001B53F4"/>
    <w:rsid w:val="001B5438"/>
    <w:rsid w:val="001B5473"/>
    <w:rsid w:val="001B54EE"/>
    <w:rsid w:val="001B5570"/>
    <w:rsid w:val="001B5575"/>
    <w:rsid w:val="001B55BF"/>
    <w:rsid w:val="001B5601"/>
    <w:rsid w:val="001B5618"/>
    <w:rsid w:val="001B5654"/>
    <w:rsid w:val="001B5697"/>
    <w:rsid w:val="001B572F"/>
    <w:rsid w:val="001B578E"/>
    <w:rsid w:val="001B57BE"/>
    <w:rsid w:val="001B57BF"/>
    <w:rsid w:val="001B58A2"/>
    <w:rsid w:val="001B5923"/>
    <w:rsid w:val="001B59F1"/>
    <w:rsid w:val="001B5A2A"/>
    <w:rsid w:val="001B5A36"/>
    <w:rsid w:val="001B5A45"/>
    <w:rsid w:val="001B5A61"/>
    <w:rsid w:val="001B5A73"/>
    <w:rsid w:val="001B5B03"/>
    <w:rsid w:val="001B5B0E"/>
    <w:rsid w:val="001B5B51"/>
    <w:rsid w:val="001B5BAC"/>
    <w:rsid w:val="001B5BE8"/>
    <w:rsid w:val="001B5BFF"/>
    <w:rsid w:val="001B5C76"/>
    <w:rsid w:val="001B5C98"/>
    <w:rsid w:val="001B5D3E"/>
    <w:rsid w:val="001B5DBB"/>
    <w:rsid w:val="001B5DC2"/>
    <w:rsid w:val="001B5E06"/>
    <w:rsid w:val="001B5E4A"/>
    <w:rsid w:val="001B5ECC"/>
    <w:rsid w:val="001B5F08"/>
    <w:rsid w:val="001B5F3A"/>
    <w:rsid w:val="001B5F75"/>
    <w:rsid w:val="001B5F80"/>
    <w:rsid w:val="001B5FDB"/>
    <w:rsid w:val="001B6026"/>
    <w:rsid w:val="001B6072"/>
    <w:rsid w:val="001B6084"/>
    <w:rsid w:val="001B611D"/>
    <w:rsid w:val="001B6230"/>
    <w:rsid w:val="001B623F"/>
    <w:rsid w:val="001B63A7"/>
    <w:rsid w:val="001B63DD"/>
    <w:rsid w:val="001B63EC"/>
    <w:rsid w:val="001B644A"/>
    <w:rsid w:val="001B6481"/>
    <w:rsid w:val="001B651F"/>
    <w:rsid w:val="001B6529"/>
    <w:rsid w:val="001B6535"/>
    <w:rsid w:val="001B6539"/>
    <w:rsid w:val="001B65BF"/>
    <w:rsid w:val="001B6648"/>
    <w:rsid w:val="001B664A"/>
    <w:rsid w:val="001B666E"/>
    <w:rsid w:val="001B668E"/>
    <w:rsid w:val="001B66F0"/>
    <w:rsid w:val="001B677A"/>
    <w:rsid w:val="001B6801"/>
    <w:rsid w:val="001B685D"/>
    <w:rsid w:val="001B68AB"/>
    <w:rsid w:val="001B697C"/>
    <w:rsid w:val="001B6AE3"/>
    <w:rsid w:val="001B6B27"/>
    <w:rsid w:val="001B6B50"/>
    <w:rsid w:val="001B6B6A"/>
    <w:rsid w:val="001B6BCC"/>
    <w:rsid w:val="001B6C85"/>
    <w:rsid w:val="001B6D03"/>
    <w:rsid w:val="001B6E0F"/>
    <w:rsid w:val="001B6E52"/>
    <w:rsid w:val="001B6ECE"/>
    <w:rsid w:val="001B6F4F"/>
    <w:rsid w:val="001B714C"/>
    <w:rsid w:val="001B71EE"/>
    <w:rsid w:val="001B7210"/>
    <w:rsid w:val="001B728E"/>
    <w:rsid w:val="001B733A"/>
    <w:rsid w:val="001B734F"/>
    <w:rsid w:val="001B73A8"/>
    <w:rsid w:val="001B73E3"/>
    <w:rsid w:val="001B746A"/>
    <w:rsid w:val="001B748A"/>
    <w:rsid w:val="001B74AA"/>
    <w:rsid w:val="001B74BF"/>
    <w:rsid w:val="001B74D3"/>
    <w:rsid w:val="001B75E8"/>
    <w:rsid w:val="001B7671"/>
    <w:rsid w:val="001B7708"/>
    <w:rsid w:val="001B7713"/>
    <w:rsid w:val="001B7720"/>
    <w:rsid w:val="001B77C2"/>
    <w:rsid w:val="001B789E"/>
    <w:rsid w:val="001B798B"/>
    <w:rsid w:val="001B7A0B"/>
    <w:rsid w:val="001B7A40"/>
    <w:rsid w:val="001B7A69"/>
    <w:rsid w:val="001B7A94"/>
    <w:rsid w:val="001B7ABD"/>
    <w:rsid w:val="001B7ADC"/>
    <w:rsid w:val="001B7B32"/>
    <w:rsid w:val="001B7B60"/>
    <w:rsid w:val="001B7B67"/>
    <w:rsid w:val="001B7B6E"/>
    <w:rsid w:val="001B7B96"/>
    <w:rsid w:val="001B7C40"/>
    <w:rsid w:val="001B7D93"/>
    <w:rsid w:val="001B7E48"/>
    <w:rsid w:val="001C001A"/>
    <w:rsid w:val="001C001B"/>
    <w:rsid w:val="001C0024"/>
    <w:rsid w:val="001C00FC"/>
    <w:rsid w:val="001C00FE"/>
    <w:rsid w:val="001C015E"/>
    <w:rsid w:val="001C0193"/>
    <w:rsid w:val="001C0214"/>
    <w:rsid w:val="001C027F"/>
    <w:rsid w:val="001C0289"/>
    <w:rsid w:val="001C02B1"/>
    <w:rsid w:val="001C02E4"/>
    <w:rsid w:val="001C0333"/>
    <w:rsid w:val="001C03A3"/>
    <w:rsid w:val="001C03E1"/>
    <w:rsid w:val="001C0413"/>
    <w:rsid w:val="001C0415"/>
    <w:rsid w:val="001C048B"/>
    <w:rsid w:val="001C04CF"/>
    <w:rsid w:val="001C0537"/>
    <w:rsid w:val="001C06F4"/>
    <w:rsid w:val="001C071C"/>
    <w:rsid w:val="001C0796"/>
    <w:rsid w:val="001C0797"/>
    <w:rsid w:val="001C0812"/>
    <w:rsid w:val="001C0852"/>
    <w:rsid w:val="001C086F"/>
    <w:rsid w:val="001C0872"/>
    <w:rsid w:val="001C088B"/>
    <w:rsid w:val="001C091C"/>
    <w:rsid w:val="001C094F"/>
    <w:rsid w:val="001C097A"/>
    <w:rsid w:val="001C09AC"/>
    <w:rsid w:val="001C09E0"/>
    <w:rsid w:val="001C09F9"/>
    <w:rsid w:val="001C0A99"/>
    <w:rsid w:val="001C0ABD"/>
    <w:rsid w:val="001C0AFB"/>
    <w:rsid w:val="001C0B1A"/>
    <w:rsid w:val="001C0B27"/>
    <w:rsid w:val="001C0B30"/>
    <w:rsid w:val="001C0B67"/>
    <w:rsid w:val="001C0BC8"/>
    <w:rsid w:val="001C0C5A"/>
    <w:rsid w:val="001C0C62"/>
    <w:rsid w:val="001C0CBD"/>
    <w:rsid w:val="001C0CD4"/>
    <w:rsid w:val="001C0CF3"/>
    <w:rsid w:val="001C0D05"/>
    <w:rsid w:val="001C0ECD"/>
    <w:rsid w:val="001C0EE6"/>
    <w:rsid w:val="001C0F14"/>
    <w:rsid w:val="001C0F2D"/>
    <w:rsid w:val="001C0F35"/>
    <w:rsid w:val="001C0F57"/>
    <w:rsid w:val="001C10AF"/>
    <w:rsid w:val="001C10BA"/>
    <w:rsid w:val="001C1131"/>
    <w:rsid w:val="001C11FF"/>
    <w:rsid w:val="001C1222"/>
    <w:rsid w:val="001C1244"/>
    <w:rsid w:val="001C12CC"/>
    <w:rsid w:val="001C1363"/>
    <w:rsid w:val="001C136C"/>
    <w:rsid w:val="001C13A4"/>
    <w:rsid w:val="001C13B2"/>
    <w:rsid w:val="001C14F7"/>
    <w:rsid w:val="001C152B"/>
    <w:rsid w:val="001C1546"/>
    <w:rsid w:val="001C15BE"/>
    <w:rsid w:val="001C16CB"/>
    <w:rsid w:val="001C1710"/>
    <w:rsid w:val="001C17AE"/>
    <w:rsid w:val="001C17BD"/>
    <w:rsid w:val="001C17C4"/>
    <w:rsid w:val="001C1803"/>
    <w:rsid w:val="001C18C2"/>
    <w:rsid w:val="001C1907"/>
    <w:rsid w:val="001C1938"/>
    <w:rsid w:val="001C19BC"/>
    <w:rsid w:val="001C1B1B"/>
    <w:rsid w:val="001C1C24"/>
    <w:rsid w:val="001C1C9C"/>
    <w:rsid w:val="001C1CBD"/>
    <w:rsid w:val="001C1CEF"/>
    <w:rsid w:val="001C1D10"/>
    <w:rsid w:val="001C1D30"/>
    <w:rsid w:val="001C1D58"/>
    <w:rsid w:val="001C1DE1"/>
    <w:rsid w:val="001C1EC7"/>
    <w:rsid w:val="001C1ECF"/>
    <w:rsid w:val="001C1F01"/>
    <w:rsid w:val="001C1FD8"/>
    <w:rsid w:val="001C1FF7"/>
    <w:rsid w:val="001C2025"/>
    <w:rsid w:val="001C2093"/>
    <w:rsid w:val="001C20E2"/>
    <w:rsid w:val="001C216C"/>
    <w:rsid w:val="001C2189"/>
    <w:rsid w:val="001C2286"/>
    <w:rsid w:val="001C22E7"/>
    <w:rsid w:val="001C23AB"/>
    <w:rsid w:val="001C24F2"/>
    <w:rsid w:val="001C2502"/>
    <w:rsid w:val="001C2506"/>
    <w:rsid w:val="001C255F"/>
    <w:rsid w:val="001C2747"/>
    <w:rsid w:val="001C274C"/>
    <w:rsid w:val="001C27CB"/>
    <w:rsid w:val="001C2820"/>
    <w:rsid w:val="001C2842"/>
    <w:rsid w:val="001C288A"/>
    <w:rsid w:val="001C2A10"/>
    <w:rsid w:val="001C2A4E"/>
    <w:rsid w:val="001C2A6E"/>
    <w:rsid w:val="001C2AC9"/>
    <w:rsid w:val="001C2B53"/>
    <w:rsid w:val="001C2C23"/>
    <w:rsid w:val="001C2C42"/>
    <w:rsid w:val="001C2CB4"/>
    <w:rsid w:val="001C2D30"/>
    <w:rsid w:val="001C2D4A"/>
    <w:rsid w:val="001C2DA2"/>
    <w:rsid w:val="001C2DD6"/>
    <w:rsid w:val="001C2E14"/>
    <w:rsid w:val="001C2F03"/>
    <w:rsid w:val="001C2F21"/>
    <w:rsid w:val="001C2FB5"/>
    <w:rsid w:val="001C2FE1"/>
    <w:rsid w:val="001C3055"/>
    <w:rsid w:val="001C3066"/>
    <w:rsid w:val="001C307F"/>
    <w:rsid w:val="001C30E0"/>
    <w:rsid w:val="001C30E6"/>
    <w:rsid w:val="001C3117"/>
    <w:rsid w:val="001C31EA"/>
    <w:rsid w:val="001C3261"/>
    <w:rsid w:val="001C3306"/>
    <w:rsid w:val="001C335C"/>
    <w:rsid w:val="001C33BF"/>
    <w:rsid w:val="001C3434"/>
    <w:rsid w:val="001C348D"/>
    <w:rsid w:val="001C352D"/>
    <w:rsid w:val="001C3532"/>
    <w:rsid w:val="001C3635"/>
    <w:rsid w:val="001C36BE"/>
    <w:rsid w:val="001C3764"/>
    <w:rsid w:val="001C379E"/>
    <w:rsid w:val="001C3826"/>
    <w:rsid w:val="001C38E8"/>
    <w:rsid w:val="001C3961"/>
    <w:rsid w:val="001C3996"/>
    <w:rsid w:val="001C39C4"/>
    <w:rsid w:val="001C3A2B"/>
    <w:rsid w:val="001C3A5D"/>
    <w:rsid w:val="001C3AFB"/>
    <w:rsid w:val="001C3B46"/>
    <w:rsid w:val="001C3B5C"/>
    <w:rsid w:val="001C3BCA"/>
    <w:rsid w:val="001C3D8D"/>
    <w:rsid w:val="001C3D96"/>
    <w:rsid w:val="001C3DFF"/>
    <w:rsid w:val="001C3E21"/>
    <w:rsid w:val="001C3E7B"/>
    <w:rsid w:val="001C3E8A"/>
    <w:rsid w:val="001C3F36"/>
    <w:rsid w:val="001C3F71"/>
    <w:rsid w:val="001C3F76"/>
    <w:rsid w:val="001C3F83"/>
    <w:rsid w:val="001C4002"/>
    <w:rsid w:val="001C4100"/>
    <w:rsid w:val="001C410C"/>
    <w:rsid w:val="001C411B"/>
    <w:rsid w:val="001C41A9"/>
    <w:rsid w:val="001C41AF"/>
    <w:rsid w:val="001C41D6"/>
    <w:rsid w:val="001C41EA"/>
    <w:rsid w:val="001C4237"/>
    <w:rsid w:val="001C426B"/>
    <w:rsid w:val="001C4406"/>
    <w:rsid w:val="001C4450"/>
    <w:rsid w:val="001C4465"/>
    <w:rsid w:val="001C4477"/>
    <w:rsid w:val="001C4488"/>
    <w:rsid w:val="001C44BE"/>
    <w:rsid w:val="001C4590"/>
    <w:rsid w:val="001C45AB"/>
    <w:rsid w:val="001C45C2"/>
    <w:rsid w:val="001C45F9"/>
    <w:rsid w:val="001C46C5"/>
    <w:rsid w:val="001C4787"/>
    <w:rsid w:val="001C4847"/>
    <w:rsid w:val="001C4871"/>
    <w:rsid w:val="001C487F"/>
    <w:rsid w:val="001C4884"/>
    <w:rsid w:val="001C4AF7"/>
    <w:rsid w:val="001C4B82"/>
    <w:rsid w:val="001C4BE6"/>
    <w:rsid w:val="001C4C3B"/>
    <w:rsid w:val="001C4CCF"/>
    <w:rsid w:val="001C4CF4"/>
    <w:rsid w:val="001C4E55"/>
    <w:rsid w:val="001C4F1B"/>
    <w:rsid w:val="001C4F58"/>
    <w:rsid w:val="001C4F80"/>
    <w:rsid w:val="001C4F87"/>
    <w:rsid w:val="001C5061"/>
    <w:rsid w:val="001C5063"/>
    <w:rsid w:val="001C50B9"/>
    <w:rsid w:val="001C50DD"/>
    <w:rsid w:val="001C5139"/>
    <w:rsid w:val="001C515A"/>
    <w:rsid w:val="001C5163"/>
    <w:rsid w:val="001C518C"/>
    <w:rsid w:val="001C5198"/>
    <w:rsid w:val="001C51B4"/>
    <w:rsid w:val="001C520D"/>
    <w:rsid w:val="001C5262"/>
    <w:rsid w:val="001C5269"/>
    <w:rsid w:val="001C52C9"/>
    <w:rsid w:val="001C54BF"/>
    <w:rsid w:val="001C54E1"/>
    <w:rsid w:val="001C5522"/>
    <w:rsid w:val="001C56A6"/>
    <w:rsid w:val="001C56B4"/>
    <w:rsid w:val="001C5717"/>
    <w:rsid w:val="001C576D"/>
    <w:rsid w:val="001C57E5"/>
    <w:rsid w:val="001C591A"/>
    <w:rsid w:val="001C5928"/>
    <w:rsid w:val="001C59F6"/>
    <w:rsid w:val="001C5A33"/>
    <w:rsid w:val="001C5A94"/>
    <w:rsid w:val="001C5B09"/>
    <w:rsid w:val="001C5B20"/>
    <w:rsid w:val="001C5BA6"/>
    <w:rsid w:val="001C5C11"/>
    <w:rsid w:val="001C5C6D"/>
    <w:rsid w:val="001C5D6E"/>
    <w:rsid w:val="001C5D7D"/>
    <w:rsid w:val="001C5D9D"/>
    <w:rsid w:val="001C5DD9"/>
    <w:rsid w:val="001C5DF2"/>
    <w:rsid w:val="001C5E60"/>
    <w:rsid w:val="001C5E62"/>
    <w:rsid w:val="001C5E84"/>
    <w:rsid w:val="001C5EE4"/>
    <w:rsid w:val="001C5F3F"/>
    <w:rsid w:val="001C5F7B"/>
    <w:rsid w:val="001C5F88"/>
    <w:rsid w:val="001C5F9C"/>
    <w:rsid w:val="001C5FAF"/>
    <w:rsid w:val="001C5FEA"/>
    <w:rsid w:val="001C6045"/>
    <w:rsid w:val="001C607F"/>
    <w:rsid w:val="001C608C"/>
    <w:rsid w:val="001C60CD"/>
    <w:rsid w:val="001C6126"/>
    <w:rsid w:val="001C614E"/>
    <w:rsid w:val="001C6185"/>
    <w:rsid w:val="001C61B1"/>
    <w:rsid w:val="001C61BE"/>
    <w:rsid w:val="001C61EC"/>
    <w:rsid w:val="001C6204"/>
    <w:rsid w:val="001C627F"/>
    <w:rsid w:val="001C62E8"/>
    <w:rsid w:val="001C6337"/>
    <w:rsid w:val="001C63AE"/>
    <w:rsid w:val="001C63EC"/>
    <w:rsid w:val="001C6528"/>
    <w:rsid w:val="001C6541"/>
    <w:rsid w:val="001C659E"/>
    <w:rsid w:val="001C65CC"/>
    <w:rsid w:val="001C662E"/>
    <w:rsid w:val="001C6673"/>
    <w:rsid w:val="001C6858"/>
    <w:rsid w:val="001C687E"/>
    <w:rsid w:val="001C68C0"/>
    <w:rsid w:val="001C691F"/>
    <w:rsid w:val="001C697A"/>
    <w:rsid w:val="001C6A38"/>
    <w:rsid w:val="001C6A3A"/>
    <w:rsid w:val="001C6A4E"/>
    <w:rsid w:val="001C6A62"/>
    <w:rsid w:val="001C6A6E"/>
    <w:rsid w:val="001C6A72"/>
    <w:rsid w:val="001C6A89"/>
    <w:rsid w:val="001C6A99"/>
    <w:rsid w:val="001C6B08"/>
    <w:rsid w:val="001C6B5B"/>
    <w:rsid w:val="001C6B5C"/>
    <w:rsid w:val="001C6BBF"/>
    <w:rsid w:val="001C6BD8"/>
    <w:rsid w:val="001C6C51"/>
    <w:rsid w:val="001C6CA0"/>
    <w:rsid w:val="001C6D26"/>
    <w:rsid w:val="001C6E02"/>
    <w:rsid w:val="001C6E05"/>
    <w:rsid w:val="001C6EFF"/>
    <w:rsid w:val="001C6F2C"/>
    <w:rsid w:val="001C6F38"/>
    <w:rsid w:val="001C6F71"/>
    <w:rsid w:val="001C6F83"/>
    <w:rsid w:val="001C6FC8"/>
    <w:rsid w:val="001C6FD9"/>
    <w:rsid w:val="001C7033"/>
    <w:rsid w:val="001C7062"/>
    <w:rsid w:val="001C711B"/>
    <w:rsid w:val="001C719B"/>
    <w:rsid w:val="001C71EC"/>
    <w:rsid w:val="001C721D"/>
    <w:rsid w:val="001C7228"/>
    <w:rsid w:val="001C7252"/>
    <w:rsid w:val="001C72AB"/>
    <w:rsid w:val="001C72D6"/>
    <w:rsid w:val="001C7354"/>
    <w:rsid w:val="001C7455"/>
    <w:rsid w:val="001C751A"/>
    <w:rsid w:val="001C7535"/>
    <w:rsid w:val="001C7571"/>
    <w:rsid w:val="001C75A1"/>
    <w:rsid w:val="001C75CA"/>
    <w:rsid w:val="001C7623"/>
    <w:rsid w:val="001C767A"/>
    <w:rsid w:val="001C76E0"/>
    <w:rsid w:val="001C7835"/>
    <w:rsid w:val="001C78A0"/>
    <w:rsid w:val="001C796D"/>
    <w:rsid w:val="001C7A34"/>
    <w:rsid w:val="001C7A8A"/>
    <w:rsid w:val="001C7BD1"/>
    <w:rsid w:val="001C7C97"/>
    <w:rsid w:val="001C7D07"/>
    <w:rsid w:val="001C7D2C"/>
    <w:rsid w:val="001C7D5E"/>
    <w:rsid w:val="001C7D83"/>
    <w:rsid w:val="001C7D9B"/>
    <w:rsid w:val="001C7E57"/>
    <w:rsid w:val="001C7E65"/>
    <w:rsid w:val="001C7E90"/>
    <w:rsid w:val="001C7EF5"/>
    <w:rsid w:val="001C7F11"/>
    <w:rsid w:val="001C7F81"/>
    <w:rsid w:val="001D0024"/>
    <w:rsid w:val="001D00BE"/>
    <w:rsid w:val="001D01C9"/>
    <w:rsid w:val="001D0204"/>
    <w:rsid w:val="001D023B"/>
    <w:rsid w:val="001D02C9"/>
    <w:rsid w:val="001D02D8"/>
    <w:rsid w:val="001D0365"/>
    <w:rsid w:val="001D0398"/>
    <w:rsid w:val="001D045B"/>
    <w:rsid w:val="001D04B5"/>
    <w:rsid w:val="001D04E5"/>
    <w:rsid w:val="001D04E8"/>
    <w:rsid w:val="001D050E"/>
    <w:rsid w:val="001D0567"/>
    <w:rsid w:val="001D05BB"/>
    <w:rsid w:val="001D064F"/>
    <w:rsid w:val="001D0765"/>
    <w:rsid w:val="001D0770"/>
    <w:rsid w:val="001D079C"/>
    <w:rsid w:val="001D07F6"/>
    <w:rsid w:val="001D088F"/>
    <w:rsid w:val="001D090F"/>
    <w:rsid w:val="001D099F"/>
    <w:rsid w:val="001D09A9"/>
    <w:rsid w:val="001D0A04"/>
    <w:rsid w:val="001D0B76"/>
    <w:rsid w:val="001D0B84"/>
    <w:rsid w:val="001D0B99"/>
    <w:rsid w:val="001D0BAE"/>
    <w:rsid w:val="001D0BE4"/>
    <w:rsid w:val="001D0BFD"/>
    <w:rsid w:val="001D0C68"/>
    <w:rsid w:val="001D0C81"/>
    <w:rsid w:val="001D0CCA"/>
    <w:rsid w:val="001D0D28"/>
    <w:rsid w:val="001D0D46"/>
    <w:rsid w:val="001D0D83"/>
    <w:rsid w:val="001D0D93"/>
    <w:rsid w:val="001D0DA8"/>
    <w:rsid w:val="001D0DC0"/>
    <w:rsid w:val="001D0E68"/>
    <w:rsid w:val="001D0EC2"/>
    <w:rsid w:val="001D0ED1"/>
    <w:rsid w:val="001D0F73"/>
    <w:rsid w:val="001D0F9F"/>
    <w:rsid w:val="001D0FE5"/>
    <w:rsid w:val="001D1057"/>
    <w:rsid w:val="001D10DE"/>
    <w:rsid w:val="001D11AA"/>
    <w:rsid w:val="001D11ED"/>
    <w:rsid w:val="001D12D0"/>
    <w:rsid w:val="001D1363"/>
    <w:rsid w:val="001D136D"/>
    <w:rsid w:val="001D1373"/>
    <w:rsid w:val="001D138B"/>
    <w:rsid w:val="001D13E4"/>
    <w:rsid w:val="001D1434"/>
    <w:rsid w:val="001D143F"/>
    <w:rsid w:val="001D1554"/>
    <w:rsid w:val="001D1579"/>
    <w:rsid w:val="001D15F8"/>
    <w:rsid w:val="001D16BC"/>
    <w:rsid w:val="001D16D6"/>
    <w:rsid w:val="001D1701"/>
    <w:rsid w:val="001D177B"/>
    <w:rsid w:val="001D1802"/>
    <w:rsid w:val="001D1826"/>
    <w:rsid w:val="001D1829"/>
    <w:rsid w:val="001D1891"/>
    <w:rsid w:val="001D18EA"/>
    <w:rsid w:val="001D19AE"/>
    <w:rsid w:val="001D19B6"/>
    <w:rsid w:val="001D19D7"/>
    <w:rsid w:val="001D1A43"/>
    <w:rsid w:val="001D1AB0"/>
    <w:rsid w:val="001D1BDB"/>
    <w:rsid w:val="001D1C2F"/>
    <w:rsid w:val="001D1D04"/>
    <w:rsid w:val="001D1D73"/>
    <w:rsid w:val="001D1ED8"/>
    <w:rsid w:val="001D1ED9"/>
    <w:rsid w:val="001D1F0E"/>
    <w:rsid w:val="001D1F50"/>
    <w:rsid w:val="001D1F6D"/>
    <w:rsid w:val="001D1F8A"/>
    <w:rsid w:val="001D2042"/>
    <w:rsid w:val="001D20A6"/>
    <w:rsid w:val="001D20CF"/>
    <w:rsid w:val="001D2106"/>
    <w:rsid w:val="001D211A"/>
    <w:rsid w:val="001D2227"/>
    <w:rsid w:val="001D2237"/>
    <w:rsid w:val="001D2290"/>
    <w:rsid w:val="001D22BC"/>
    <w:rsid w:val="001D22FD"/>
    <w:rsid w:val="001D2318"/>
    <w:rsid w:val="001D2363"/>
    <w:rsid w:val="001D23A0"/>
    <w:rsid w:val="001D23FC"/>
    <w:rsid w:val="001D2491"/>
    <w:rsid w:val="001D250F"/>
    <w:rsid w:val="001D2654"/>
    <w:rsid w:val="001D2783"/>
    <w:rsid w:val="001D27DB"/>
    <w:rsid w:val="001D286D"/>
    <w:rsid w:val="001D29ED"/>
    <w:rsid w:val="001D2A24"/>
    <w:rsid w:val="001D2ABA"/>
    <w:rsid w:val="001D2B0A"/>
    <w:rsid w:val="001D2B66"/>
    <w:rsid w:val="001D2BAF"/>
    <w:rsid w:val="001D2BD6"/>
    <w:rsid w:val="001D2D25"/>
    <w:rsid w:val="001D2D5D"/>
    <w:rsid w:val="001D2DC1"/>
    <w:rsid w:val="001D2E3F"/>
    <w:rsid w:val="001D2E7F"/>
    <w:rsid w:val="001D2ED1"/>
    <w:rsid w:val="001D2F0D"/>
    <w:rsid w:val="001D2F4D"/>
    <w:rsid w:val="001D2F71"/>
    <w:rsid w:val="001D3042"/>
    <w:rsid w:val="001D3094"/>
    <w:rsid w:val="001D30EF"/>
    <w:rsid w:val="001D31BA"/>
    <w:rsid w:val="001D3271"/>
    <w:rsid w:val="001D3276"/>
    <w:rsid w:val="001D32D7"/>
    <w:rsid w:val="001D3484"/>
    <w:rsid w:val="001D3497"/>
    <w:rsid w:val="001D3530"/>
    <w:rsid w:val="001D356F"/>
    <w:rsid w:val="001D35DA"/>
    <w:rsid w:val="001D364D"/>
    <w:rsid w:val="001D364E"/>
    <w:rsid w:val="001D368E"/>
    <w:rsid w:val="001D36C0"/>
    <w:rsid w:val="001D3746"/>
    <w:rsid w:val="001D3786"/>
    <w:rsid w:val="001D37E2"/>
    <w:rsid w:val="001D37F8"/>
    <w:rsid w:val="001D38E1"/>
    <w:rsid w:val="001D3918"/>
    <w:rsid w:val="001D3938"/>
    <w:rsid w:val="001D3939"/>
    <w:rsid w:val="001D39C4"/>
    <w:rsid w:val="001D39F1"/>
    <w:rsid w:val="001D3B71"/>
    <w:rsid w:val="001D3BF6"/>
    <w:rsid w:val="001D3D0F"/>
    <w:rsid w:val="001D3D2A"/>
    <w:rsid w:val="001D3DC2"/>
    <w:rsid w:val="001D3E07"/>
    <w:rsid w:val="001D3E90"/>
    <w:rsid w:val="001D3EF2"/>
    <w:rsid w:val="001D3F63"/>
    <w:rsid w:val="001D3F8E"/>
    <w:rsid w:val="001D4018"/>
    <w:rsid w:val="001D4029"/>
    <w:rsid w:val="001D41C2"/>
    <w:rsid w:val="001D41C5"/>
    <w:rsid w:val="001D41DB"/>
    <w:rsid w:val="001D41E8"/>
    <w:rsid w:val="001D427B"/>
    <w:rsid w:val="001D42A9"/>
    <w:rsid w:val="001D42E9"/>
    <w:rsid w:val="001D43CB"/>
    <w:rsid w:val="001D4407"/>
    <w:rsid w:val="001D440B"/>
    <w:rsid w:val="001D4442"/>
    <w:rsid w:val="001D444F"/>
    <w:rsid w:val="001D44C4"/>
    <w:rsid w:val="001D4580"/>
    <w:rsid w:val="001D4617"/>
    <w:rsid w:val="001D4663"/>
    <w:rsid w:val="001D468B"/>
    <w:rsid w:val="001D46AB"/>
    <w:rsid w:val="001D46D5"/>
    <w:rsid w:val="001D4789"/>
    <w:rsid w:val="001D48CA"/>
    <w:rsid w:val="001D4903"/>
    <w:rsid w:val="001D49B0"/>
    <w:rsid w:val="001D49C8"/>
    <w:rsid w:val="001D49D6"/>
    <w:rsid w:val="001D4A70"/>
    <w:rsid w:val="001D4AA3"/>
    <w:rsid w:val="001D4B2D"/>
    <w:rsid w:val="001D4BBA"/>
    <w:rsid w:val="001D4BCF"/>
    <w:rsid w:val="001D4BF6"/>
    <w:rsid w:val="001D4C62"/>
    <w:rsid w:val="001D4D05"/>
    <w:rsid w:val="001D4D14"/>
    <w:rsid w:val="001D4E15"/>
    <w:rsid w:val="001D4EB1"/>
    <w:rsid w:val="001D4ED9"/>
    <w:rsid w:val="001D4F28"/>
    <w:rsid w:val="001D4FA5"/>
    <w:rsid w:val="001D4FB8"/>
    <w:rsid w:val="001D4FF9"/>
    <w:rsid w:val="001D4FFC"/>
    <w:rsid w:val="001D5023"/>
    <w:rsid w:val="001D5053"/>
    <w:rsid w:val="001D5167"/>
    <w:rsid w:val="001D516A"/>
    <w:rsid w:val="001D516D"/>
    <w:rsid w:val="001D51C6"/>
    <w:rsid w:val="001D52DE"/>
    <w:rsid w:val="001D5315"/>
    <w:rsid w:val="001D5335"/>
    <w:rsid w:val="001D535E"/>
    <w:rsid w:val="001D53EC"/>
    <w:rsid w:val="001D544B"/>
    <w:rsid w:val="001D5500"/>
    <w:rsid w:val="001D561D"/>
    <w:rsid w:val="001D5658"/>
    <w:rsid w:val="001D5662"/>
    <w:rsid w:val="001D56C4"/>
    <w:rsid w:val="001D572D"/>
    <w:rsid w:val="001D592E"/>
    <w:rsid w:val="001D5977"/>
    <w:rsid w:val="001D5988"/>
    <w:rsid w:val="001D59A6"/>
    <w:rsid w:val="001D59D4"/>
    <w:rsid w:val="001D5A21"/>
    <w:rsid w:val="001D5A5A"/>
    <w:rsid w:val="001D5ADC"/>
    <w:rsid w:val="001D5AFE"/>
    <w:rsid w:val="001D5B24"/>
    <w:rsid w:val="001D5B44"/>
    <w:rsid w:val="001D5B48"/>
    <w:rsid w:val="001D5BAC"/>
    <w:rsid w:val="001D5BE7"/>
    <w:rsid w:val="001D5D48"/>
    <w:rsid w:val="001D5D77"/>
    <w:rsid w:val="001D5DD3"/>
    <w:rsid w:val="001D5E15"/>
    <w:rsid w:val="001D5EAC"/>
    <w:rsid w:val="001D6026"/>
    <w:rsid w:val="001D60B8"/>
    <w:rsid w:val="001D60E1"/>
    <w:rsid w:val="001D60F1"/>
    <w:rsid w:val="001D6105"/>
    <w:rsid w:val="001D61A7"/>
    <w:rsid w:val="001D61B8"/>
    <w:rsid w:val="001D61C2"/>
    <w:rsid w:val="001D61DB"/>
    <w:rsid w:val="001D626A"/>
    <w:rsid w:val="001D6303"/>
    <w:rsid w:val="001D63CB"/>
    <w:rsid w:val="001D63E8"/>
    <w:rsid w:val="001D6539"/>
    <w:rsid w:val="001D6575"/>
    <w:rsid w:val="001D65AC"/>
    <w:rsid w:val="001D6624"/>
    <w:rsid w:val="001D668A"/>
    <w:rsid w:val="001D671E"/>
    <w:rsid w:val="001D672A"/>
    <w:rsid w:val="001D673B"/>
    <w:rsid w:val="001D67A9"/>
    <w:rsid w:val="001D67B6"/>
    <w:rsid w:val="001D683D"/>
    <w:rsid w:val="001D6863"/>
    <w:rsid w:val="001D6903"/>
    <w:rsid w:val="001D6936"/>
    <w:rsid w:val="001D6954"/>
    <w:rsid w:val="001D6970"/>
    <w:rsid w:val="001D6998"/>
    <w:rsid w:val="001D69AB"/>
    <w:rsid w:val="001D69BE"/>
    <w:rsid w:val="001D69D9"/>
    <w:rsid w:val="001D6A05"/>
    <w:rsid w:val="001D6A75"/>
    <w:rsid w:val="001D6B3F"/>
    <w:rsid w:val="001D6B75"/>
    <w:rsid w:val="001D6B81"/>
    <w:rsid w:val="001D6BFB"/>
    <w:rsid w:val="001D6C45"/>
    <w:rsid w:val="001D6D26"/>
    <w:rsid w:val="001D6D38"/>
    <w:rsid w:val="001D6D56"/>
    <w:rsid w:val="001D6DEC"/>
    <w:rsid w:val="001D6E60"/>
    <w:rsid w:val="001D6FC6"/>
    <w:rsid w:val="001D704F"/>
    <w:rsid w:val="001D705A"/>
    <w:rsid w:val="001D70D2"/>
    <w:rsid w:val="001D7143"/>
    <w:rsid w:val="001D725A"/>
    <w:rsid w:val="001D7277"/>
    <w:rsid w:val="001D7355"/>
    <w:rsid w:val="001D7378"/>
    <w:rsid w:val="001D7383"/>
    <w:rsid w:val="001D738F"/>
    <w:rsid w:val="001D7426"/>
    <w:rsid w:val="001D74D3"/>
    <w:rsid w:val="001D74EB"/>
    <w:rsid w:val="001D7514"/>
    <w:rsid w:val="001D7518"/>
    <w:rsid w:val="001D754C"/>
    <w:rsid w:val="001D75DB"/>
    <w:rsid w:val="001D762C"/>
    <w:rsid w:val="001D76CA"/>
    <w:rsid w:val="001D76D9"/>
    <w:rsid w:val="001D76EF"/>
    <w:rsid w:val="001D771F"/>
    <w:rsid w:val="001D772B"/>
    <w:rsid w:val="001D779B"/>
    <w:rsid w:val="001D77D9"/>
    <w:rsid w:val="001D77F0"/>
    <w:rsid w:val="001D7826"/>
    <w:rsid w:val="001D79D8"/>
    <w:rsid w:val="001D7A35"/>
    <w:rsid w:val="001D7AEB"/>
    <w:rsid w:val="001D7B67"/>
    <w:rsid w:val="001D7B80"/>
    <w:rsid w:val="001D7C45"/>
    <w:rsid w:val="001D7C53"/>
    <w:rsid w:val="001D7C59"/>
    <w:rsid w:val="001D7C92"/>
    <w:rsid w:val="001D7D5A"/>
    <w:rsid w:val="001D7D6D"/>
    <w:rsid w:val="001D7DAE"/>
    <w:rsid w:val="001D7DB1"/>
    <w:rsid w:val="001D7DFD"/>
    <w:rsid w:val="001D7E29"/>
    <w:rsid w:val="001D7E35"/>
    <w:rsid w:val="001D7ECC"/>
    <w:rsid w:val="001D7F05"/>
    <w:rsid w:val="001E0010"/>
    <w:rsid w:val="001E0022"/>
    <w:rsid w:val="001E002F"/>
    <w:rsid w:val="001E007F"/>
    <w:rsid w:val="001E0087"/>
    <w:rsid w:val="001E0097"/>
    <w:rsid w:val="001E009B"/>
    <w:rsid w:val="001E00A6"/>
    <w:rsid w:val="001E00BB"/>
    <w:rsid w:val="001E0117"/>
    <w:rsid w:val="001E0157"/>
    <w:rsid w:val="001E0231"/>
    <w:rsid w:val="001E02CB"/>
    <w:rsid w:val="001E02EB"/>
    <w:rsid w:val="001E02FD"/>
    <w:rsid w:val="001E035F"/>
    <w:rsid w:val="001E038C"/>
    <w:rsid w:val="001E03DE"/>
    <w:rsid w:val="001E0409"/>
    <w:rsid w:val="001E042B"/>
    <w:rsid w:val="001E04EC"/>
    <w:rsid w:val="001E04FD"/>
    <w:rsid w:val="001E051D"/>
    <w:rsid w:val="001E0535"/>
    <w:rsid w:val="001E05CE"/>
    <w:rsid w:val="001E06AF"/>
    <w:rsid w:val="001E06F2"/>
    <w:rsid w:val="001E070F"/>
    <w:rsid w:val="001E07B2"/>
    <w:rsid w:val="001E07C8"/>
    <w:rsid w:val="001E0815"/>
    <w:rsid w:val="001E0879"/>
    <w:rsid w:val="001E097A"/>
    <w:rsid w:val="001E09A6"/>
    <w:rsid w:val="001E09F4"/>
    <w:rsid w:val="001E0A62"/>
    <w:rsid w:val="001E0ABE"/>
    <w:rsid w:val="001E0BAA"/>
    <w:rsid w:val="001E0C25"/>
    <w:rsid w:val="001E0C2E"/>
    <w:rsid w:val="001E0C74"/>
    <w:rsid w:val="001E0D59"/>
    <w:rsid w:val="001E0D74"/>
    <w:rsid w:val="001E0DC2"/>
    <w:rsid w:val="001E0DDD"/>
    <w:rsid w:val="001E0F06"/>
    <w:rsid w:val="001E100A"/>
    <w:rsid w:val="001E1043"/>
    <w:rsid w:val="001E106C"/>
    <w:rsid w:val="001E10A4"/>
    <w:rsid w:val="001E1101"/>
    <w:rsid w:val="001E1118"/>
    <w:rsid w:val="001E1138"/>
    <w:rsid w:val="001E1140"/>
    <w:rsid w:val="001E11AF"/>
    <w:rsid w:val="001E11F3"/>
    <w:rsid w:val="001E1365"/>
    <w:rsid w:val="001E13B5"/>
    <w:rsid w:val="001E14FB"/>
    <w:rsid w:val="001E14FD"/>
    <w:rsid w:val="001E1516"/>
    <w:rsid w:val="001E158E"/>
    <w:rsid w:val="001E15B2"/>
    <w:rsid w:val="001E17D0"/>
    <w:rsid w:val="001E1843"/>
    <w:rsid w:val="001E192D"/>
    <w:rsid w:val="001E1972"/>
    <w:rsid w:val="001E19D4"/>
    <w:rsid w:val="001E1A0A"/>
    <w:rsid w:val="001E1A8F"/>
    <w:rsid w:val="001E1ABA"/>
    <w:rsid w:val="001E1ACF"/>
    <w:rsid w:val="001E1B59"/>
    <w:rsid w:val="001E1B5B"/>
    <w:rsid w:val="001E1C17"/>
    <w:rsid w:val="001E1C35"/>
    <w:rsid w:val="001E1CC9"/>
    <w:rsid w:val="001E1CDC"/>
    <w:rsid w:val="001E1D55"/>
    <w:rsid w:val="001E1D99"/>
    <w:rsid w:val="001E1DE8"/>
    <w:rsid w:val="001E1E08"/>
    <w:rsid w:val="001E1E09"/>
    <w:rsid w:val="001E1E43"/>
    <w:rsid w:val="001E1E48"/>
    <w:rsid w:val="001E1EBB"/>
    <w:rsid w:val="001E1F6B"/>
    <w:rsid w:val="001E2028"/>
    <w:rsid w:val="001E2029"/>
    <w:rsid w:val="001E2164"/>
    <w:rsid w:val="001E2251"/>
    <w:rsid w:val="001E22D3"/>
    <w:rsid w:val="001E2306"/>
    <w:rsid w:val="001E2345"/>
    <w:rsid w:val="001E2535"/>
    <w:rsid w:val="001E2597"/>
    <w:rsid w:val="001E25A8"/>
    <w:rsid w:val="001E25E4"/>
    <w:rsid w:val="001E268F"/>
    <w:rsid w:val="001E26DD"/>
    <w:rsid w:val="001E26E6"/>
    <w:rsid w:val="001E2785"/>
    <w:rsid w:val="001E27B5"/>
    <w:rsid w:val="001E289F"/>
    <w:rsid w:val="001E28B7"/>
    <w:rsid w:val="001E2926"/>
    <w:rsid w:val="001E2938"/>
    <w:rsid w:val="001E2A73"/>
    <w:rsid w:val="001E2B32"/>
    <w:rsid w:val="001E2B3F"/>
    <w:rsid w:val="001E2B74"/>
    <w:rsid w:val="001E2BE3"/>
    <w:rsid w:val="001E2CB7"/>
    <w:rsid w:val="001E2D3F"/>
    <w:rsid w:val="001E2D89"/>
    <w:rsid w:val="001E2D97"/>
    <w:rsid w:val="001E2E7C"/>
    <w:rsid w:val="001E2F77"/>
    <w:rsid w:val="001E3049"/>
    <w:rsid w:val="001E30D2"/>
    <w:rsid w:val="001E30DB"/>
    <w:rsid w:val="001E3128"/>
    <w:rsid w:val="001E3226"/>
    <w:rsid w:val="001E32A2"/>
    <w:rsid w:val="001E32FB"/>
    <w:rsid w:val="001E33E4"/>
    <w:rsid w:val="001E34DE"/>
    <w:rsid w:val="001E34F1"/>
    <w:rsid w:val="001E3622"/>
    <w:rsid w:val="001E3623"/>
    <w:rsid w:val="001E3627"/>
    <w:rsid w:val="001E366C"/>
    <w:rsid w:val="001E36A3"/>
    <w:rsid w:val="001E36C3"/>
    <w:rsid w:val="001E36ED"/>
    <w:rsid w:val="001E3734"/>
    <w:rsid w:val="001E3791"/>
    <w:rsid w:val="001E37A8"/>
    <w:rsid w:val="001E3812"/>
    <w:rsid w:val="001E3872"/>
    <w:rsid w:val="001E3997"/>
    <w:rsid w:val="001E39F6"/>
    <w:rsid w:val="001E3A0A"/>
    <w:rsid w:val="001E3B01"/>
    <w:rsid w:val="001E3B2E"/>
    <w:rsid w:val="001E3B3B"/>
    <w:rsid w:val="001E3B73"/>
    <w:rsid w:val="001E3BC7"/>
    <w:rsid w:val="001E3C56"/>
    <w:rsid w:val="001E3CA9"/>
    <w:rsid w:val="001E3DAE"/>
    <w:rsid w:val="001E3DC4"/>
    <w:rsid w:val="001E3DFC"/>
    <w:rsid w:val="001E3E11"/>
    <w:rsid w:val="001E3F69"/>
    <w:rsid w:val="001E401D"/>
    <w:rsid w:val="001E4056"/>
    <w:rsid w:val="001E4180"/>
    <w:rsid w:val="001E41AD"/>
    <w:rsid w:val="001E41D6"/>
    <w:rsid w:val="001E41EF"/>
    <w:rsid w:val="001E41F7"/>
    <w:rsid w:val="001E4305"/>
    <w:rsid w:val="001E4389"/>
    <w:rsid w:val="001E43DD"/>
    <w:rsid w:val="001E43E4"/>
    <w:rsid w:val="001E441F"/>
    <w:rsid w:val="001E4422"/>
    <w:rsid w:val="001E4429"/>
    <w:rsid w:val="001E445C"/>
    <w:rsid w:val="001E4471"/>
    <w:rsid w:val="001E4475"/>
    <w:rsid w:val="001E448C"/>
    <w:rsid w:val="001E449D"/>
    <w:rsid w:val="001E4532"/>
    <w:rsid w:val="001E45EB"/>
    <w:rsid w:val="001E4606"/>
    <w:rsid w:val="001E47FB"/>
    <w:rsid w:val="001E4825"/>
    <w:rsid w:val="001E4861"/>
    <w:rsid w:val="001E4865"/>
    <w:rsid w:val="001E48C4"/>
    <w:rsid w:val="001E4908"/>
    <w:rsid w:val="001E4950"/>
    <w:rsid w:val="001E498B"/>
    <w:rsid w:val="001E4A3A"/>
    <w:rsid w:val="001E4ADD"/>
    <w:rsid w:val="001E4AF4"/>
    <w:rsid w:val="001E4B29"/>
    <w:rsid w:val="001E4B34"/>
    <w:rsid w:val="001E4BAC"/>
    <w:rsid w:val="001E4BB0"/>
    <w:rsid w:val="001E4C57"/>
    <w:rsid w:val="001E4C58"/>
    <w:rsid w:val="001E4CA2"/>
    <w:rsid w:val="001E4CDE"/>
    <w:rsid w:val="001E4D14"/>
    <w:rsid w:val="001E4D36"/>
    <w:rsid w:val="001E4D4D"/>
    <w:rsid w:val="001E4F2A"/>
    <w:rsid w:val="001E4F2C"/>
    <w:rsid w:val="001E4F4A"/>
    <w:rsid w:val="001E4F4C"/>
    <w:rsid w:val="001E4F75"/>
    <w:rsid w:val="001E508B"/>
    <w:rsid w:val="001E516A"/>
    <w:rsid w:val="001E5177"/>
    <w:rsid w:val="001E51A9"/>
    <w:rsid w:val="001E51BC"/>
    <w:rsid w:val="001E521F"/>
    <w:rsid w:val="001E523E"/>
    <w:rsid w:val="001E5256"/>
    <w:rsid w:val="001E5264"/>
    <w:rsid w:val="001E526E"/>
    <w:rsid w:val="001E532C"/>
    <w:rsid w:val="001E5491"/>
    <w:rsid w:val="001E5575"/>
    <w:rsid w:val="001E5589"/>
    <w:rsid w:val="001E55C6"/>
    <w:rsid w:val="001E561B"/>
    <w:rsid w:val="001E56E7"/>
    <w:rsid w:val="001E56E8"/>
    <w:rsid w:val="001E571D"/>
    <w:rsid w:val="001E5768"/>
    <w:rsid w:val="001E57C2"/>
    <w:rsid w:val="001E586A"/>
    <w:rsid w:val="001E5882"/>
    <w:rsid w:val="001E5888"/>
    <w:rsid w:val="001E5898"/>
    <w:rsid w:val="001E597D"/>
    <w:rsid w:val="001E59A9"/>
    <w:rsid w:val="001E59E7"/>
    <w:rsid w:val="001E5A59"/>
    <w:rsid w:val="001E5AAE"/>
    <w:rsid w:val="001E5B2D"/>
    <w:rsid w:val="001E5B36"/>
    <w:rsid w:val="001E5BA9"/>
    <w:rsid w:val="001E5C43"/>
    <w:rsid w:val="001E5D15"/>
    <w:rsid w:val="001E5D43"/>
    <w:rsid w:val="001E5D87"/>
    <w:rsid w:val="001E5DC8"/>
    <w:rsid w:val="001E5DE9"/>
    <w:rsid w:val="001E5EBC"/>
    <w:rsid w:val="001E5F1E"/>
    <w:rsid w:val="001E6018"/>
    <w:rsid w:val="001E604D"/>
    <w:rsid w:val="001E6061"/>
    <w:rsid w:val="001E609E"/>
    <w:rsid w:val="001E6113"/>
    <w:rsid w:val="001E613A"/>
    <w:rsid w:val="001E614C"/>
    <w:rsid w:val="001E615E"/>
    <w:rsid w:val="001E61DC"/>
    <w:rsid w:val="001E62E8"/>
    <w:rsid w:val="001E634F"/>
    <w:rsid w:val="001E6413"/>
    <w:rsid w:val="001E6457"/>
    <w:rsid w:val="001E6466"/>
    <w:rsid w:val="001E6499"/>
    <w:rsid w:val="001E64F1"/>
    <w:rsid w:val="001E658C"/>
    <w:rsid w:val="001E65A3"/>
    <w:rsid w:val="001E65E6"/>
    <w:rsid w:val="001E66CE"/>
    <w:rsid w:val="001E6704"/>
    <w:rsid w:val="001E6717"/>
    <w:rsid w:val="001E6A13"/>
    <w:rsid w:val="001E6A84"/>
    <w:rsid w:val="001E6AC4"/>
    <w:rsid w:val="001E6B89"/>
    <w:rsid w:val="001E6BB0"/>
    <w:rsid w:val="001E6C6C"/>
    <w:rsid w:val="001E6C6E"/>
    <w:rsid w:val="001E6CDA"/>
    <w:rsid w:val="001E6D62"/>
    <w:rsid w:val="001E6D7A"/>
    <w:rsid w:val="001E6DA4"/>
    <w:rsid w:val="001E6DD7"/>
    <w:rsid w:val="001E6E16"/>
    <w:rsid w:val="001E6EC7"/>
    <w:rsid w:val="001E6F52"/>
    <w:rsid w:val="001E70BA"/>
    <w:rsid w:val="001E718D"/>
    <w:rsid w:val="001E71CB"/>
    <w:rsid w:val="001E7218"/>
    <w:rsid w:val="001E725C"/>
    <w:rsid w:val="001E7269"/>
    <w:rsid w:val="001E72C9"/>
    <w:rsid w:val="001E72D8"/>
    <w:rsid w:val="001E7386"/>
    <w:rsid w:val="001E738C"/>
    <w:rsid w:val="001E73C8"/>
    <w:rsid w:val="001E73CD"/>
    <w:rsid w:val="001E7402"/>
    <w:rsid w:val="001E7536"/>
    <w:rsid w:val="001E7559"/>
    <w:rsid w:val="001E761D"/>
    <w:rsid w:val="001E7696"/>
    <w:rsid w:val="001E7736"/>
    <w:rsid w:val="001E77CF"/>
    <w:rsid w:val="001E7803"/>
    <w:rsid w:val="001E7853"/>
    <w:rsid w:val="001E785C"/>
    <w:rsid w:val="001E78AC"/>
    <w:rsid w:val="001E79B4"/>
    <w:rsid w:val="001E7A40"/>
    <w:rsid w:val="001E7A8E"/>
    <w:rsid w:val="001E7AF7"/>
    <w:rsid w:val="001E7B48"/>
    <w:rsid w:val="001E7BFA"/>
    <w:rsid w:val="001E7C54"/>
    <w:rsid w:val="001E7CB7"/>
    <w:rsid w:val="001E7D9C"/>
    <w:rsid w:val="001E7DA2"/>
    <w:rsid w:val="001E7E04"/>
    <w:rsid w:val="001E7E1A"/>
    <w:rsid w:val="001E7E3E"/>
    <w:rsid w:val="001E7E8D"/>
    <w:rsid w:val="001E7EA2"/>
    <w:rsid w:val="001E7EBE"/>
    <w:rsid w:val="001E7EFD"/>
    <w:rsid w:val="001E7FB5"/>
    <w:rsid w:val="001E7FB6"/>
    <w:rsid w:val="001E7FEC"/>
    <w:rsid w:val="001F0008"/>
    <w:rsid w:val="001F000E"/>
    <w:rsid w:val="001F0046"/>
    <w:rsid w:val="001F00CF"/>
    <w:rsid w:val="001F0138"/>
    <w:rsid w:val="001F013B"/>
    <w:rsid w:val="001F016F"/>
    <w:rsid w:val="001F0264"/>
    <w:rsid w:val="001F0287"/>
    <w:rsid w:val="001F02A8"/>
    <w:rsid w:val="001F02BB"/>
    <w:rsid w:val="001F02EB"/>
    <w:rsid w:val="001F0383"/>
    <w:rsid w:val="001F03BD"/>
    <w:rsid w:val="001F03EA"/>
    <w:rsid w:val="001F0432"/>
    <w:rsid w:val="001F0465"/>
    <w:rsid w:val="001F0479"/>
    <w:rsid w:val="001F04B6"/>
    <w:rsid w:val="001F04FB"/>
    <w:rsid w:val="001F0517"/>
    <w:rsid w:val="001F0521"/>
    <w:rsid w:val="001F056A"/>
    <w:rsid w:val="001F05D7"/>
    <w:rsid w:val="001F0612"/>
    <w:rsid w:val="001F0644"/>
    <w:rsid w:val="001F0737"/>
    <w:rsid w:val="001F0748"/>
    <w:rsid w:val="001F081D"/>
    <w:rsid w:val="001F0833"/>
    <w:rsid w:val="001F0897"/>
    <w:rsid w:val="001F0901"/>
    <w:rsid w:val="001F090E"/>
    <w:rsid w:val="001F0925"/>
    <w:rsid w:val="001F0928"/>
    <w:rsid w:val="001F09E3"/>
    <w:rsid w:val="001F09EF"/>
    <w:rsid w:val="001F0A16"/>
    <w:rsid w:val="001F0A27"/>
    <w:rsid w:val="001F0AE7"/>
    <w:rsid w:val="001F0AEE"/>
    <w:rsid w:val="001F0AF1"/>
    <w:rsid w:val="001F0B12"/>
    <w:rsid w:val="001F0BDC"/>
    <w:rsid w:val="001F0C16"/>
    <w:rsid w:val="001F0C1B"/>
    <w:rsid w:val="001F0D53"/>
    <w:rsid w:val="001F0D56"/>
    <w:rsid w:val="001F0E3B"/>
    <w:rsid w:val="001F0F85"/>
    <w:rsid w:val="001F0FF1"/>
    <w:rsid w:val="001F1180"/>
    <w:rsid w:val="001F1198"/>
    <w:rsid w:val="001F11A7"/>
    <w:rsid w:val="001F11D9"/>
    <w:rsid w:val="001F1277"/>
    <w:rsid w:val="001F1304"/>
    <w:rsid w:val="001F1365"/>
    <w:rsid w:val="001F1385"/>
    <w:rsid w:val="001F148F"/>
    <w:rsid w:val="001F1490"/>
    <w:rsid w:val="001F14A7"/>
    <w:rsid w:val="001F14C0"/>
    <w:rsid w:val="001F1567"/>
    <w:rsid w:val="001F156F"/>
    <w:rsid w:val="001F15A1"/>
    <w:rsid w:val="001F15F6"/>
    <w:rsid w:val="001F1602"/>
    <w:rsid w:val="001F160A"/>
    <w:rsid w:val="001F163B"/>
    <w:rsid w:val="001F168D"/>
    <w:rsid w:val="001F16CC"/>
    <w:rsid w:val="001F171F"/>
    <w:rsid w:val="001F1773"/>
    <w:rsid w:val="001F17CE"/>
    <w:rsid w:val="001F1871"/>
    <w:rsid w:val="001F18CF"/>
    <w:rsid w:val="001F19C0"/>
    <w:rsid w:val="001F19DB"/>
    <w:rsid w:val="001F1BC9"/>
    <w:rsid w:val="001F1BD0"/>
    <w:rsid w:val="001F1BDE"/>
    <w:rsid w:val="001F1D48"/>
    <w:rsid w:val="001F1D6E"/>
    <w:rsid w:val="001F1D89"/>
    <w:rsid w:val="001F1D8B"/>
    <w:rsid w:val="001F1DEC"/>
    <w:rsid w:val="001F1E04"/>
    <w:rsid w:val="001F1E3D"/>
    <w:rsid w:val="001F1EF7"/>
    <w:rsid w:val="001F1F0C"/>
    <w:rsid w:val="001F1F88"/>
    <w:rsid w:val="001F2005"/>
    <w:rsid w:val="001F20BD"/>
    <w:rsid w:val="001F217D"/>
    <w:rsid w:val="001F2199"/>
    <w:rsid w:val="001F21B1"/>
    <w:rsid w:val="001F21CB"/>
    <w:rsid w:val="001F21DE"/>
    <w:rsid w:val="001F2265"/>
    <w:rsid w:val="001F227A"/>
    <w:rsid w:val="001F2354"/>
    <w:rsid w:val="001F2427"/>
    <w:rsid w:val="001F242D"/>
    <w:rsid w:val="001F247B"/>
    <w:rsid w:val="001F24C4"/>
    <w:rsid w:val="001F2561"/>
    <w:rsid w:val="001F2576"/>
    <w:rsid w:val="001F263D"/>
    <w:rsid w:val="001F2670"/>
    <w:rsid w:val="001F268F"/>
    <w:rsid w:val="001F2715"/>
    <w:rsid w:val="001F27DC"/>
    <w:rsid w:val="001F28FA"/>
    <w:rsid w:val="001F2939"/>
    <w:rsid w:val="001F2943"/>
    <w:rsid w:val="001F2960"/>
    <w:rsid w:val="001F29AE"/>
    <w:rsid w:val="001F2A14"/>
    <w:rsid w:val="001F2A71"/>
    <w:rsid w:val="001F2C62"/>
    <w:rsid w:val="001F2CC4"/>
    <w:rsid w:val="001F2CE8"/>
    <w:rsid w:val="001F2D62"/>
    <w:rsid w:val="001F2DDE"/>
    <w:rsid w:val="001F2E12"/>
    <w:rsid w:val="001F2E3E"/>
    <w:rsid w:val="001F2E82"/>
    <w:rsid w:val="001F2EE2"/>
    <w:rsid w:val="001F2F8A"/>
    <w:rsid w:val="001F305A"/>
    <w:rsid w:val="001F30B4"/>
    <w:rsid w:val="001F3121"/>
    <w:rsid w:val="001F3139"/>
    <w:rsid w:val="001F3156"/>
    <w:rsid w:val="001F32E4"/>
    <w:rsid w:val="001F3329"/>
    <w:rsid w:val="001F3384"/>
    <w:rsid w:val="001F33A9"/>
    <w:rsid w:val="001F3415"/>
    <w:rsid w:val="001F343E"/>
    <w:rsid w:val="001F3564"/>
    <w:rsid w:val="001F3597"/>
    <w:rsid w:val="001F35BD"/>
    <w:rsid w:val="001F35D4"/>
    <w:rsid w:val="001F362C"/>
    <w:rsid w:val="001F368E"/>
    <w:rsid w:val="001F36EC"/>
    <w:rsid w:val="001F3769"/>
    <w:rsid w:val="001F3771"/>
    <w:rsid w:val="001F378D"/>
    <w:rsid w:val="001F3826"/>
    <w:rsid w:val="001F383E"/>
    <w:rsid w:val="001F389D"/>
    <w:rsid w:val="001F38D4"/>
    <w:rsid w:val="001F38FB"/>
    <w:rsid w:val="001F3931"/>
    <w:rsid w:val="001F393D"/>
    <w:rsid w:val="001F39ED"/>
    <w:rsid w:val="001F3B12"/>
    <w:rsid w:val="001F3B3E"/>
    <w:rsid w:val="001F3B74"/>
    <w:rsid w:val="001F3C60"/>
    <w:rsid w:val="001F3CC1"/>
    <w:rsid w:val="001F3D5B"/>
    <w:rsid w:val="001F3D83"/>
    <w:rsid w:val="001F3DF9"/>
    <w:rsid w:val="001F3E74"/>
    <w:rsid w:val="001F3F46"/>
    <w:rsid w:val="001F40CE"/>
    <w:rsid w:val="001F40FC"/>
    <w:rsid w:val="001F411B"/>
    <w:rsid w:val="001F41AF"/>
    <w:rsid w:val="001F41B9"/>
    <w:rsid w:val="001F41BA"/>
    <w:rsid w:val="001F423E"/>
    <w:rsid w:val="001F428E"/>
    <w:rsid w:val="001F42AB"/>
    <w:rsid w:val="001F42DD"/>
    <w:rsid w:val="001F436C"/>
    <w:rsid w:val="001F445E"/>
    <w:rsid w:val="001F446E"/>
    <w:rsid w:val="001F451F"/>
    <w:rsid w:val="001F4652"/>
    <w:rsid w:val="001F47C0"/>
    <w:rsid w:val="001F4805"/>
    <w:rsid w:val="001F4814"/>
    <w:rsid w:val="001F482B"/>
    <w:rsid w:val="001F4840"/>
    <w:rsid w:val="001F4977"/>
    <w:rsid w:val="001F4991"/>
    <w:rsid w:val="001F4A02"/>
    <w:rsid w:val="001F4A1D"/>
    <w:rsid w:val="001F4A61"/>
    <w:rsid w:val="001F4B0F"/>
    <w:rsid w:val="001F4B44"/>
    <w:rsid w:val="001F4B8B"/>
    <w:rsid w:val="001F4BA9"/>
    <w:rsid w:val="001F4BD3"/>
    <w:rsid w:val="001F4C24"/>
    <w:rsid w:val="001F4C3E"/>
    <w:rsid w:val="001F4CD9"/>
    <w:rsid w:val="001F4CF9"/>
    <w:rsid w:val="001F4D5D"/>
    <w:rsid w:val="001F4D74"/>
    <w:rsid w:val="001F4D93"/>
    <w:rsid w:val="001F4DDF"/>
    <w:rsid w:val="001F4DEE"/>
    <w:rsid w:val="001F4DFE"/>
    <w:rsid w:val="001F4F16"/>
    <w:rsid w:val="001F4F22"/>
    <w:rsid w:val="001F4F29"/>
    <w:rsid w:val="001F4FA0"/>
    <w:rsid w:val="001F4FFF"/>
    <w:rsid w:val="001F5005"/>
    <w:rsid w:val="001F50DA"/>
    <w:rsid w:val="001F5116"/>
    <w:rsid w:val="001F5137"/>
    <w:rsid w:val="001F51EC"/>
    <w:rsid w:val="001F531C"/>
    <w:rsid w:val="001F5349"/>
    <w:rsid w:val="001F5527"/>
    <w:rsid w:val="001F5538"/>
    <w:rsid w:val="001F572A"/>
    <w:rsid w:val="001F57C0"/>
    <w:rsid w:val="001F5833"/>
    <w:rsid w:val="001F59D4"/>
    <w:rsid w:val="001F5A0B"/>
    <w:rsid w:val="001F5A2C"/>
    <w:rsid w:val="001F5AA3"/>
    <w:rsid w:val="001F5AF2"/>
    <w:rsid w:val="001F5AFA"/>
    <w:rsid w:val="001F5C95"/>
    <w:rsid w:val="001F5CA4"/>
    <w:rsid w:val="001F5CDF"/>
    <w:rsid w:val="001F5D15"/>
    <w:rsid w:val="001F5D69"/>
    <w:rsid w:val="001F5D92"/>
    <w:rsid w:val="001F5D99"/>
    <w:rsid w:val="001F5DE0"/>
    <w:rsid w:val="001F5DEA"/>
    <w:rsid w:val="001F5DF1"/>
    <w:rsid w:val="001F5ECF"/>
    <w:rsid w:val="001F5EE2"/>
    <w:rsid w:val="001F5F57"/>
    <w:rsid w:val="001F606E"/>
    <w:rsid w:val="001F60D1"/>
    <w:rsid w:val="001F60F3"/>
    <w:rsid w:val="001F6105"/>
    <w:rsid w:val="001F612D"/>
    <w:rsid w:val="001F61A3"/>
    <w:rsid w:val="001F61B0"/>
    <w:rsid w:val="001F629E"/>
    <w:rsid w:val="001F6315"/>
    <w:rsid w:val="001F6319"/>
    <w:rsid w:val="001F6355"/>
    <w:rsid w:val="001F6380"/>
    <w:rsid w:val="001F6528"/>
    <w:rsid w:val="001F6534"/>
    <w:rsid w:val="001F657B"/>
    <w:rsid w:val="001F658C"/>
    <w:rsid w:val="001F65E0"/>
    <w:rsid w:val="001F65E4"/>
    <w:rsid w:val="001F65F9"/>
    <w:rsid w:val="001F6612"/>
    <w:rsid w:val="001F6614"/>
    <w:rsid w:val="001F6648"/>
    <w:rsid w:val="001F66DF"/>
    <w:rsid w:val="001F6830"/>
    <w:rsid w:val="001F6847"/>
    <w:rsid w:val="001F685D"/>
    <w:rsid w:val="001F6863"/>
    <w:rsid w:val="001F689C"/>
    <w:rsid w:val="001F68B8"/>
    <w:rsid w:val="001F68CC"/>
    <w:rsid w:val="001F69EC"/>
    <w:rsid w:val="001F6A55"/>
    <w:rsid w:val="001F6AA2"/>
    <w:rsid w:val="001F6B93"/>
    <w:rsid w:val="001F6B99"/>
    <w:rsid w:val="001F6BA0"/>
    <w:rsid w:val="001F6BBB"/>
    <w:rsid w:val="001F6BD8"/>
    <w:rsid w:val="001F6CEB"/>
    <w:rsid w:val="001F6D07"/>
    <w:rsid w:val="001F6D0B"/>
    <w:rsid w:val="001F6E92"/>
    <w:rsid w:val="001F6ED7"/>
    <w:rsid w:val="001F6F21"/>
    <w:rsid w:val="001F6FC1"/>
    <w:rsid w:val="001F70E4"/>
    <w:rsid w:val="001F70E5"/>
    <w:rsid w:val="001F7108"/>
    <w:rsid w:val="001F714E"/>
    <w:rsid w:val="001F7196"/>
    <w:rsid w:val="001F719C"/>
    <w:rsid w:val="001F71B6"/>
    <w:rsid w:val="001F726A"/>
    <w:rsid w:val="001F728A"/>
    <w:rsid w:val="001F733C"/>
    <w:rsid w:val="001F739F"/>
    <w:rsid w:val="001F7424"/>
    <w:rsid w:val="001F7445"/>
    <w:rsid w:val="001F7460"/>
    <w:rsid w:val="001F7490"/>
    <w:rsid w:val="001F7585"/>
    <w:rsid w:val="001F758E"/>
    <w:rsid w:val="001F75CB"/>
    <w:rsid w:val="001F75D5"/>
    <w:rsid w:val="001F7628"/>
    <w:rsid w:val="001F76C1"/>
    <w:rsid w:val="001F76C6"/>
    <w:rsid w:val="001F7763"/>
    <w:rsid w:val="001F7789"/>
    <w:rsid w:val="001F77CB"/>
    <w:rsid w:val="001F77E8"/>
    <w:rsid w:val="001F77FC"/>
    <w:rsid w:val="001F7816"/>
    <w:rsid w:val="001F785C"/>
    <w:rsid w:val="001F787B"/>
    <w:rsid w:val="001F7898"/>
    <w:rsid w:val="001F78E2"/>
    <w:rsid w:val="001F7931"/>
    <w:rsid w:val="001F7985"/>
    <w:rsid w:val="001F7A85"/>
    <w:rsid w:val="001F7AF0"/>
    <w:rsid w:val="001F7B0D"/>
    <w:rsid w:val="001F7B36"/>
    <w:rsid w:val="001F7B86"/>
    <w:rsid w:val="001F7BE8"/>
    <w:rsid w:val="001F7C1F"/>
    <w:rsid w:val="001F7C59"/>
    <w:rsid w:val="001F7CFD"/>
    <w:rsid w:val="001F7E4F"/>
    <w:rsid w:val="001F7FBC"/>
    <w:rsid w:val="00200005"/>
    <w:rsid w:val="00200035"/>
    <w:rsid w:val="0020016B"/>
    <w:rsid w:val="002002A9"/>
    <w:rsid w:val="002002BE"/>
    <w:rsid w:val="00200323"/>
    <w:rsid w:val="00200355"/>
    <w:rsid w:val="0020036A"/>
    <w:rsid w:val="00200386"/>
    <w:rsid w:val="002003B5"/>
    <w:rsid w:val="00200409"/>
    <w:rsid w:val="00200502"/>
    <w:rsid w:val="0020052C"/>
    <w:rsid w:val="0020057D"/>
    <w:rsid w:val="0020057E"/>
    <w:rsid w:val="0020059C"/>
    <w:rsid w:val="002005C6"/>
    <w:rsid w:val="002005D5"/>
    <w:rsid w:val="002005F0"/>
    <w:rsid w:val="00200692"/>
    <w:rsid w:val="002006DF"/>
    <w:rsid w:val="00200707"/>
    <w:rsid w:val="00200735"/>
    <w:rsid w:val="0020078D"/>
    <w:rsid w:val="002007E7"/>
    <w:rsid w:val="00200821"/>
    <w:rsid w:val="00200825"/>
    <w:rsid w:val="0020083F"/>
    <w:rsid w:val="0020086B"/>
    <w:rsid w:val="0020096C"/>
    <w:rsid w:val="0020099E"/>
    <w:rsid w:val="002009C1"/>
    <w:rsid w:val="00200A2C"/>
    <w:rsid w:val="00200A36"/>
    <w:rsid w:val="00200AE8"/>
    <w:rsid w:val="00200BDA"/>
    <w:rsid w:val="00200C50"/>
    <w:rsid w:val="00200C58"/>
    <w:rsid w:val="00200C8B"/>
    <w:rsid w:val="00200C95"/>
    <w:rsid w:val="00200CF5"/>
    <w:rsid w:val="00200D1F"/>
    <w:rsid w:val="00200D3A"/>
    <w:rsid w:val="00200D5E"/>
    <w:rsid w:val="00200D63"/>
    <w:rsid w:val="00200D91"/>
    <w:rsid w:val="00200DAF"/>
    <w:rsid w:val="00200ECA"/>
    <w:rsid w:val="00200F3D"/>
    <w:rsid w:val="00200F63"/>
    <w:rsid w:val="00200FBE"/>
    <w:rsid w:val="00201006"/>
    <w:rsid w:val="00201158"/>
    <w:rsid w:val="002012C9"/>
    <w:rsid w:val="002012F3"/>
    <w:rsid w:val="0020145D"/>
    <w:rsid w:val="0020149A"/>
    <w:rsid w:val="00201601"/>
    <w:rsid w:val="0020161E"/>
    <w:rsid w:val="00201672"/>
    <w:rsid w:val="002016DE"/>
    <w:rsid w:val="00201726"/>
    <w:rsid w:val="00201746"/>
    <w:rsid w:val="002017B7"/>
    <w:rsid w:val="0020183F"/>
    <w:rsid w:val="00201889"/>
    <w:rsid w:val="002018C2"/>
    <w:rsid w:val="002019B6"/>
    <w:rsid w:val="00201A14"/>
    <w:rsid w:val="00201AEE"/>
    <w:rsid w:val="00201B31"/>
    <w:rsid w:val="00201B42"/>
    <w:rsid w:val="00201BAD"/>
    <w:rsid w:val="00201BC3"/>
    <w:rsid w:val="00201BE8"/>
    <w:rsid w:val="00201C34"/>
    <w:rsid w:val="00201C75"/>
    <w:rsid w:val="00201C90"/>
    <w:rsid w:val="00201CA1"/>
    <w:rsid w:val="00201CBB"/>
    <w:rsid w:val="00201CC6"/>
    <w:rsid w:val="00201DBF"/>
    <w:rsid w:val="00201EBB"/>
    <w:rsid w:val="00201FB8"/>
    <w:rsid w:val="00201FC9"/>
    <w:rsid w:val="00201FD0"/>
    <w:rsid w:val="0020203E"/>
    <w:rsid w:val="002021E4"/>
    <w:rsid w:val="00202200"/>
    <w:rsid w:val="0020227D"/>
    <w:rsid w:val="00202284"/>
    <w:rsid w:val="00202292"/>
    <w:rsid w:val="002022C4"/>
    <w:rsid w:val="002022F5"/>
    <w:rsid w:val="00202310"/>
    <w:rsid w:val="00202363"/>
    <w:rsid w:val="0020240D"/>
    <w:rsid w:val="0020244D"/>
    <w:rsid w:val="002024A4"/>
    <w:rsid w:val="002025AB"/>
    <w:rsid w:val="002025B7"/>
    <w:rsid w:val="00202620"/>
    <w:rsid w:val="0020273C"/>
    <w:rsid w:val="00202741"/>
    <w:rsid w:val="0020275E"/>
    <w:rsid w:val="002027CF"/>
    <w:rsid w:val="0020284D"/>
    <w:rsid w:val="0020286A"/>
    <w:rsid w:val="00202883"/>
    <w:rsid w:val="002028E3"/>
    <w:rsid w:val="002028F7"/>
    <w:rsid w:val="00202901"/>
    <w:rsid w:val="00202949"/>
    <w:rsid w:val="00202955"/>
    <w:rsid w:val="00202A8B"/>
    <w:rsid w:val="00202AB6"/>
    <w:rsid w:val="00202B66"/>
    <w:rsid w:val="00202BA8"/>
    <w:rsid w:val="00202C09"/>
    <w:rsid w:val="00202C14"/>
    <w:rsid w:val="00202CA9"/>
    <w:rsid w:val="00202CBE"/>
    <w:rsid w:val="00202D28"/>
    <w:rsid w:val="00202D84"/>
    <w:rsid w:val="00202E13"/>
    <w:rsid w:val="00202E4E"/>
    <w:rsid w:val="00202FDD"/>
    <w:rsid w:val="00203092"/>
    <w:rsid w:val="002030D1"/>
    <w:rsid w:val="002030D5"/>
    <w:rsid w:val="002030E7"/>
    <w:rsid w:val="00203141"/>
    <w:rsid w:val="0020329D"/>
    <w:rsid w:val="002032A5"/>
    <w:rsid w:val="002032F1"/>
    <w:rsid w:val="0020332A"/>
    <w:rsid w:val="002034CF"/>
    <w:rsid w:val="0020351E"/>
    <w:rsid w:val="0020363F"/>
    <w:rsid w:val="0020366A"/>
    <w:rsid w:val="0020372A"/>
    <w:rsid w:val="00203741"/>
    <w:rsid w:val="00203756"/>
    <w:rsid w:val="002038CE"/>
    <w:rsid w:val="00203A3B"/>
    <w:rsid w:val="00203A4D"/>
    <w:rsid w:val="00203AFC"/>
    <w:rsid w:val="00203AFE"/>
    <w:rsid w:val="00203C09"/>
    <w:rsid w:val="00203C13"/>
    <w:rsid w:val="00203C4B"/>
    <w:rsid w:val="00203CF5"/>
    <w:rsid w:val="00203DEC"/>
    <w:rsid w:val="00203E25"/>
    <w:rsid w:val="00203E46"/>
    <w:rsid w:val="00203E54"/>
    <w:rsid w:val="00203E6E"/>
    <w:rsid w:val="00203EC0"/>
    <w:rsid w:val="00203ED9"/>
    <w:rsid w:val="00203EF3"/>
    <w:rsid w:val="00203F4B"/>
    <w:rsid w:val="00203F53"/>
    <w:rsid w:val="0020401F"/>
    <w:rsid w:val="0020406B"/>
    <w:rsid w:val="0020407E"/>
    <w:rsid w:val="00204084"/>
    <w:rsid w:val="00204111"/>
    <w:rsid w:val="00204143"/>
    <w:rsid w:val="002041CF"/>
    <w:rsid w:val="002041D6"/>
    <w:rsid w:val="002041F6"/>
    <w:rsid w:val="00204231"/>
    <w:rsid w:val="00204242"/>
    <w:rsid w:val="00204303"/>
    <w:rsid w:val="0020430C"/>
    <w:rsid w:val="00204312"/>
    <w:rsid w:val="00204326"/>
    <w:rsid w:val="00204354"/>
    <w:rsid w:val="0020436B"/>
    <w:rsid w:val="002043BC"/>
    <w:rsid w:val="0020448D"/>
    <w:rsid w:val="002044F6"/>
    <w:rsid w:val="0020459B"/>
    <w:rsid w:val="002045B3"/>
    <w:rsid w:val="002045DF"/>
    <w:rsid w:val="00204699"/>
    <w:rsid w:val="002046AE"/>
    <w:rsid w:val="002046CE"/>
    <w:rsid w:val="002046F8"/>
    <w:rsid w:val="00204733"/>
    <w:rsid w:val="00204741"/>
    <w:rsid w:val="002047D2"/>
    <w:rsid w:val="002047E7"/>
    <w:rsid w:val="00204836"/>
    <w:rsid w:val="002048E3"/>
    <w:rsid w:val="00204985"/>
    <w:rsid w:val="002049C6"/>
    <w:rsid w:val="002049EE"/>
    <w:rsid w:val="00204A45"/>
    <w:rsid w:val="00204A68"/>
    <w:rsid w:val="00204BC4"/>
    <w:rsid w:val="00204C3E"/>
    <w:rsid w:val="00204CB3"/>
    <w:rsid w:val="00204CF3"/>
    <w:rsid w:val="00204E62"/>
    <w:rsid w:val="00204EFC"/>
    <w:rsid w:val="00204F3E"/>
    <w:rsid w:val="00204FD9"/>
    <w:rsid w:val="00204FEB"/>
    <w:rsid w:val="00205046"/>
    <w:rsid w:val="002050E8"/>
    <w:rsid w:val="00205132"/>
    <w:rsid w:val="00205165"/>
    <w:rsid w:val="0020516C"/>
    <w:rsid w:val="0020519E"/>
    <w:rsid w:val="002053A2"/>
    <w:rsid w:val="002053B5"/>
    <w:rsid w:val="002053D7"/>
    <w:rsid w:val="00205478"/>
    <w:rsid w:val="0020549C"/>
    <w:rsid w:val="002054DD"/>
    <w:rsid w:val="00205574"/>
    <w:rsid w:val="002055C9"/>
    <w:rsid w:val="00205605"/>
    <w:rsid w:val="0020563B"/>
    <w:rsid w:val="00205649"/>
    <w:rsid w:val="002057A4"/>
    <w:rsid w:val="002057B0"/>
    <w:rsid w:val="002057FE"/>
    <w:rsid w:val="00205848"/>
    <w:rsid w:val="002058AE"/>
    <w:rsid w:val="002058D6"/>
    <w:rsid w:val="002059AA"/>
    <w:rsid w:val="002059E7"/>
    <w:rsid w:val="00205A70"/>
    <w:rsid w:val="00205BA7"/>
    <w:rsid w:val="00205D75"/>
    <w:rsid w:val="00205D79"/>
    <w:rsid w:val="00205E37"/>
    <w:rsid w:val="00205EF9"/>
    <w:rsid w:val="00205F3C"/>
    <w:rsid w:val="00205FB6"/>
    <w:rsid w:val="00206000"/>
    <w:rsid w:val="00206008"/>
    <w:rsid w:val="0020604E"/>
    <w:rsid w:val="00206073"/>
    <w:rsid w:val="002060E4"/>
    <w:rsid w:val="00206114"/>
    <w:rsid w:val="00206122"/>
    <w:rsid w:val="002061B3"/>
    <w:rsid w:val="002061C3"/>
    <w:rsid w:val="00206205"/>
    <w:rsid w:val="002062DC"/>
    <w:rsid w:val="0020631D"/>
    <w:rsid w:val="002063D2"/>
    <w:rsid w:val="00206477"/>
    <w:rsid w:val="0020648A"/>
    <w:rsid w:val="0020652C"/>
    <w:rsid w:val="002065B7"/>
    <w:rsid w:val="00206660"/>
    <w:rsid w:val="002067E3"/>
    <w:rsid w:val="002067F0"/>
    <w:rsid w:val="002067F2"/>
    <w:rsid w:val="00206829"/>
    <w:rsid w:val="00206877"/>
    <w:rsid w:val="002069F5"/>
    <w:rsid w:val="00206A15"/>
    <w:rsid w:val="00206ADD"/>
    <w:rsid w:val="00206B22"/>
    <w:rsid w:val="00206B62"/>
    <w:rsid w:val="00206BFF"/>
    <w:rsid w:val="00206C21"/>
    <w:rsid w:val="00206C5D"/>
    <w:rsid w:val="00206D4F"/>
    <w:rsid w:val="00206D68"/>
    <w:rsid w:val="00206DBB"/>
    <w:rsid w:val="00206DDA"/>
    <w:rsid w:val="00206E0D"/>
    <w:rsid w:val="00206E2D"/>
    <w:rsid w:val="00206EF4"/>
    <w:rsid w:val="00206FA8"/>
    <w:rsid w:val="00206FB6"/>
    <w:rsid w:val="00207056"/>
    <w:rsid w:val="0020706D"/>
    <w:rsid w:val="002070AC"/>
    <w:rsid w:val="002070DC"/>
    <w:rsid w:val="002070E4"/>
    <w:rsid w:val="00207182"/>
    <w:rsid w:val="00207253"/>
    <w:rsid w:val="00207331"/>
    <w:rsid w:val="0020735D"/>
    <w:rsid w:val="00207373"/>
    <w:rsid w:val="002073D1"/>
    <w:rsid w:val="002074B4"/>
    <w:rsid w:val="002074BA"/>
    <w:rsid w:val="002074BE"/>
    <w:rsid w:val="00207500"/>
    <w:rsid w:val="00207592"/>
    <w:rsid w:val="002075E5"/>
    <w:rsid w:val="00207822"/>
    <w:rsid w:val="002078A7"/>
    <w:rsid w:val="00207995"/>
    <w:rsid w:val="00207A1E"/>
    <w:rsid w:val="00207A97"/>
    <w:rsid w:val="00207B65"/>
    <w:rsid w:val="00207B68"/>
    <w:rsid w:val="00207B6D"/>
    <w:rsid w:val="00207C1F"/>
    <w:rsid w:val="00207C23"/>
    <w:rsid w:val="00207C6C"/>
    <w:rsid w:val="00207C9F"/>
    <w:rsid w:val="00207D7B"/>
    <w:rsid w:val="00207D91"/>
    <w:rsid w:val="00207DF3"/>
    <w:rsid w:val="00207DF4"/>
    <w:rsid w:val="00207DFD"/>
    <w:rsid w:val="00207EC2"/>
    <w:rsid w:val="00207EF3"/>
    <w:rsid w:val="00207F39"/>
    <w:rsid w:val="00207F68"/>
    <w:rsid w:val="00207FC9"/>
    <w:rsid w:val="00210012"/>
    <w:rsid w:val="0021002E"/>
    <w:rsid w:val="002101CE"/>
    <w:rsid w:val="00210221"/>
    <w:rsid w:val="0021022C"/>
    <w:rsid w:val="0021025A"/>
    <w:rsid w:val="0021032D"/>
    <w:rsid w:val="0021035A"/>
    <w:rsid w:val="00210450"/>
    <w:rsid w:val="00210470"/>
    <w:rsid w:val="002104FA"/>
    <w:rsid w:val="0021059D"/>
    <w:rsid w:val="002105DF"/>
    <w:rsid w:val="002105FA"/>
    <w:rsid w:val="00210603"/>
    <w:rsid w:val="002106B6"/>
    <w:rsid w:val="002106E0"/>
    <w:rsid w:val="00210735"/>
    <w:rsid w:val="0021078F"/>
    <w:rsid w:val="002107DF"/>
    <w:rsid w:val="002107E2"/>
    <w:rsid w:val="00210840"/>
    <w:rsid w:val="0021085D"/>
    <w:rsid w:val="0021088B"/>
    <w:rsid w:val="002108B3"/>
    <w:rsid w:val="002108EF"/>
    <w:rsid w:val="0021098A"/>
    <w:rsid w:val="002109B5"/>
    <w:rsid w:val="002109E7"/>
    <w:rsid w:val="00210A19"/>
    <w:rsid w:val="00210B98"/>
    <w:rsid w:val="00210BC1"/>
    <w:rsid w:val="00210BCE"/>
    <w:rsid w:val="00210BD8"/>
    <w:rsid w:val="00210BDD"/>
    <w:rsid w:val="00210BF8"/>
    <w:rsid w:val="00210C17"/>
    <w:rsid w:val="00210C6D"/>
    <w:rsid w:val="00210CBA"/>
    <w:rsid w:val="00210CC3"/>
    <w:rsid w:val="00210CCF"/>
    <w:rsid w:val="00210D0B"/>
    <w:rsid w:val="00210D30"/>
    <w:rsid w:val="00210D32"/>
    <w:rsid w:val="00210D4E"/>
    <w:rsid w:val="00210D56"/>
    <w:rsid w:val="00210DFF"/>
    <w:rsid w:val="00210E1C"/>
    <w:rsid w:val="00210F64"/>
    <w:rsid w:val="00210F9F"/>
    <w:rsid w:val="00210FC6"/>
    <w:rsid w:val="00211044"/>
    <w:rsid w:val="00211052"/>
    <w:rsid w:val="002111A4"/>
    <w:rsid w:val="002111DC"/>
    <w:rsid w:val="002112AF"/>
    <w:rsid w:val="00211427"/>
    <w:rsid w:val="00211573"/>
    <w:rsid w:val="002115ED"/>
    <w:rsid w:val="00211609"/>
    <w:rsid w:val="002116A7"/>
    <w:rsid w:val="002116C0"/>
    <w:rsid w:val="00211709"/>
    <w:rsid w:val="0021176F"/>
    <w:rsid w:val="00211794"/>
    <w:rsid w:val="002117E4"/>
    <w:rsid w:val="00211806"/>
    <w:rsid w:val="00211827"/>
    <w:rsid w:val="00211857"/>
    <w:rsid w:val="0021185A"/>
    <w:rsid w:val="002118BD"/>
    <w:rsid w:val="00211906"/>
    <w:rsid w:val="002119B5"/>
    <w:rsid w:val="002119DB"/>
    <w:rsid w:val="002119E6"/>
    <w:rsid w:val="00211B55"/>
    <w:rsid w:val="00211BCE"/>
    <w:rsid w:val="00211C2F"/>
    <w:rsid w:val="00211CA3"/>
    <w:rsid w:val="00211DFD"/>
    <w:rsid w:val="00211E85"/>
    <w:rsid w:val="00211E8F"/>
    <w:rsid w:val="00211F57"/>
    <w:rsid w:val="00211F9B"/>
    <w:rsid w:val="0021219A"/>
    <w:rsid w:val="002121F5"/>
    <w:rsid w:val="0021220F"/>
    <w:rsid w:val="0021222A"/>
    <w:rsid w:val="0021226A"/>
    <w:rsid w:val="00212390"/>
    <w:rsid w:val="00212399"/>
    <w:rsid w:val="002123B6"/>
    <w:rsid w:val="00212452"/>
    <w:rsid w:val="0021251B"/>
    <w:rsid w:val="0021253E"/>
    <w:rsid w:val="00212550"/>
    <w:rsid w:val="002125EE"/>
    <w:rsid w:val="00212608"/>
    <w:rsid w:val="0021265D"/>
    <w:rsid w:val="0021269B"/>
    <w:rsid w:val="0021269F"/>
    <w:rsid w:val="002126DD"/>
    <w:rsid w:val="002127C6"/>
    <w:rsid w:val="002127E5"/>
    <w:rsid w:val="00212887"/>
    <w:rsid w:val="002128E0"/>
    <w:rsid w:val="00212918"/>
    <w:rsid w:val="00212A0A"/>
    <w:rsid w:val="00212A15"/>
    <w:rsid w:val="00212A16"/>
    <w:rsid w:val="00212A6A"/>
    <w:rsid w:val="00212A98"/>
    <w:rsid w:val="00212AC2"/>
    <w:rsid w:val="00212BBD"/>
    <w:rsid w:val="00212CE3"/>
    <w:rsid w:val="00212D36"/>
    <w:rsid w:val="00212D7D"/>
    <w:rsid w:val="00212D83"/>
    <w:rsid w:val="00212D91"/>
    <w:rsid w:val="00212DE1"/>
    <w:rsid w:val="00212E14"/>
    <w:rsid w:val="00212E42"/>
    <w:rsid w:val="00212EBA"/>
    <w:rsid w:val="00212ECC"/>
    <w:rsid w:val="00212F1F"/>
    <w:rsid w:val="00212F50"/>
    <w:rsid w:val="00212FC1"/>
    <w:rsid w:val="002130FF"/>
    <w:rsid w:val="00213161"/>
    <w:rsid w:val="002132A8"/>
    <w:rsid w:val="002133A3"/>
    <w:rsid w:val="00213412"/>
    <w:rsid w:val="0021348C"/>
    <w:rsid w:val="002134B7"/>
    <w:rsid w:val="0021354D"/>
    <w:rsid w:val="002135E5"/>
    <w:rsid w:val="00213660"/>
    <w:rsid w:val="00213664"/>
    <w:rsid w:val="00213678"/>
    <w:rsid w:val="00213692"/>
    <w:rsid w:val="002136E8"/>
    <w:rsid w:val="0021370F"/>
    <w:rsid w:val="00213840"/>
    <w:rsid w:val="0021389C"/>
    <w:rsid w:val="002138AD"/>
    <w:rsid w:val="00213910"/>
    <w:rsid w:val="00213925"/>
    <w:rsid w:val="00213947"/>
    <w:rsid w:val="00213974"/>
    <w:rsid w:val="002139A5"/>
    <w:rsid w:val="002139A8"/>
    <w:rsid w:val="00213A71"/>
    <w:rsid w:val="00213A84"/>
    <w:rsid w:val="00213AB7"/>
    <w:rsid w:val="00213AEE"/>
    <w:rsid w:val="00213B3F"/>
    <w:rsid w:val="00213B63"/>
    <w:rsid w:val="00213B67"/>
    <w:rsid w:val="00213B95"/>
    <w:rsid w:val="00213BA3"/>
    <w:rsid w:val="00213BEF"/>
    <w:rsid w:val="00213C88"/>
    <w:rsid w:val="00213CA3"/>
    <w:rsid w:val="00213CEE"/>
    <w:rsid w:val="00213DA4"/>
    <w:rsid w:val="00213DD6"/>
    <w:rsid w:val="00213E04"/>
    <w:rsid w:val="00213EE8"/>
    <w:rsid w:val="00213F31"/>
    <w:rsid w:val="00213F70"/>
    <w:rsid w:val="00214032"/>
    <w:rsid w:val="002140B6"/>
    <w:rsid w:val="00214139"/>
    <w:rsid w:val="0021418F"/>
    <w:rsid w:val="002141B2"/>
    <w:rsid w:val="002141D1"/>
    <w:rsid w:val="00214226"/>
    <w:rsid w:val="00214272"/>
    <w:rsid w:val="002142AE"/>
    <w:rsid w:val="002142D3"/>
    <w:rsid w:val="0021432A"/>
    <w:rsid w:val="00214341"/>
    <w:rsid w:val="00214352"/>
    <w:rsid w:val="00214374"/>
    <w:rsid w:val="002143B0"/>
    <w:rsid w:val="002143B1"/>
    <w:rsid w:val="002143CB"/>
    <w:rsid w:val="0021447A"/>
    <w:rsid w:val="00214501"/>
    <w:rsid w:val="0021467E"/>
    <w:rsid w:val="002146EC"/>
    <w:rsid w:val="0021471C"/>
    <w:rsid w:val="0021488C"/>
    <w:rsid w:val="00214890"/>
    <w:rsid w:val="002148BE"/>
    <w:rsid w:val="002148CF"/>
    <w:rsid w:val="002149FD"/>
    <w:rsid w:val="00214AA5"/>
    <w:rsid w:val="00214BC6"/>
    <w:rsid w:val="00214C84"/>
    <w:rsid w:val="00214E02"/>
    <w:rsid w:val="00214E77"/>
    <w:rsid w:val="00214EAE"/>
    <w:rsid w:val="00214ED8"/>
    <w:rsid w:val="00214EEF"/>
    <w:rsid w:val="00214F18"/>
    <w:rsid w:val="00214F44"/>
    <w:rsid w:val="00214F54"/>
    <w:rsid w:val="00214FC6"/>
    <w:rsid w:val="00215049"/>
    <w:rsid w:val="0021505E"/>
    <w:rsid w:val="002150AC"/>
    <w:rsid w:val="002150D0"/>
    <w:rsid w:val="00215100"/>
    <w:rsid w:val="0021514C"/>
    <w:rsid w:val="002151EF"/>
    <w:rsid w:val="002151FC"/>
    <w:rsid w:val="0021531E"/>
    <w:rsid w:val="00215345"/>
    <w:rsid w:val="002153DE"/>
    <w:rsid w:val="00215405"/>
    <w:rsid w:val="0021542A"/>
    <w:rsid w:val="00215438"/>
    <w:rsid w:val="00215487"/>
    <w:rsid w:val="002154D3"/>
    <w:rsid w:val="002154E2"/>
    <w:rsid w:val="002155F5"/>
    <w:rsid w:val="0021560F"/>
    <w:rsid w:val="002156B6"/>
    <w:rsid w:val="002156F2"/>
    <w:rsid w:val="00215722"/>
    <w:rsid w:val="00215771"/>
    <w:rsid w:val="00215784"/>
    <w:rsid w:val="00215790"/>
    <w:rsid w:val="002157D5"/>
    <w:rsid w:val="00215826"/>
    <w:rsid w:val="0021585B"/>
    <w:rsid w:val="002158FE"/>
    <w:rsid w:val="0021591A"/>
    <w:rsid w:val="00215AB0"/>
    <w:rsid w:val="00215BEB"/>
    <w:rsid w:val="00215C03"/>
    <w:rsid w:val="00215C13"/>
    <w:rsid w:val="00215C62"/>
    <w:rsid w:val="00215D21"/>
    <w:rsid w:val="00215D56"/>
    <w:rsid w:val="00215DA0"/>
    <w:rsid w:val="00215E13"/>
    <w:rsid w:val="00215E88"/>
    <w:rsid w:val="00215F3C"/>
    <w:rsid w:val="00215FBA"/>
    <w:rsid w:val="00215FF7"/>
    <w:rsid w:val="00216074"/>
    <w:rsid w:val="00216146"/>
    <w:rsid w:val="00216149"/>
    <w:rsid w:val="00216231"/>
    <w:rsid w:val="002162B9"/>
    <w:rsid w:val="002162D1"/>
    <w:rsid w:val="00216397"/>
    <w:rsid w:val="00216423"/>
    <w:rsid w:val="0021643F"/>
    <w:rsid w:val="00216461"/>
    <w:rsid w:val="002164D0"/>
    <w:rsid w:val="00216552"/>
    <w:rsid w:val="00216578"/>
    <w:rsid w:val="00216679"/>
    <w:rsid w:val="00216760"/>
    <w:rsid w:val="00216841"/>
    <w:rsid w:val="00216843"/>
    <w:rsid w:val="0021684D"/>
    <w:rsid w:val="002168F1"/>
    <w:rsid w:val="002168F9"/>
    <w:rsid w:val="00216921"/>
    <w:rsid w:val="002169E0"/>
    <w:rsid w:val="00216A90"/>
    <w:rsid w:val="00216AA0"/>
    <w:rsid w:val="00216ACC"/>
    <w:rsid w:val="00216B10"/>
    <w:rsid w:val="00216D05"/>
    <w:rsid w:val="00216D0B"/>
    <w:rsid w:val="00216D3A"/>
    <w:rsid w:val="00216DAA"/>
    <w:rsid w:val="00216DD3"/>
    <w:rsid w:val="00216E19"/>
    <w:rsid w:val="00216E1C"/>
    <w:rsid w:val="00216E74"/>
    <w:rsid w:val="00216E80"/>
    <w:rsid w:val="00216EF1"/>
    <w:rsid w:val="00216F31"/>
    <w:rsid w:val="00216F69"/>
    <w:rsid w:val="00216FA1"/>
    <w:rsid w:val="00216FAB"/>
    <w:rsid w:val="00216FDC"/>
    <w:rsid w:val="00217034"/>
    <w:rsid w:val="00217037"/>
    <w:rsid w:val="002170DF"/>
    <w:rsid w:val="0021714D"/>
    <w:rsid w:val="002171B8"/>
    <w:rsid w:val="002172DF"/>
    <w:rsid w:val="00217315"/>
    <w:rsid w:val="00217363"/>
    <w:rsid w:val="00217415"/>
    <w:rsid w:val="0021744F"/>
    <w:rsid w:val="0021746C"/>
    <w:rsid w:val="002175BD"/>
    <w:rsid w:val="002175F9"/>
    <w:rsid w:val="00217691"/>
    <w:rsid w:val="002176DE"/>
    <w:rsid w:val="00217716"/>
    <w:rsid w:val="002177BC"/>
    <w:rsid w:val="00217853"/>
    <w:rsid w:val="0021785D"/>
    <w:rsid w:val="0021790D"/>
    <w:rsid w:val="002179A3"/>
    <w:rsid w:val="00217A46"/>
    <w:rsid w:val="00217A53"/>
    <w:rsid w:val="00217A9D"/>
    <w:rsid w:val="00217AE9"/>
    <w:rsid w:val="00217B49"/>
    <w:rsid w:val="00217BBE"/>
    <w:rsid w:val="00217BBF"/>
    <w:rsid w:val="00217C9E"/>
    <w:rsid w:val="00217CCB"/>
    <w:rsid w:val="00217CE1"/>
    <w:rsid w:val="00217D42"/>
    <w:rsid w:val="00217D6F"/>
    <w:rsid w:val="00217E54"/>
    <w:rsid w:val="00217EA4"/>
    <w:rsid w:val="00217EB6"/>
    <w:rsid w:val="0022002C"/>
    <w:rsid w:val="00220124"/>
    <w:rsid w:val="00220211"/>
    <w:rsid w:val="00220283"/>
    <w:rsid w:val="0022032E"/>
    <w:rsid w:val="002203E2"/>
    <w:rsid w:val="0022048F"/>
    <w:rsid w:val="002204B6"/>
    <w:rsid w:val="00220559"/>
    <w:rsid w:val="00220592"/>
    <w:rsid w:val="002205A2"/>
    <w:rsid w:val="0022064C"/>
    <w:rsid w:val="0022064E"/>
    <w:rsid w:val="0022068B"/>
    <w:rsid w:val="002206A6"/>
    <w:rsid w:val="0022073B"/>
    <w:rsid w:val="002207C7"/>
    <w:rsid w:val="0022080F"/>
    <w:rsid w:val="0022087B"/>
    <w:rsid w:val="002208AF"/>
    <w:rsid w:val="002208D8"/>
    <w:rsid w:val="00220971"/>
    <w:rsid w:val="00220980"/>
    <w:rsid w:val="0022099B"/>
    <w:rsid w:val="002209CB"/>
    <w:rsid w:val="002209D9"/>
    <w:rsid w:val="002209E4"/>
    <w:rsid w:val="002209E6"/>
    <w:rsid w:val="00220A57"/>
    <w:rsid w:val="00220A9E"/>
    <w:rsid w:val="00220B54"/>
    <w:rsid w:val="00220B97"/>
    <w:rsid w:val="00220C41"/>
    <w:rsid w:val="00220C88"/>
    <w:rsid w:val="00220CD0"/>
    <w:rsid w:val="00220DAF"/>
    <w:rsid w:val="00220E70"/>
    <w:rsid w:val="00220EA1"/>
    <w:rsid w:val="00220EB0"/>
    <w:rsid w:val="00220F02"/>
    <w:rsid w:val="00220F83"/>
    <w:rsid w:val="00220FED"/>
    <w:rsid w:val="00221002"/>
    <w:rsid w:val="00221039"/>
    <w:rsid w:val="00221054"/>
    <w:rsid w:val="00221090"/>
    <w:rsid w:val="00221118"/>
    <w:rsid w:val="0022112F"/>
    <w:rsid w:val="0022113B"/>
    <w:rsid w:val="0022115C"/>
    <w:rsid w:val="0022119D"/>
    <w:rsid w:val="002211A6"/>
    <w:rsid w:val="002212E7"/>
    <w:rsid w:val="002212E8"/>
    <w:rsid w:val="002212F7"/>
    <w:rsid w:val="00221395"/>
    <w:rsid w:val="002213B6"/>
    <w:rsid w:val="002213EB"/>
    <w:rsid w:val="00221417"/>
    <w:rsid w:val="00221454"/>
    <w:rsid w:val="002214E2"/>
    <w:rsid w:val="002214FE"/>
    <w:rsid w:val="00221510"/>
    <w:rsid w:val="0022153D"/>
    <w:rsid w:val="00221567"/>
    <w:rsid w:val="00221624"/>
    <w:rsid w:val="00221628"/>
    <w:rsid w:val="0022169B"/>
    <w:rsid w:val="002216B6"/>
    <w:rsid w:val="002216E8"/>
    <w:rsid w:val="002216E9"/>
    <w:rsid w:val="00221715"/>
    <w:rsid w:val="0022173B"/>
    <w:rsid w:val="0022178F"/>
    <w:rsid w:val="002217DD"/>
    <w:rsid w:val="002217EB"/>
    <w:rsid w:val="00221856"/>
    <w:rsid w:val="0022186A"/>
    <w:rsid w:val="002218EA"/>
    <w:rsid w:val="00221923"/>
    <w:rsid w:val="0022195B"/>
    <w:rsid w:val="002219BD"/>
    <w:rsid w:val="00221B07"/>
    <w:rsid w:val="00221B90"/>
    <w:rsid w:val="00221B9C"/>
    <w:rsid w:val="00221C2F"/>
    <w:rsid w:val="00221C3C"/>
    <w:rsid w:val="00221CB3"/>
    <w:rsid w:val="00221D3E"/>
    <w:rsid w:val="00221DC1"/>
    <w:rsid w:val="00221E1B"/>
    <w:rsid w:val="00221E89"/>
    <w:rsid w:val="0022201B"/>
    <w:rsid w:val="00222100"/>
    <w:rsid w:val="0022219F"/>
    <w:rsid w:val="002221CE"/>
    <w:rsid w:val="0022226C"/>
    <w:rsid w:val="002222F1"/>
    <w:rsid w:val="00222344"/>
    <w:rsid w:val="00222350"/>
    <w:rsid w:val="0022239E"/>
    <w:rsid w:val="0022240B"/>
    <w:rsid w:val="0022247B"/>
    <w:rsid w:val="00222555"/>
    <w:rsid w:val="002225DB"/>
    <w:rsid w:val="00222616"/>
    <w:rsid w:val="002226F9"/>
    <w:rsid w:val="00222709"/>
    <w:rsid w:val="00222793"/>
    <w:rsid w:val="00222796"/>
    <w:rsid w:val="002227D6"/>
    <w:rsid w:val="0022290E"/>
    <w:rsid w:val="002229C9"/>
    <w:rsid w:val="00222A12"/>
    <w:rsid w:val="00222A16"/>
    <w:rsid w:val="00222A20"/>
    <w:rsid w:val="00222AE0"/>
    <w:rsid w:val="00222AFF"/>
    <w:rsid w:val="00222BA7"/>
    <w:rsid w:val="00222BB6"/>
    <w:rsid w:val="00222BFD"/>
    <w:rsid w:val="00222D36"/>
    <w:rsid w:val="00222D5B"/>
    <w:rsid w:val="00222D7E"/>
    <w:rsid w:val="00222D93"/>
    <w:rsid w:val="00222DBD"/>
    <w:rsid w:val="00222E41"/>
    <w:rsid w:val="00222E59"/>
    <w:rsid w:val="00222E61"/>
    <w:rsid w:val="00222EF3"/>
    <w:rsid w:val="00222FC6"/>
    <w:rsid w:val="00222FC7"/>
    <w:rsid w:val="00223065"/>
    <w:rsid w:val="00223083"/>
    <w:rsid w:val="002230CF"/>
    <w:rsid w:val="002230D2"/>
    <w:rsid w:val="00223180"/>
    <w:rsid w:val="00223198"/>
    <w:rsid w:val="0022319F"/>
    <w:rsid w:val="00223212"/>
    <w:rsid w:val="00223214"/>
    <w:rsid w:val="002232B7"/>
    <w:rsid w:val="0022335B"/>
    <w:rsid w:val="002233A5"/>
    <w:rsid w:val="002233C7"/>
    <w:rsid w:val="00223418"/>
    <w:rsid w:val="0022343B"/>
    <w:rsid w:val="00223475"/>
    <w:rsid w:val="00223510"/>
    <w:rsid w:val="00223527"/>
    <w:rsid w:val="002235A2"/>
    <w:rsid w:val="002235AD"/>
    <w:rsid w:val="002235AF"/>
    <w:rsid w:val="002235B1"/>
    <w:rsid w:val="002235E7"/>
    <w:rsid w:val="0022362C"/>
    <w:rsid w:val="00223637"/>
    <w:rsid w:val="002236A3"/>
    <w:rsid w:val="002236CA"/>
    <w:rsid w:val="00223762"/>
    <w:rsid w:val="00223779"/>
    <w:rsid w:val="002237A2"/>
    <w:rsid w:val="00223811"/>
    <w:rsid w:val="00223880"/>
    <w:rsid w:val="00223889"/>
    <w:rsid w:val="0022388D"/>
    <w:rsid w:val="002238C0"/>
    <w:rsid w:val="002238D8"/>
    <w:rsid w:val="002238E3"/>
    <w:rsid w:val="0022392E"/>
    <w:rsid w:val="00223945"/>
    <w:rsid w:val="00223950"/>
    <w:rsid w:val="00223985"/>
    <w:rsid w:val="00223A06"/>
    <w:rsid w:val="00223A2E"/>
    <w:rsid w:val="00223AAE"/>
    <w:rsid w:val="00223B8D"/>
    <w:rsid w:val="00223BD5"/>
    <w:rsid w:val="00223BE3"/>
    <w:rsid w:val="00223C14"/>
    <w:rsid w:val="00223C6B"/>
    <w:rsid w:val="00223CA9"/>
    <w:rsid w:val="00223CAC"/>
    <w:rsid w:val="00223D8C"/>
    <w:rsid w:val="00223D8F"/>
    <w:rsid w:val="00223DEC"/>
    <w:rsid w:val="00223DF0"/>
    <w:rsid w:val="00223DFC"/>
    <w:rsid w:val="00223E2C"/>
    <w:rsid w:val="00223E40"/>
    <w:rsid w:val="00223E65"/>
    <w:rsid w:val="00223F3A"/>
    <w:rsid w:val="00223F4D"/>
    <w:rsid w:val="00223F87"/>
    <w:rsid w:val="00223FDE"/>
    <w:rsid w:val="00224024"/>
    <w:rsid w:val="002240A3"/>
    <w:rsid w:val="002240D4"/>
    <w:rsid w:val="0022411B"/>
    <w:rsid w:val="0022418D"/>
    <w:rsid w:val="002241C9"/>
    <w:rsid w:val="002241F4"/>
    <w:rsid w:val="0022420A"/>
    <w:rsid w:val="00224235"/>
    <w:rsid w:val="002242AF"/>
    <w:rsid w:val="002242D7"/>
    <w:rsid w:val="002242DB"/>
    <w:rsid w:val="00224364"/>
    <w:rsid w:val="00224385"/>
    <w:rsid w:val="002243FB"/>
    <w:rsid w:val="0022442E"/>
    <w:rsid w:val="0022449D"/>
    <w:rsid w:val="002244BC"/>
    <w:rsid w:val="002244E7"/>
    <w:rsid w:val="00224522"/>
    <w:rsid w:val="0022457D"/>
    <w:rsid w:val="00224653"/>
    <w:rsid w:val="00224661"/>
    <w:rsid w:val="0022471D"/>
    <w:rsid w:val="00224759"/>
    <w:rsid w:val="0022478A"/>
    <w:rsid w:val="002247BF"/>
    <w:rsid w:val="002247C0"/>
    <w:rsid w:val="00224805"/>
    <w:rsid w:val="0022481A"/>
    <w:rsid w:val="0022481D"/>
    <w:rsid w:val="00224838"/>
    <w:rsid w:val="00224845"/>
    <w:rsid w:val="0022492B"/>
    <w:rsid w:val="00224941"/>
    <w:rsid w:val="002249C5"/>
    <w:rsid w:val="00224A04"/>
    <w:rsid w:val="00224A06"/>
    <w:rsid w:val="00224B0E"/>
    <w:rsid w:val="00224B94"/>
    <w:rsid w:val="00224C28"/>
    <w:rsid w:val="00224C56"/>
    <w:rsid w:val="00224C60"/>
    <w:rsid w:val="00224C69"/>
    <w:rsid w:val="00224CBD"/>
    <w:rsid w:val="00224D98"/>
    <w:rsid w:val="00224DD9"/>
    <w:rsid w:val="00224E09"/>
    <w:rsid w:val="00224E0B"/>
    <w:rsid w:val="00224E60"/>
    <w:rsid w:val="00224EF6"/>
    <w:rsid w:val="00224FBC"/>
    <w:rsid w:val="00224FC5"/>
    <w:rsid w:val="0022507A"/>
    <w:rsid w:val="002250B3"/>
    <w:rsid w:val="0022514B"/>
    <w:rsid w:val="0022515F"/>
    <w:rsid w:val="0022517D"/>
    <w:rsid w:val="002252CF"/>
    <w:rsid w:val="00225324"/>
    <w:rsid w:val="00225393"/>
    <w:rsid w:val="00225412"/>
    <w:rsid w:val="00225445"/>
    <w:rsid w:val="00225492"/>
    <w:rsid w:val="002254BB"/>
    <w:rsid w:val="002256D5"/>
    <w:rsid w:val="00225700"/>
    <w:rsid w:val="00225712"/>
    <w:rsid w:val="00225757"/>
    <w:rsid w:val="0022581E"/>
    <w:rsid w:val="0022582F"/>
    <w:rsid w:val="00225892"/>
    <w:rsid w:val="002258AA"/>
    <w:rsid w:val="002258FA"/>
    <w:rsid w:val="00225993"/>
    <w:rsid w:val="002259E1"/>
    <w:rsid w:val="002259E8"/>
    <w:rsid w:val="00225A1E"/>
    <w:rsid w:val="00225A8E"/>
    <w:rsid w:val="00225B79"/>
    <w:rsid w:val="00225BBB"/>
    <w:rsid w:val="00225D11"/>
    <w:rsid w:val="00225DC2"/>
    <w:rsid w:val="00225DE5"/>
    <w:rsid w:val="00225E1B"/>
    <w:rsid w:val="00225E4E"/>
    <w:rsid w:val="00225F09"/>
    <w:rsid w:val="00225F2B"/>
    <w:rsid w:val="00225F38"/>
    <w:rsid w:val="002260BB"/>
    <w:rsid w:val="002260E8"/>
    <w:rsid w:val="002262AD"/>
    <w:rsid w:val="00226329"/>
    <w:rsid w:val="002263BA"/>
    <w:rsid w:val="002263DB"/>
    <w:rsid w:val="00226449"/>
    <w:rsid w:val="00226471"/>
    <w:rsid w:val="002264CE"/>
    <w:rsid w:val="002265DD"/>
    <w:rsid w:val="00226665"/>
    <w:rsid w:val="00226773"/>
    <w:rsid w:val="0022679E"/>
    <w:rsid w:val="002267DD"/>
    <w:rsid w:val="0022683C"/>
    <w:rsid w:val="00226890"/>
    <w:rsid w:val="002268CC"/>
    <w:rsid w:val="002268D9"/>
    <w:rsid w:val="002269A2"/>
    <w:rsid w:val="002269A5"/>
    <w:rsid w:val="00226AFA"/>
    <w:rsid w:val="00226B30"/>
    <w:rsid w:val="00226B73"/>
    <w:rsid w:val="00226BE2"/>
    <w:rsid w:val="00226C33"/>
    <w:rsid w:val="00226C4C"/>
    <w:rsid w:val="00226C6D"/>
    <w:rsid w:val="00226D27"/>
    <w:rsid w:val="00226D3A"/>
    <w:rsid w:val="00226F94"/>
    <w:rsid w:val="00226FED"/>
    <w:rsid w:val="002270AC"/>
    <w:rsid w:val="0022711F"/>
    <w:rsid w:val="0022712B"/>
    <w:rsid w:val="00227236"/>
    <w:rsid w:val="002272E6"/>
    <w:rsid w:val="00227309"/>
    <w:rsid w:val="0022738D"/>
    <w:rsid w:val="002273C0"/>
    <w:rsid w:val="00227440"/>
    <w:rsid w:val="0022744F"/>
    <w:rsid w:val="002274B5"/>
    <w:rsid w:val="002274D6"/>
    <w:rsid w:val="00227542"/>
    <w:rsid w:val="002275B0"/>
    <w:rsid w:val="002276CD"/>
    <w:rsid w:val="00227744"/>
    <w:rsid w:val="0022776F"/>
    <w:rsid w:val="00227772"/>
    <w:rsid w:val="00227794"/>
    <w:rsid w:val="00227837"/>
    <w:rsid w:val="0022783C"/>
    <w:rsid w:val="002278AB"/>
    <w:rsid w:val="002278B5"/>
    <w:rsid w:val="002278DC"/>
    <w:rsid w:val="00227916"/>
    <w:rsid w:val="0022791F"/>
    <w:rsid w:val="00227927"/>
    <w:rsid w:val="00227969"/>
    <w:rsid w:val="002279B2"/>
    <w:rsid w:val="002279F8"/>
    <w:rsid w:val="00227A04"/>
    <w:rsid w:val="00227A9D"/>
    <w:rsid w:val="00227B26"/>
    <w:rsid w:val="00227BAC"/>
    <w:rsid w:val="00227BC1"/>
    <w:rsid w:val="00227C0E"/>
    <w:rsid w:val="00227C62"/>
    <w:rsid w:val="00227CBC"/>
    <w:rsid w:val="00227D39"/>
    <w:rsid w:val="00227DA6"/>
    <w:rsid w:val="00227E6C"/>
    <w:rsid w:val="00227F3B"/>
    <w:rsid w:val="00227F42"/>
    <w:rsid w:val="00227FEB"/>
    <w:rsid w:val="00230009"/>
    <w:rsid w:val="00230016"/>
    <w:rsid w:val="00230054"/>
    <w:rsid w:val="0023009D"/>
    <w:rsid w:val="002300BE"/>
    <w:rsid w:val="00230142"/>
    <w:rsid w:val="002301AE"/>
    <w:rsid w:val="002302B4"/>
    <w:rsid w:val="00230340"/>
    <w:rsid w:val="00230374"/>
    <w:rsid w:val="00230396"/>
    <w:rsid w:val="002303BA"/>
    <w:rsid w:val="00230422"/>
    <w:rsid w:val="00230497"/>
    <w:rsid w:val="002304A4"/>
    <w:rsid w:val="002304F3"/>
    <w:rsid w:val="0023054B"/>
    <w:rsid w:val="002305FD"/>
    <w:rsid w:val="002306BD"/>
    <w:rsid w:val="002306D1"/>
    <w:rsid w:val="002306D6"/>
    <w:rsid w:val="0023079B"/>
    <w:rsid w:val="0023084D"/>
    <w:rsid w:val="00230986"/>
    <w:rsid w:val="0023099F"/>
    <w:rsid w:val="00230A37"/>
    <w:rsid w:val="00230AF5"/>
    <w:rsid w:val="00230B0F"/>
    <w:rsid w:val="00230B74"/>
    <w:rsid w:val="00230BF8"/>
    <w:rsid w:val="00230DC8"/>
    <w:rsid w:val="00230EAA"/>
    <w:rsid w:val="00230EB2"/>
    <w:rsid w:val="00230ED3"/>
    <w:rsid w:val="00230ED4"/>
    <w:rsid w:val="00230FC8"/>
    <w:rsid w:val="00230FE3"/>
    <w:rsid w:val="0023108D"/>
    <w:rsid w:val="0023108E"/>
    <w:rsid w:val="002310A6"/>
    <w:rsid w:val="0023116B"/>
    <w:rsid w:val="00231223"/>
    <w:rsid w:val="00231270"/>
    <w:rsid w:val="00231275"/>
    <w:rsid w:val="002312B7"/>
    <w:rsid w:val="002312FA"/>
    <w:rsid w:val="0023134C"/>
    <w:rsid w:val="00231377"/>
    <w:rsid w:val="002313E5"/>
    <w:rsid w:val="002314AD"/>
    <w:rsid w:val="002314C5"/>
    <w:rsid w:val="002314FA"/>
    <w:rsid w:val="0023151B"/>
    <w:rsid w:val="002315B7"/>
    <w:rsid w:val="002315C7"/>
    <w:rsid w:val="002315DE"/>
    <w:rsid w:val="002315F3"/>
    <w:rsid w:val="002315FF"/>
    <w:rsid w:val="00231653"/>
    <w:rsid w:val="00231665"/>
    <w:rsid w:val="002316DF"/>
    <w:rsid w:val="002317FB"/>
    <w:rsid w:val="0023186E"/>
    <w:rsid w:val="002319E2"/>
    <w:rsid w:val="00231A0E"/>
    <w:rsid w:val="00231AEA"/>
    <w:rsid w:val="00231B37"/>
    <w:rsid w:val="00231BBD"/>
    <w:rsid w:val="00231C4F"/>
    <w:rsid w:val="00231C85"/>
    <w:rsid w:val="00231D1B"/>
    <w:rsid w:val="00231D26"/>
    <w:rsid w:val="00231D50"/>
    <w:rsid w:val="00231DA3"/>
    <w:rsid w:val="00231DB1"/>
    <w:rsid w:val="00231DEB"/>
    <w:rsid w:val="00231F40"/>
    <w:rsid w:val="00231F53"/>
    <w:rsid w:val="00231FC7"/>
    <w:rsid w:val="00232016"/>
    <w:rsid w:val="002320D7"/>
    <w:rsid w:val="002320DB"/>
    <w:rsid w:val="00232116"/>
    <w:rsid w:val="002321E7"/>
    <w:rsid w:val="00232229"/>
    <w:rsid w:val="0023222C"/>
    <w:rsid w:val="00232259"/>
    <w:rsid w:val="00232286"/>
    <w:rsid w:val="002322BC"/>
    <w:rsid w:val="002323A5"/>
    <w:rsid w:val="002323AD"/>
    <w:rsid w:val="0023243A"/>
    <w:rsid w:val="0023245F"/>
    <w:rsid w:val="00232541"/>
    <w:rsid w:val="00232661"/>
    <w:rsid w:val="00232671"/>
    <w:rsid w:val="002326BB"/>
    <w:rsid w:val="002326C4"/>
    <w:rsid w:val="00232735"/>
    <w:rsid w:val="00232788"/>
    <w:rsid w:val="00232931"/>
    <w:rsid w:val="00232938"/>
    <w:rsid w:val="00232945"/>
    <w:rsid w:val="00232959"/>
    <w:rsid w:val="00232987"/>
    <w:rsid w:val="002329D7"/>
    <w:rsid w:val="00232A86"/>
    <w:rsid w:val="00232A95"/>
    <w:rsid w:val="00232A9A"/>
    <w:rsid w:val="00232B28"/>
    <w:rsid w:val="00232C00"/>
    <w:rsid w:val="00232D30"/>
    <w:rsid w:val="00232DF2"/>
    <w:rsid w:val="00232E5B"/>
    <w:rsid w:val="00232F5E"/>
    <w:rsid w:val="0023302B"/>
    <w:rsid w:val="0023307E"/>
    <w:rsid w:val="002331A9"/>
    <w:rsid w:val="002331EB"/>
    <w:rsid w:val="002331FD"/>
    <w:rsid w:val="00233210"/>
    <w:rsid w:val="0023328C"/>
    <w:rsid w:val="0023330F"/>
    <w:rsid w:val="00233323"/>
    <w:rsid w:val="00233332"/>
    <w:rsid w:val="00233450"/>
    <w:rsid w:val="0023356F"/>
    <w:rsid w:val="002335ED"/>
    <w:rsid w:val="0023364E"/>
    <w:rsid w:val="00233669"/>
    <w:rsid w:val="00233680"/>
    <w:rsid w:val="002336AC"/>
    <w:rsid w:val="00233726"/>
    <w:rsid w:val="0023372E"/>
    <w:rsid w:val="00233783"/>
    <w:rsid w:val="00233792"/>
    <w:rsid w:val="002337B1"/>
    <w:rsid w:val="002338AE"/>
    <w:rsid w:val="002338C7"/>
    <w:rsid w:val="00233971"/>
    <w:rsid w:val="00233B5E"/>
    <w:rsid w:val="00233BA2"/>
    <w:rsid w:val="00233CA3"/>
    <w:rsid w:val="00233CCB"/>
    <w:rsid w:val="00233CE5"/>
    <w:rsid w:val="00233CE9"/>
    <w:rsid w:val="00233D0F"/>
    <w:rsid w:val="00233D13"/>
    <w:rsid w:val="00233D3E"/>
    <w:rsid w:val="00233D55"/>
    <w:rsid w:val="00233E19"/>
    <w:rsid w:val="00233EBB"/>
    <w:rsid w:val="00233EFC"/>
    <w:rsid w:val="00233F63"/>
    <w:rsid w:val="00233FE2"/>
    <w:rsid w:val="00233FF9"/>
    <w:rsid w:val="002340DF"/>
    <w:rsid w:val="0023413E"/>
    <w:rsid w:val="002341D9"/>
    <w:rsid w:val="002342A2"/>
    <w:rsid w:val="00234418"/>
    <w:rsid w:val="00234470"/>
    <w:rsid w:val="00234509"/>
    <w:rsid w:val="0023453D"/>
    <w:rsid w:val="0023458E"/>
    <w:rsid w:val="002345AF"/>
    <w:rsid w:val="002345B9"/>
    <w:rsid w:val="002345C0"/>
    <w:rsid w:val="00234633"/>
    <w:rsid w:val="00234635"/>
    <w:rsid w:val="002346A2"/>
    <w:rsid w:val="002346B7"/>
    <w:rsid w:val="002346E2"/>
    <w:rsid w:val="002347CB"/>
    <w:rsid w:val="002347E2"/>
    <w:rsid w:val="00234944"/>
    <w:rsid w:val="00234968"/>
    <w:rsid w:val="00234A68"/>
    <w:rsid w:val="00234B12"/>
    <w:rsid w:val="00234C23"/>
    <w:rsid w:val="00234D20"/>
    <w:rsid w:val="00234D49"/>
    <w:rsid w:val="00234D5B"/>
    <w:rsid w:val="00234D94"/>
    <w:rsid w:val="00234DCD"/>
    <w:rsid w:val="00234E2F"/>
    <w:rsid w:val="00234E46"/>
    <w:rsid w:val="00234E51"/>
    <w:rsid w:val="00234E6D"/>
    <w:rsid w:val="00234F18"/>
    <w:rsid w:val="00234F31"/>
    <w:rsid w:val="00234F34"/>
    <w:rsid w:val="0023503B"/>
    <w:rsid w:val="002350E0"/>
    <w:rsid w:val="0023512E"/>
    <w:rsid w:val="0023513A"/>
    <w:rsid w:val="002351F9"/>
    <w:rsid w:val="002352B3"/>
    <w:rsid w:val="002353D8"/>
    <w:rsid w:val="0023544C"/>
    <w:rsid w:val="002354AF"/>
    <w:rsid w:val="00235524"/>
    <w:rsid w:val="00235661"/>
    <w:rsid w:val="0023566A"/>
    <w:rsid w:val="002356E2"/>
    <w:rsid w:val="00235848"/>
    <w:rsid w:val="00235884"/>
    <w:rsid w:val="0023593C"/>
    <w:rsid w:val="002359BF"/>
    <w:rsid w:val="002359CD"/>
    <w:rsid w:val="00235A37"/>
    <w:rsid w:val="00235A6C"/>
    <w:rsid w:val="00235B5B"/>
    <w:rsid w:val="00235B73"/>
    <w:rsid w:val="00235BDB"/>
    <w:rsid w:val="00235C65"/>
    <w:rsid w:val="00235CC6"/>
    <w:rsid w:val="00235D7D"/>
    <w:rsid w:val="00235D87"/>
    <w:rsid w:val="00235D92"/>
    <w:rsid w:val="00235DC8"/>
    <w:rsid w:val="00235DE4"/>
    <w:rsid w:val="00235E1B"/>
    <w:rsid w:val="00235E24"/>
    <w:rsid w:val="00235E4E"/>
    <w:rsid w:val="00235E61"/>
    <w:rsid w:val="00235EEE"/>
    <w:rsid w:val="00236074"/>
    <w:rsid w:val="00236152"/>
    <w:rsid w:val="002361C5"/>
    <w:rsid w:val="0023625C"/>
    <w:rsid w:val="00236262"/>
    <w:rsid w:val="0023629C"/>
    <w:rsid w:val="00236374"/>
    <w:rsid w:val="00236381"/>
    <w:rsid w:val="00236407"/>
    <w:rsid w:val="00236408"/>
    <w:rsid w:val="002364D1"/>
    <w:rsid w:val="002364DF"/>
    <w:rsid w:val="0023653C"/>
    <w:rsid w:val="00236567"/>
    <w:rsid w:val="00236570"/>
    <w:rsid w:val="00236571"/>
    <w:rsid w:val="002365D1"/>
    <w:rsid w:val="00236616"/>
    <w:rsid w:val="00236660"/>
    <w:rsid w:val="0023671E"/>
    <w:rsid w:val="00236738"/>
    <w:rsid w:val="00236763"/>
    <w:rsid w:val="00236775"/>
    <w:rsid w:val="00236789"/>
    <w:rsid w:val="0023678D"/>
    <w:rsid w:val="0023684D"/>
    <w:rsid w:val="00236860"/>
    <w:rsid w:val="002368A6"/>
    <w:rsid w:val="00236943"/>
    <w:rsid w:val="00236A66"/>
    <w:rsid w:val="00236B58"/>
    <w:rsid w:val="00236BAE"/>
    <w:rsid w:val="00236C22"/>
    <w:rsid w:val="00236C26"/>
    <w:rsid w:val="00236C30"/>
    <w:rsid w:val="00236D28"/>
    <w:rsid w:val="00236D59"/>
    <w:rsid w:val="00236DC1"/>
    <w:rsid w:val="00236E6A"/>
    <w:rsid w:val="00236E6D"/>
    <w:rsid w:val="00236ECD"/>
    <w:rsid w:val="0023704C"/>
    <w:rsid w:val="0023715B"/>
    <w:rsid w:val="00237168"/>
    <w:rsid w:val="0023718A"/>
    <w:rsid w:val="002371A5"/>
    <w:rsid w:val="002372B5"/>
    <w:rsid w:val="002372E0"/>
    <w:rsid w:val="00237377"/>
    <w:rsid w:val="002373CF"/>
    <w:rsid w:val="00237440"/>
    <w:rsid w:val="00237448"/>
    <w:rsid w:val="00237486"/>
    <w:rsid w:val="00237509"/>
    <w:rsid w:val="0023753D"/>
    <w:rsid w:val="00237551"/>
    <w:rsid w:val="002375BC"/>
    <w:rsid w:val="002375C8"/>
    <w:rsid w:val="002376CB"/>
    <w:rsid w:val="002376CE"/>
    <w:rsid w:val="002376EB"/>
    <w:rsid w:val="0023770F"/>
    <w:rsid w:val="0023774B"/>
    <w:rsid w:val="0023777C"/>
    <w:rsid w:val="0023783F"/>
    <w:rsid w:val="0023798E"/>
    <w:rsid w:val="00237AA9"/>
    <w:rsid w:val="00237ADA"/>
    <w:rsid w:val="00237B12"/>
    <w:rsid w:val="00237BB0"/>
    <w:rsid w:val="00237BEB"/>
    <w:rsid w:val="00237C11"/>
    <w:rsid w:val="00237C12"/>
    <w:rsid w:val="00237C20"/>
    <w:rsid w:val="00237C28"/>
    <w:rsid w:val="00237D49"/>
    <w:rsid w:val="00237DA5"/>
    <w:rsid w:val="00237DB7"/>
    <w:rsid w:val="00237DEE"/>
    <w:rsid w:val="00237EB6"/>
    <w:rsid w:val="00237F63"/>
    <w:rsid w:val="00237FEB"/>
    <w:rsid w:val="00240003"/>
    <w:rsid w:val="0024006B"/>
    <w:rsid w:val="00240077"/>
    <w:rsid w:val="002400E3"/>
    <w:rsid w:val="00240183"/>
    <w:rsid w:val="002402ED"/>
    <w:rsid w:val="00240368"/>
    <w:rsid w:val="002403D1"/>
    <w:rsid w:val="002403D4"/>
    <w:rsid w:val="002403D6"/>
    <w:rsid w:val="0024042F"/>
    <w:rsid w:val="0024047B"/>
    <w:rsid w:val="002407F8"/>
    <w:rsid w:val="0024082E"/>
    <w:rsid w:val="00240905"/>
    <w:rsid w:val="002409A2"/>
    <w:rsid w:val="00240AA0"/>
    <w:rsid w:val="00240ACC"/>
    <w:rsid w:val="00240AD2"/>
    <w:rsid w:val="00240BBA"/>
    <w:rsid w:val="00240BED"/>
    <w:rsid w:val="00240C47"/>
    <w:rsid w:val="00240C73"/>
    <w:rsid w:val="00240D4E"/>
    <w:rsid w:val="00240D7C"/>
    <w:rsid w:val="00240E50"/>
    <w:rsid w:val="00240EA3"/>
    <w:rsid w:val="00240F04"/>
    <w:rsid w:val="00240F46"/>
    <w:rsid w:val="00240F54"/>
    <w:rsid w:val="00240F74"/>
    <w:rsid w:val="00240FE0"/>
    <w:rsid w:val="00240FE4"/>
    <w:rsid w:val="0024108B"/>
    <w:rsid w:val="002410EA"/>
    <w:rsid w:val="0024112B"/>
    <w:rsid w:val="00241183"/>
    <w:rsid w:val="0024119E"/>
    <w:rsid w:val="0024122B"/>
    <w:rsid w:val="00241263"/>
    <w:rsid w:val="00241291"/>
    <w:rsid w:val="002412BB"/>
    <w:rsid w:val="00241308"/>
    <w:rsid w:val="00241343"/>
    <w:rsid w:val="00241347"/>
    <w:rsid w:val="00241396"/>
    <w:rsid w:val="0024173B"/>
    <w:rsid w:val="0024174F"/>
    <w:rsid w:val="002417A5"/>
    <w:rsid w:val="00241831"/>
    <w:rsid w:val="00241927"/>
    <w:rsid w:val="0024192F"/>
    <w:rsid w:val="00241A08"/>
    <w:rsid w:val="00241A4A"/>
    <w:rsid w:val="00241AA1"/>
    <w:rsid w:val="00241BA1"/>
    <w:rsid w:val="00241BD2"/>
    <w:rsid w:val="00241C42"/>
    <w:rsid w:val="00241CD1"/>
    <w:rsid w:val="00241CF1"/>
    <w:rsid w:val="00241D95"/>
    <w:rsid w:val="00241DCA"/>
    <w:rsid w:val="00241E3A"/>
    <w:rsid w:val="00241E6B"/>
    <w:rsid w:val="00241ED6"/>
    <w:rsid w:val="00241F1D"/>
    <w:rsid w:val="00241F62"/>
    <w:rsid w:val="00241F90"/>
    <w:rsid w:val="00242009"/>
    <w:rsid w:val="00242111"/>
    <w:rsid w:val="00242145"/>
    <w:rsid w:val="002421AB"/>
    <w:rsid w:val="00242384"/>
    <w:rsid w:val="002423E6"/>
    <w:rsid w:val="0024245F"/>
    <w:rsid w:val="0024247E"/>
    <w:rsid w:val="0024249A"/>
    <w:rsid w:val="002424BF"/>
    <w:rsid w:val="002424E9"/>
    <w:rsid w:val="002424FF"/>
    <w:rsid w:val="00242580"/>
    <w:rsid w:val="002427F5"/>
    <w:rsid w:val="00242806"/>
    <w:rsid w:val="0024281B"/>
    <w:rsid w:val="00242832"/>
    <w:rsid w:val="0024288C"/>
    <w:rsid w:val="002428BF"/>
    <w:rsid w:val="002429FF"/>
    <w:rsid w:val="00242A3B"/>
    <w:rsid w:val="00242B4D"/>
    <w:rsid w:val="00242B52"/>
    <w:rsid w:val="00242B65"/>
    <w:rsid w:val="00242C40"/>
    <w:rsid w:val="00242C7D"/>
    <w:rsid w:val="00242D5F"/>
    <w:rsid w:val="00242DB5"/>
    <w:rsid w:val="00242E0C"/>
    <w:rsid w:val="00242EB8"/>
    <w:rsid w:val="00242F29"/>
    <w:rsid w:val="00242FA6"/>
    <w:rsid w:val="0024303D"/>
    <w:rsid w:val="0024303E"/>
    <w:rsid w:val="00243041"/>
    <w:rsid w:val="0024304A"/>
    <w:rsid w:val="00243064"/>
    <w:rsid w:val="002430A4"/>
    <w:rsid w:val="002430C0"/>
    <w:rsid w:val="002430FC"/>
    <w:rsid w:val="0024311D"/>
    <w:rsid w:val="0024316B"/>
    <w:rsid w:val="00243172"/>
    <w:rsid w:val="002431F2"/>
    <w:rsid w:val="0024320D"/>
    <w:rsid w:val="00243255"/>
    <w:rsid w:val="0024338B"/>
    <w:rsid w:val="00243449"/>
    <w:rsid w:val="002434AB"/>
    <w:rsid w:val="0024365B"/>
    <w:rsid w:val="002436CC"/>
    <w:rsid w:val="00243755"/>
    <w:rsid w:val="00243782"/>
    <w:rsid w:val="0024384B"/>
    <w:rsid w:val="0024386C"/>
    <w:rsid w:val="002438DE"/>
    <w:rsid w:val="002438F4"/>
    <w:rsid w:val="0024394D"/>
    <w:rsid w:val="002439B5"/>
    <w:rsid w:val="00243BEB"/>
    <w:rsid w:val="00243C5F"/>
    <w:rsid w:val="00243C97"/>
    <w:rsid w:val="00243CB3"/>
    <w:rsid w:val="00243D27"/>
    <w:rsid w:val="00243E02"/>
    <w:rsid w:val="00243E6F"/>
    <w:rsid w:val="00243EAC"/>
    <w:rsid w:val="00243F7F"/>
    <w:rsid w:val="0024404C"/>
    <w:rsid w:val="00244117"/>
    <w:rsid w:val="0024416F"/>
    <w:rsid w:val="002441FD"/>
    <w:rsid w:val="0024429F"/>
    <w:rsid w:val="002442A9"/>
    <w:rsid w:val="002442D0"/>
    <w:rsid w:val="002442DA"/>
    <w:rsid w:val="00244380"/>
    <w:rsid w:val="002443C4"/>
    <w:rsid w:val="0024445D"/>
    <w:rsid w:val="002444FC"/>
    <w:rsid w:val="00244513"/>
    <w:rsid w:val="00244545"/>
    <w:rsid w:val="00244548"/>
    <w:rsid w:val="00244610"/>
    <w:rsid w:val="002446DF"/>
    <w:rsid w:val="00244716"/>
    <w:rsid w:val="00244743"/>
    <w:rsid w:val="002447D8"/>
    <w:rsid w:val="0024482F"/>
    <w:rsid w:val="002448C0"/>
    <w:rsid w:val="00244909"/>
    <w:rsid w:val="00244956"/>
    <w:rsid w:val="00244987"/>
    <w:rsid w:val="002449F2"/>
    <w:rsid w:val="00244A4A"/>
    <w:rsid w:val="00244A64"/>
    <w:rsid w:val="00244AFA"/>
    <w:rsid w:val="00244B27"/>
    <w:rsid w:val="00244B66"/>
    <w:rsid w:val="00244C0E"/>
    <w:rsid w:val="00244C36"/>
    <w:rsid w:val="00244C40"/>
    <w:rsid w:val="00244D65"/>
    <w:rsid w:val="00244FCF"/>
    <w:rsid w:val="00244FD1"/>
    <w:rsid w:val="00245009"/>
    <w:rsid w:val="00245062"/>
    <w:rsid w:val="002450EA"/>
    <w:rsid w:val="00245206"/>
    <w:rsid w:val="00245233"/>
    <w:rsid w:val="002452BD"/>
    <w:rsid w:val="002452EF"/>
    <w:rsid w:val="00245313"/>
    <w:rsid w:val="0024532D"/>
    <w:rsid w:val="00245409"/>
    <w:rsid w:val="002454F6"/>
    <w:rsid w:val="002456D7"/>
    <w:rsid w:val="002456E3"/>
    <w:rsid w:val="00245702"/>
    <w:rsid w:val="00245756"/>
    <w:rsid w:val="002459FE"/>
    <w:rsid w:val="00245A16"/>
    <w:rsid w:val="00245A97"/>
    <w:rsid w:val="00245AA7"/>
    <w:rsid w:val="00245ACA"/>
    <w:rsid w:val="00245B02"/>
    <w:rsid w:val="00245B8C"/>
    <w:rsid w:val="00245BE3"/>
    <w:rsid w:val="00245BEF"/>
    <w:rsid w:val="00245C4F"/>
    <w:rsid w:val="00245C7B"/>
    <w:rsid w:val="00245D98"/>
    <w:rsid w:val="00245E09"/>
    <w:rsid w:val="00245E0D"/>
    <w:rsid w:val="00245E2F"/>
    <w:rsid w:val="00245E44"/>
    <w:rsid w:val="00245ED3"/>
    <w:rsid w:val="00245FD0"/>
    <w:rsid w:val="00245FEA"/>
    <w:rsid w:val="00246052"/>
    <w:rsid w:val="00246139"/>
    <w:rsid w:val="00246146"/>
    <w:rsid w:val="00246147"/>
    <w:rsid w:val="0024615D"/>
    <w:rsid w:val="0024615E"/>
    <w:rsid w:val="0024627E"/>
    <w:rsid w:val="002463B4"/>
    <w:rsid w:val="002463C5"/>
    <w:rsid w:val="002463F2"/>
    <w:rsid w:val="00246427"/>
    <w:rsid w:val="0024645B"/>
    <w:rsid w:val="00246469"/>
    <w:rsid w:val="00246480"/>
    <w:rsid w:val="00246493"/>
    <w:rsid w:val="002464D7"/>
    <w:rsid w:val="002464E7"/>
    <w:rsid w:val="00246505"/>
    <w:rsid w:val="00246517"/>
    <w:rsid w:val="00246551"/>
    <w:rsid w:val="002465ED"/>
    <w:rsid w:val="002466EF"/>
    <w:rsid w:val="002467D8"/>
    <w:rsid w:val="002467DA"/>
    <w:rsid w:val="002467FD"/>
    <w:rsid w:val="00246829"/>
    <w:rsid w:val="0024692A"/>
    <w:rsid w:val="00246983"/>
    <w:rsid w:val="002469CA"/>
    <w:rsid w:val="00246A24"/>
    <w:rsid w:val="00246A2D"/>
    <w:rsid w:val="00246AA5"/>
    <w:rsid w:val="00246AAC"/>
    <w:rsid w:val="00246B1E"/>
    <w:rsid w:val="00246B41"/>
    <w:rsid w:val="00246B72"/>
    <w:rsid w:val="00246BB6"/>
    <w:rsid w:val="00246C88"/>
    <w:rsid w:val="00246CAB"/>
    <w:rsid w:val="00246CC1"/>
    <w:rsid w:val="00246D7E"/>
    <w:rsid w:val="00246DC6"/>
    <w:rsid w:val="00246DDB"/>
    <w:rsid w:val="00246E18"/>
    <w:rsid w:val="00246E7C"/>
    <w:rsid w:val="00246F35"/>
    <w:rsid w:val="00246FB4"/>
    <w:rsid w:val="00246FBB"/>
    <w:rsid w:val="00246FF9"/>
    <w:rsid w:val="00247007"/>
    <w:rsid w:val="00247125"/>
    <w:rsid w:val="0024713A"/>
    <w:rsid w:val="002471A1"/>
    <w:rsid w:val="002471EA"/>
    <w:rsid w:val="00247269"/>
    <w:rsid w:val="002472D2"/>
    <w:rsid w:val="00247381"/>
    <w:rsid w:val="00247392"/>
    <w:rsid w:val="002473A6"/>
    <w:rsid w:val="00247431"/>
    <w:rsid w:val="00247457"/>
    <w:rsid w:val="002474E0"/>
    <w:rsid w:val="002474E7"/>
    <w:rsid w:val="00247525"/>
    <w:rsid w:val="00247528"/>
    <w:rsid w:val="0024753D"/>
    <w:rsid w:val="00247542"/>
    <w:rsid w:val="00247638"/>
    <w:rsid w:val="00247669"/>
    <w:rsid w:val="00247699"/>
    <w:rsid w:val="00247710"/>
    <w:rsid w:val="00247713"/>
    <w:rsid w:val="002477BA"/>
    <w:rsid w:val="00247820"/>
    <w:rsid w:val="002478F8"/>
    <w:rsid w:val="00247919"/>
    <w:rsid w:val="0024792C"/>
    <w:rsid w:val="0024795D"/>
    <w:rsid w:val="002479C7"/>
    <w:rsid w:val="00247A55"/>
    <w:rsid w:val="00247ACF"/>
    <w:rsid w:val="00247B3A"/>
    <w:rsid w:val="00247B71"/>
    <w:rsid w:val="00247D38"/>
    <w:rsid w:val="00247D75"/>
    <w:rsid w:val="00247E08"/>
    <w:rsid w:val="00247E5A"/>
    <w:rsid w:val="00247F26"/>
    <w:rsid w:val="00247F82"/>
    <w:rsid w:val="0025011C"/>
    <w:rsid w:val="00250246"/>
    <w:rsid w:val="002502ED"/>
    <w:rsid w:val="00250335"/>
    <w:rsid w:val="0025040F"/>
    <w:rsid w:val="0025044A"/>
    <w:rsid w:val="00250541"/>
    <w:rsid w:val="00250646"/>
    <w:rsid w:val="00250799"/>
    <w:rsid w:val="002507D4"/>
    <w:rsid w:val="00250828"/>
    <w:rsid w:val="002508B4"/>
    <w:rsid w:val="0025093D"/>
    <w:rsid w:val="00250A36"/>
    <w:rsid w:val="00250AA8"/>
    <w:rsid w:val="00250B1B"/>
    <w:rsid w:val="00250B1D"/>
    <w:rsid w:val="00250B8D"/>
    <w:rsid w:val="00250BA1"/>
    <w:rsid w:val="00250BD8"/>
    <w:rsid w:val="00250C14"/>
    <w:rsid w:val="00250C90"/>
    <w:rsid w:val="00250CC0"/>
    <w:rsid w:val="00250D34"/>
    <w:rsid w:val="00250D7D"/>
    <w:rsid w:val="00250DB7"/>
    <w:rsid w:val="00250DF6"/>
    <w:rsid w:val="00250E7C"/>
    <w:rsid w:val="00250ECF"/>
    <w:rsid w:val="00250F13"/>
    <w:rsid w:val="00250F42"/>
    <w:rsid w:val="00250F4C"/>
    <w:rsid w:val="00250F80"/>
    <w:rsid w:val="00250F92"/>
    <w:rsid w:val="00250FDA"/>
    <w:rsid w:val="002510AE"/>
    <w:rsid w:val="002510DE"/>
    <w:rsid w:val="002510EC"/>
    <w:rsid w:val="0025114F"/>
    <w:rsid w:val="00251256"/>
    <w:rsid w:val="0025127D"/>
    <w:rsid w:val="002512A6"/>
    <w:rsid w:val="00251304"/>
    <w:rsid w:val="0025130C"/>
    <w:rsid w:val="00251359"/>
    <w:rsid w:val="0025140D"/>
    <w:rsid w:val="00251498"/>
    <w:rsid w:val="0025149B"/>
    <w:rsid w:val="002514DB"/>
    <w:rsid w:val="00251547"/>
    <w:rsid w:val="00251587"/>
    <w:rsid w:val="0025158D"/>
    <w:rsid w:val="002515E0"/>
    <w:rsid w:val="002516C4"/>
    <w:rsid w:val="002516F0"/>
    <w:rsid w:val="0025170A"/>
    <w:rsid w:val="0025170E"/>
    <w:rsid w:val="00251754"/>
    <w:rsid w:val="00251773"/>
    <w:rsid w:val="002517A1"/>
    <w:rsid w:val="00251B01"/>
    <w:rsid w:val="00251B2E"/>
    <w:rsid w:val="00251B46"/>
    <w:rsid w:val="00251B9F"/>
    <w:rsid w:val="00251D4B"/>
    <w:rsid w:val="00251D51"/>
    <w:rsid w:val="00251D5B"/>
    <w:rsid w:val="00251D98"/>
    <w:rsid w:val="00251DED"/>
    <w:rsid w:val="00251DF8"/>
    <w:rsid w:val="00251E21"/>
    <w:rsid w:val="00251E69"/>
    <w:rsid w:val="00251EA5"/>
    <w:rsid w:val="00251EB7"/>
    <w:rsid w:val="00251F25"/>
    <w:rsid w:val="00251F35"/>
    <w:rsid w:val="00251F40"/>
    <w:rsid w:val="00251FA6"/>
    <w:rsid w:val="00252120"/>
    <w:rsid w:val="00252143"/>
    <w:rsid w:val="00252247"/>
    <w:rsid w:val="002522DD"/>
    <w:rsid w:val="00252370"/>
    <w:rsid w:val="002523AF"/>
    <w:rsid w:val="00252402"/>
    <w:rsid w:val="0025240E"/>
    <w:rsid w:val="00252530"/>
    <w:rsid w:val="0025259B"/>
    <w:rsid w:val="002525A0"/>
    <w:rsid w:val="002525DD"/>
    <w:rsid w:val="00252630"/>
    <w:rsid w:val="0025269A"/>
    <w:rsid w:val="0025276B"/>
    <w:rsid w:val="00252783"/>
    <w:rsid w:val="00252786"/>
    <w:rsid w:val="002527D9"/>
    <w:rsid w:val="00252813"/>
    <w:rsid w:val="00252848"/>
    <w:rsid w:val="0025284F"/>
    <w:rsid w:val="0025285B"/>
    <w:rsid w:val="0025289A"/>
    <w:rsid w:val="002529A7"/>
    <w:rsid w:val="00252A37"/>
    <w:rsid w:val="00252AF1"/>
    <w:rsid w:val="00252B38"/>
    <w:rsid w:val="00252C27"/>
    <w:rsid w:val="00252CBC"/>
    <w:rsid w:val="00252D28"/>
    <w:rsid w:val="00252D4E"/>
    <w:rsid w:val="00252D76"/>
    <w:rsid w:val="00252DE1"/>
    <w:rsid w:val="00252E64"/>
    <w:rsid w:val="00252F6E"/>
    <w:rsid w:val="00252F84"/>
    <w:rsid w:val="00252F89"/>
    <w:rsid w:val="00252FA6"/>
    <w:rsid w:val="0025301B"/>
    <w:rsid w:val="00253042"/>
    <w:rsid w:val="00253064"/>
    <w:rsid w:val="0025309B"/>
    <w:rsid w:val="002530A4"/>
    <w:rsid w:val="002530D8"/>
    <w:rsid w:val="00253115"/>
    <w:rsid w:val="002531D3"/>
    <w:rsid w:val="002531F0"/>
    <w:rsid w:val="0025323E"/>
    <w:rsid w:val="0025325C"/>
    <w:rsid w:val="0025332B"/>
    <w:rsid w:val="002533C6"/>
    <w:rsid w:val="0025344A"/>
    <w:rsid w:val="0025349C"/>
    <w:rsid w:val="00253596"/>
    <w:rsid w:val="002535B1"/>
    <w:rsid w:val="00253618"/>
    <w:rsid w:val="0025361B"/>
    <w:rsid w:val="00253675"/>
    <w:rsid w:val="00253689"/>
    <w:rsid w:val="0025368C"/>
    <w:rsid w:val="002537D9"/>
    <w:rsid w:val="0025384C"/>
    <w:rsid w:val="0025386C"/>
    <w:rsid w:val="002538BB"/>
    <w:rsid w:val="00253925"/>
    <w:rsid w:val="0025393D"/>
    <w:rsid w:val="00253987"/>
    <w:rsid w:val="002539BD"/>
    <w:rsid w:val="002539CD"/>
    <w:rsid w:val="00253A17"/>
    <w:rsid w:val="00253A89"/>
    <w:rsid w:val="00253A8E"/>
    <w:rsid w:val="00253BF7"/>
    <w:rsid w:val="00253C10"/>
    <w:rsid w:val="00253C32"/>
    <w:rsid w:val="00253C40"/>
    <w:rsid w:val="00253CD9"/>
    <w:rsid w:val="00253CF3"/>
    <w:rsid w:val="00253D09"/>
    <w:rsid w:val="00253D3A"/>
    <w:rsid w:val="00253DAB"/>
    <w:rsid w:val="00253E92"/>
    <w:rsid w:val="00253EB3"/>
    <w:rsid w:val="00253FA9"/>
    <w:rsid w:val="00253FD0"/>
    <w:rsid w:val="00253FD7"/>
    <w:rsid w:val="00254031"/>
    <w:rsid w:val="0025408C"/>
    <w:rsid w:val="002540D9"/>
    <w:rsid w:val="0025410E"/>
    <w:rsid w:val="00254160"/>
    <w:rsid w:val="0025416C"/>
    <w:rsid w:val="00254189"/>
    <w:rsid w:val="0025422E"/>
    <w:rsid w:val="0025425A"/>
    <w:rsid w:val="002542BF"/>
    <w:rsid w:val="002542CA"/>
    <w:rsid w:val="002542EA"/>
    <w:rsid w:val="0025431A"/>
    <w:rsid w:val="0025433D"/>
    <w:rsid w:val="0025434C"/>
    <w:rsid w:val="00254361"/>
    <w:rsid w:val="0025438E"/>
    <w:rsid w:val="0025445A"/>
    <w:rsid w:val="002544C4"/>
    <w:rsid w:val="002544CF"/>
    <w:rsid w:val="00254536"/>
    <w:rsid w:val="00254537"/>
    <w:rsid w:val="002545AA"/>
    <w:rsid w:val="002545B8"/>
    <w:rsid w:val="002545EE"/>
    <w:rsid w:val="00254737"/>
    <w:rsid w:val="0025473D"/>
    <w:rsid w:val="0025477B"/>
    <w:rsid w:val="00254879"/>
    <w:rsid w:val="002548B3"/>
    <w:rsid w:val="002548BD"/>
    <w:rsid w:val="00254B0D"/>
    <w:rsid w:val="00254B46"/>
    <w:rsid w:val="00254D4D"/>
    <w:rsid w:val="00254DF4"/>
    <w:rsid w:val="00254EBC"/>
    <w:rsid w:val="00254FC5"/>
    <w:rsid w:val="00255028"/>
    <w:rsid w:val="00255077"/>
    <w:rsid w:val="002550BD"/>
    <w:rsid w:val="002550CE"/>
    <w:rsid w:val="002550D1"/>
    <w:rsid w:val="00255138"/>
    <w:rsid w:val="00255162"/>
    <w:rsid w:val="00255196"/>
    <w:rsid w:val="002551AD"/>
    <w:rsid w:val="00255228"/>
    <w:rsid w:val="00255289"/>
    <w:rsid w:val="00255312"/>
    <w:rsid w:val="00255362"/>
    <w:rsid w:val="002553E2"/>
    <w:rsid w:val="0025540C"/>
    <w:rsid w:val="0025545C"/>
    <w:rsid w:val="00255490"/>
    <w:rsid w:val="002554E4"/>
    <w:rsid w:val="00255509"/>
    <w:rsid w:val="002555CE"/>
    <w:rsid w:val="002555D5"/>
    <w:rsid w:val="0025565F"/>
    <w:rsid w:val="002556B6"/>
    <w:rsid w:val="00255709"/>
    <w:rsid w:val="0025575B"/>
    <w:rsid w:val="0025576A"/>
    <w:rsid w:val="0025584A"/>
    <w:rsid w:val="00255861"/>
    <w:rsid w:val="002558D4"/>
    <w:rsid w:val="002558F1"/>
    <w:rsid w:val="00255A46"/>
    <w:rsid w:val="00255A4C"/>
    <w:rsid w:val="00255AC2"/>
    <w:rsid w:val="00255B3D"/>
    <w:rsid w:val="00255BB4"/>
    <w:rsid w:val="00255C4C"/>
    <w:rsid w:val="00255D0B"/>
    <w:rsid w:val="00255D4E"/>
    <w:rsid w:val="00255DFD"/>
    <w:rsid w:val="00255E28"/>
    <w:rsid w:val="002560AA"/>
    <w:rsid w:val="00256118"/>
    <w:rsid w:val="00256189"/>
    <w:rsid w:val="002561CD"/>
    <w:rsid w:val="002561F3"/>
    <w:rsid w:val="00256201"/>
    <w:rsid w:val="00256203"/>
    <w:rsid w:val="0025623F"/>
    <w:rsid w:val="00256291"/>
    <w:rsid w:val="002562B8"/>
    <w:rsid w:val="00256340"/>
    <w:rsid w:val="00256361"/>
    <w:rsid w:val="00256364"/>
    <w:rsid w:val="002563E4"/>
    <w:rsid w:val="0025648D"/>
    <w:rsid w:val="0025649A"/>
    <w:rsid w:val="002564DE"/>
    <w:rsid w:val="00256535"/>
    <w:rsid w:val="002565E8"/>
    <w:rsid w:val="002566BC"/>
    <w:rsid w:val="0025671D"/>
    <w:rsid w:val="0025673E"/>
    <w:rsid w:val="00256755"/>
    <w:rsid w:val="0025675F"/>
    <w:rsid w:val="00256774"/>
    <w:rsid w:val="00256799"/>
    <w:rsid w:val="00256813"/>
    <w:rsid w:val="00256841"/>
    <w:rsid w:val="0025689E"/>
    <w:rsid w:val="002568F6"/>
    <w:rsid w:val="00256915"/>
    <w:rsid w:val="002569F5"/>
    <w:rsid w:val="002569F8"/>
    <w:rsid w:val="00256A17"/>
    <w:rsid w:val="00256A68"/>
    <w:rsid w:val="00256A81"/>
    <w:rsid w:val="00256A90"/>
    <w:rsid w:val="00256B4F"/>
    <w:rsid w:val="00256BA4"/>
    <w:rsid w:val="00256BD4"/>
    <w:rsid w:val="00256C17"/>
    <w:rsid w:val="00256C1C"/>
    <w:rsid w:val="00256C6D"/>
    <w:rsid w:val="00256D9F"/>
    <w:rsid w:val="00256DC1"/>
    <w:rsid w:val="00256E17"/>
    <w:rsid w:val="00256E66"/>
    <w:rsid w:val="00256ED6"/>
    <w:rsid w:val="00256EE4"/>
    <w:rsid w:val="00256F5E"/>
    <w:rsid w:val="00256F79"/>
    <w:rsid w:val="00256FD3"/>
    <w:rsid w:val="00256FDB"/>
    <w:rsid w:val="00257097"/>
    <w:rsid w:val="002570B9"/>
    <w:rsid w:val="002570E6"/>
    <w:rsid w:val="002570EA"/>
    <w:rsid w:val="002570FC"/>
    <w:rsid w:val="00257191"/>
    <w:rsid w:val="00257208"/>
    <w:rsid w:val="00257224"/>
    <w:rsid w:val="0025727F"/>
    <w:rsid w:val="002573D7"/>
    <w:rsid w:val="00257454"/>
    <w:rsid w:val="00257469"/>
    <w:rsid w:val="002574A1"/>
    <w:rsid w:val="0025758B"/>
    <w:rsid w:val="002575CE"/>
    <w:rsid w:val="002576B4"/>
    <w:rsid w:val="002576E1"/>
    <w:rsid w:val="002576F4"/>
    <w:rsid w:val="00257717"/>
    <w:rsid w:val="00257825"/>
    <w:rsid w:val="0025783F"/>
    <w:rsid w:val="0025786E"/>
    <w:rsid w:val="0025789F"/>
    <w:rsid w:val="00257905"/>
    <w:rsid w:val="00257986"/>
    <w:rsid w:val="002579D3"/>
    <w:rsid w:val="002579E2"/>
    <w:rsid w:val="00257A50"/>
    <w:rsid w:val="00257A68"/>
    <w:rsid w:val="00257BAB"/>
    <w:rsid w:val="00257C7E"/>
    <w:rsid w:val="00257CE5"/>
    <w:rsid w:val="00257CFF"/>
    <w:rsid w:val="00257D24"/>
    <w:rsid w:val="00257D30"/>
    <w:rsid w:val="00257D6D"/>
    <w:rsid w:val="00257E28"/>
    <w:rsid w:val="00257ECD"/>
    <w:rsid w:val="00257F07"/>
    <w:rsid w:val="00257F0F"/>
    <w:rsid w:val="00257FE1"/>
    <w:rsid w:val="00260045"/>
    <w:rsid w:val="002600E8"/>
    <w:rsid w:val="00260105"/>
    <w:rsid w:val="00260176"/>
    <w:rsid w:val="0026021D"/>
    <w:rsid w:val="00260271"/>
    <w:rsid w:val="00260294"/>
    <w:rsid w:val="002602AB"/>
    <w:rsid w:val="002602EC"/>
    <w:rsid w:val="0026030B"/>
    <w:rsid w:val="00260418"/>
    <w:rsid w:val="002604EF"/>
    <w:rsid w:val="00260570"/>
    <w:rsid w:val="00260585"/>
    <w:rsid w:val="00260592"/>
    <w:rsid w:val="002605A5"/>
    <w:rsid w:val="002605A6"/>
    <w:rsid w:val="002605EB"/>
    <w:rsid w:val="00260633"/>
    <w:rsid w:val="0026063C"/>
    <w:rsid w:val="002606AD"/>
    <w:rsid w:val="002606CB"/>
    <w:rsid w:val="00260716"/>
    <w:rsid w:val="0026077D"/>
    <w:rsid w:val="00260786"/>
    <w:rsid w:val="002607F2"/>
    <w:rsid w:val="00260861"/>
    <w:rsid w:val="00260890"/>
    <w:rsid w:val="002608EC"/>
    <w:rsid w:val="0026090D"/>
    <w:rsid w:val="002609C9"/>
    <w:rsid w:val="002609F0"/>
    <w:rsid w:val="00260A38"/>
    <w:rsid w:val="00260A3C"/>
    <w:rsid w:val="00260AB6"/>
    <w:rsid w:val="00260B7A"/>
    <w:rsid w:val="00260B81"/>
    <w:rsid w:val="00260BDB"/>
    <w:rsid w:val="00260BEF"/>
    <w:rsid w:val="00260C23"/>
    <w:rsid w:val="00260C6A"/>
    <w:rsid w:val="00260CE7"/>
    <w:rsid w:val="00260D70"/>
    <w:rsid w:val="00260DBD"/>
    <w:rsid w:val="00260EB6"/>
    <w:rsid w:val="00260EDA"/>
    <w:rsid w:val="00260EE7"/>
    <w:rsid w:val="00260F9E"/>
    <w:rsid w:val="00260FCC"/>
    <w:rsid w:val="00261129"/>
    <w:rsid w:val="002611AC"/>
    <w:rsid w:val="00261238"/>
    <w:rsid w:val="00261272"/>
    <w:rsid w:val="002612A8"/>
    <w:rsid w:val="00261303"/>
    <w:rsid w:val="00261345"/>
    <w:rsid w:val="0026141B"/>
    <w:rsid w:val="0026145F"/>
    <w:rsid w:val="00261559"/>
    <w:rsid w:val="0026157C"/>
    <w:rsid w:val="002615E1"/>
    <w:rsid w:val="002615F8"/>
    <w:rsid w:val="0026173B"/>
    <w:rsid w:val="00261776"/>
    <w:rsid w:val="002617A2"/>
    <w:rsid w:val="0026182F"/>
    <w:rsid w:val="00261885"/>
    <w:rsid w:val="002618FD"/>
    <w:rsid w:val="0026196F"/>
    <w:rsid w:val="00261A48"/>
    <w:rsid w:val="00261A56"/>
    <w:rsid w:val="00261A60"/>
    <w:rsid w:val="00261B1A"/>
    <w:rsid w:val="00261B27"/>
    <w:rsid w:val="00261BB4"/>
    <w:rsid w:val="00261D0E"/>
    <w:rsid w:val="00261D35"/>
    <w:rsid w:val="00261DB1"/>
    <w:rsid w:val="00261DBA"/>
    <w:rsid w:val="00261E53"/>
    <w:rsid w:val="00261F28"/>
    <w:rsid w:val="00261F2B"/>
    <w:rsid w:val="00261FA1"/>
    <w:rsid w:val="00261FE6"/>
    <w:rsid w:val="00262033"/>
    <w:rsid w:val="002621B3"/>
    <w:rsid w:val="002621C9"/>
    <w:rsid w:val="002621EC"/>
    <w:rsid w:val="002621FC"/>
    <w:rsid w:val="0026224A"/>
    <w:rsid w:val="00262252"/>
    <w:rsid w:val="002622A2"/>
    <w:rsid w:val="00262311"/>
    <w:rsid w:val="002623D6"/>
    <w:rsid w:val="002623F6"/>
    <w:rsid w:val="002624D8"/>
    <w:rsid w:val="00262513"/>
    <w:rsid w:val="0026257F"/>
    <w:rsid w:val="002626DB"/>
    <w:rsid w:val="002627D5"/>
    <w:rsid w:val="00262809"/>
    <w:rsid w:val="00262886"/>
    <w:rsid w:val="00262976"/>
    <w:rsid w:val="002629CB"/>
    <w:rsid w:val="002629DF"/>
    <w:rsid w:val="00262A70"/>
    <w:rsid w:val="00262A85"/>
    <w:rsid w:val="00262ACF"/>
    <w:rsid w:val="00262B62"/>
    <w:rsid w:val="00262BC6"/>
    <w:rsid w:val="00262BD0"/>
    <w:rsid w:val="00262BF2"/>
    <w:rsid w:val="00262C5E"/>
    <w:rsid w:val="00262C78"/>
    <w:rsid w:val="00262C98"/>
    <w:rsid w:val="00262CE6"/>
    <w:rsid w:val="00262D28"/>
    <w:rsid w:val="00262D3D"/>
    <w:rsid w:val="00262D42"/>
    <w:rsid w:val="00262DBE"/>
    <w:rsid w:val="00262DC1"/>
    <w:rsid w:val="00262F1E"/>
    <w:rsid w:val="00262F2B"/>
    <w:rsid w:val="00262F8C"/>
    <w:rsid w:val="00262F98"/>
    <w:rsid w:val="00262FBC"/>
    <w:rsid w:val="0026307C"/>
    <w:rsid w:val="002630C4"/>
    <w:rsid w:val="002632D3"/>
    <w:rsid w:val="002633D9"/>
    <w:rsid w:val="00263474"/>
    <w:rsid w:val="0026349B"/>
    <w:rsid w:val="00263613"/>
    <w:rsid w:val="00263636"/>
    <w:rsid w:val="00263779"/>
    <w:rsid w:val="00263815"/>
    <w:rsid w:val="0026383F"/>
    <w:rsid w:val="0026389B"/>
    <w:rsid w:val="002638E6"/>
    <w:rsid w:val="002639FF"/>
    <w:rsid w:val="00263A01"/>
    <w:rsid w:val="00263A36"/>
    <w:rsid w:val="00263A61"/>
    <w:rsid w:val="00263B0D"/>
    <w:rsid w:val="00263B35"/>
    <w:rsid w:val="00263B7C"/>
    <w:rsid w:val="00263B8D"/>
    <w:rsid w:val="00263C37"/>
    <w:rsid w:val="00263C7D"/>
    <w:rsid w:val="00263CB5"/>
    <w:rsid w:val="00263E1A"/>
    <w:rsid w:val="00263E9D"/>
    <w:rsid w:val="00263EA1"/>
    <w:rsid w:val="00263ECB"/>
    <w:rsid w:val="00263F7C"/>
    <w:rsid w:val="00264076"/>
    <w:rsid w:val="00264088"/>
    <w:rsid w:val="00264095"/>
    <w:rsid w:val="00264096"/>
    <w:rsid w:val="002640C1"/>
    <w:rsid w:val="002640E6"/>
    <w:rsid w:val="0026414F"/>
    <w:rsid w:val="002641F1"/>
    <w:rsid w:val="00264239"/>
    <w:rsid w:val="00264271"/>
    <w:rsid w:val="0026429D"/>
    <w:rsid w:val="00264331"/>
    <w:rsid w:val="00264356"/>
    <w:rsid w:val="002643DF"/>
    <w:rsid w:val="0026441D"/>
    <w:rsid w:val="00264448"/>
    <w:rsid w:val="0026448C"/>
    <w:rsid w:val="00264499"/>
    <w:rsid w:val="002644CE"/>
    <w:rsid w:val="00264519"/>
    <w:rsid w:val="00264564"/>
    <w:rsid w:val="002645A8"/>
    <w:rsid w:val="002645E3"/>
    <w:rsid w:val="00264638"/>
    <w:rsid w:val="00264655"/>
    <w:rsid w:val="00264689"/>
    <w:rsid w:val="002646EB"/>
    <w:rsid w:val="00264704"/>
    <w:rsid w:val="00264776"/>
    <w:rsid w:val="002647C6"/>
    <w:rsid w:val="0026484C"/>
    <w:rsid w:val="002648C2"/>
    <w:rsid w:val="002648DC"/>
    <w:rsid w:val="00264936"/>
    <w:rsid w:val="00264970"/>
    <w:rsid w:val="00264977"/>
    <w:rsid w:val="002649FA"/>
    <w:rsid w:val="00264AFA"/>
    <w:rsid w:val="00264B30"/>
    <w:rsid w:val="00264B8C"/>
    <w:rsid w:val="00264B9C"/>
    <w:rsid w:val="00264BB3"/>
    <w:rsid w:val="00264BFC"/>
    <w:rsid w:val="00264C59"/>
    <w:rsid w:val="00264C8A"/>
    <w:rsid w:val="00264C93"/>
    <w:rsid w:val="00264CA3"/>
    <w:rsid w:val="00264CE8"/>
    <w:rsid w:val="00264D05"/>
    <w:rsid w:val="00264D09"/>
    <w:rsid w:val="00264D0B"/>
    <w:rsid w:val="00264D18"/>
    <w:rsid w:val="00264D34"/>
    <w:rsid w:val="00264D88"/>
    <w:rsid w:val="00264E8E"/>
    <w:rsid w:val="00264E91"/>
    <w:rsid w:val="00264ED3"/>
    <w:rsid w:val="00264F66"/>
    <w:rsid w:val="00264FE7"/>
    <w:rsid w:val="002650A5"/>
    <w:rsid w:val="00265103"/>
    <w:rsid w:val="0026519C"/>
    <w:rsid w:val="002651F8"/>
    <w:rsid w:val="00265249"/>
    <w:rsid w:val="002652DE"/>
    <w:rsid w:val="002652EF"/>
    <w:rsid w:val="002652F9"/>
    <w:rsid w:val="0026531C"/>
    <w:rsid w:val="002653EE"/>
    <w:rsid w:val="00265459"/>
    <w:rsid w:val="0026550A"/>
    <w:rsid w:val="002655B8"/>
    <w:rsid w:val="0026561C"/>
    <w:rsid w:val="002656CA"/>
    <w:rsid w:val="00265720"/>
    <w:rsid w:val="00265817"/>
    <w:rsid w:val="0026581D"/>
    <w:rsid w:val="00265853"/>
    <w:rsid w:val="0026589C"/>
    <w:rsid w:val="002658B5"/>
    <w:rsid w:val="0026591F"/>
    <w:rsid w:val="0026592F"/>
    <w:rsid w:val="00265940"/>
    <w:rsid w:val="00265A53"/>
    <w:rsid w:val="00265A7C"/>
    <w:rsid w:val="00265B89"/>
    <w:rsid w:val="00265BC4"/>
    <w:rsid w:val="00265CAD"/>
    <w:rsid w:val="00265DDC"/>
    <w:rsid w:val="00265DED"/>
    <w:rsid w:val="00265EDC"/>
    <w:rsid w:val="00265F0D"/>
    <w:rsid w:val="00265F36"/>
    <w:rsid w:val="00265F66"/>
    <w:rsid w:val="00265F80"/>
    <w:rsid w:val="0026601B"/>
    <w:rsid w:val="00266074"/>
    <w:rsid w:val="002660A2"/>
    <w:rsid w:val="002660AA"/>
    <w:rsid w:val="002660F2"/>
    <w:rsid w:val="002661DB"/>
    <w:rsid w:val="00266210"/>
    <w:rsid w:val="002662A1"/>
    <w:rsid w:val="002662AE"/>
    <w:rsid w:val="0026634E"/>
    <w:rsid w:val="00266469"/>
    <w:rsid w:val="002664CF"/>
    <w:rsid w:val="002664E7"/>
    <w:rsid w:val="00266554"/>
    <w:rsid w:val="0026656B"/>
    <w:rsid w:val="002665D5"/>
    <w:rsid w:val="0026663C"/>
    <w:rsid w:val="00266676"/>
    <w:rsid w:val="002666C3"/>
    <w:rsid w:val="002666D8"/>
    <w:rsid w:val="00266776"/>
    <w:rsid w:val="00266780"/>
    <w:rsid w:val="002667A5"/>
    <w:rsid w:val="00266855"/>
    <w:rsid w:val="0026686E"/>
    <w:rsid w:val="002668C0"/>
    <w:rsid w:val="002668E6"/>
    <w:rsid w:val="00266925"/>
    <w:rsid w:val="002669FD"/>
    <w:rsid w:val="00266A57"/>
    <w:rsid w:val="00266B20"/>
    <w:rsid w:val="00266B40"/>
    <w:rsid w:val="00266C3F"/>
    <w:rsid w:val="00266C8B"/>
    <w:rsid w:val="00266CAE"/>
    <w:rsid w:val="00266CED"/>
    <w:rsid w:val="00266D52"/>
    <w:rsid w:val="00266E0A"/>
    <w:rsid w:val="00266E28"/>
    <w:rsid w:val="00266E8A"/>
    <w:rsid w:val="00266EC2"/>
    <w:rsid w:val="00266EE0"/>
    <w:rsid w:val="00266F02"/>
    <w:rsid w:val="00266F62"/>
    <w:rsid w:val="00266FBC"/>
    <w:rsid w:val="0026707F"/>
    <w:rsid w:val="00267092"/>
    <w:rsid w:val="00267118"/>
    <w:rsid w:val="00267156"/>
    <w:rsid w:val="00267202"/>
    <w:rsid w:val="0026725D"/>
    <w:rsid w:val="0026727C"/>
    <w:rsid w:val="002672B9"/>
    <w:rsid w:val="002672C0"/>
    <w:rsid w:val="0026732E"/>
    <w:rsid w:val="0026739F"/>
    <w:rsid w:val="00267429"/>
    <w:rsid w:val="00267471"/>
    <w:rsid w:val="00267476"/>
    <w:rsid w:val="002674C2"/>
    <w:rsid w:val="002675AA"/>
    <w:rsid w:val="002675B2"/>
    <w:rsid w:val="002676CC"/>
    <w:rsid w:val="00267718"/>
    <w:rsid w:val="00267737"/>
    <w:rsid w:val="00267865"/>
    <w:rsid w:val="002679BF"/>
    <w:rsid w:val="00267A54"/>
    <w:rsid w:val="00267A5A"/>
    <w:rsid w:val="00267B6D"/>
    <w:rsid w:val="00267BAA"/>
    <w:rsid w:val="00267C0C"/>
    <w:rsid w:val="00267C5D"/>
    <w:rsid w:val="00267C6F"/>
    <w:rsid w:val="00267C89"/>
    <w:rsid w:val="00267CBD"/>
    <w:rsid w:val="00267D18"/>
    <w:rsid w:val="00267D76"/>
    <w:rsid w:val="00267E47"/>
    <w:rsid w:val="00267EBE"/>
    <w:rsid w:val="00267EC5"/>
    <w:rsid w:val="00267EF7"/>
    <w:rsid w:val="0027000D"/>
    <w:rsid w:val="0027003C"/>
    <w:rsid w:val="00270131"/>
    <w:rsid w:val="00270249"/>
    <w:rsid w:val="0027027C"/>
    <w:rsid w:val="002702A0"/>
    <w:rsid w:val="00270322"/>
    <w:rsid w:val="00270363"/>
    <w:rsid w:val="002704FD"/>
    <w:rsid w:val="00270554"/>
    <w:rsid w:val="00270567"/>
    <w:rsid w:val="002705F3"/>
    <w:rsid w:val="00270759"/>
    <w:rsid w:val="00270841"/>
    <w:rsid w:val="002708B1"/>
    <w:rsid w:val="00270AA7"/>
    <w:rsid w:val="00270BA2"/>
    <w:rsid w:val="00270C26"/>
    <w:rsid w:val="00270C29"/>
    <w:rsid w:val="00270C51"/>
    <w:rsid w:val="00270C52"/>
    <w:rsid w:val="00270CFE"/>
    <w:rsid w:val="00270D0B"/>
    <w:rsid w:val="00270D19"/>
    <w:rsid w:val="00270D7A"/>
    <w:rsid w:val="00270DC5"/>
    <w:rsid w:val="00270E13"/>
    <w:rsid w:val="00270E9E"/>
    <w:rsid w:val="00270EA6"/>
    <w:rsid w:val="00270F3F"/>
    <w:rsid w:val="00270FA9"/>
    <w:rsid w:val="00270FFB"/>
    <w:rsid w:val="002711AE"/>
    <w:rsid w:val="0027121E"/>
    <w:rsid w:val="0027122B"/>
    <w:rsid w:val="0027124B"/>
    <w:rsid w:val="00271283"/>
    <w:rsid w:val="00271306"/>
    <w:rsid w:val="0027130B"/>
    <w:rsid w:val="00271353"/>
    <w:rsid w:val="0027135B"/>
    <w:rsid w:val="0027138E"/>
    <w:rsid w:val="00271392"/>
    <w:rsid w:val="002713E3"/>
    <w:rsid w:val="00271475"/>
    <w:rsid w:val="002714A6"/>
    <w:rsid w:val="002714F8"/>
    <w:rsid w:val="00271545"/>
    <w:rsid w:val="0027155F"/>
    <w:rsid w:val="002716B5"/>
    <w:rsid w:val="002716EF"/>
    <w:rsid w:val="002716FD"/>
    <w:rsid w:val="0027172D"/>
    <w:rsid w:val="00271872"/>
    <w:rsid w:val="002718AF"/>
    <w:rsid w:val="002718DB"/>
    <w:rsid w:val="002719C5"/>
    <w:rsid w:val="00271A26"/>
    <w:rsid w:val="00271A94"/>
    <w:rsid w:val="00271ADD"/>
    <w:rsid w:val="00271AF1"/>
    <w:rsid w:val="00271CB0"/>
    <w:rsid w:val="00271CBB"/>
    <w:rsid w:val="00271D23"/>
    <w:rsid w:val="00271E2E"/>
    <w:rsid w:val="00271E81"/>
    <w:rsid w:val="00271EA5"/>
    <w:rsid w:val="00271F09"/>
    <w:rsid w:val="00271F17"/>
    <w:rsid w:val="00272063"/>
    <w:rsid w:val="002720B5"/>
    <w:rsid w:val="002720BF"/>
    <w:rsid w:val="002720F6"/>
    <w:rsid w:val="0027215B"/>
    <w:rsid w:val="002721A1"/>
    <w:rsid w:val="002721A5"/>
    <w:rsid w:val="00272223"/>
    <w:rsid w:val="002722AD"/>
    <w:rsid w:val="002723C2"/>
    <w:rsid w:val="00272442"/>
    <w:rsid w:val="002724D4"/>
    <w:rsid w:val="002724E3"/>
    <w:rsid w:val="002724E7"/>
    <w:rsid w:val="0027256E"/>
    <w:rsid w:val="0027257E"/>
    <w:rsid w:val="00272586"/>
    <w:rsid w:val="002726BD"/>
    <w:rsid w:val="002726D8"/>
    <w:rsid w:val="002727B4"/>
    <w:rsid w:val="00272805"/>
    <w:rsid w:val="00272839"/>
    <w:rsid w:val="00272860"/>
    <w:rsid w:val="0027287E"/>
    <w:rsid w:val="0027294C"/>
    <w:rsid w:val="0027297A"/>
    <w:rsid w:val="002729AB"/>
    <w:rsid w:val="002729AF"/>
    <w:rsid w:val="002729F1"/>
    <w:rsid w:val="00272A2A"/>
    <w:rsid w:val="00272A82"/>
    <w:rsid w:val="00272AD2"/>
    <w:rsid w:val="00272AD3"/>
    <w:rsid w:val="00272B43"/>
    <w:rsid w:val="00272BCF"/>
    <w:rsid w:val="00272BDD"/>
    <w:rsid w:val="00272C78"/>
    <w:rsid w:val="00272CFA"/>
    <w:rsid w:val="00272D40"/>
    <w:rsid w:val="00272D7E"/>
    <w:rsid w:val="00272DC2"/>
    <w:rsid w:val="00272E28"/>
    <w:rsid w:val="00272E71"/>
    <w:rsid w:val="00272E8B"/>
    <w:rsid w:val="00272EAF"/>
    <w:rsid w:val="00272F64"/>
    <w:rsid w:val="00272F7A"/>
    <w:rsid w:val="00272FC2"/>
    <w:rsid w:val="00273091"/>
    <w:rsid w:val="002730FF"/>
    <w:rsid w:val="00273151"/>
    <w:rsid w:val="00273155"/>
    <w:rsid w:val="00273178"/>
    <w:rsid w:val="002731AF"/>
    <w:rsid w:val="002731B0"/>
    <w:rsid w:val="00273299"/>
    <w:rsid w:val="002732DB"/>
    <w:rsid w:val="00273306"/>
    <w:rsid w:val="00273310"/>
    <w:rsid w:val="0027331F"/>
    <w:rsid w:val="002733F8"/>
    <w:rsid w:val="00273459"/>
    <w:rsid w:val="002734B2"/>
    <w:rsid w:val="00273654"/>
    <w:rsid w:val="002736C3"/>
    <w:rsid w:val="002736DB"/>
    <w:rsid w:val="002736E9"/>
    <w:rsid w:val="002737A4"/>
    <w:rsid w:val="002737B6"/>
    <w:rsid w:val="002737BC"/>
    <w:rsid w:val="00273898"/>
    <w:rsid w:val="00273932"/>
    <w:rsid w:val="0027398D"/>
    <w:rsid w:val="002739A1"/>
    <w:rsid w:val="002739C1"/>
    <w:rsid w:val="002739D1"/>
    <w:rsid w:val="00273A0A"/>
    <w:rsid w:val="00273A26"/>
    <w:rsid w:val="00273A90"/>
    <w:rsid w:val="00273B26"/>
    <w:rsid w:val="00273C5D"/>
    <w:rsid w:val="00273C84"/>
    <w:rsid w:val="00273C93"/>
    <w:rsid w:val="00273C97"/>
    <w:rsid w:val="00273CDF"/>
    <w:rsid w:val="00273CE0"/>
    <w:rsid w:val="00273D12"/>
    <w:rsid w:val="00273D41"/>
    <w:rsid w:val="00273E48"/>
    <w:rsid w:val="00273E5A"/>
    <w:rsid w:val="00273EBC"/>
    <w:rsid w:val="00273EE5"/>
    <w:rsid w:val="00273EEB"/>
    <w:rsid w:val="00273F6B"/>
    <w:rsid w:val="00273F84"/>
    <w:rsid w:val="00273FC5"/>
    <w:rsid w:val="00273FF3"/>
    <w:rsid w:val="00274144"/>
    <w:rsid w:val="002741F6"/>
    <w:rsid w:val="002741FF"/>
    <w:rsid w:val="00274218"/>
    <w:rsid w:val="0027430D"/>
    <w:rsid w:val="00274323"/>
    <w:rsid w:val="0027438C"/>
    <w:rsid w:val="002743E8"/>
    <w:rsid w:val="00274460"/>
    <w:rsid w:val="002744E9"/>
    <w:rsid w:val="002744F3"/>
    <w:rsid w:val="0027461A"/>
    <w:rsid w:val="002746DC"/>
    <w:rsid w:val="00274701"/>
    <w:rsid w:val="00274726"/>
    <w:rsid w:val="002747A3"/>
    <w:rsid w:val="002747DF"/>
    <w:rsid w:val="0027487A"/>
    <w:rsid w:val="0027487D"/>
    <w:rsid w:val="002748EA"/>
    <w:rsid w:val="002748F8"/>
    <w:rsid w:val="00274A70"/>
    <w:rsid w:val="00274B06"/>
    <w:rsid w:val="00274B69"/>
    <w:rsid w:val="00274B98"/>
    <w:rsid w:val="00274BA0"/>
    <w:rsid w:val="00274BA6"/>
    <w:rsid w:val="00274BAB"/>
    <w:rsid w:val="00274C1D"/>
    <w:rsid w:val="00274CB1"/>
    <w:rsid w:val="00274CFB"/>
    <w:rsid w:val="00274D11"/>
    <w:rsid w:val="00274DAD"/>
    <w:rsid w:val="00274F25"/>
    <w:rsid w:val="00274F3E"/>
    <w:rsid w:val="00275035"/>
    <w:rsid w:val="002750B8"/>
    <w:rsid w:val="002750D1"/>
    <w:rsid w:val="00275103"/>
    <w:rsid w:val="002751A1"/>
    <w:rsid w:val="002751BE"/>
    <w:rsid w:val="00275271"/>
    <w:rsid w:val="0027533C"/>
    <w:rsid w:val="002753B1"/>
    <w:rsid w:val="002753E5"/>
    <w:rsid w:val="00275416"/>
    <w:rsid w:val="002754CB"/>
    <w:rsid w:val="002754F3"/>
    <w:rsid w:val="00275515"/>
    <w:rsid w:val="00275553"/>
    <w:rsid w:val="0027567B"/>
    <w:rsid w:val="00275719"/>
    <w:rsid w:val="0027573B"/>
    <w:rsid w:val="00275749"/>
    <w:rsid w:val="002758FC"/>
    <w:rsid w:val="0027591E"/>
    <w:rsid w:val="0027593D"/>
    <w:rsid w:val="002759FF"/>
    <w:rsid w:val="00275A94"/>
    <w:rsid w:val="00275AAC"/>
    <w:rsid w:val="00275B23"/>
    <w:rsid w:val="00275B4F"/>
    <w:rsid w:val="00275B81"/>
    <w:rsid w:val="00275C02"/>
    <w:rsid w:val="00275C94"/>
    <w:rsid w:val="00275CF9"/>
    <w:rsid w:val="00275D0D"/>
    <w:rsid w:val="00275D93"/>
    <w:rsid w:val="00275DDC"/>
    <w:rsid w:val="00275EBE"/>
    <w:rsid w:val="00275F3B"/>
    <w:rsid w:val="00275FCF"/>
    <w:rsid w:val="00276012"/>
    <w:rsid w:val="00276057"/>
    <w:rsid w:val="0027611E"/>
    <w:rsid w:val="0027612D"/>
    <w:rsid w:val="0027613B"/>
    <w:rsid w:val="002761B9"/>
    <w:rsid w:val="00276257"/>
    <w:rsid w:val="002762A8"/>
    <w:rsid w:val="002763B6"/>
    <w:rsid w:val="0027647F"/>
    <w:rsid w:val="00276560"/>
    <w:rsid w:val="002765FB"/>
    <w:rsid w:val="0027661D"/>
    <w:rsid w:val="0027669C"/>
    <w:rsid w:val="00276761"/>
    <w:rsid w:val="00276858"/>
    <w:rsid w:val="002769BD"/>
    <w:rsid w:val="00276A46"/>
    <w:rsid w:val="00276AF0"/>
    <w:rsid w:val="00276AF7"/>
    <w:rsid w:val="00276B0F"/>
    <w:rsid w:val="00276B50"/>
    <w:rsid w:val="00276B9F"/>
    <w:rsid w:val="00276BD9"/>
    <w:rsid w:val="00276C62"/>
    <w:rsid w:val="00276CA0"/>
    <w:rsid w:val="00276CE1"/>
    <w:rsid w:val="00276D6E"/>
    <w:rsid w:val="00276D71"/>
    <w:rsid w:val="00276DFA"/>
    <w:rsid w:val="00276FEB"/>
    <w:rsid w:val="00277033"/>
    <w:rsid w:val="00277039"/>
    <w:rsid w:val="002770BF"/>
    <w:rsid w:val="0027717E"/>
    <w:rsid w:val="002771DC"/>
    <w:rsid w:val="0027720F"/>
    <w:rsid w:val="00277242"/>
    <w:rsid w:val="00277266"/>
    <w:rsid w:val="002772E0"/>
    <w:rsid w:val="002772EC"/>
    <w:rsid w:val="00277321"/>
    <w:rsid w:val="0027734C"/>
    <w:rsid w:val="0027736C"/>
    <w:rsid w:val="002773A2"/>
    <w:rsid w:val="0027741F"/>
    <w:rsid w:val="00277424"/>
    <w:rsid w:val="00277464"/>
    <w:rsid w:val="002774B6"/>
    <w:rsid w:val="00277538"/>
    <w:rsid w:val="0027753C"/>
    <w:rsid w:val="00277548"/>
    <w:rsid w:val="0027754A"/>
    <w:rsid w:val="00277606"/>
    <w:rsid w:val="00277698"/>
    <w:rsid w:val="002776B4"/>
    <w:rsid w:val="00277716"/>
    <w:rsid w:val="00277747"/>
    <w:rsid w:val="0027774A"/>
    <w:rsid w:val="0027775F"/>
    <w:rsid w:val="00277922"/>
    <w:rsid w:val="0027795D"/>
    <w:rsid w:val="002779D5"/>
    <w:rsid w:val="00277A00"/>
    <w:rsid w:val="00277A9B"/>
    <w:rsid w:val="00277AD7"/>
    <w:rsid w:val="00277AFE"/>
    <w:rsid w:val="00277AFF"/>
    <w:rsid w:val="00277B6A"/>
    <w:rsid w:val="00277C20"/>
    <w:rsid w:val="00277CD0"/>
    <w:rsid w:val="00277D1B"/>
    <w:rsid w:val="00277D83"/>
    <w:rsid w:val="00277DB5"/>
    <w:rsid w:val="00277DCD"/>
    <w:rsid w:val="00277E2B"/>
    <w:rsid w:val="002800D0"/>
    <w:rsid w:val="0028015E"/>
    <w:rsid w:val="002801CA"/>
    <w:rsid w:val="002801F0"/>
    <w:rsid w:val="0028022E"/>
    <w:rsid w:val="00280248"/>
    <w:rsid w:val="00280258"/>
    <w:rsid w:val="002802A1"/>
    <w:rsid w:val="00280324"/>
    <w:rsid w:val="0028033B"/>
    <w:rsid w:val="00280380"/>
    <w:rsid w:val="002803CB"/>
    <w:rsid w:val="00280402"/>
    <w:rsid w:val="0028043D"/>
    <w:rsid w:val="002804B9"/>
    <w:rsid w:val="002804C6"/>
    <w:rsid w:val="002804D4"/>
    <w:rsid w:val="0028054B"/>
    <w:rsid w:val="00280568"/>
    <w:rsid w:val="002805D0"/>
    <w:rsid w:val="002805FE"/>
    <w:rsid w:val="0028060A"/>
    <w:rsid w:val="00280627"/>
    <w:rsid w:val="0028062E"/>
    <w:rsid w:val="0028064E"/>
    <w:rsid w:val="00280733"/>
    <w:rsid w:val="00280745"/>
    <w:rsid w:val="00280760"/>
    <w:rsid w:val="00280777"/>
    <w:rsid w:val="002807CC"/>
    <w:rsid w:val="00280834"/>
    <w:rsid w:val="002808C9"/>
    <w:rsid w:val="002808D5"/>
    <w:rsid w:val="00280967"/>
    <w:rsid w:val="002809AB"/>
    <w:rsid w:val="002809FC"/>
    <w:rsid w:val="00280A57"/>
    <w:rsid w:val="00280CB6"/>
    <w:rsid w:val="00280D2F"/>
    <w:rsid w:val="00280DD4"/>
    <w:rsid w:val="00280E84"/>
    <w:rsid w:val="00280EBA"/>
    <w:rsid w:val="00280EC6"/>
    <w:rsid w:val="00280F37"/>
    <w:rsid w:val="00280F71"/>
    <w:rsid w:val="00280F88"/>
    <w:rsid w:val="00281062"/>
    <w:rsid w:val="002810B3"/>
    <w:rsid w:val="002810FA"/>
    <w:rsid w:val="0028113A"/>
    <w:rsid w:val="0028116D"/>
    <w:rsid w:val="00281253"/>
    <w:rsid w:val="00281280"/>
    <w:rsid w:val="00281297"/>
    <w:rsid w:val="00281411"/>
    <w:rsid w:val="00281504"/>
    <w:rsid w:val="00281514"/>
    <w:rsid w:val="00281573"/>
    <w:rsid w:val="00281590"/>
    <w:rsid w:val="0028161E"/>
    <w:rsid w:val="00281705"/>
    <w:rsid w:val="00281812"/>
    <w:rsid w:val="00281836"/>
    <w:rsid w:val="00281896"/>
    <w:rsid w:val="002818EB"/>
    <w:rsid w:val="00281940"/>
    <w:rsid w:val="00281A7A"/>
    <w:rsid w:val="00281B65"/>
    <w:rsid w:val="00281C31"/>
    <w:rsid w:val="00281C6C"/>
    <w:rsid w:val="00281CA9"/>
    <w:rsid w:val="00281D0B"/>
    <w:rsid w:val="00281D31"/>
    <w:rsid w:val="00281D5E"/>
    <w:rsid w:val="00281D9F"/>
    <w:rsid w:val="00281E09"/>
    <w:rsid w:val="00281E8E"/>
    <w:rsid w:val="00281ECE"/>
    <w:rsid w:val="00281EE7"/>
    <w:rsid w:val="00282016"/>
    <w:rsid w:val="00282051"/>
    <w:rsid w:val="002820AB"/>
    <w:rsid w:val="002820F8"/>
    <w:rsid w:val="00282135"/>
    <w:rsid w:val="0028227A"/>
    <w:rsid w:val="002822D8"/>
    <w:rsid w:val="002822DA"/>
    <w:rsid w:val="002823BD"/>
    <w:rsid w:val="002823F9"/>
    <w:rsid w:val="00282436"/>
    <w:rsid w:val="002824C4"/>
    <w:rsid w:val="00282507"/>
    <w:rsid w:val="00282522"/>
    <w:rsid w:val="002825ED"/>
    <w:rsid w:val="00282666"/>
    <w:rsid w:val="00282686"/>
    <w:rsid w:val="00282689"/>
    <w:rsid w:val="002826AE"/>
    <w:rsid w:val="002826D0"/>
    <w:rsid w:val="002826F5"/>
    <w:rsid w:val="00282713"/>
    <w:rsid w:val="00282877"/>
    <w:rsid w:val="002828A3"/>
    <w:rsid w:val="002828EB"/>
    <w:rsid w:val="00282916"/>
    <w:rsid w:val="00282973"/>
    <w:rsid w:val="00282A3C"/>
    <w:rsid w:val="00282A65"/>
    <w:rsid w:val="00282AC7"/>
    <w:rsid w:val="00282BE8"/>
    <w:rsid w:val="00282C03"/>
    <w:rsid w:val="00282C3E"/>
    <w:rsid w:val="00282E60"/>
    <w:rsid w:val="00282E76"/>
    <w:rsid w:val="00282ECE"/>
    <w:rsid w:val="00282F01"/>
    <w:rsid w:val="00282F37"/>
    <w:rsid w:val="00282F86"/>
    <w:rsid w:val="00283042"/>
    <w:rsid w:val="00283093"/>
    <w:rsid w:val="002830A0"/>
    <w:rsid w:val="002830AC"/>
    <w:rsid w:val="002830EE"/>
    <w:rsid w:val="002831B3"/>
    <w:rsid w:val="0028321B"/>
    <w:rsid w:val="002832C2"/>
    <w:rsid w:val="00283446"/>
    <w:rsid w:val="00283455"/>
    <w:rsid w:val="00283467"/>
    <w:rsid w:val="0028348B"/>
    <w:rsid w:val="002834F4"/>
    <w:rsid w:val="00283534"/>
    <w:rsid w:val="00283574"/>
    <w:rsid w:val="002835D9"/>
    <w:rsid w:val="0028363E"/>
    <w:rsid w:val="002836D0"/>
    <w:rsid w:val="00283733"/>
    <w:rsid w:val="00283740"/>
    <w:rsid w:val="0028380F"/>
    <w:rsid w:val="00283853"/>
    <w:rsid w:val="002838AB"/>
    <w:rsid w:val="002838C5"/>
    <w:rsid w:val="002838C6"/>
    <w:rsid w:val="002838C7"/>
    <w:rsid w:val="002838E0"/>
    <w:rsid w:val="00283948"/>
    <w:rsid w:val="0028394D"/>
    <w:rsid w:val="00283960"/>
    <w:rsid w:val="002839B0"/>
    <w:rsid w:val="00283A82"/>
    <w:rsid w:val="00283AC1"/>
    <w:rsid w:val="00283ACC"/>
    <w:rsid w:val="00283BC6"/>
    <w:rsid w:val="00283BC7"/>
    <w:rsid w:val="00283BD3"/>
    <w:rsid w:val="00283BDE"/>
    <w:rsid w:val="00283CD8"/>
    <w:rsid w:val="00283D4B"/>
    <w:rsid w:val="00283D5C"/>
    <w:rsid w:val="00283D5E"/>
    <w:rsid w:val="00283D6E"/>
    <w:rsid w:val="00283DC8"/>
    <w:rsid w:val="00283F34"/>
    <w:rsid w:val="00283F45"/>
    <w:rsid w:val="00284049"/>
    <w:rsid w:val="00284082"/>
    <w:rsid w:val="002840BC"/>
    <w:rsid w:val="002840E1"/>
    <w:rsid w:val="002840E5"/>
    <w:rsid w:val="0028417F"/>
    <w:rsid w:val="00284204"/>
    <w:rsid w:val="0028424D"/>
    <w:rsid w:val="0028426D"/>
    <w:rsid w:val="002842C8"/>
    <w:rsid w:val="00284305"/>
    <w:rsid w:val="00284323"/>
    <w:rsid w:val="002843CB"/>
    <w:rsid w:val="002843E4"/>
    <w:rsid w:val="002843F1"/>
    <w:rsid w:val="0028440F"/>
    <w:rsid w:val="002844E8"/>
    <w:rsid w:val="00284530"/>
    <w:rsid w:val="00284533"/>
    <w:rsid w:val="00284659"/>
    <w:rsid w:val="0028466F"/>
    <w:rsid w:val="002847D9"/>
    <w:rsid w:val="002847FB"/>
    <w:rsid w:val="0028483C"/>
    <w:rsid w:val="00284870"/>
    <w:rsid w:val="002848A1"/>
    <w:rsid w:val="002848D7"/>
    <w:rsid w:val="00284915"/>
    <w:rsid w:val="00284955"/>
    <w:rsid w:val="002849AA"/>
    <w:rsid w:val="002849C0"/>
    <w:rsid w:val="00284A04"/>
    <w:rsid w:val="00284A13"/>
    <w:rsid w:val="00284AC2"/>
    <w:rsid w:val="00284B26"/>
    <w:rsid w:val="00284B42"/>
    <w:rsid w:val="00284B4E"/>
    <w:rsid w:val="00284B98"/>
    <w:rsid w:val="00284BAF"/>
    <w:rsid w:val="00284BE4"/>
    <w:rsid w:val="00284C7C"/>
    <w:rsid w:val="00284CB1"/>
    <w:rsid w:val="00284CF1"/>
    <w:rsid w:val="00284D1C"/>
    <w:rsid w:val="00284D64"/>
    <w:rsid w:val="00284DE4"/>
    <w:rsid w:val="00284E0F"/>
    <w:rsid w:val="00284EB9"/>
    <w:rsid w:val="00284FC8"/>
    <w:rsid w:val="00284FCF"/>
    <w:rsid w:val="00285063"/>
    <w:rsid w:val="00285161"/>
    <w:rsid w:val="00285174"/>
    <w:rsid w:val="002851DE"/>
    <w:rsid w:val="00285239"/>
    <w:rsid w:val="00285261"/>
    <w:rsid w:val="0028527E"/>
    <w:rsid w:val="0028528B"/>
    <w:rsid w:val="0028533C"/>
    <w:rsid w:val="00285360"/>
    <w:rsid w:val="0028536C"/>
    <w:rsid w:val="0028539D"/>
    <w:rsid w:val="002853DC"/>
    <w:rsid w:val="002853F6"/>
    <w:rsid w:val="002854A0"/>
    <w:rsid w:val="00285504"/>
    <w:rsid w:val="00285505"/>
    <w:rsid w:val="0028551A"/>
    <w:rsid w:val="0028553C"/>
    <w:rsid w:val="00285572"/>
    <w:rsid w:val="002855B4"/>
    <w:rsid w:val="00285639"/>
    <w:rsid w:val="00285674"/>
    <w:rsid w:val="00285688"/>
    <w:rsid w:val="002856D3"/>
    <w:rsid w:val="00285789"/>
    <w:rsid w:val="002857CA"/>
    <w:rsid w:val="002857E8"/>
    <w:rsid w:val="00285817"/>
    <w:rsid w:val="00285876"/>
    <w:rsid w:val="002858D2"/>
    <w:rsid w:val="002859D7"/>
    <w:rsid w:val="00285A3A"/>
    <w:rsid w:val="00285A4A"/>
    <w:rsid w:val="00285BE1"/>
    <w:rsid w:val="00285C22"/>
    <w:rsid w:val="00285D5B"/>
    <w:rsid w:val="00285EAD"/>
    <w:rsid w:val="00285F13"/>
    <w:rsid w:val="00285F32"/>
    <w:rsid w:val="00285F44"/>
    <w:rsid w:val="00285F73"/>
    <w:rsid w:val="00285F7E"/>
    <w:rsid w:val="00285FC1"/>
    <w:rsid w:val="0028603B"/>
    <w:rsid w:val="0028605A"/>
    <w:rsid w:val="002861DE"/>
    <w:rsid w:val="0028627A"/>
    <w:rsid w:val="0028635A"/>
    <w:rsid w:val="00286369"/>
    <w:rsid w:val="0028636A"/>
    <w:rsid w:val="0028636D"/>
    <w:rsid w:val="00286374"/>
    <w:rsid w:val="00286390"/>
    <w:rsid w:val="002863E6"/>
    <w:rsid w:val="00286498"/>
    <w:rsid w:val="002864E0"/>
    <w:rsid w:val="00286503"/>
    <w:rsid w:val="00286585"/>
    <w:rsid w:val="00286607"/>
    <w:rsid w:val="00286643"/>
    <w:rsid w:val="002866C2"/>
    <w:rsid w:val="00286705"/>
    <w:rsid w:val="00286745"/>
    <w:rsid w:val="00286748"/>
    <w:rsid w:val="002867DD"/>
    <w:rsid w:val="0028689C"/>
    <w:rsid w:val="00286909"/>
    <w:rsid w:val="0028691C"/>
    <w:rsid w:val="00286945"/>
    <w:rsid w:val="00286982"/>
    <w:rsid w:val="00286991"/>
    <w:rsid w:val="002869A3"/>
    <w:rsid w:val="002869A8"/>
    <w:rsid w:val="002869C0"/>
    <w:rsid w:val="002869CD"/>
    <w:rsid w:val="00286A50"/>
    <w:rsid w:val="00286B42"/>
    <w:rsid w:val="00286B48"/>
    <w:rsid w:val="00286B4D"/>
    <w:rsid w:val="00286C3A"/>
    <w:rsid w:val="00286CA2"/>
    <w:rsid w:val="00286CBA"/>
    <w:rsid w:val="00286D09"/>
    <w:rsid w:val="00286DB7"/>
    <w:rsid w:val="00286DE7"/>
    <w:rsid w:val="00286F3F"/>
    <w:rsid w:val="00287041"/>
    <w:rsid w:val="00287121"/>
    <w:rsid w:val="00287123"/>
    <w:rsid w:val="00287190"/>
    <w:rsid w:val="002871AD"/>
    <w:rsid w:val="002871AF"/>
    <w:rsid w:val="002872FC"/>
    <w:rsid w:val="00287386"/>
    <w:rsid w:val="0028738A"/>
    <w:rsid w:val="00287402"/>
    <w:rsid w:val="00287431"/>
    <w:rsid w:val="00287555"/>
    <w:rsid w:val="002876B2"/>
    <w:rsid w:val="002876D6"/>
    <w:rsid w:val="00287744"/>
    <w:rsid w:val="002877F2"/>
    <w:rsid w:val="0028780C"/>
    <w:rsid w:val="0028784C"/>
    <w:rsid w:val="002879B8"/>
    <w:rsid w:val="00287A53"/>
    <w:rsid w:val="00287A86"/>
    <w:rsid w:val="00287ACB"/>
    <w:rsid w:val="00287B9A"/>
    <w:rsid w:val="00287C82"/>
    <w:rsid w:val="00287C97"/>
    <w:rsid w:val="00287D0C"/>
    <w:rsid w:val="00287E02"/>
    <w:rsid w:val="00287E03"/>
    <w:rsid w:val="00287E72"/>
    <w:rsid w:val="00287F03"/>
    <w:rsid w:val="00287F38"/>
    <w:rsid w:val="00287FBE"/>
    <w:rsid w:val="00287FD4"/>
    <w:rsid w:val="00290018"/>
    <w:rsid w:val="0029009A"/>
    <w:rsid w:val="002900B7"/>
    <w:rsid w:val="002900E8"/>
    <w:rsid w:val="0029013F"/>
    <w:rsid w:val="002901C6"/>
    <w:rsid w:val="0029021B"/>
    <w:rsid w:val="00290270"/>
    <w:rsid w:val="00290299"/>
    <w:rsid w:val="0029030A"/>
    <w:rsid w:val="00290391"/>
    <w:rsid w:val="002903BE"/>
    <w:rsid w:val="002903F0"/>
    <w:rsid w:val="00290441"/>
    <w:rsid w:val="002904AF"/>
    <w:rsid w:val="002904EF"/>
    <w:rsid w:val="0029051A"/>
    <w:rsid w:val="0029055C"/>
    <w:rsid w:val="00290669"/>
    <w:rsid w:val="002906F8"/>
    <w:rsid w:val="00290798"/>
    <w:rsid w:val="0029082F"/>
    <w:rsid w:val="00290887"/>
    <w:rsid w:val="0029089E"/>
    <w:rsid w:val="002908D6"/>
    <w:rsid w:val="00290919"/>
    <w:rsid w:val="00290929"/>
    <w:rsid w:val="0029094A"/>
    <w:rsid w:val="00290A1C"/>
    <w:rsid w:val="00290A87"/>
    <w:rsid w:val="00290ADA"/>
    <w:rsid w:val="00290B1B"/>
    <w:rsid w:val="00290B21"/>
    <w:rsid w:val="00290BDC"/>
    <w:rsid w:val="00290BDF"/>
    <w:rsid w:val="00290C31"/>
    <w:rsid w:val="00290C9E"/>
    <w:rsid w:val="00290CA6"/>
    <w:rsid w:val="00290CC3"/>
    <w:rsid w:val="00290D2C"/>
    <w:rsid w:val="00290D38"/>
    <w:rsid w:val="00290D51"/>
    <w:rsid w:val="00290DE9"/>
    <w:rsid w:val="00290DFF"/>
    <w:rsid w:val="00290EBB"/>
    <w:rsid w:val="00290FF3"/>
    <w:rsid w:val="00291014"/>
    <w:rsid w:val="002910DE"/>
    <w:rsid w:val="0029112B"/>
    <w:rsid w:val="002911F9"/>
    <w:rsid w:val="00291218"/>
    <w:rsid w:val="002912BE"/>
    <w:rsid w:val="00291350"/>
    <w:rsid w:val="00291385"/>
    <w:rsid w:val="002913C1"/>
    <w:rsid w:val="002913DB"/>
    <w:rsid w:val="0029149B"/>
    <w:rsid w:val="002914A5"/>
    <w:rsid w:val="002914F0"/>
    <w:rsid w:val="00291556"/>
    <w:rsid w:val="00291564"/>
    <w:rsid w:val="00291578"/>
    <w:rsid w:val="00291587"/>
    <w:rsid w:val="002915BC"/>
    <w:rsid w:val="002915EA"/>
    <w:rsid w:val="002916AE"/>
    <w:rsid w:val="002916BE"/>
    <w:rsid w:val="002916CA"/>
    <w:rsid w:val="00291776"/>
    <w:rsid w:val="002917B5"/>
    <w:rsid w:val="002917F1"/>
    <w:rsid w:val="002919C5"/>
    <w:rsid w:val="00291AF8"/>
    <w:rsid w:val="00291B09"/>
    <w:rsid w:val="00291BA2"/>
    <w:rsid w:val="00291BEE"/>
    <w:rsid w:val="00291C4F"/>
    <w:rsid w:val="00291D02"/>
    <w:rsid w:val="00291D04"/>
    <w:rsid w:val="00291E15"/>
    <w:rsid w:val="00291E8D"/>
    <w:rsid w:val="00291EFD"/>
    <w:rsid w:val="00291FB1"/>
    <w:rsid w:val="0029207A"/>
    <w:rsid w:val="002920E0"/>
    <w:rsid w:val="0029221E"/>
    <w:rsid w:val="00292260"/>
    <w:rsid w:val="00292276"/>
    <w:rsid w:val="00292337"/>
    <w:rsid w:val="002923AA"/>
    <w:rsid w:val="00292415"/>
    <w:rsid w:val="0029245B"/>
    <w:rsid w:val="00292480"/>
    <w:rsid w:val="00292488"/>
    <w:rsid w:val="002924ED"/>
    <w:rsid w:val="002924EF"/>
    <w:rsid w:val="0029253F"/>
    <w:rsid w:val="0029254A"/>
    <w:rsid w:val="00292555"/>
    <w:rsid w:val="002925E6"/>
    <w:rsid w:val="00292604"/>
    <w:rsid w:val="00292627"/>
    <w:rsid w:val="00292715"/>
    <w:rsid w:val="0029279F"/>
    <w:rsid w:val="002927FA"/>
    <w:rsid w:val="00292800"/>
    <w:rsid w:val="00292825"/>
    <w:rsid w:val="0029285C"/>
    <w:rsid w:val="00292905"/>
    <w:rsid w:val="00292A01"/>
    <w:rsid w:val="00292A80"/>
    <w:rsid w:val="00292C2E"/>
    <w:rsid w:val="00292C41"/>
    <w:rsid w:val="00292D69"/>
    <w:rsid w:val="00292DBB"/>
    <w:rsid w:val="00292EC4"/>
    <w:rsid w:val="00292F3A"/>
    <w:rsid w:val="0029301E"/>
    <w:rsid w:val="00293033"/>
    <w:rsid w:val="00293074"/>
    <w:rsid w:val="00293089"/>
    <w:rsid w:val="002931F7"/>
    <w:rsid w:val="0029327B"/>
    <w:rsid w:val="002933AF"/>
    <w:rsid w:val="002933C3"/>
    <w:rsid w:val="00293466"/>
    <w:rsid w:val="00293492"/>
    <w:rsid w:val="002934C3"/>
    <w:rsid w:val="0029353F"/>
    <w:rsid w:val="00293589"/>
    <w:rsid w:val="002935D8"/>
    <w:rsid w:val="00293623"/>
    <w:rsid w:val="0029364C"/>
    <w:rsid w:val="00293652"/>
    <w:rsid w:val="002936A9"/>
    <w:rsid w:val="002936D1"/>
    <w:rsid w:val="002936FE"/>
    <w:rsid w:val="0029374D"/>
    <w:rsid w:val="00293830"/>
    <w:rsid w:val="00293842"/>
    <w:rsid w:val="0029384C"/>
    <w:rsid w:val="00293857"/>
    <w:rsid w:val="0029387F"/>
    <w:rsid w:val="0029389B"/>
    <w:rsid w:val="002938B3"/>
    <w:rsid w:val="002938B9"/>
    <w:rsid w:val="002938F6"/>
    <w:rsid w:val="00293983"/>
    <w:rsid w:val="0029399C"/>
    <w:rsid w:val="00293A14"/>
    <w:rsid w:val="00293A1F"/>
    <w:rsid w:val="00293A90"/>
    <w:rsid w:val="00293ABA"/>
    <w:rsid w:val="00293AD4"/>
    <w:rsid w:val="00293AE9"/>
    <w:rsid w:val="00293B36"/>
    <w:rsid w:val="00293B7C"/>
    <w:rsid w:val="00293B83"/>
    <w:rsid w:val="00293BF6"/>
    <w:rsid w:val="00293CAE"/>
    <w:rsid w:val="00293D36"/>
    <w:rsid w:val="00293D49"/>
    <w:rsid w:val="00293DC1"/>
    <w:rsid w:val="00293DCE"/>
    <w:rsid w:val="00293EBA"/>
    <w:rsid w:val="00293F48"/>
    <w:rsid w:val="0029410A"/>
    <w:rsid w:val="00294138"/>
    <w:rsid w:val="0029413B"/>
    <w:rsid w:val="00294286"/>
    <w:rsid w:val="0029428D"/>
    <w:rsid w:val="002942B0"/>
    <w:rsid w:val="00294319"/>
    <w:rsid w:val="00294327"/>
    <w:rsid w:val="00294341"/>
    <w:rsid w:val="002943B8"/>
    <w:rsid w:val="002943C0"/>
    <w:rsid w:val="00294429"/>
    <w:rsid w:val="002944A9"/>
    <w:rsid w:val="00294529"/>
    <w:rsid w:val="00294592"/>
    <w:rsid w:val="00294637"/>
    <w:rsid w:val="0029463A"/>
    <w:rsid w:val="0029470C"/>
    <w:rsid w:val="00294814"/>
    <w:rsid w:val="002948E2"/>
    <w:rsid w:val="00294900"/>
    <w:rsid w:val="00294931"/>
    <w:rsid w:val="00294A97"/>
    <w:rsid w:val="00294B58"/>
    <w:rsid w:val="00294B79"/>
    <w:rsid w:val="00294BB7"/>
    <w:rsid w:val="00294BFE"/>
    <w:rsid w:val="00294C0A"/>
    <w:rsid w:val="00294E81"/>
    <w:rsid w:val="00294EFF"/>
    <w:rsid w:val="00294FA4"/>
    <w:rsid w:val="00294FAE"/>
    <w:rsid w:val="00294FCE"/>
    <w:rsid w:val="00295004"/>
    <w:rsid w:val="00295038"/>
    <w:rsid w:val="00295143"/>
    <w:rsid w:val="0029516D"/>
    <w:rsid w:val="002951C3"/>
    <w:rsid w:val="00295206"/>
    <w:rsid w:val="0029520E"/>
    <w:rsid w:val="00295215"/>
    <w:rsid w:val="002952E4"/>
    <w:rsid w:val="00295383"/>
    <w:rsid w:val="0029539C"/>
    <w:rsid w:val="00295501"/>
    <w:rsid w:val="002955E5"/>
    <w:rsid w:val="0029574A"/>
    <w:rsid w:val="00295806"/>
    <w:rsid w:val="00295826"/>
    <w:rsid w:val="00295897"/>
    <w:rsid w:val="002958A0"/>
    <w:rsid w:val="002958F8"/>
    <w:rsid w:val="002958F9"/>
    <w:rsid w:val="00295950"/>
    <w:rsid w:val="00295973"/>
    <w:rsid w:val="00295A80"/>
    <w:rsid w:val="00295AA7"/>
    <w:rsid w:val="00295AC0"/>
    <w:rsid w:val="00295AC9"/>
    <w:rsid w:val="00295AD7"/>
    <w:rsid w:val="00295AF2"/>
    <w:rsid w:val="00295B1E"/>
    <w:rsid w:val="00295B89"/>
    <w:rsid w:val="00295CC4"/>
    <w:rsid w:val="00295D3E"/>
    <w:rsid w:val="00295DC2"/>
    <w:rsid w:val="00295DFF"/>
    <w:rsid w:val="00295E06"/>
    <w:rsid w:val="00295EBD"/>
    <w:rsid w:val="00295F2C"/>
    <w:rsid w:val="00295F7D"/>
    <w:rsid w:val="0029612C"/>
    <w:rsid w:val="00296188"/>
    <w:rsid w:val="0029618A"/>
    <w:rsid w:val="002961B2"/>
    <w:rsid w:val="002961F1"/>
    <w:rsid w:val="0029621B"/>
    <w:rsid w:val="002962A3"/>
    <w:rsid w:val="00296383"/>
    <w:rsid w:val="002963A3"/>
    <w:rsid w:val="0029640F"/>
    <w:rsid w:val="00296423"/>
    <w:rsid w:val="0029642B"/>
    <w:rsid w:val="002964B1"/>
    <w:rsid w:val="0029658D"/>
    <w:rsid w:val="00296650"/>
    <w:rsid w:val="002966EB"/>
    <w:rsid w:val="0029672F"/>
    <w:rsid w:val="002968B0"/>
    <w:rsid w:val="002968E6"/>
    <w:rsid w:val="002968EF"/>
    <w:rsid w:val="00296923"/>
    <w:rsid w:val="00296975"/>
    <w:rsid w:val="002969B4"/>
    <w:rsid w:val="00296A2B"/>
    <w:rsid w:val="00296ACC"/>
    <w:rsid w:val="00296B13"/>
    <w:rsid w:val="00296B46"/>
    <w:rsid w:val="00296B76"/>
    <w:rsid w:val="00296B86"/>
    <w:rsid w:val="00296B90"/>
    <w:rsid w:val="00296B96"/>
    <w:rsid w:val="00296BCD"/>
    <w:rsid w:val="00296BE3"/>
    <w:rsid w:val="00296BF6"/>
    <w:rsid w:val="00296CB3"/>
    <w:rsid w:val="00296CE0"/>
    <w:rsid w:val="00296D28"/>
    <w:rsid w:val="00296D3C"/>
    <w:rsid w:val="00296DB8"/>
    <w:rsid w:val="00296E10"/>
    <w:rsid w:val="00296E1E"/>
    <w:rsid w:val="00296E29"/>
    <w:rsid w:val="00296E9C"/>
    <w:rsid w:val="00296EAF"/>
    <w:rsid w:val="00296F35"/>
    <w:rsid w:val="00296F3B"/>
    <w:rsid w:val="00296F5B"/>
    <w:rsid w:val="00296FAB"/>
    <w:rsid w:val="00296FB7"/>
    <w:rsid w:val="00297073"/>
    <w:rsid w:val="002970EB"/>
    <w:rsid w:val="00297105"/>
    <w:rsid w:val="00297191"/>
    <w:rsid w:val="002971A0"/>
    <w:rsid w:val="002972BF"/>
    <w:rsid w:val="00297318"/>
    <w:rsid w:val="00297321"/>
    <w:rsid w:val="002973C9"/>
    <w:rsid w:val="002973DF"/>
    <w:rsid w:val="0029749A"/>
    <w:rsid w:val="002974E7"/>
    <w:rsid w:val="00297509"/>
    <w:rsid w:val="0029752C"/>
    <w:rsid w:val="0029759D"/>
    <w:rsid w:val="002975AD"/>
    <w:rsid w:val="002975BA"/>
    <w:rsid w:val="00297619"/>
    <w:rsid w:val="0029765B"/>
    <w:rsid w:val="0029768F"/>
    <w:rsid w:val="002976E7"/>
    <w:rsid w:val="00297701"/>
    <w:rsid w:val="00297852"/>
    <w:rsid w:val="0029789A"/>
    <w:rsid w:val="00297900"/>
    <w:rsid w:val="00297901"/>
    <w:rsid w:val="00297957"/>
    <w:rsid w:val="0029798C"/>
    <w:rsid w:val="002979F7"/>
    <w:rsid w:val="00297A4C"/>
    <w:rsid w:val="00297B24"/>
    <w:rsid w:val="00297C46"/>
    <w:rsid w:val="00297D08"/>
    <w:rsid w:val="00297D78"/>
    <w:rsid w:val="00297D87"/>
    <w:rsid w:val="00297E0F"/>
    <w:rsid w:val="00297E52"/>
    <w:rsid w:val="00297E5D"/>
    <w:rsid w:val="00297E9E"/>
    <w:rsid w:val="00297EB3"/>
    <w:rsid w:val="00297F6B"/>
    <w:rsid w:val="00297FDA"/>
    <w:rsid w:val="002A002C"/>
    <w:rsid w:val="002A0071"/>
    <w:rsid w:val="002A008F"/>
    <w:rsid w:val="002A0091"/>
    <w:rsid w:val="002A0152"/>
    <w:rsid w:val="002A01A2"/>
    <w:rsid w:val="002A01B0"/>
    <w:rsid w:val="002A01E5"/>
    <w:rsid w:val="002A0213"/>
    <w:rsid w:val="002A028C"/>
    <w:rsid w:val="002A02C3"/>
    <w:rsid w:val="002A03DC"/>
    <w:rsid w:val="002A0474"/>
    <w:rsid w:val="002A04AB"/>
    <w:rsid w:val="002A04ED"/>
    <w:rsid w:val="002A05D2"/>
    <w:rsid w:val="002A05EF"/>
    <w:rsid w:val="002A06EA"/>
    <w:rsid w:val="002A0700"/>
    <w:rsid w:val="002A0737"/>
    <w:rsid w:val="002A0749"/>
    <w:rsid w:val="002A074B"/>
    <w:rsid w:val="002A0757"/>
    <w:rsid w:val="002A07FA"/>
    <w:rsid w:val="002A088B"/>
    <w:rsid w:val="002A08D9"/>
    <w:rsid w:val="002A0937"/>
    <w:rsid w:val="002A0966"/>
    <w:rsid w:val="002A096C"/>
    <w:rsid w:val="002A0974"/>
    <w:rsid w:val="002A0980"/>
    <w:rsid w:val="002A0993"/>
    <w:rsid w:val="002A0A08"/>
    <w:rsid w:val="002A0A93"/>
    <w:rsid w:val="002A0AD5"/>
    <w:rsid w:val="002A0B58"/>
    <w:rsid w:val="002A0B5F"/>
    <w:rsid w:val="002A0B8D"/>
    <w:rsid w:val="002A0BF5"/>
    <w:rsid w:val="002A0C68"/>
    <w:rsid w:val="002A0C71"/>
    <w:rsid w:val="002A0CB1"/>
    <w:rsid w:val="002A0CBE"/>
    <w:rsid w:val="002A0DF7"/>
    <w:rsid w:val="002A0E1D"/>
    <w:rsid w:val="002A0F3D"/>
    <w:rsid w:val="002A10A8"/>
    <w:rsid w:val="002A10E7"/>
    <w:rsid w:val="002A1143"/>
    <w:rsid w:val="002A1240"/>
    <w:rsid w:val="002A12DA"/>
    <w:rsid w:val="002A12E6"/>
    <w:rsid w:val="002A137F"/>
    <w:rsid w:val="002A140F"/>
    <w:rsid w:val="002A142F"/>
    <w:rsid w:val="002A14CD"/>
    <w:rsid w:val="002A157B"/>
    <w:rsid w:val="002A1656"/>
    <w:rsid w:val="002A1664"/>
    <w:rsid w:val="002A16B7"/>
    <w:rsid w:val="002A16B9"/>
    <w:rsid w:val="002A17E7"/>
    <w:rsid w:val="002A17F2"/>
    <w:rsid w:val="002A180B"/>
    <w:rsid w:val="002A19AD"/>
    <w:rsid w:val="002A19B0"/>
    <w:rsid w:val="002A1A1A"/>
    <w:rsid w:val="002A1A55"/>
    <w:rsid w:val="002A1AB7"/>
    <w:rsid w:val="002A1AC1"/>
    <w:rsid w:val="002A1C86"/>
    <w:rsid w:val="002A1C98"/>
    <w:rsid w:val="002A1D11"/>
    <w:rsid w:val="002A1D7A"/>
    <w:rsid w:val="002A1D95"/>
    <w:rsid w:val="002A1E00"/>
    <w:rsid w:val="002A1E9D"/>
    <w:rsid w:val="002A1EF0"/>
    <w:rsid w:val="002A1FBD"/>
    <w:rsid w:val="002A200E"/>
    <w:rsid w:val="002A2047"/>
    <w:rsid w:val="002A20AB"/>
    <w:rsid w:val="002A2119"/>
    <w:rsid w:val="002A21FE"/>
    <w:rsid w:val="002A228F"/>
    <w:rsid w:val="002A2297"/>
    <w:rsid w:val="002A22C8"/>
    <w:rsid w:val="002A22D3"/>
    <w:rsid w:val="002A22FA"/>
    <w:rsid w:val="002A239E"/>
    <w:rsid w:val="002A23F0"/>
    <w:rsid w:val="002A2404"/>
    <w:rsid w:val="002A24CB"/>
    <w:rsid w:val="002A24D3"/>
    <w:rsid w:val="002A2505"/>
    <w:rsid w:val="002A2602"/>
    <w:rsid w:val="002A260B"/>
    <w:rsid w:val="002A2636"/>
    <w:rsid w:val="002A2644"/>
    <w:rsid w:val="002A2722"/>
    <w:rsid w:val="002A27E1"/>
    <w:rsid w:val="002A281E"/>
    <w:rsid w:val="002A2848"/>
    <w:rsid w:val="002A286D"/>
    <w:rsid w:val="002A28CB"/>
    <w:rsid w:val="002A28D3"/>
    <w:rsid w:val="002A2929"/>
    <w:rsid w:val="002A2A9D"/>
    <w:rsid w:val="002A2AE5"/>
    <w:rsid w:val="002A2B03"/>
    <w:rsid w:val="002A2B15"/>
    <w:rsid w:val="002A2B30"/>
    <w:rsid w:val="002A2B73"/>
    <w:rsid w:val="002A2CF3"/>
    <w:rsid w:val="002A2D63"/>
    <w:rsid w:val="002A2D7F"/>
    <w:rsid w:val="002A2DC6"/>
    <w:rsid w:val="002A2DD0"/>
    <w:rsid w:val="002A2DD6"/>
    <w:rsid w:val="002A2E5D"/>
    <w:rsid w:val="002A2E74"/>
    <w:rsid w:val="002A2F8A"/>
    <w:rsid w:val="002A2F8F"/>
    <w:rsid w:val="002A311F"/>
    <w:rsid w:val="002A31A2"/>
    <w:rsid w:val="002A31B2"/>
    <w:rsid w:val="002A320C"/>
    <w:rsid w:val="002A336C"/>
    <w:rsid w:val="002A33C0"/>
    <w:rsid w:val="002A3409"/>
    <w:rsid w:val="002A3441"/>
    <w:rsid w:val="002A347A"/>
    <w:rsid w:val="002A34F1"/>
    <w:rsid w:val="002A355F"/>
    <w:rsid w:val="002A3567"/>
    <w:rsid w:val="002A3586"/>
    <w:rsid w:val="002A3606"/>
    <w:rsid w:val="002A3678"/>
    <w:rsid w:val="002A36B6"/>
    <w:rsid w:val="002A36D9"/>
    <w:rsid w:val="002A3754"/>
    <w:rsid w:val="002A37A7"/>
    <w:rsid w:val="002A37F9"/>
    <w:rsid w:val="002A3903"/>
    <w:rsid w:val="002A3A8F"/>
    <w:rsid w:val="002A3AA3"/>
    <w:rsid w:val="002A3AE2"/>
    <w:rsid w:val="002A3B6C"/>
    <w:rsid w:val="002A3B92"/>
    <w:rsid w:val="002A3BF2"/>
    <w:rsid w:val="002A3C09"/>
    <w:rsid w:val="002A3C52"/>
    <w:rsid w:val="002A3D04"/>
    <w:rsid w:val="002A3DA6"/>
    <w:rsid w:val="002A3DCF"/>
    <w:rsid w:val="002A3DEC"/>
    <w:rsid w:val="002A3E0B"/>
    <w:rsid w:val="002A3E86"/>
    <w:rsid w:val="002A3E93"/>
    <w:rsid w:val="002A3FCF"/>
    <w:rsid w:val="002A4030"/>
    <w:rsid w:val="002A425A"/>
    <w:rsid w:val="002A42BB"/>
    <w:rsid w:val="002A42BF"/>
    <w:rsid w:val="002A42EB"/>
    <w:rsid w:val="002A4353"/>
    <w:rsid w:val="002A440B"/>
    <w:rsid w:val="002A446F"/>
    <w:rsid w:val="002A4484"/>
    <w:rsid w:val="002A44F4"/>
    <w:rsid w:val="002A4579"/>
    <w:rsid w:val="002A461D"/>
    <w:rsid w:val="002A468C"/>
    <w:rsid w:val="002A46FE"/>
    <w:rsid w:val="002A4715"/>
    <w:rsid w:val="002A4767"/>
    <w:rsid w:val="002A47E4"/>
    <w:rsid w:val="002A48B5"/>
    <w:rsid w:val="002A48C4"/>
    <w:rsid w:val="002A49AA"/>
    <w:rsid w:val="002A4A3D"/>
    <w:rsid w:val="002A4A81"/>
    <w:rsid w:val="002A4AC4"/>
    <w:rsid w:val="002A4ACD"/>
    <w:rsid w:val="002A4ADB"/>
    <w:rsid w:val="002A4B14"/>
    <w:rsid w:val="002A4B42"/>
    <w:rsid w:val="002A4B98"/>
    <w:rsid w:val="002A4C10"/>
    <w:rsid w:val="002A4C8B"/>
    <w:rsid w:val="002A4D27"/>
    <w:rsid w:val="002A4D30"/>
    <w:rsid w:val="002A4FDB"/>
    <w:rsid w:val="002A504C"/>
    <w:rsid w:val="002A5065"/>
    <w:rsid w:val="002A510F"/>
    <w:rsid w:val="002A5110"/>
    <w:rsid w:val="002A51AC"/>
    <w:rsid w:val="002A5261"/>
    <w:rsid w:val="002A5317"/>
    <w:rsid w:val="002A5378"/>
    <w:rsid w:val="002A53D2"/>
    <w:rsid w:val="002A53FC"/>
    <w:rsid w:val="002A551F"/>
    <w:rsid w:val="002A555C"/>
    <w:rsid w:val="002A5589"/>
    <w:rsid w:val="002A55A3"/>
    <w:rsid w:val="002A55E0"/>
    <w:rsid w:val="002A5608"/>
    <w:rsid w:val="002A5611"/>
    <w:rsid w:val="002A561B"/>
    <w:rsid w:val="002A5654"/>
    <w:rsid w:val="002A5655"/>
    <w:rsid w:val="002A565A"/>
    <w:rsid w:val="002A5709"/>
    <w:rsid w:val="002A5711"/>
    <w:rsid w:val="002A5727"/>
    <w:rsid w:val="002A573A"/>
    <w:rsid w:val="002A5793"/>
    <w:rsid w:val="002A589D"/>
    <w:rsid w:val="002A58BC"/>
    <w:rsid w:val="002A593F"/>
    <w:rsid w:val="002A5AAB"/>
    <w:rsid w:val="002A5AB8"/>
    <w:rsid w:val="002A5ACC"/>
    <w:rsid w:val="002A5B4D"/>
    <w:rsid w:val="002A5B8D"/>
    <w:rsid w:val="002A5C29"/>
    <w:rsid w:val="002A5CD0"/>
    <w:rsid w:val="002A5D11"/>
    <w:rsid w:val="002A5D13"/>
    <w:rsid w:val="002A5D40"/>
    <w:rsid w:val="002A5D98"/>
    <w:rsid w:val="002A5DBF"/>
    <w:rsid w:val="002A5EA8"/>
    <w:rsid w:val="002A5F9C"/>
    <w:rsid w:val="002A6004"/>
    <w:rsid w:val="002A60D8"/>
    <w:rsid w:val="002A611B"/>
    <w:rsid w:val="002A6157"/>
    <w:rsid w:val="002A61FA"/>
    <w:rsid w:val="002A627D"/>
    <w:rsid w:val="002A62E8"/>
    <w:rsid w:val="002A6324"/>
    <w:rsid w:val="002A6343"/>
    <w:rsid w:val="002A63F9"/>
    <w:rsid w:val="002A6407"/>
    <w:rsid w:val="002A6475"/>
    <w:rsid w:val="002A64FE"/>
    <w:rsid w:val="002A651A"/>
    <w:rsid w:val="002A6568"/>
    <w:rsid w:val="002A65C8"/>
    <w:rsid w:val="002A6635"/>
    <w:rsid w:val="002A66FA"/>
    <w:rsid w:val="002A67E8"/>
    <w:rsid w:val="002A6809"/>
    <w:rsid w:val="002A68CD"/>
    <w:rsid w:val="002A68D0"/>
    <w:rsid w:val="002A68DA"/>
    <w:rsid w:val="002A68F4"/>
    <w:rsid w:val="002A691A"/>
    <w:rsid w:val="002A6994"/>
    <w:rsid w:val="002A69A8"/>
    <w:rsid w:val="002A6A15"/>
    <w:rsid w:val="002A6A9C"/>
    <w:rsid w:val="002A6AFA"/>
    <w:rsid w:val="002A6B88"/>
    <w:rsid w:val="002A6BB2"/>
    <w:rsid w:val="002A6BBA"/>
    <w:rsid w:val="002A6BC7"/>
    <w:rsid w:val="002A6BED"/>
    <w:rsid w:val="002A6CBB"/>
    <w:rsid w:val="002A6D5B"/>
    <w:rsid w:val="002A6D73"/>
    <w:rsid w:val="002A6DB3"/>
    <w:rsid w:val="002A6DE6"/>
    <w:rsid w:val="002A7016"/>
    <w:rsid w:val="002A7102"/>
    <w:rsid w:val="002A7109"/>
    <w:rsid w:val="002A715D"/>
    <w:rsid w:val="002A71BD"/>
    <w:rsid w:val="002A71EE"/>
    <w:rsid w:val="002A7258"/>
    <w:rsid w:val="002A725D"/>
    <w:rsid w:val="002A72AA"/>
    <w:rsid w:val="002A72B0"/>
    <w:rsid w:val="002A72EE"/>
    <w:rsid w:val="002A7333"/>
    <w:rsid w:val="002A734B"/>
    <w:rsid w:val="002A734C"/>
    <w:rsid w:val="002A737B"/>
    <w:rsid w:val="002A753D"/>
    <w:rsid w:val="002A753F"/>
    <w:rsid w:val="002A757B"/>
    <w:rsid w:val="002A75B6"/>
    <w:rsid w:val="002A761C"/>
    <w:rsid w:val="002A763F"/>
    <w:rsid w:val="002A7640"/>
    <w:rsid w:val="002A76F2"/>
    <w:rsid w:val="002A778C"/>
    <w:rsid w:val="002A77C6"/>
    <w:rsid w:val="002A77F8"/>
    <w:rsid w:val="002A7847"/>
    <w:rsid w:val="002A7857"/>
    <w:rsid w:val="002A785D"/>
    <w:rsid w:val="002A7866"/>
    <w:rsid w:val="002A78AC"/>
    <w:rsid w:val="002A78CE"/>
    <w:rsid w:val="002A78D1"/>
    <w:rsid w:val="002A7945"/>
    <w:rsid w:val="002A7961"/>
    <w:rsid w:val="002A7963"/>
    <w:rsid w:val="002A7975"/>
    <w:rsid w:val="002A79F9"/>
    <w:rsid w:val="002A7A95"/>
    <w:rsid w:val="002A7AB8"/>
    <w:rsid w:val="002A7ADF"/>
    <w:rsid w:val="002A7B23"/>
    <w:rsid w:val="002A7B32"/>
    <w:rsid w:val="002A7B5D"/>
    <w:rsid w:val="002A7C4C"/>
    <w:rsid w:val="002A7C95"/>
    <w:rsid w:val="002A7CFC"/>
    <w:rsid w:val="002A7D5B"/>
    <w:rsid w:val="002A7D66"/>
    <w:rsid w:val="002A7DCA"/>
    <w:rsid w:val="002A7DEA"/>
    <w:rsid w:val="002A7DF2"/>
    <w:rsid w:val="002A7E1E"/>
    <w:rsid w:val="002A7E2D"/>
    <w:rsid w:val="002A7E48"/>
    <w:rsid w:val="002A7E95"/>
    <w:rsid w:val="002A7EA8"/>
    <w:rsid w:val="002A7FD6"/>
    <w:rsid w:val="002B00B7"/>
    <w:rsid w:val="002B00EF"/>
    <w:rsid w:val="002B012B"/>
    <w:rsid w:val="002B0197"/>
    <w:rsid w:val="002B01D5"/>
    <w:rsid w:val="002B0349"/>
    <w:rsid w:val="002B035B"/>
    <w:rsid w:val="002B03B0"/>
    <w:rsid w:val="002B0443"/>
    <w:rsid w:val="002B0467"/>
    <w:rsid w:val="002B04A3"/>
    <w:rsid w:val="002B0577"/>
    <w:rsid w:val="002B0593"/>
    <w:rsid w:val="002B074C"/>
    <w:rsid w:val="002B07EE"/>
    <w:rsid w:val="002B08C1"/>
    <w:rsid w:val="002B0985"/>
    <w:rsid w:val="002B09FF"/>
    <w:rsid w:val="002B0A5E"/>
    <w:rsid w:val="002B0C65"/>
    <w:rsid w:val="002B0D24"/>
    <w:rsid w:val="002B0D8C"/>
    <w:rsid w:val="002B0DEC"/>
    <w:rsid w:val="002B0DF9"/>
    <w:rsid w:val="002B0EA4"/>
    <w:rsid w:val="002B0FC3"/>
    <w:rsid w:val="002B0FEA"/>
    <w:rsid w:val="002B101F"/>
    <w:rsid w:val="002B10EB"/>
    <w:rsid w:val="002B1140"/>
    <w:rsid w:val="002B1149"/>
    <w:rsid w:val="002B1172"/>
    <w:rsid w:val="002B13B0"/>
    <w:rsid w:val="002B1507"/>
    <w:rsid w:val="002B151B"/>
    <w:rsid w:val="002B1534"/>
    <w:rsid w:val="002B1538"/>
    <w:rsid w:val="002B1592"/>
    <w:rsid w:val="002B1593"/>
    <w:rsid w:val="002B16A4"/>
    <w:rsid w:val="002B1827"/>
    <w:rsid w:val="002B185E"/>
    <w:rsid w:val="002B18C7"/>
    <w:rsid w:val="002B193E"/>
    <w:rsid w:val="002B1A70"/>
    <w:rsid w:val="002B1A72"/>
    <w:rsid w:val="002B1BA2"/>
    <w:rsid w:val="002B1C10"/>
    <w:rsid w:val="002B1C7A"/>
    <w:rsid w:val="002B1CAD"/>
    <w:rsid w:val="002B1CCC"/>
    <w:rsid w:val="002B1CCE"/>
    <w:rsid w:val="002B1CD0"/>
    <w:rsid w:val="002B1CE3"/>
    <w:rsid w:val="002B1D86"/>
    <w:rsid w:val="002B1E03"/>
    <w:rsid w:val="002B1EC5"/>
    <w:rsid w:val="002B1F07"/>
    <w:rsid w:val="002B1F21"/>
    <w:rsid w:val="002B1F33"/>
    <w:rsid w:val="002B1F76"/>
    <w:rsid w:val="002B204F"/>
    <w:rsid w:val="002B2057"/>
    <w:rsid w:val="002B2066"/>
    <w:rsid w:val="002B20AA"/>
    <w:rsid w:val="002B211C"/>
    <w:rsid w:val="002B214F"/>
    <w:rsid w:val="002B21B9"/>
    <w:rsid w:val="002B2253"/>
    <w:rsid w:val="002B2273"/>
    <w:rsid w:val="002B227C"/>
    <w:rsid w:val="002B22A7"/>
    <w:rsid w:val="002B23AA"/>
    <w:rsid w:val="002B2438"/>
    <w:rsid w:val="002B2450"/>
    <w:rsid w:val="002B251A"/>
    <w:rsid w:val="002B2543"/>
    <w:rsid w:val="002B2579"/>
    <w:rsid w:val="002B25A6"/>
    <w:rsid w:val="002B25D3"/>
    <w:rsid w:val="002B25F5"/>
    <w:rsid w:val="002B2605"/>
    <w:rsid w:val="002B2613"/>
    <w:rsid w:val="002B261B"/>
    <w:rsid w:val="002B262E"/>
    <w:rsid w:val="002B2651"/>
    <w:rsid w:val="002B2658"/>
    <w:rsid w:val="002B277C"/>
    <w:rsid w:val="002B27CF"/>
    <w:rsid w:val="002B2836"/>
    <w:rsid w:val="002B28FA"/>
    <w:rsid w:val="002B295E"/>
    <w:rsid w:val="002B2B82"/>
    <w:rsid w:val="002B2BCA"/>
    <w:rsid w:val="002B2C55"/>
    <w:rsid w:val="002B2C99"/>
    <w:rsid w:val="002B2CDA"/>
    <w:rsid w:val="002B2D50"/>
    <w:rsid w:val="002B2DD9"/>
    <w:rsid w:val="002B2DE1"/>
    <w:rsid w:val="002B2DF9"/>
    <w:rsid w:val="002B2E07"/>
    <w:rsid w:val="002B2E99"/>
    <w:rsid w:val="002B2EB6"/>
    <w:rsid w:val="002B2F73"/>
    <w:rsid w:val="002B2FA5"/>
    <w:rsid w:val="002B2FEC"/>
    <w:rsid w:val="002B30A1"/>
    <w:rsid w:val="002B30CA"/>
    <w:rsid w:val="002B3147"/>
    <w:rsid w:val="002B3179"/>
    <w:rsid w:val="002B31D1"/>
    <w:rsid w:val="002B3276"/>
    <w:rsid w:val="002B3299"/>
    <w:rsid w:val="002B32BB"/>
    <w:rsid w:val="002B338A"/>
    <w:rsid w:val="002B33A2"/>
    <w:rsid w:val="002B3463"/>
    <w:rsid w:val="002B346A"/>
    <w:rsid w:val="002B348E"/>
    <w:rsid w:val="002B34B1"/>
    <w:rsid w:val="002B34CE"/>
    <w:rsid w:val="002B354C"/>
    <w:rsid w:val="002B3586"/>
    <w:rsid w:val="002B3599"/>
    <w:rsid w:val="002B359E"/>
    <w:rsid w:val="002B36CD"/>
    <w:rsid w:val="002B36E0"/>
    <w:rsid w:val="002B36FB"/>
    <w:rsid w:val="002B36FE"/>
    <w:rsid w:val="002B370D"/>
    <w:rsid w:val="002B3752"/>
    <w:rsid w:val="002B377E"/>
    <w:rsid w:val="002B3787"/>
    <w:rsid w:val="002B37E7"/>
    <w:rsid w:val="002B3809"/>
    <w:rsid w:val="002B38AB"/>
    <w:rsid w:val="002B38B5"/>
    <w:rsid w:val="002B38E8"/>
    <w:rsid w:val="002B3955"/>
    <w:rsid w:val="002B39D0"/>
    <w:rsid w:val="002B3A82"/>
    <w:rsid w:val="002B3B00"/>
    <w:rsid w:val="002B3B5D"/>
    <w:rsid w:val="002B3C2E"/>
    <w:rsid w:val="002B3C82"/>
    <w:rsid w:val="002B3CDF"/>
    <w:rsid w:val="002B3D46"/>
    <w:rsid w:val="002B3DCA"/>
    <w:rsid w:val="002B3EBE"/>
    <w:rsid w:val="002B404E"/>
    <w:rsid w:val="002B4088"/>
    <w:rsid w:val="002B40C2"/>
    <w:rsid w:val="002B40E3"/>
    <w:rsid w:val="002B4146"/>
    <w:rsid w:val="002B41E5"/>
    <w:rsid w:val="002B4328"/>
    <w:rsid w:val="002B4371"/>
    <w:rsid w:val="002B44A4"/>
    <w:rsid w:val="002B44E5"/>
    <w:rsid w:val="002B4531"/>
    <w:rsid w:val="002B45EC"/>
    <w:rsid w:val="002B45FA"/>
    <w:rsid w:val="002B463D"/>
    <w:rsid w:val="002B46FE"/>
    <w:rsid w:val="002B47F3"/>
    <w:rsid w:val="002B48EE"/>
    <w:rsid w:val="002B4906"/>
    <w:rsid w:val="002B491E"/>
    <w:rsid w:val="002B4921"/>
    <w:rsid w:val="002B497F"/>
    <w:rsid w:val="002B49B5"/>
    <w:rsid w:val="002B49D9"/>
    <w:rsid w:val="002B4A48"/>
    <w:rsid w:val="002B4BC0"/>
    <w:rsid w:val="002B4BE7"/>
    <w:rsid w:val="002B4C3E"/>
    <w:rsid w:val="002B4CC9"/>
    <w:rsid w:val="002B4CCC"/>
    <w:rsid w:val="002B4CD6"/>
    <w:rsid w:val="002B4D1B"/>
    <w:rsid w:val="002B4DA7"/>
    <w:rsid w:val="002B4E83"/>
    <w:rsid w:val="002B4F3C"/>
    <w:rsid w:val="002B50B7"/>
    <w:rsid w:val="002B50D5"/>
    <w:rsid w:val="002B5188"/>
    <w:rsid w:val="002B51A5"/>
    <w:rsid w:val="002B5225"/>
    <w:rsid w:val="002B524E"/>
    <w:rsid w:val="002B52AC"/>
    <w:rsid w:val="002B52D7"/>
    <w:rsid w:val="002B531B"/>
    <w:rsid w:val="002B536C"/>
    <w:rsid w:val="002B55D8"/>
    <w:rsid w:val="002B5639"/>
    <w:rsid w:val="002B565E"/>
    <w:rsid w:val="002B5690"/>
    <w:rsid w:val="002B56DE"/>
    <w:rsid w:val="002B56E5"/>
    <w:rsid w:val="002B57D9"/>
    <w:rsid w:val="002B588B"/>
    <w:rsid w:val="002B58D8"/>
    <w:rsid w:val="002B58E6"/>
    <w:rsid w:val="002B5926"/>
    <w:rsid w:val="002B5945"/>
    <w:rsid w:val="002B59F8"/>
    <w:rsid w:val="002B5A2F"/>
    <w:rsid w:val="002B5A7F"/>
    <w:rsid w:val="002B5AAD"/>
    <w:rsid w:val="002B5BA9"/>
    <w:rsid w:val="002B5BCA"/>
    <w:rsid w:val="002B5BEC"/>
    <w:rsid w:val="002B5C14"/>
    <w:rsid w:val="002B5C2E"/>
    <w:rsid w:val="002B5C6F"/>
    <w:rsid w:val="002B5CAB"/>
    <w:rsid w:val="002B5CEE"/>
    <w:rsid w:val="002B5DFF"/>
    <w:rsid w:val="002B5F6E"/>
    <w:rsid w:val="002B5F7B"/>
    <w:rsid w:val="002B6020"/>
    <w:rsid w:val="002B611E"/>
    <w:rsid w:val="002B617C"/>
    <w:rsid w:val="002B61C2"/>
    <w:rsid w:val="002B61C6"/>
    <w:rsid w:val="002B62D5"/>
    <w:rsid w:val="002B6303"/>
    <w:rsid w:val="002B636D"/>
    <w:rsid w:val="002B6378"/>
    <w:rsid w:val="002B63E1"/>
    <w:rsid w:val="002B64D0"/>
    <w:rsid w:val="002B6531"/>
    <w:rsid w:val="002B657E"/>
    <w:rsid w:val="002B65DD"/>
    <w:rsid w:val="002B669F"/>
    <w:rsid w:val="002B66B8"/>
    <w:rsid w:val="002B6705"/>
    <w:rsid w:val="002B673B"/>
    <w:rsid w:val="002B6779"/>
    <w:rsid w:val="002B6812"/>
    <w:rsid w:val="002B6815"/>
    <w:rsid w:val="002B692F"/>
    <w:rsid w:val="002B69C9"/>
    <w:rsid w:val="002B6AAF"/>
    <w:rsid w:val="002B6AB4"/>
    <w:rsid w:val="002B6AE6"/>
    <w:rsid w:val="002B6B10"/>
    <w:rsid w:val="002B6B67"/>
    <w:rsid w:val="002B6BA3"/>
    <w:rsid w:val="002B6C08"/>
    <w:rsid w:val="002B6C18"/>
    <w:rsid w:val="002B6C64"/>
    <w:rsid w:val="002B6D17"/>
    <w:rsid w:val="002B6D33"/>
    <w:rsid w:val="002B6DB4"/>
    <w:rsid w:val="002B6DB7"/>
    <w:rsid w:val="002B6DE1"/>
    <w:rsid w:val="002B6E21"/>
    <w:rsid w:val="002B6E2A"/>
    <w:rsid w:val="002B6E58"/>
    <w:rsid w:val="002B6E76"/>
    <w:rsid w:val="002B6EDB"/>
    <w:rsid w:val="002B6EF4"/>
    <w:rsid w:val="002B6F00"/>
    <w:rsid w:val="002B6F37"/>
    <w:rsid w:val="002B6FAF"/>
    <w:rsid w:val="002B71A1"/>
    <w:rsid w:val="002B71BB"/>
    <w:rsid w:val="002B71D5"/>
    <w:rsid w:val="002B72EF"/>
    <w:rsid w:val="002B72F8"/>
    <w:rsid w:val="002B7322"/>
    <w:rsid w:val="002B73CF"/>
    <w:rsid w:val="002B73D7"/>
    <w:rsid w:val="002B740F"/>
    <w:rsid w:val="002B7447"/>
    <w:rsid w:val="002B74E2"/>
    <w:rsid w:val="002B7576"/>
    <w:rsid w:val="002B757E"/>
    <w:rsid w:val="002B7628"/>
    <w:rsid w:val="002B7698"/>
    <w:rsid w:val="002B769D"/>
    <w:rsid w:val="002B76DB"/>
    <w:rsid w:val="002B77A1"/>
    <w:rsid w:val="002B77F0"/>
    <w:rsid w:val="002B7888"/>
    <w:rsid w:val="002B799E"/>
    <w:rsid w:val="002B79ED"/>
    <w:rsid w:val="002B7A8F"/>
    <w:rsid w:val="002B7B27"/>
    <w:rsid w:val="002B7B8C"/>
    <w:rsid w:val="002B7B9B"/>
    <w:rsid w:val="002B7BB1"/>
    <w:rsid w:val="002B7C71"/>
    <w:rsid w:val="002B7CCD"/>
    <w:rsid w:val="002B7CDA"/>
    <w:rsid w:val="002B7D05"/>
    <w:rsid w:val="002B7D5A"/>
    <w:rsid w:val="002B7DB6"/>
    <w:rsid w:val="002B7DC4"/>
    <w:rsid w:val="002B7DCB"/>
    <w:rsid w:val="002B7E3E"/>
    <w:rsid w:val="002B7E9D"/>
    <w:rsid w:val="002B7EC3"/>
    <w:rsid w:val="002B7EC4"/>
    <w:rsid w:val="002B7EE7"/>
    <w:rsid w:val="002B7F8D"/>
    <w:rsid w:val="002B7FE1"/>
    <w:rsid w:val="002BBC56"/>
    <w:rsid w:val="002C003C"/>
    <w:rsid w:val="002C00C0"/>
    <w:rsid w:val="002C0143"/>
    <w:rsid w:val="002C015A"/>
    <w:rsid w:val="002C01ED"/>
    <w:rsid w:val="002C01EE"/>
    <w:rsid w:val="002C0206"/>
    <w:rsid w:val="002C0269"/>
    <w:rsid w:val="002C0274"/>
    <w:rsid w:val="002C02AF"/>
    <w:rsid w:val="002C02E8"/>
    <w:rsid w:val="002C02EA"/>
    <w:rsid w:val="002C031E"/>
    <w:rsid w:val="002C0352"/>
    <w:rsid w:val="002C0462"/>
    <w:rsid w:val="002C0490"/>
    <w:rsid w:val="002C05AB"/>
    <w:rsid w:val="002C05D5"/>
    <w:rsid w:val="002C05DC"/>
    <w:rsid w:val="002C068C"/>
    <w:rsid w:val="002C0717"/>
    <w:rsid w:val="002C0790"/>
    <w:rsid w:val="002C07FB"/>
    <w:rsid w:val="002C08D5"/>
    <w:rsid w:val="002C0967"/>
    <w:rsid w:val="002C099B"/>
    <w:rsid w:val="002C09D1"/>
    <w:rsid w:val="002C0A44"/>
    <w:rsid w:val="002C0AF7"/>
    <w:rsid w:val="002C0B53"/>
    <w:rsid w:val="002C0B65"/>
    <w:rsid w:val="002C0B89"/>
    <w:rsid w:val="002C0BF8"/>
    <w:rsid w:val="002C0C20"/>
    <w:rsid w:val="002C0C37"/>
    <w:rsid w:val="002C0D16"/>
    <w:rsid w:val="002C0D78"/>
    <w:rsid w:val="002C0D86"/>
    <w:rsid w:val="002C0DEC"/>
    <w:rsid w:val="002C0EBC"/>
    <w:rsid w:val="002C0ED3"/>
    <w:rsid w:val="002C0EDE"/>
    <w:rsid w:val="002C0F12"/>
    <w:rsid w:val="002C0F2F"/>
    <w:rsid w:val="002C0FF9"/>
    <w:rsid w:val="002C1030"/>
    <w:rsid w:val="002C1054"/>
    <w:rsid w:val="002C113F"/>
    <w:rsid w:val="002C12D5"/>
    <w:rsid w:val="002C12E4"/>
    <w:rsid w:val="002C1325"/>
    <w:rsid w:val="002C13B8"/>
    <w:rsid w:val="002C1413"/>
    <w:rsid w:val="002C145B"/>
    <w:rsid w:val="002C148F"/>
    <w:rsid w:val="002C14AE"/>
    <w:rsid w:val="002C1547"/>
    <w:rsid w:val="002C154C"/>
    <w:rsid w:val="002C1552"/>
    <w:rsid w:val="002C161E"/>
    <w:rsid w:val="002C165C"/>
    <w:rsid w:val="002C1684"/>
    <w:rsid w:val="002C16A4"/>
    <w:rsid w:val="002C16F6"/>
    <w:rsid w:val="002C17F9"/>
    <w:rsid w:val="002C17FF"/>
    <w:rsid w:val="002C193A"/>
    <w:rsid w:val="002C199B"/>
    <w:rsid w:val="002C1A1F"/>
    <w:rsid w:val="002C1A69"/>
    <w:rsid w:val="002C1A76"/>
    <w:rsid w:val="002C1AA8"/>
    <w:rsid w:val="002C1AD1"/>
    <w:rsid w:val="002C1B97"/>
    <w:rsid w:val="002C1BA2"/>
    <w:rsid w:val="002C1CFA"/>
    <w:rsid w:val="002C1D61"/>
    <w:rsid w:val="002C1DDD"/>
    <w:rsid w:val="002C1DE3"/>
    <w:rsid w:val="002C1F5A"/>
    <w:rsid w:val="002C2073"/>
    <w:rsid w:val="002C20A8"/>
    <w:rsid w:val="002C2153"/>
    <w:rsid w:val="002C2169"/>
    <w:rsid w:val="002C21C6"/>
    <w:rsid w:val="002C21E7"/>
    <w:rsid w:val="002C2202"/>
    <w:rsid w:val="002C2205"/>
    <w:rsid w:val="002C2260"/>
    <w:rsid w:val="002C23C8"/>
    <w:rsid w:val="002C2411"/>
    <w:rsid w:val="002C2429"/>
    <w:rsid w:val="002C244C"/>
    <w:rsid w:val="002C246F"/>
    <w:rsid w:val="002C2535"/>
    <w:rsid w:val="002C2603"/>
    <w:rsid w:val="002C2630"/>
    <w:rsid w:val="002C26A0"/>
    <w:rsid w:val="002C26DE"/>
    <w:rsid w:val="002C26F4"/>
    <w:rsid w:val="002C2759"/>
    <w:rsid w:val="002C2A28"/>
    <w:rsid w:val="002C2A3D"/>
    <w:rsid w:val="002C2B6A"/>
    <w:rsid w:val="002C2B7D"/>
    <w:rsid w:val="002C2BAD"/>
    <w:rsid w:val="002C2BCC"/>
    <w:rsid w:val="002C2BFE"/>
    <w:rsid w:val="002C2C01"/>
    <w:rsid w:val="002C2C7A"/>
    <w:rsid w:val="002C2C98"/>
    <w:rsid w:val="002C2CC0"/>
    <w:rsid w:val="002C2CCD"/>
    <w:rsid w:val="002C2D59"/>
    <w:rsid w:val="002C2D70"/>
    <w:rsid w:val="002C2DAF"/>
    <w:rsid w:val="002C2DBA"/>
    <w:rsid w:val="002C2E0E"/>
    <w:rsid w:val="002C2E4E"/>
    <w:rsid w:val="002C2E54"/>
    <w:rsid w:val="002C2FD6"/>
    <w:rsid w:val="002C3119"/>
    <w:rsid w:val="002C31D4"/>
    <w:rsid w:val="002C3238"/>
    <w:rsid w:val="002C328B"/>
    <w:rsid w:val="002C328D"/>
    <w:rsid w:val="002C32C7"/>
    <w:rsid w:val="002C32D7"/>
    <w:rsid w:val="002C32FB"/>
    <w:rsid w:val="002C33B8"/>
    <w:rsid w:val="002C3405"/>
    <w:rsid w:val="002C343E"/>
    <w:rsid w:val="002C34A1"/>
    <w:rsid w:val="002C34D8"/>
    <w:rsid w:val="002C34E2"/>
    <w:rsid w:val="002C3632"/>
    <w:rsid w:val="002C3657"/>
    <w:rsid w:val="002C36E2"/>
    <w:rsid w:val="002C37C1"/>
    <w:rsid w:val="002C37CA"/>
    <w:rsid w:val="002C37ED"/>
    <w:rsid w:val="002C3879"/>
    <w:rsid w:val="002C38BA"/>
    <w:rsid w:val="002C38BD"/>
    <w:rsid w:val="002C3951"/>
    <w:rsid w:val="002C39A3"/>
    <w:rsid w:val="002C3A34"/>
    <w:rsid w:val="002C3A5E"/>
    <w:rsid w:val="002C3AE7"/>
    <w:rsid w:val="002C3AE9"/>
    <w:rsid w:val="002C3AEB"/>
    <w:rsid w:val="002C3B0D"/>
    <w:rsid w:val="002C3B4C"/>
    <w:rsid w:val="002C3B55"/>
    <w:rsid w:val="002C3C06"/>
    <w:rsid w:val="002C3C57"/>
    <w:rsid w:val="002C3C5D"/>
    <w:rsid w:val="002C3C64"/>
    <w:rsid w:val="002C3CA1"/>
    <w:rsid w:val="002C3D6B"/>
    <w:rsid w:val="002C3DAB"/>
    <w:rsid w:val="002C3DE4"/>
    <w:rsid w:val="002C3DFA"/>
    <w:rsid w:val="002C3E27"/>
    <w:rsid w:val="002C3EFC"/>
    <w:rsid w:val="002C3F19"/>
    <w:rsid w:val="002C3FE1"/>
    <w:rsid w:val="002C4012"/>
    <w:rsid w:val="002C406E"/>
    <w:rsid w:val="002C40F1"/>
    <w:rsid w:val="002C414C"/>
    <w:rsid w:val="002C419F"/>
    <w:rsid w:val="002C41C6"/>
    <w:rsid w:val="002C4240"/>
    <w:rsid w:val="002C4281"/>
    <w:rsid w:val="002C42CA"/>
    <w:rsid w:val="002C42FB"/>
    <w:rsid w:val="002C4337"/>
    <w:rsid w:val="002C438C"/>
    <w:rsid w:val="002C43D0"/>
    <w:rsid w:val="002C447E"/>
    <w:rsid w:val="002C44C1"/>
    <w:rsid w:val="002C452F"/>
    <w:rsid w:val="002C4574"/>
    <w:rsid w:val="002C457A"/>
    <w:rsid w:val="002C459D"/>
    <w:rsid w:val="002C45A2"/>
    <w:rsid w:val="002C463C"/>
    <w:rsid w:val="002C46F4"/>
    <w:rsid w:val="002C46FE"/>
    <w:rsid w:val="002C47AE"/>
    <w:rsid w:val="002C47B0"/>
    <w:rsid w:val="002C47B2"/>
    <w:rsid w:val="002C47B4"/>
    <w:rsid w:val="002C47C1"/>
    <w:rsid w:val="002C47D6"/>
    <w:rsid w:val="002C47F3"/>
    <w:rsid w:val="002C4801"/>
    <w:rsid w:val="002C48E9"/>
    <w:rsid w:val="002C48F7"/>
    <w:rsid w:val="002C4A58"/>
    <w:rsid w:val="002C4A9E"/>
    <w:rsid w:val="002C4AA1"/>
    <w:rsid w:val="002C4B86"/>
    <w:rsid w:val="002C4BA7"/>
    <w:rsid w:val="002C4C83"/>
    <w:rsid w:val="002C4CFE"/>
    <w:rsid w:val="002C4DCA"/>
    <w:rsid w:val="002C4E4B"/>
    <w:rsid w:val="002C4E58"/>
    <w:rsid w:val="002C4EC6"/>
    <w:rsid w:val="002C4EEC"/>
    <w:rsid w:val="002C4F30"/>
    <w:rsid w:val="002C509F"/>
    <w:rsid w:val="002C5137"/>
    <w:rsid w:val="002C5275"/>
    <w:rsid w:val="002C5402"/>
    <w:rsid w:val="002C547D"/>
    <w:rsid w:val="002C54AC"/>
    <w:rsid w:val="002C5518"/>
    <w:rsid w:val="002C557B"/>
    <w:rsid w:val="002C558A"/>
    <w:rsid w:val="002C559D"/>
    <w:rsid w:val="002C55D0"/>
    <w:rsid w:val="002C55EA"/>
    <w:rsid w:val="002C560F"/>
    <w:rsid w:val="002C563C"/>
    <w:rsid w:val="002C564C"/>
    <w:rsid w:val="002C565B"/>
    <w:rsid w:val="002C5707"/>
    <w:rsid w:val="002C57B7"/>
    <w:rsid w:val="002C582F"/>
    <w:rsid w:val="002C58B2"/>
    <w:rsid w:val="002C5991"/>
    <w:rsid w:val="002C59DE"/>
    <w:rsid w:val="002C59F5"/>
    <w:rsid w:val="002C5A50"/>
    <w:rsid w:val="002C5A84"/>
    <w:rsid w:val="002C5A8A"/>
    <w:rsid w:val="002C5A97"/>
    <w:rsid w:val="002C5BB1"/>
    <w:rsid w:val="002C5C10"/>
    <w:rsid w:val="002C5C79"/>
    <w:rsid w:val="002C5D83"/>
    <w:rsid w:val="002C5DD2"/>
    <w:rsid w:val="002C5E1A"/>
    <w:rsid w:val="002C5E93"/>
    <w:rsid w:val="002C5F08"/>
    <w:rsid w:val="002C5F46"/>
    <w:rsid w:val="002C5FB2"/>
    <w:rsid w:val="002C6021"/>
    <w:rsid w:val="002C6070"/>
    <w:rsid w:val="002C6078"/>
    <w:rsid w:val="002C60AF"/>
    <w:rsid w:val="002C61ED"/>
    <w:rsid w:val="002C6213"/>
    <w:rsid w:val="002C62DF"/>
    <w:rsid w:val="002C63BF"/>
    <w:rsid w:val="002C63D2"/>
    <w:rsid w:val="002C64AD"/>
    <w:rsid w:val="002C64D2"/>
    <w:rsid w:val="002C6569"/>
    <w:rsid w:val="002C65A5"/>
    <w:rsid w:val="002C65C0"/>
    <w:rsid w:val="002C66B1"/>
    <w:rsid w:val="002C6760"/>
    <w:rsid w:val="002C6777"/>
    <w:rsid w:val="002C6789"/>
    <w:rsid w:val="002C67D8"/>
    <w:rsid w:val="002C67D9"/>
    <w:rsid w:val="002C680F"/>
    <w:rsid w:val="002C68EC"/>
    <w:rsid w:val="002C6926"/>
    <w:rsid w:val="002C69D6"/>
    <w:rsid w:val="002C69ED"/>
    <w:rsid w:val="002C6A3E"/>
    <w:rsid w:val="002C6A4B"/>
    <w:rsid w:val="002C6A60"/>
    <w:rsid w:val="002C6A8E"/>
    <w:rsid w:val="002C6ACB"/>
    <w:rsid w:val="002C6AF1"/>
    <w:rsid w:val="002C6B09"/>
    <w:rsid w:val="002C6B5D"/>
    <w:rsid w:val="002C6B5F"/>
    <w:rsid w:val="002C6B85"/>
    <w:rsid w:val="002C6B8E"/>
    <w:rsid w:val="002C6C1F"/>
    <w:rsid w:val="002C6C6E"/>
    <w:rsid w:val="002C6CA3"/>
    <w:rsid w:val="002C6CCF"/>
    <w:rsid w:val="002C6DA5"/>
    <w:rsid w:val="002C6E48"/>
    <w:rsid w:val="002C6E76"/>
    <w:rsid w:val="002C6ECC"/>
    <w:rsid w:val="002C6F01"/>
    <w:rsid w:val="002C6F16"/>
    <w:rsid w:val="002C6F30"/>
    <w:rsid w:val="002C6F4B"/>
    <w:rsid w:val="002C6F59"/>
    <w:rsid w:val="002C711B"/>
    <w:rsid w:val="002C715E"/>
    <w:rsid w:val="002C71AE"/>
    <w:rsid w:val="002C71CC"/>
    <w:rsid w:val="002C71FE"/>
    <w:rsid w:val="002C7224"/>
    <w:rsid w:val="002C7231"/>
    <w:rsid w:val="002C7235"/>
    <w:rsid w:val="002C727D"/>
    <w:rsid w:val="002C72A1"/>
    <w:rsid w:val="002C7306"/>
    <w:rsid w:val="002C7327"/>
    <w:rsid w:val="002C73F3"/>
    <w:rsid w:val="002C7423"/>
    <w:rsid w:val="002C7430"/>
    <w:rsid w:val="002C756B"/>
    <w:rsid w:val="002C75A2"/>
    <w:rsid w:val="002C7622"/>
    <w:rsid w:val="002C7688"/>
    <w:rsid w:val="002C76CC"/>
    <w:rsid w:val="002C7736"/>
    <w:rsid w:val="002C773A"/>
    <w:rsid w:val="002C7784"/>
    <w:rsid w:val="002C7850"/>
    <w:rsid w:val="002C788A"/>
    <w:rsid w:val="002C7922"/>
    <w:rsid w:val="002C7A1B"/>
    <w:rsid w:val="002C7A2A"/>
    <w:rsid w:val="002C7AD3"/>
    <w:rsid w:val="002C7B80"/>
    <w:rsid w:val="002C7C14"/>
    <w:rsid w:val="002C7C3E"/>
    <w:rsid w:val="002C7C76"/>
    <w:rsid w:val="002C7E52"/>
    <w:rsid w:val="002C7E58"/>
    <w:rsid w:val="002C7EB9"/>
    <w:rsid w:val="002C7ECF"/>
    <w:rsid w:val="002C7F12"/>
    <w:rsid w:val="002C7FD9"/>
    <w:rsid w:val="002C7FE1"/>
    <w:rsid w:val="002D0144"/>
    <w:rsid w:val="002D021B"/>
    <w:rsid w:val="002D022A"/>
    <w:rsid w:val="002D02D4"/>
    <w:rsid w:val="002D032A"/>
    <w:rsid w:val="002D03FE"/>
    <w:rsid w:val="002D0409"/>
    <w:rsid w:val="002D046D"/>
    <w:rsid w:val="002D0588"/>
    <w:rsid w:val="002D05AC"/>
    <w:rsid w:val="002D05E2"/>
    <w:rsid w:val="002D05EF"/>
    <w:rsid w:val="002D0608"/>
    <w:rsid w:val="002D06AD"/>
    <w:rsid w:val="002D0748"/>
    <w:rsid w:val="002D0780"/>
    <w:rsid w:val="002D083B"/>
    <w:rsid w:val="002D0843"/>
    <w:rsid w:val="002D096C"/>
    <w:rsid w:val="002D0984"/>
    <w:rsid w:val="002D098B"/>
    <w:rsid w:val="002D09FB"/>
    <w:rsid w:val="002D0ABB"/>
    <w:rsid w:val="002D0AF8"/>
    <w:rsid w:val="002D0B8D"/>
    <w:rsid w:val="002D0DE0"/>
    <w:rsid w:val="002D0EB5"/>
    <w:rsid w:val="002D0FBC"/>
    <w:rsid w:val="002D1038"/>
    <w:rsid w:val="002D1042"/>
    <w:rsid w:val="002D10B5"/>
    <w:rsid w:val="002D10B7"/>
    <w:rsid w:val="002D1104"/>
    <w:rsid w:val="002D111A"/>
    <w:rsid w:val="002D1141"/>
    <w:rsid w:val="002D11E7"/>
    <w:rsid w:val="002D1200"/>
    <w:rsid w:val="002D12A1"/>
    <w:rsid w:val="002D1356"/>
    <w:rsid w:val="002D138D"/>
    <w:rsid w:val="002D13D0"/>
    <w:rsid w:val="002D146C"/>
    <w:rsid w:val="002D153F"/>
    <w:rsid w:val="002D1757"/>
    <w:rsid w:val="002D1786"/>
    <w:rsid w:val="002D178E"/>
    <w:rsid w:val="002D17AF"/>
    <w:rsid w:val="002D1858"/>
    <w:rsid w:val="002D18BA"/>
    <w:rsid w:val="002D18CF"/>
    <w:rsid w:val="002D1950"/>
    <w:rsid w:val="002D19FB"/>
    <w:rsid w:val="002D19FD"/>
    <w:rsid w:val="002D19FE"/>
    <w:rsid w:val="002D1B57"/>
    <w:rsid w:val="002D1B75"/>
    <w:rsid w:val="002D1C34"/>
    <w:rsid w:val="002D1C39"/>
    <w:rsid w:val="002D1DBE"/>
    <w:rsid w:val="002D1DBF"/>
    <w:rsid w:val="002D1EA9"/>
    <w:rsid w:val="002D1F47"/>
    <w:rsid w:val="002D2035"/>
    <w:rsid w:val="002D215B"/>
    <w:rsid w:val="002D219A"/>
    <w:rsid w:val="002D2226"/>
    <w:rsid w:val="002D2271"/>
    <w:rsid w:val="002D22B3"/>
    <w:rsid w:val="002D23CB"/>
    <w:rsid w:val="002D24A1"/>
    <w:rsid w:val="002D24CB"/>
    <w:rsid w:val="002D25BF"/>
    <w:rsid w:val="002D25CF"/>
    <w:rsid w:val="002D25E1"/>
    <w:rsid w:val="002D25EE"/>
    <w:rsid w:val="002D2613"/>
    <w:rsid w:val="002D2642"/>
    <w:rsid w:val="002D265B"/>
    <w:rsid w:val="002D26DC"/>
    <w:rsid w:val="002D26E6"/>
    <w:rsid w:val="002D26EF"/>
    <w:rsid w:val="002D2761"/>
    <w:rsid w:val="002D27C0"/>
    <w:rsid w:val="002D27E1"/>
    <w:rsid w:val="002D293B"/>
    <w:rsid w:val="002D2987"/>
    <w:rsid w:val="002D29F5"/>
    <w:rsid w:val="002D2A36"/>
    <w:rsid w:val="002D2B0B"/>
    <w:rsid w:val="002D2B15"/>
    <w:rsid w:val="002D2B18"/>
    <w:rsid w:val="002D2B5D"/>
    <w:rsid w:val="002D2B61"/>
    <w:rsid w:val="002D2C04"/>
    <w:rsid w:val="002D2D7E"/>
    <w:rsid w:val="002D2E95"/>
    <w:rsid w:val="002D2EE7"/>
    <w:rsid w:val="002D2F06"/>
    <w:rsid w:val="002D2F60"/>
    <w:rsid w:val="002D2FE3"/>
    <w:rsid w:val="002D308C"/>
    <w:rsid w:val="002D309C"/>
    <w:rsid w:val="002D3108"/>
    <w:rsid w:val="002D3117"/>
    <w:rsid w:val="002D312C"/>
    <w:rsid w:val="002D3159"/>
    <w:rsid w:val="002D3221"/>
    <w:rsid w:val="002D32C4"/>
    <w:rsid w:val="002D3338"/>
    <w:rsid w:val="002D334C"/>
    <w:rsid w:val="002D33C7"/>
    <w:rsid w:val="002D33FA"/>
    <w:rsid w:val="002D3417"/>
    <w:rsid w:val="002D3468"/>
    <w:rsid w:val="002D347D"/>
    <w:rsid w:val="002D3515"/>
    <w:rsid w:val="002D35A3"/>
    <w:rsid w:val="002D360D"/>
    <w:rsid w:val="002D3620"/>
    <w:rsid w:val="002D373B"/>
    <w:rsid w:val="002D37EF"/>
    <w:rsid w:val="002D37FE"/>
    <w:rsid w:val="002D3846"/>
    <w:rsid w:val="002D38D1"/>
    <w:rsid w:val="002D38DB"/>
    <w:rsid w:val="002D3920"/>
    <w:rsid w:val="002D393C"/>
    <w:rsid w:val="002D3B07"/>
    <w:rsid w:val="002D3B6B"/>
    <w:rsid w:val="002D3BCA"/>
    <w:rsid w:val="002D3BF0"/>
    <w:rsid w:val="002D3CD4"/>
    <w:rsid w:val="002D3CE4"/>
    <w:rsid w:val="002D3D1C"/>
    <w:rsid w:val="002D3E9A"/>
    <w:rsid w:val="002D3F43"/>
    <w:rsid w:val="002D3FE8"/>
    <w:rsid w:val="002D400D"/>
    <w:rsid w:val="002D4036"/>
    <w:rsid w:val="002D405E"/>
    <w:rsid w:val="002D4128"/>
    <w:rsid w:val="002D41CF"/>
    <w:rsid w:val="002D4233"/>
    <w:rsid w:val="002D428B"/>
    <w:rsid w:val="002D434D"/>
    <w:rsid w:val="002D437C"/>
    <w:rsid w:val="002D4525"/>
    <w:rsid w:val="002D4569"/>
    <w:rsid w:val="002D45A4"/>
    <w:rsid w:val="002D45F5"/>
    <w:rsid w:val="002D47CF"/>
    <w:rsid w:val="002D4865"/>
    <w:rsid w:val="002D4888"/>
    <w:rsid w:val="002D48E0"/>
    <w:rsid w:val="002D48E3"/>
    <w:rsid w:val="002D49C2"/>
    <w:rsid w:val="002D4A34"/>
    <w:rsid w:val="002D4AA8"/>
    <w:rsid w:val="002D4ACA"/>
    <w:rsid w:val="002D4C0E"/>
    <w:rsid w:val="002D4C46"/>
    <w:rsid w:val="002D4CCB"/>
    <w:rsid w:val="002D4CE6"/>
    <w:rsid w:val="002D4D0F"/>
    <w:rsid w:val="002D4D2E"/>
    <w:rsid w:val="002D4E29"/>
    <w:rsid w:val="002D4E33"/>
    <w:rsid w:val="002D4E92"/>
    <w:rsid w:val="002D4E97"/>
    <w:rsid w:val="002D4EDF"/>
    <w:rsid w:val="002D4F2A"/>
    <w:rsid w:val="002D4FA1"/>
    <w:rsid w:val="002D5045"/>
    <w:rsid w:val="002D5056"/>
    <w:rsid w:val="002D506F"/>
    <w:rsid w:val="002D50F0"/>
    <w:rsid w:val="002D5126"/>
    <w:rsid w:val="002D5127"/>
    <w:rsid w:val="002D5136"/>
    <w:rsid w:val="002D5144"/>
    <w:rsid w:val="002D5153"/>
    <w:rsid w:val="002D5194"/>
    <w:rsid w:val="002D51DB"/>
    <w:rsid w:val="002D53B9"/>
    <w:rsid w:val="002D5443"/>
    <w:rsid w:val="002D5485"/>
    <w:rsid w:val="002D54C1"/>
    <w:rsid w:val="002D54CD"/>
    <w:rsid w:val="002D554C"/>
    <w:rsid w:val="002D558A"/>
    <w:rsid w:val="002D55A9"/>
    <w:rsid w:val="002D55E8"/>
    <w:rsid w:val="002D5614"/>
    <w:rsid w:val="002D56C2"/>
    <w:rsid w:val="002D5726"/>
    <w:rsid w:val="002D572B"/>
    <w:rsid w:val="002D57D4"/>
    <w:rsid w:val="002D5839"/>
    <w:rsid w:val="002D58AC"/>
    <w:rsid w:val="002D58FE"/>
    <w:rsid w:val="002D5962"/>
    <w:rsid w:val="002D59FC"/>
    <w:rsid w:val="002D5A18"/>
    <w:rsid w:val="002D5A29"/>
    <w:rsid w:val="002D5A5B"/>
    <w:rsid w:val="002D5A64"/>
    <w:rsid w:val="002D5B11"/>
    <w:rsid w:val="002D5B8A"/>
    <w:rsid w:val="002D5B9D"/>
    <w:rsid w:val="002D5BB0"/>
    <w:rsid w:val="002D5C63"/>
    <w:rsid w:val="002D5CC0"/>
    <w:rsid w:val="002D5CC1"/>
    <w:rsid w:val="002D5D16"/>
    <w:rsid w:val="002D5EF4"/>
    <w:rsid w:val="002D5F27"/>
    <w:rsid w:val="002D6034"/>
    <w:rsid w:val="002D6049"/>
    <w:rsid w:val="002D62A1"/>
    <w:rsid w:val="002D62EC"/>
    <w:rsid w:val="002D64E1"/>
    <w:rsid w:val="002D64FD"/>
    <w:rsid w:val="002D65C3"/>
    <w:rsid w:val="002D65D8"/>
    <w:rsid w:val="002D6616"/>
    <w:rsid w:val="002D66D1"/>
    <w:rsid w:val="002D6791"/>
    <w:rsid w:val="002D685F"/>
    <w:rsid w:val="002D68A8"/>
    <w:rsid w:val="002D69C2"/>
    <w:rsid w:val="002D6A28"/>
    <w:rsid w:val="002D6A3D"/>
    <w:rsid w:val="002D6A8B"/>
    <w:rsid w:val="002D6AED"/>
    <w:rsid w:val="002D6C6B"/>
    <w:rsid w:val="002D6DB4"/>
    <w:rsid w:val="002D6E35"/>
    <w:rsid w:val="002D6E4D"/>
    <w:rsid w:val="002D6F30"/>
    <w:rsid w:val="002D7133"/>
    <w:rsid w:val="002D71F1"/>
    <w:rsid w:val="002D723F"/>
    <w:rsid w:val="002D726C"/>
    <w:rsid w:val="002D72A2"/>
    <w:rsid w:val="002D72AE"/>
    <w:rsid w:val="002D7337"/>
    <w:rsid w:val="002D7355"/>
    <w:rsid w:val="002D7358"/>
    <w:rsid w:val="002D73B1"/>
    <w:rsid w:val="002D73CA"/>
    <w:rsid w:val="002D7414"/>
    <w:rsid w:val="002D7417"/>
    <w:rsid w:val="002D743B"/>
    <w:rsid w:val="002D74B5"/>
    <w:rsid w:val="002D74CB"/>
    <w:rsid w:val="002D7574"/>
    <w:rsid w:val="002D76FB"/>
    <w:rsid w:val="002D77C5"/>
    <w:rsid w:val="002D7809"/>
    <w:rsid w:val="002D78A3"/>
    <w:rsid w:val="002D790C"/>
    <w:rsid w:val="002D79AA"/>
    <w:rsid w:val="002D79AF"/>
    <w:rsid w:val="002D7A25"/>
    <w:rsid w:val="002D7B0C"/>
    <w:rsid w:val="002D7BEB"/>
    <w:rsid w:val="002D7BED"/>
    <w:rsid w:val="002D7C02"/>
    <w:rsid w:val="002D7C0F"/>
    <w:rsid w:val="002D7C88"/>
    <w:rsid w:val="002D7D38"/>
    <w:rsid w:val="002D7D41"/>
    <w:rsid w:val="002D7D4A"/>
    <w:rsid w:val="002D7E4F"/>
    <w:rsid w:val="002D7EE2"/>
    <w:rsid w:val="002D7F3A"/>
    <w:rsid w:val="002D7F74"/>
    <w:rsid w:val="002D7FB1"/>
    <w:rsid w:val="002E001E"/>
    <w:rsid w:val="002E0154"/>
    <w:rsid w:val="002E0186"/>
    <w:rsid w:val="002E0203"/>
    <w:rsid w:val="002E0270"/>
    <w:rsid w:val="002E02E1"/>
    <w:rsid w:val="002E0371"/>
    <w:rsid w:val="002E03C1"/>
    <w:rsid w:val="002E0422"/>
    <w:rsid w:val="002E042D"/>
    <w:rsid w:val="002E0474"/>
    <w:rsid w:val="002E06A8"/>
    <w:rsid w:val="002E06FA"/>
    <w:rsid w:val="002E0717"/>
    <w:rsid w:val="002E096D"/>
    <w:rsid w:val="002E0A58"/>
    <w:rsid w:val="002E0AA8"/>
    <w:rsid w:val="002E0AC0"/>
    <w:rsid w:val="002E0B09"/>
    <w:rsid w:val="002E0B89"/>
    <w:rsid w:val="002E0C1B"/>
    <w:rsid w:val="002E0C26"/>
    <w:rsid w:val="002E0C6D"/>
    <w:rsid w:val="002E0C81"/>
    <w:rsid w:val="002E0D04"/>
    <w:rsid w:val="002E0D2D"/>
    <w:rsid w:val="002E0DB3"/>
    <w:rsid w:val="002E0EB7"/>
    <w:rsid w:val="002E0F03"/>
    <w:rsid w:val="002E0F0F"/>
    <w:rsid w:val="002E0F58"/>
    <w:rsid w:val="002E0FC0"/>
    <w:rsid w:val="002E100A"/>
    <w:rsid w:val="002E109D"/>
    <w:rsid w:val="002E112B"/>
    <w:rsid w:val="002E114B"/>
    <w:rsid w:val="002E122D"/>
    <w:rsid w:val="002E124A"/>
    <w:rsid w:val="002E1276"/>
    <w:rsid w:val="002E1305"/>
    <w:rsid w:val="002E1359"/>
    <w:rsid w:val="002E1379"/>
    <w:rsid w:val="002E137E"/>
    <w:rsid w:val="002E13D9"/>
    <w:rsid w:val="002E144B"/>
    <w:rsid w:val="002E1457"/>
    <w:rsid w:val="002E1491"/>
    <w:rsid w:val="002E149E"/>
    <w:rsid w:val="002E14BB"/>
    <w:rsid w:val="002E14F1"/>
    <w:rsid w:val="002E1515"/>
    <w:rsid w:val="002E151E"/>
    <w:rsid w:val="002E155D"/>
    <w:rsid w:val="002E15F5"/>
    <w:rsid w:val="002E162F"/>
    <w:rsid w:val="002E1632"/>
    <w:rsid w:val="002E1642"/>
    <w:rsid w:val="002E1766"/>
    <w:rsid w:val="002E18D0"/>
    <w:rsid w:val="002E18D9"/>
    <w:rsid w:val="002E18FE"/>
    <w:rsid w:val="002E18FF"/>
    <w:rsid w:val="002E19B8"/>
    <w:rsid w:val="002E1A43"/>
    <w:rsid w:val="002E1A62"/>
    <w:rsid w:val="002E1B21"/>
    <w:rsid w:val="002E1C0D"/>
    <w:rsid w:val="002E1D7C"/>
    <w:rsid w:val="002E1DE0"/>
    <w:rsid w:val="002E1DE1"/>
    <w:rsid w:val="002E1E48"/>
    <w:rsid w:val="002E1E98"/>
    <w:rsid w:val="002E1EFF"/>
    <w:rsid w:val="002E1F2B"/>
    <w:rsid w:val="002E1F49"/>
    <w:rsid w:val="002E2039"/>
    <w:rsid w:val="002E2187"/>
    <w:rsid w:val="002E21A8"/>
    <w:rsid w:val="002E2204"/>
    <w:rsid w:val="002E2238"/>
    <w:rsid w:val="002E2288"/>
    <w:rsid w:val="002E22A3"/>
    <w:rsid w:val="002E2686"/>
    <w:rsid w:val="002E2808"/>
    <w:rsid w:val="002E2833"/>
    <w:rsid w:val="002E283C"/>
    <w:rsid w:val="002E28E0"/>
    <w:rsid w:val="002E2A20"/>
    <w:rsid w:val="002E2A3A"/>
    <w:rsid w:val="002E2A7A"/>
    <w:rsid w:val="002E2AB0"/>
    <w:rsid w:val="002E2AD4"/>
    <w:rsid w:val="002E2B04"/>
    <w:rsid w:val="002E2B36"/>
    <w:rsid w:val="002E2B53"/>
    <w:rsid w:val="002E2B54"/>
    <w:rsid w:val="002E2C2E"/>
    <w:rsid w:val="002E2C3F"/>
    <w:rsid w:val="002E2C7C"/>
    <w:rsid w:val="002E2D62"/>
    <w:rsid w:val="002E2D7F"/>
    <w:rsid w:val="002E2DC8"/>
    <w:rsid w:val="002E2DF4"/>
    <w:rsid w:val="002E2E08"/>
    <w:rsid w:val="002E2F3C"/>
    <w:rsid w:val="002E2FED"/>
    <w:rsid w:val="002E3017"/>
    <w:rsid w:val="002E3031"/>
    <w:rsid w:val="002E3056"/>
    <w:rsid w:val="002E30C0"/>
    <w:rsid w:val="002E314B"/>
    <w:rsid w:val="002E31CF"/>
    <w:rsid w:val="002E31D0"/>
    <w:rsid w:val="002E3216"/>
    <w:rsid w:val="002E322F"/>
    <w:rsid w:val="002E3273"/>
    <w:rsid w:val="002E327F"/>
    <w:rsid w:val="002E32AE"/>
    <w:rsid w:val="002E333C"/>
    <w:rsid w:val="002E3347"/>
    <w:rsid w:val="002E33CE"/>
    <w:rsid w:val="002E3530"/>
    <w:rsid w:val="002E35F9"/>
    <w:rsid w:val="002E36A9"/>
    <w:rsid w:val="002E3739"/>
    <w:rsid w:val="002E37D2"/>
    <w:rsid w:val="002E3876"/>
    <w:rsid w:val="002E38C4"/>
    <w:rsid w:val="002E3993"/>
    <w:rsid w:val="002E399C"/>
    <w:rsid w:val="002E39DD"/>
    <w:rsid w:val="002E3A06"/>
    <w:rsid w:val="002E3AE9"/>
    <w:rsid w:val="002E3D10"/>
    <w:rsid w:val="002E3D3C"/>
    <w:rsid w:val="002E3DFD"/>
    <w:rsid w:val="002E3E1F"/>
    <w:rsid w:val="002E3E37"/>
    <w:rsid w:val="002E3EAD"/>
    <w:rsid w:val="002E3EEC"/>
    <w:rsid w:val="002E3FE4"/>
    <w:rsid w:val="002E4000"/>
    <w:rsid w:val="002E401D"/>
    <w:rsid w:val="002E4027"/>
    <w:rsid w:val="002E4052"/>
    <w:rsid w:val="002E40AA"/>
    <w:rsid w:val="002E4157"/>
    <w:rsid w:val="002E41BA"/>
    <w:rsid w:val="002E41EA"/>
    <w:rsid w:val="002E41FC"/>
    <w:rsid w:val="002E4261"/>
    <w:rsid w:val="002E428B"/>
    <w:rsid w:val="002E42EE"/>
    <w:rsid w:val="002E433C"/>
    <w:rsid w:val="002E4360"/>
    <w:rsid w:val="002E437D"/>
    <w:rsid w:val="002E439D"/>
    <w:rsid w:val="002E43D6"/>
    <w:rsid w:val="002E4467"/>
    <w:rsid w:val="002E44C1"/>
    <w:rsid w:val="002E4508"/>
    <w:rsid w:val="002E4521"/>
    <w:rsid w:val="002E4524"/>
    <w:rsid w:val="002E456C"/>
    <w:rsid w:val="002E4591"/>
    <w:rsid w:val="002E45D9"/>
    <w:rsid w:val="002E462F"/>
    <w:rsid w:val="002E4758"/>
    <w:rsid w:val="002E47D6"/>
    <w:rsid w:val="002E486B"/>
    <w:rsid w:val="002E48CA"/>
    <w:rsid w:val="002E4968"/>
    <w:rsid w:val="002E496F"/>
    <w:rsid w:val="002E4996"/>
    <w:rsid w:val="002E49B2"/>
    <w:rsid w:val="002E49C5"/>
    <w:rsid w:val="002E4A62"/>
    <w:rsid w:val="002E4A6E"/>
    <w:rsid w:val="002E4A85"/>
    <w:rsid w:val="002E4AC2"/>
    <w:rsid w:val="002E4B67"/>
    <w:rsid w:val="002E4B6D"/>
    <w:rsid w:val="002E4BA8"/>
    <w:rsid w:val="002E4CEC"/>
    <w:rsid w:val="002E4D34"/>
    <w:rsid w:val="002E4D85"/>
    <w:rsid w:val="002E4EF8"/>
    <w:rsid w:val="002E4F70"/>
    <w:rsid w:val="002E4F93"/>
    <w:rsid w:val="002E5026"/>
    <w:rsid w:val="002E50BF"/>
    <w:rsid w:val="002E51A1"/>
    <w:rsid w:val="002E532A"/>
    <w:rsid w:val="002E5396"/>
    <w:rsid w:val="002E5445"/>
    <w:rsid w:val="002E544C"/>
    <w:rsid w:val="002E5452"/>
    <w:rsid w:val="002E5490"/>
    <w:rsid w:val="002E54DE"/>
    <w:rsid w:val="002E5526"/>
    <w:rsid w:val="002E554B"/>
    <w:rsid w:val="002E5562"/>
    <w:rsid w:val="002E558C"/>
    <w:rsid w:val="002E55D9"/>
    <w:rsid w:val="002E561B"/>
    <w:rsid w:val="002E56A0"/>
    <w:rsid w:val="002E56B1"/>
    <w:rsid w:val="002E57A9"/>
    <w:rsid w:val="002E57C0"/>
    <w:rsid w:val="002E5826"/>
    <w:rsid w:val="002E5832"/>
    <w:rsid w:val="002E584A"/>
    <w:rsid w:val="002E5893"/>
    <w:rsid w:val="002E5894"/>
    <w:rsid w:val="002E58D9"/>
    <w:rsid w:val="002E5A4F"/>
    <w:rsid w:val="002E5A71"/>
    <w:rsid w:val="002E5A95"/>
    <w:rsid w:val="002E5B4E"/>
    <w:rsid w:val="002E5B65"/>
    <w:rsid w:val="002E5B92"/>
    <w:rsid w:val="002E5BF8"/>
    <w:rsid w:val="002E5C17"/>
    <w:rsid w:val="002E5C27"/>
    <w:rsid w:val="002E5C5C"/>
    <w:rsid w:val="002E5CAE"/>
    <w:rsid w:val="002E5CF2"/>
    <w:rsid w:val="002E5CF5"/>
    <w:rsid w:val="002E5EE3"/>
    <w:rsid w:val="002E5F0A"/>
    <w:rsid w:val="002E5F3B"/>
    <w:rsid w:val="002E5F48"/>
    <w:rsid w:val="002E5F8A"/>
    <w:rsid w:val="002E6054"/>
    <w:rsid w:val="002E6078"/>
    <w:rsid w:val="002E60F6"/>
    <w:rsid w:val="002E6117"/>
    <w:rsid w:val="002E615E"/>
    <w:rsid w:val="002E618A"/>
    <w:rsid w:val="002E61A6"/>
    <w:rsid w:val="002E61F2"/>
    <w:rsid w:val="002E6226"/>
    <w:rsid w:val="002E622D"/>
    <w:rsid w:val="002E628B"/>
    <w:rsid w:val="002E63D0"/>
    <w:rsid w:val="002E6404"/>
    <w:rsid w:val="002E642C"/>
    <w:rsid w:val="002E64AE"/>
    <w:rsid w:val="002E64CF"/>
    <w:rsid w:val="002E656B"/>
    <w:rsid w:val="002E6584"/>
    <w:rsid w:val="002E6589"/>
    <w:rsid w:val="002E6594"/>
    <w:rsid w:val="002E65BF"/>
    <w:rsid w:val="002E65C3"/>
    <w:rsid w:val="002E6656"/>
    <w:rsid w:val="002E665D"/>
    <w:rsid w:val="002E66A4"/>
    <w:rsid w:val="002E66B2"/>
    <w:rsid w:val="002E66FD"/>
    <w:rsid w:val="002E6737"/>
    <w:rsid w:val="002E678A"/>
    <w:rsid w:val="002E67E0"/>
    <w:rsid w:val="002E6802"/>
    <w:rsid w:val="002E6818"/>
    <w:rsid w:val="002E681B"/>
    <w:rsid w:val="002E697A"/>
    <w:rsid w:val="002E6986"/>
    <w:rsid w:val="002E69C3"/>
    <w:rsid w:val="002E69E9"/>
    <w:rsid w:val="002E69F1"/>
    <w:rsid w:val="002E6B4A"/>
    <w:rsid w:val="002E6B8C"/>
    <w:rsid w:val="002E6B8E"/>
    <w:rsid w:val="002E6BB4"/>
    <w:rsid w:val="002E6BEC"/>
    <w:rsid w:val="002E6C46"/>
    <w:rsid w:val="002E6C6B"/>
    <w:rsid w:val="002E6C73"/>
    <w:rsid w:val="002E6CA4"/>
    <w:rsid w:val="002E6CDF"/>
    <w:rsid w:val="002E6CFB"/>
    <w:rsid w:val="002E6DA8"/>
    <w:rsid w:val="002E6E53"/>
    <w:rsid w:val="002E6E87"/>
    <w:rsid w:val="002E6E9E"/>
    <w:rsid w:val="002E6EDD"/>
    <w:rsid w:val="002E6EDF"/>
    <w:rsid w:val="002E6F3E"/>
    <w:rsid w:val="002E6F93"/>
    <w:rsid w:val="002E6FD1"/>
    <w:rsid w:val="002E6FDB"/>
    <w:rsid w:val="002E7032"/>
    <w:rsid w:val="002E703C"/>
    <w:rsid w:val="002E7052"/>
    <w:rsid w:val="002E70D2"/>
    <w:rsid w:val="002E711D"/>
    <w:rsid w:val="002E718C"/>
    <w:rsid w:val="002E7224"/>
    <w:rsid w:val="002E7261"/>
    <w:rsid w:val="002E72C0"/>
    <w:rsid w:val="002E732A"/>
    <w:rsid w:val="002E73D0"/>
    <w:rsid w:val="002E747F"/>
    <w:rsid w:val="002E7495"/>
    <w:rsid w:val="002E7551"/>
    <w:rsid w:val="002E75F0"/>
    <w:rsid w:val="002E771D"/>
    <w:rsid w:val="002E7720"/>
    <w:rsid w:val="002E7814"/>
    <w:rsid w:val="002E7871"/>
    <w:rsid w:val="002E7897"/>
    <w:rsid w:val="002E793C"/>
    <w:rsid w:val="002E79CE"/>
    <w:rsid w:val="002E7A68"/>
    <w:rsid w:val="002E7B0F"/>
    <w:rsid w:val="002E7CBD"/>
    <w:rsid w:val="002E7CCE"/>
    <w:rsid w:val="002E7D12"/>
    <w:rsid w:val="002E7D1B"/>
    <w:rsid w:val="002E7E53"/>
    <w:rsid w:val="002E7F11"/>
    <w:rsid w:val="002E7F88"/>
    <w:rsid w:val="002E7FAD"/>
    <w:rsid w:val="002F0046"/>
    <w:rsid w:val="002F00A1"/>
    <w:rsid w:val="002F00F9"/>
    <w:rsid w:val="002F0124"/>
    <w:rsid w:val="002F01C7"/>
    <w:rsid w:val="002F01E6"/>
    <w:rsid w:val="002F01EB"/>
    <w:rsid w:val="002F0248"/>
    <w:rsid w:val="002F027C"/>
    <w:rsid w:val="002F0287"/>
    <w:rsid w:val="002F028F"/>
    <w:rsid w:val="002F029A"/>
    <w:rsid w:val="002F0361"/>
    <w:rsid w:val="002F0375"/>
    <w:rsid w:val="002F04C9"/>
    <w:rsid w:val="002F04E7"/>
    <w:rsid w:val="002F0509"/>
    <w:rsid w:val="002F051A"/>
    <w:rsid w:val="002F0574"/>
    <w:rsid w:val="002F06FC"/>
    <w:rsid w:val="002F0740"/>
    <w:rsid w:val="002F07E4"/>
    <w:rsid w:val="002F0838"/>
    <w:rsid w:val="002F08CF"/>
    <w:rsid w:val="002F0905"/>
    <w:rsid w:val="002F09E5"/>
    <w:rsid w:val="002F0A32"/>
    <w:rsid w:val="002F0AE2"/>
    <w:rsid w:val="002F0C90"/>
    <w:rsid w:val="002F0D9A"/>
    <w:rsid w:val="002F0DB1"/>
    <w:rsid w:val="002F0E33"/>
    <w:rsid w:val="002F0E42"/>
    <w:rsid w:val="002F0E4E"/>
    <w:rsid w:val="002F0EC1"/>
    <w:rsid w:val="002F0F0C"/>
    <w:rsid w:val="002F1072"/>
    <w:rsid w:val="002F10C2"/>
    <w:rsid w:val="002F10DB"/>
    <w:rsid w:val="002F110D"/>
    <w:rsid w:val="002F1137"/>
    <w:rsid w:val="002F11EC"/>
    <w:rsid w:val="002F1249"/>
    <w:rsid w:val="002F1348"/>
    <w:rsid w:val="002F1432"/>
    <w:rsid w:val="002F144B"/>
    <w:rsid w:val="002F148B"/>
    <w:rsid w:val="002F14C1"/>
    <w:rsid w:val="002F14D9"/>
    <w:rsid w:val="002F154D"/>
    <w:rsid w:val="002F15B0"/>
    <w:rsid w:val="002F15DA"/>
    <w:rsid w:val="002F1703"/>
    <w:rsid w:val="002F1733"/>
    <w:rsid w:val="002F174A"/>
    <w:rsid w:val="002F17D2"/>
    <w:rsid w:val="002F1861"/>
    <w:rsid w:val="002F1889"/>
    <w:rsid w:val="002F18F3"/>
    <w:rsid w:val="002F190A"/>
    <w:rsid w:val="002F1964"/>
    <w:rsid w:val="002F1989"/>
    <w:rsid w:val="002F19A6"/>
    <w:rsid w:val="002F19B1"/>
    <w:rsid w:val="002F19BD"/>
    <w:rsid w:val="002F1A83"/>
    <w:rsid w:val="002F1A8A"/>
    <w:rsid w:val="002F1AEB"/>
    <w:rsid w:val="002F1B0E"/>
    <w:rsid w:val="002F1B23"/>
    <w:rsid w:val="002F1D49"/>
    <w:rsid w:val="002F1D7E"/>
    <w:rsid w:val="002F1DF1"/>
    <w:rsid w:val="002F1EB0"/>
    <w:rsid w:val="002F1EF5"/>
    <w:rsid w:val="002F1F0C"/>
    <w:rsid w:val="002F1F68"/>
    <w:rsid w:val="002F2057"/>
    <w:rsid w:val="002F2078"/>
    <w:rsid w:val="002F20BB"/>
    <w:rsid w:val="002F2126"/>
    <w:rsid w:val="002F21D6"/>
    <w:rsid w:val="002F21F5"/>
    <w:rsid w:val="002F227B"/>
    <w:rsid w:val="002F2343"/>
    <w:rsid w:val="002F23BB"/>
    <w:rsid w:val="002F248A"/>
    <w:rsid w:val="002F255B"/>
    <w:rsid w:val="002F25BD"/>
    <w:rsid w:val="002F25F6"/>
    <w:rsid w:val="002F2613"/>
    <w:rsid w:val="002F261A"/>
    <w:rsid w:val="002F2696"/>
    <w:rsid w:val="002F2761"/>
    <w:rsid w:val="002F2764"/>
    <w:rsid w:val="002F28C2"/>
    <w:rsid w:val="002F2997"/>
    <w:rsid w:val="002F29E0"/>
    <w:rsid w:val="002F2B1F"/>
    <w:rsid w:val="002F2B6C"/>
    <w:rsid w:val="002F2B6D"/>
    <w:rsid w:val="002F2C24"/>
    <w:rsid w:val="002F2CA3"/>
    <w:rsid w:val="002F2CF9"/>
    <w:rsid w:val="002F2D6C"/>
    <w:rsid w:val="002F2D79"/>
    <w:rsid w:val="002F2E19"/>
    <w:rsid w:val="002F2E28"/>
    <w:rsid w:val="002F2E3C"/>
    <w:rsid w:val="002F2EAC"/>
    <w:rsid w:val="002F2EB1"/>
    <w:rsid w:val="002F2F09"/>
    <w:rsid w:val="002F2F18"/>
    <w:rsid w:val="002F2F58"/>
    <w:rsid w:val="002F2FB4"/>
    <w:rsid w:val="002F2FE3"/>
    <w:rsid w:val="002F3055"/>
    <w:rsid w:val="002F30E2"/>
    <w:rsid w:val="002F3148"/>
    <w:rsid w:val="002F3177"/>
    <w:rsid w:val="002F31E6"/>
    <w:rsid w:val="002F325E"/>
    <w:rsid w:val="002F3282"/>
    <w:rsid w:val="002F328E"/>
    <w:rsid w:val="002F3298"/>
    <w:rsid w:val="002F339E"/>
    <w:rsid w:val="002F343A"/>
    <w:rsid w:val="002F3506"/>
    <w:rsid w:val="002F3536"/>
    <w:rsid w:val="002F3581"/>
    <w:rsid w:val="002F358F"/>
    <w:rsid w:val="002F35A2"/>
    <w:rsid w:val="002F35C6"/>
    <w:rsid w:val="002F35D2"/>
    <w:rsid w:val="002F35E1"/>
    <w:rsid w:val="002F35F1"/>
    <w:rsid w:val="002F3613"/>
    <w:rsid w:val="002F362A"/>
    <w:rsid w:val="002F364B"/>
    <w:rsid w:val="002F36CC"/>
    <w:rsid w:val="002F373F"/>
    <w:rsid w:val="002F379D"/>
    <w:rsid w:val="002F37FF"/>
    <w:rsid w:val="002F3814"/>
    <w:rsid w:val="002F3829"/>
    <w:rsid w:val="002F3841"/>
    <w:rsid w:val="002F3951"/>
    <w:rsid w:val="002F398A"/>
    <w:rsid w:val="002F3A37"/>
    <w:rsid w:val="002F3AD3"/>
    <w:rsid w:val="002F3B2A"/>
    <w:rsid w:val="002F3BCD"/>
    <w:rsid w:val="002F3C76"/>
    <w:rsid w:val="002F3C9E"/>
    <w:rsid w:val="002F3CB9"/>
    <w:rsid w:val="002F3CBB"/>
    <w:rsid w:val="002F3CFA"/>
    <w:rsid w:val="002F3D11"/>
    <w:rsid w:val="002F3D13"/>
    <w:rsid w:val="002F3E44"/>
    <w:rsid w:val="002F3EA6"/>
    <w:rsid w:val="002F3EB4"/>
    <w:rsid w:val="002F3F8E"/>
    <w:rsid w:val="002F3FE2"/>
    <w:rsid w:val="002F3FF2"/>
    <w:rsid w:val="002F4012"/>
    <w:rsid w:val="002F41D3"/>
    <w:rsid w:val="002F41DC"/>
    <w:rsid w:val="002F424C"/>
    <w:rsid w:val="002F4293"/>
    <w:rsid w:val="002F42E3"/>
    <w:rsid w:val="002F4302"/>
    <w:rsid w:val="002F4324"/>
    <w:rsid w:val="002F43CE"/>
    <w:rsid w:val="002F4424"/>
    <w:rsid w:val="002F446B"/>
    <w:rsid w:val="002F44FC"/>
    <w:rsid w:val="002F460D"/>
    <w:rsid w:val="002F4612"/>
    <w:rsid w:val="002F46B1"/>
    <w:rsid w:val="002F4700"/>
    <w:rsid w:val="002F47AD"/>
    <w:rsid w:val="002F47F2"/>
    <w:rsid w:val="002F4890"/>
    <w:rsid w:val="002F491B"/>
    <w:rsid w:val="002F4941"/>
    <w:rsid w:val="002F49B4"/>
    <w:rsid w:val="002F49BC"/>
    <w:rsid w:val="002F4AA0"/>
    <w:rsid w:val="002F4AB5"/>
    <w:rsid w:val="002F4AD2"/>
    <w:rsid w:val="002F4C60"/>
    <w:rsid w:val="002F4C71"/>
    <w:rsid w:val="002F4CDD"/>
    <w:rsid w:val="002F4CE9"/>
    <w:rsid w:val="002F4ECC"/>
    <w:rsid w:val="002F4ED8"/>
    <w:rsid w:val="002F4F34"/>
    <w:rsid w:val="002F4FCD"/>
    <w:rsid w:val="002F5008"/>
    <w:rsid w:val="002F5083"/>
    <w:rsid w:val="002F5084"/>
    <w:rsid w:val="002F5093"/>
    <w:rsid w:val="002F5148"/>
    <w:rsid w:val="002F519A"/>
    <w:rsid w:val="002F523A"/>
    <w:rsid w:val="002F52A8"/>
    <w:rsid w:val="002F52B5"/>
    <w:rsid w:val="002F52D3"/>
    <w:rsid w:val="002F530D"/>
    <w:rsid w:val="002F5421"/>
    <w:rsid w:val="002F552A"/>
    <w:rsid w:val="002F561D"/>
    <w:rsid w:val="002F56C8"/>
    <w:rsid w:val="002F57B2"/>
    <w:rsid w:val="002F5818"/>
    <w:rsid w:val="002F5821"/>
    <w:rsid w:val="002F5895"/>
    <w:rsid w:val="002F5958"/>
    <w:rsid w:val="002F5A19"/>
    <w:rsid w:val="002F5A6E"/>
    <w:rsid w:val="002F5B1A"/>
    <w:rsid w:val="002F5B55"/>
    <w:rsid w:val="002F5B75"/>
    <w:rsid w:val="002F5C6B"/>
    <w:rsid w:val="002F5D45"/>
    <w:rsid w:val="002F5D9A"/>
    <w:rsid w:val="002F5DE1"/>
    <w:rsid w:val="002F5E09"/>
    <w:rsid w:val="002F5EF4"/>
    <w:rsid w:val="002F5FEF"/>
    <w:rsid w:val="002F6053"/>
    <w:rsid w:val="002F6085"/>
    <w:rsid w:val="002F6138"/>
    <w:rsid w:val="002F6148"/>
    <w:rsid w:val="002F61C6"/>
    <w:rsid w:val="002F61E9"/>
    <w:rsid w:val="002F627C"/>
    <w:rsid w:val="002F62FD"/>
    <w:rsid w:val="002F65B1"/>
    <w:rsid w:val="002F65DD"/>
    <w:rsid w:val="002F66EB"/>
    <w:rsid w:val="002F676C"/>
    <w:rsid w:val="002F67A2"/>
    <w:rsid w:val="002F688E"/>
    <w:rsid w:val="002F692C"/>
    <w:rsid w:val="002F6A85"/>
    <w:rsid w:val="002F6AC1"/>
    <w:rsid w:val="002F6BF7"/>
    <w:rsid w:val="002F6CC3"/>
    <w:rsid w:val="002F6D71"/>
    <w:rsid w:val="002F6D77"/>
    <w:rsid w:val="002F6D8B"/>
    <w:rsid w:val="002F6E51"/>
    <w:rsid w:val="002F6EA2"/>
    <w:rsid w:val="002F6EC2"/>
    <w:rsid w:val="002F6F69"/>
    <w:rsid w:val="002F7017"/>
    <w:rsid w:val="002F7032"/>
    <w:rsid w:val="002F7113"/>
    <w:rsid w:val="002F71C6"/>
    <w:rsid w:val="002F71EC"/>
    <w:rsid w:val="002F727C"/>
    <w:rsid w:val="002F7326"/>
    <w:rsid w:val="002F7333"/>
    <w:rsid w:val="002F7350"/>
    <w:rsid w:val="002F7399"/>
    <w:rsid w:val="002F7463"/>
    <w:rsid w:val="002F7479"/>
    <w:rsid w:val="002F7496"/>
    <w:rsid w:val="002F74BB"/>
    <w:rsid w:val="002F7550"/>
    <w:rsid w:val="002F755E"/>
    <w:rsid w:val="002F7586"/>
    <w:rsid w:val="002F7665"/>
    <w:rsid w:val="002F7685"/>
    <w:rsid w:val="002F76C1"/>
    <w:rsid w:val="002F76E9"/>
    <w:rsid w:val="002F7716"/>
    <w:rsid w:val="002F774B"/>
    <w:rsid w:val="002F77E6"/>
    <w:rsid w:val="002F7855"/>
    <w:rsid w:val="002F790A"/>
    <w:rsid w:val="002F791B"/>
    <w:rsid w:val="002F798F"/>
    <w:rsid w:val="002F79B0"/>
    <w:rsid w:val="002F79BC"/>
    <w:rsid w:val="002F7ADB"/>
    <w:rsid w:val="002F7B80"/>
    <w:rsid w:val="002F7BA3"/>
    <w:rsid w:val="002F7BBC"/>
    <w:rsid w:val="002F7C9B"/>
    <w:rsid w:val="002F7CB0"/>
    <w:rsid w:val="002F7CB1"/>
    <w:rsid w:val="002F7CEB"/>
    <w:rsid w:val="002F7D3D"/>
    <w:rsid w:val="002F7D7F"/>
    <w:rsid w:val="002F7DA3"/>
    <w:rsid w:val="002F7EDA"/>
    <w:rsid w:val="002F7F08"/>
    <w:rsid w:val="002F7FE2"/>
    <w:rsid w:val="002F7FF1"/>
    <w:rsid w:val="00300070"/>
    <w:rsid w:val="0030010F"/>
    <w:rsid w:val="00300132"/>
    <w:rsid w:val="00300159"/>
    <w:rsid w:val="00300182"/>
    <w:rsid w:val="003001C6"/>
    <w:rsid w:val="003001E2"/>
    <w:rsid w:val="00300239"/>
    <w:rsid w:val="00300286"/>
    <w:rsid w:val="0030029F"/>
    <w:rsid w:val="003002E8"/>
    <w:rsid w:val="003002F0"/>
    <w:rsid w:val="003002FE"/>
    <w:rsid w:val="0030030D"/>
    <w:rsid w:val="0030038C"/>
    <w:rsid w:val="0030041E"/>
    <w:rsid w:val="0030042C"/>
    <w:rsid w:val="00300439"/>
    <w:rsid w:val="00300440"/>
    <w:rsid w:val="00300441"/>
    <w:rsid w:val="0030044A"/>
    <w:rsid w:val="0030058A"/>
    <w:rsid w:val="003005DE"/>
    <w:rsid w:val="003005EA"/>
    <w:rsid w:val="003006B1"/>
    <w:rsid w:val="00300715"/>
    <w:rsid w:val="00300738"/>
    <w:rsid w:val="00300987"/>
    <w:rsid w:val="003009B3"/>
    <w:rsid w:val="003009E8"/>
    <w:rsid w:val="003009F6"/>
    <w:rsid w:val="00300A27"/>
    <w:rsid w:val="00300A38"/>
    <w:rsid w:val="00300B77"/>
    <w:rsid w:val="00300BB9"/>
    <w:rsid w:val="00300C55"/>
    <w:rsid w:val="00300D45"/>
    <w:rsid w:val="00300DE0"/>
    <w:rsid w:val="00300E44"/>
    <w:rsid w:val="00300EED"/>
    <w:rsid w:val="00300F2C"/>
    <w:rsid w:val="00300F53"/>
    <w:rsid w:val="0030109B"/>
    <w:rsid w:val="003011A1"/>
    <w:rsid w:val="003011DF"/>
    <w:rsid w:val="0030123A"/>
    <w:rsid w:val="0030124A"/>
    <w:rsid w:val="0030124C"/>
    <w:rsid w:val="003012BF"/>
    <w:rsid w:val="00301353"/>
    <w:rsid w:val="0030135A"/>
    <w:rsid w:val="0030135B"/>
    <w:rsid w:val="00301365"/>
    <w:rsid w:val="00301383"/>
    <w:rsid w:val="00301459"/>
    <w:rsid w:val="003015C8"/>
    <w:rsid w:val="00301607"/>
    <w:rsid w:val="0030171D"/>
    <w:rsid w:val="0030177B"/>
    <w:rsid w:val="00301800"/>
    <w:rsid w:val="00301804"/>
    <w:rsid w:val="0030183F"/>
    <w:rsid w:val="00301860"/>
    <w:rsid w:val="0030187B"/>
    <w:rsid w:val="00301885"/>
    <w:rsid w:val="0030191A"/>
    <w:rsid w:val="0030192B"/>
    <w:rsid w:val="00301968"/>
    <w:rsid w:val="0030198A"/>
    <w:rsid w:val="00301999"/>
    <w:rsid w:val="00301A34"/>
    <w:rsid w:val="00301B47"/>
    <w:rsid w:val="00301BB2"/>
    <w:rsid w:val="00301BF8"/>
    <w:rsid w:val="00301C1E"/>
    <w:rsid w:val="00301C5A"/>
    <w:rsid w:val="00301C8C"/>
    <w:rsid w:val="00301CC4"/>
    <w:rsid w:val="00301CED"/>
    <w:rsid w:val="00301CF3"/>
    <w:rsid w:val="00301DB0"/>
    <w:rsid w:val="00301E14"/>
    <w:rsid w:val="00301EB3"/>
    <w:rsid w:val="00301EC1"/>
    <w:rsid w:val="00301EF2"/>
    <w:rsid w:val="00301EFE"/>
    <w:rsid w:val="00301F34"/>
    <w:rsid w:val="00301F3F"/>
    <w:rsid w:val="00301F78"/>
    <w:rsid w:val="003020E2"/>
    <w:rsid w:val="0030215D"/>
    <w:rsid w:val="0030215E"/>
    <w:rsid w:val="00302218"/>
    <w:rsid w:val="003022CE"/>
    <w:rsid w:val="003022E2"/>
    <w:rsid w:val="003023DC"/>
    <w:rsid w:val="0030249B"/>
    <w:rsid w:val="0030253D"/>
    <w:rsid w:val="00302552"/>
    <w:rsid w:val="003025E6"/>
    <w:rsid w:val="00302628"/>
    <w:rsid w:val="00302668"/>
    <w:rsid w:val="00302687"/>
    <w:rsid w:val="003026CB"/>
    <w:rsid w:val="003027DD"/>
    <w:rsid w:val="00302958"/>
    <w:rsid w:val="0030297E"/>
    <w:rsid w:val="00302989"/>
    <w:rsid w:val="00302A04"/>
    <w:rsid w:val="00302A38"/>
    <w:rsid w:val="00302A43"/>
    <w:rsid w:val="00302A66"/>
    <w:rsid w:val="00302AB2"/>
    <w:rsid w:val="00302AD2"/>
    <w:rsid w:val="00302B6B"/>
    <w:rsid w:val="00302D1F"/>
    <w:rsid w:val="00302DA0"/>
    <w:rsid w:val="00302E23"/>
    <w:rsid w:val="00302E81"/>
    <w:rsid w:val="00302F6C"/>
    <w:rsid w:val="00302F73"/>
    <w:rsid w:val="00302FA0"/>
    <w:rsid w:val="00302FAF"/>
    <w:rsid w:val="00302FDD"/>
    <w:rsid w:val="00302FE0"/>
    <w:rsid w:val="00302FFA"/>
    <w:rsid w:val="0030305D"/>
    <w:rsid w:val="00303194"/>
    <w:rsid w:val="003031DB"/>
    <w:rsid w:val="003031DE"/>
    <w:rsid w:val="003031FB"/>
    <w:rsid w:val="00303224"/>
    <w:rsid w:val="0030329C"/>
    <w:rsid w:val="003032B2"/>
    <w:rsid w:val="003032FB"/>
    <w:rsid w:val="00303325"/>
    <w:rsid w:val="00303398"/>
    <w:rsid w:val="0030345A"/>
    <w:rsid w:val="00303464"/>
    <w:rsid w:val="003034C3"/>
    <w:rsid w:val="003034DD"/>
    <w:rsid w:val="003034E3"/>
    <w:rsid w:val="003034EC"/>
    <w:rsid w:val="0030352B"/>
    <w:rsid w:val="00303568"/>
    <w:rsid w:val="003035C4"/>
    <w:rsid w:val="003035E5"/>
    <w:rsid w:val="003035FD"/>
    <w:rsid w:val="0030361A"/>
    <w:rsid w:val="00303622"/>
    <w:rsid w:val="0030374E"/>
    <w:rsid w:val="0030376C"/>
    <w:rsid w:val="00303797"/>
    <w:rsid w:val="003037C8"/>
    <w:rsid w:val="003037F6"/>
    <w:rsid w:val="003037FE"/>
    <w:rsid w:val="00303847"/>
    <w:rsid w:val="0030390E"/>
    <w:rsid w:val="00303932"/>
    <w:rsid w:val="00303951"/>
    <w:rsid w:val="00303A01"/>
    <w:rsid w:val="00303AF9"/>
    <w:rsid w:val="00303AFF"/>
    <w:rsid w:val="00303B61"/>
    <w:rsid w:val="00303B8A"/>
    <w:rsid w:val="00303BB1"/>
    <w:rsid w:val="00303BDF"/>
    <w:rsid w:val="00303C39"/>
    <w:rsid w:val="00303C86"/>
    <w:rsid w:val="00303CBE"/>
    <w:rsid w:val="00303CFC"/>
    <w:rsid w:val="00303D7B"/>
    <w:rsid w:val="00303DF5"/>
    <w:rsid w:val="00303E10"/>
    <w:rsid w:val="00303E43"/>
    <w:rsid w:val="00303E7F"/>
    <w:rsid w:val="00303EA5"/>
    <w:rsid w:val="00303F8B"/>
    <w:rsid w:val="00304063"/>
    <w:rsid w:val="003040CD"/>
    <w:rsid w:val="00304108"/>
    <w:rsid w:val="00304136"/>
    <w:rsid w:val="003041F8"/>
    <w:rsid w:val="0030426C"/>
    <w:rsid w:val="00304298"/>
    <w:rsid w:val="0030431A"/>
    <w:rsid w:val="0030433E"/>
    <w:rsid w:val="00304356"/>
    <w:rsid w:val="003043CF"/>
    <w:rsid w:val="00304407"/>
    <w:rsid w:val="003045C9"/>
    <w:rsid w:val="00304668"/>
    <w:rsid w:val="003046A5"/>
    <w:rsid w:val="0030470C"/>
    <w:rsid w:val="003047A7"/>
    <w:rsid w:val="003047CA"/>
    <w:rsid w:val="0030480A"/>
    <w:rsid w:val="003048F4"/>
    <w:rsid w:val="00304961"/>
    <w:rsid w:val="00304A36"/>
    <w:rsid w:val="00304AAE"/>
    <w:rsid w:val="00304B06"/>
    <w:rsid w:val="00304B56"/>
    <w:rsid w:val="00304C02"/>
    <w:rsid w:val="00304C0A"/>
    <w:rsid w:val="00304C22"/>
    <w:rsid w:val="00304C58"/>
    <w:rsid w:val="00304C93"/>
    <w:rsid w:val="00304CDB"/>
    <w:rsid w:val="00304D1F"/>
    <w:rsid w:val="00304DAB"/>
    <w:rsid w:val="00304DB3"/>
    <w:rsid w:val="00304DC0"/>
    <w:rsid w:val="00304DE5"/>
    <w:rsid w:val="00304E17"/>
    <w:rsid w:val="00304E54"/>
    <w:rsid w:val="00304F18"/>
    <w:rsid w:val="00304FD5"/>
    <w:rsid w:val="0030500B"/>
    <w:rsid w:val="00305012"/>
    <w:rsid w:val="00305147"/>
    <w:rsid w:val="003051E6"/>
    <w:rsid w:val="00305316"/>
    <w:rsid w:val="00305334"/>
    <w:rsid w:val="00305338"/>
    <w:rsid w:val="0030534C"/>
    <w:rsid w:val="00305380"/>
    <w:rsid w:val="003053C2"/>
    <w:rsid w:val="00305453"/>
    <w:rsid w:val="003054BD"/>
    <w:rsid w:val="00305566"/>
    <w:rsid w:val="00305597"/>
    <w:rsid w:val="00305614"/>
    <w:rsid w:val="00305781"/>
    <w:rsid w:val="00305838"/>
    <w:rsid w:val="00305839"/>
    <w:rsid w:val="0030587D"/>
    <w:rsid w:val="003058B8"/>
    <w:rsid w:val="003058B9"/>
    <w:rsid w:val="00305973"/>
    <w:rsid w:val="003059DA"/>
    <w:rsid w:val="003059F3"/>
    <w:rsid w:val="00305A13"/>
    <w:rsid w:val="00305AC0"/>
    <w:rsid w:val="00305AE1"/>
    <w:rsid w:val="00305B56"/>
    <w:rsid w:val="00305C09"/>
    <w:rsid w:val="00305C28"/>
    <w:rsid w:val="00305C2E"/>
    <w:rsid w:val="00305C4B"/>
    <w:rsid w:val="00305D40"/>
    <w:rsid w:val="00305D5C"/>
    <w:rsid w:val="00305E32"/>
    <w:rsid w:val="00305E47"/>
    <w:rsid w:val="00305E74"/>
    <w:rsid w:val="00305EFA"/>
    <w:rsid w:val="00305F20"/>
    <w:rsid w:val="00305F5E"/>
    <w:rsid w:val="0030608A"/>
    <w:rsid w:val="00306140"/>
    <w:rsid w:val="0030615C"/>
    <w:rsid w:val="00306165"/>
    <w:rsid w:val="00306197"/>
    <w:rsid w:val="003062D2"/>
    <w:rsid w:val="0030636D"/>
    <w:rsid w:val="003063EA"/>
    <w:rsid w:val="003063F6"/>
    <w:rsid w:val="003064A7"/>
    <w:rsid w:val="0030662F"/>
    <w:rsid w:val="00306670"/>
    <w:rsid w:val="003066D8"/>
    <w:rsid w:val="0030674A"/>
    <w:rsid w:val="003067C4"/>
    <w:rsid w:val="003068AD"/>
    <w:rsid w:val="003068B7"/>
    <w:rsid w:val="003068F9"/>
    <w:rsid w:val="00306A20"/>
    <w:rsid w:val="00306A40"/>
    <w:rsid w:val="00306B21"/>
    <w:rsid w:val="00306B27"/>
    <w:rsid w:val="00306B3A"/>
    <w:rsid w:val="00306B65"/>
    <w:rsid w:val="00306B66"/>
    <w:rsid w:val="00306BBE"/>
    <w:rsid w:val="00306BD1"/>
    <w:rsid w:val="00306C5A"/>
    <w:rsid w:val="00306C8E"/>
    <w:rsid w:val="00306CE2"/>
    <w:rsid w:val="00306D73"/>
    <w:rsid w:val="00306DDD"/>
    <w:rsid w:val="00306E65"/>
    <w:rsid w:val="00307013"/>
    <w:rsid w:val="00307023"/>
    <w:rsid w:val="00307053"/>
    <w:rsid w:val="00307080"/>
    <w:rsid w:val="00307091"/>
    <w:rsid w:val="003070A9"/>
    <w:rsid w:val="0030714C"/>
    <w:rsid w:val="003071CF"/>
    <w:rsid w:val="003071EF"/>
    <w:rsid w:val="0030727D"/>
    <w:rsid w:val="003072B1"/>
    <w:rsid w:val="003072F6"/>
    <w:rsid w:val="00307387"/>
    <w:rsid w:val="003073B3"/>
    <w:rsid w:val="00307423"/>
    <w:rsid w:val="00307426"/>
    <w:rsid w:val="00307557"/>
    <w:rsid w:val="00307569"/>
    <w:rsid w:val="003076B2"/>
    <w:rsid w:val="003076DE"/>
    <w:rsid w:val="00307711"/>
    <w:rsid w:val="0030773E"/>
    <w:rsid w:val="003077C4"/>
    <w:rsid w:val="003078E9"/>
    <w:rsid w:val="003078FC"/>
    <w:rsid w:val="003079CC"/>
    <w:rsid w:val="003079D2"/>
    <w:rsid w:val="00307AFF"/>
    <w:rsid w:val="00307B1C"/>
    <w:rsid w:val="00307C14"/>
    <w:rsid w:val="00307CAC"/>
    <w:rsid w:val="00307E04"/>
    <w:rsid w:val="00307E13"/>
    <w:rsid w:val="00307E18"/>
    <w:rsid w:val="00307E4B"/>
    <w:rsid w:val="00307EE7"/>
    <w:rsid w:val="00307F72"/>
    <w:rsid w:val="00307FA8"/>
    <w:rsid w:val="00307FB4"/>
    <w:rsid w:val="00307FF9"/>
    <w:rsid w:val="00307FFE"/>
    <w:rsid w:val="00310017"/>
    <w:rsid w:val="00310033"/>
    <w:rsid w:val="003100AD"/>
    <w:rsid w:val="003100BD"/>
    <w:rsid w:val="0031015E"/>
    <w:rsid w:val="00310167"/>
    <w:rsid w:val="0031022E"/>
    <w:rsid w:val="003102C0"/>
    <w:rsid w:val="003102CD"/>
    <w:rsid w:val="003102FA"/>
    <w:rsid w:val="00310382"/>
    <w:rsid w:val="003103CC"/>
    <w:rsid w:val="003103F2"/>
    <w:rsid w:val="003104A2"/>
    <w:rsid w:val="00310558"/>
    <w:rsid w:val="003105F9"/>
    <w:rsid w:val="00310661"/>
    <w:rsid w:val="00310668"/>
    <w:rsid w:val="00310675"/>
    <w:rsid w:val="003106E0"/>
    <w:rsid w:val="00310727"/>
    <w:rsid w:val="0031076E"/>
    <w:rsid w:val="00310794"/>
    <w:rsid w:val="0031080D"/>
    <w:rsid w:val="0031091F"/>
    <w:rsid w:val="00310932"/>
    <w:rsid w:val="0031099A"/>
    <w:rsid w:val="003109A5"/>
    <w:rsid w:val="003109D2"/>
    <w:rsid w:val="00310A6B"/>
    <w:rsid w:val="00310A6D"/>
    <w:rsid w:val="00310AF4"/>
    <w:rsid w:val="00310B19"/>
    <w:rsid w:val="00310B2C"/>
    <w:rsid w:val="00310B4F"/>
    <w:rsid w:val="00310B7F"/>
    <w:rsid w:val="00310C3E"/>
    <w:rsid w:val="00310C8F"/>
    <w:rsid w:val="00310DE8"/>
    <w:rsid w:val="00310E5E"/>
    <w:rsid w:val="00310E97"/>
    <w:rsid w:val="00310EEC"/>
    <w:rsid w:val="00310EEE"/>
    <w:rsid w:val="00310F3A"/>
    <w:rsid w:val="00310FE3"/>
    <w:rsid w:val="0031100F"/>
    <w:rsid w:val="00311023"/>
    <w:rsid w:val="00311075"/>
    <w:rsid w:val="003110B3"/>
    <w:rsid w:val="00311225"/>
    <w:rsid w:val="00311228"/>
    <w:rsid w:val="00311294"/>
    <w:rsid w:val="00311296"/>
    <w:rsid w:val="003112D5"/>
    <w:rsid w:val="003112E2"/>
    <w:rsid w:val="003112FD"/>
    <w:rsid w:val="003113D8"/>
    <w:rsid w:val="003113F1"/>
    <w:rsid w:val="00311426"/>
    <w:rsid w:val="00311430"/>
    <w:rsid w:val="00311453"/>
    <w:rsid w:val="0031147C"/>
    <w:rsid w:val="00311492"/>
    <w:rsid w:val="0031149B"/>
    <w:rsid w:val="003114AD"/>
    <w:rsid w:val="00311514"/>
    <w:rsid w:val="00311565"/>
    <w:rsid w:val="003115A3"/>
    <w:rsid w:val="0031169D"/>
    <w:rsid w:val="0031171B"/>
    <w:rsid w:val="003117AC"/>
    <w:rsid w:val="0031181C"/>
    <w:rsid w:val="00311844"/>
    <w:rsid w:val="0031186A"/>
    <w:rsid w:val="0031186B"/>
    <w:rsid w:val="003118A1"/>
    <w:rsid w:val="00311922"/>
    <w:rsid w:val="003119B7"/>
    <w:rsid w:val="00311A68"/>
    <w:rsid w:val="00311ACE"/>
    <w:rsid w:val="00311AEA"/>
    <w:rsid w:val="00311B51"/>
    <w:rsid w:val="00311BA0"/>
    <w:rsid w:val="00311BC4"/>
    <w:rsid w:val="00311C1D"/>
    <w:rsid w:val="00311C87"/>
    <w:rsid w:val="00311C8D"/>
    <w:rsid w:val="00311CD7"/>
    <w:rsid w:val="00311D0E"/>
    <w:rsid w:val="00311D47"/>
    <w:rsid w:val="00311D51"/>
    <w:rsid w:val="00311D92"/>
    <w:rsid w:val="00311DFA"/>
    <w:rsid w:val="00311E25"/>
    <w:rsid w:val="00311F13"/>
    <w:rsid w:val="00311F2C"/>
    <w:rsid w:val="00311F5D"/>
    <w:rsid w:val="00311F84"/>
    <w:rsid w:val="00311F9A"/>
    <w:rsid w:val="00312040"/>
    <w:rsid w:val="00312096"/>
    <w:rsid w:val="003120D4"/>
    <w:rsid w:val="00312123"/>
    <w:rsid w:val="0031212F"/>
    <w:rsid w:val="00312285"/>
    <w:rsid w:val="00312293"/>
    <w:rsid w:val="00312390"/>
    <w:rsid w:val="00312428"/>
    <w:rsid w:val="0031243D"/>
    <w:rsid w:val="0031244D"/>
    <w:rsid w:val="003124EF"/>
    <w:rsid w:val="00312516"/>
    <w:rsid w:val="003125B2"/>
    <w:rsid w:val="00312609"/>
    <w:rsid w:val="00312613"/>
    <w:rsid w:val="00312635"/>
    <w:rsid w:val="0031270B"/>
    <w:rsid w:val="0031274F"/>
    <w:rsid w:val="00312778"/>
    <w:rsid w:val="00312844"/>
    <w:rsid w:val="00312878"/>
    <w:rsid w:val="0031288E"/>
    <w:rsid w:val="00312894"/>
    <w:rsid w:val="003128F8"/>
    <w:rsid w:val="00312A00"/>
    <w:rsid w:val="00312A25"/>
    <w:rsid w:val="00312AAF"/>
    <w:rsid w:val="00312AE7"/>
    <w:rsid w:val="00312B5B"/>
    <w:rsid w:val="00312B6A"/>
    <w:rsid w:val="00312C50"/>
    <w:rsid w:val="00312CA2"/>
    <w:rsid w:val="00312D64"/>
    <w:rsid w:val="00312E39"/>
    <w:rsid w:val="00312EAB"/>
    <w:rsid w:val="00312F2B"/>
    <w:rsid w:val="00313042"/>
    <w:rsid w:val="003130C2"/>
    <w:rsid w:val="003130D3"/>
    <w:rsid w:val="003130F8"/>
    <w:rsid w:val="00313122"/>
    <w:rsid w:val="00313169"/>
    <w:rsid w:val="003131E1"/>
    <w:rsid w:val="003131E3"/>
    <w:rsid w:val="00313258"/>
    <w:rsid w:val="003132C5"/>
    <w:rsid w:val="003132F7"/>
    <w:rsid w:val="0031339C"/>
    <w:rsid w:val="003133CC"/>
    <w:rsid w:val="003133FB"/>
    <w:rsid w:val="0031345C"/>
    <w:rsid w:val="00313557"/>
    <w:rsid w:val="0031357D"/>
    <w:rsid w:val="003135D9"/>
    <w:rsid w:val="00313643"/>
    <w:rsid w:val="00313689"/>
    <w:rsid w:val="0031368D"/>
    <w:rsid w:val="00313695"/>
    <w:rsid w:val="00313908"/>
    <w:rsid w:val="00313923"/>
    <w:rsid w:val="0031393B"/>
    <w:rsid w:val="00313988"/>
    <w:rsid w:val="00313996"/>
    <w:rsid w:val="003139EB"/>
    <w:rsid w:val="00313A0E"/>
    <w:rsid w:val="00313B00"/>
    <w:rsid w:val="00313B58"/>
    <w:rsid w:val="00313B9C"/>
    <w:rsid w:val="00313BA3"/>
    <w:rsid w:val="00313BE7"/>
    <w:rsid w:val="00313C07"/>
    <w:rsid w:val="00313C0F"/>
    <w:rsid w:val="00313C7F"/>
    <w:rsid w:val="00313C8A"/>
    <w:rsid w:val="00313CCA"/>
    <w:rsid w:val="00313E21"/>
    <w:rsid w:val="00313E3A"/>
    <w:rsid w:val="00313ED3"/>
    <w:rsid w:val="00313F5F"/>
    <w:rsid w:val="00313F91"/>
    <w:rsid w:val="00314071"/>
    <w:rsid w:val="00314073"/>
    <w:rsid w:val="003140A2"/>
    <w:rsid w:val="003140A6"/>
    <w:rsid w:val="003140DA"/>
    <w:rsid w:val="003140EC"/>
    <w:rsid w:val="00314220"/>
    <w:rsid w:val="0031422D"/>
    <w:rsid w:val="00314289"/>
    <w:rsid w:val="003143D5"/>
    <w:rsid w:val="003144DF"/>
    <w:rsid w:val="00314510"/>
    <w:rsid w:val="00314578"/>
    <w:rsid w:val="003145C9"/>
    <w:rsid w:val="003145E3"/>
    <w:rsid w:val="0031461B"/>
    <w:rsid w:val="003146FB"/>
    <w:rsid w:val="00314915"/>
    <w:rsid w:val="00314929"/>
    <w:rsid w:val="003149E9"/>
    <w:rsid w:val="003149F5"/>
    <w:rsid w:val="00314A95"/>
    <w:rsid w:val="00314AD1"/>
    <w:rsid w:val="00314B51"/>
    <w:rsid w:val="00314BEC"/>
    <w:rsid w:val="00314CFB"/>
    <w:rsid w:val="00314DDF"/>
    <w:rsid w:val="00314EB1"/>
    <w:rsid w:val="00314EB8"/>
    <w:rsid w:val="00314ED1"/>
    <w:rsid w:val="00314F21"/>
    <w:rsid w:val="00314FC9"/>
    <w:rsid w:val="00314FDE"/>
    <w:rsid w:val="00315035"/>
    <w:rsid w:val="00315045"/>
    <w:rsid w:val="0031519D"/>
    <w:rsid w:val="00315263"/>
    <w:rsid w:val="00315268"/>
    <w:rsid w:val="003152B4"/>
    <w:rsid w:val="003153BE"/>
    <w:rsid w:val="003153C7"/>
    <w:rsid w:val="00315407"/>
    <w:rsid w:val="0031540E"/>
    <w:rsid w:val="003154CA"/>
    <w:rsid w:val="00315592"/>
    <w:rsid w:val="0031559A"/>
    <w:rsid w:val="0031560A"/>
    <w:rsid w:val="00315640"/>
    <w:rsid w:val="00315669"/>
    <w:rsid w:val="0031567E"/>
    <w:rsid w:val="0031572D"/>
    <w:rsid w:val="003157BA"/>
    <w:rsid w:val="00315837"/>
    <w:rsid w:val="00315841"/>
    <w:rsid w:val="00315843"/>
    <w:rsid w:val="0031585D"/>
    <w:rsid w:val="003158D3"/>
    <w:rsid w:val="0031592D"/>
    <w:rsid w:val="00315947"/>
    <w:rsid w:val="00315A06"/>
    <w:rsid w:val="00315AA6"/>
    <w:rsid w:val="00315B43"/>
    <w:rsid w:val="00315B64"/>
    <w:rsid w:val="00315BCA"/>
    <w:rsid w:val="00315BE2"/>
    <w:rsid w:val="00315E66"/>
    <w:rsid w:val="00315ECC"/>
    <w:rsid w:val="00315EF5"/>
    <w:rsid w:val="00315F80"/>
    <w:rsid w:val="00315FA2"/>
    <w:rsid w:val="00315FC3"/>
    <w:rsid w:val="00315FCC"/>
    <w:rsid w:val="00315FF7"/>
    <w:rsid w:val="0031604A"/>
    <w:rsid w:val="0031608B"/>
    <w:rsid w:val="003161D2"/>
    <w:rsid w:val="0031628D"/>
    <w:rsid w:val="003162F9"/>
    <w:rsid w:val="003163CF"/>
    <w:rsid w:val="003163E2"/>
    <w:rsid w:val="00316437"/>
    <w:rsid w:val="003164C8"/>
    <w:rsid w:val="0031650F"/>
    <w:rsid w:val="0031665F"/>
    <w:rsid w:val="00316687"/>
    <w:rsid w:val="003166D4"/>
    <w:rsid w:val="00316704"/>
    <w:rsid w:val="00316723"/>
    <w:rsid w:val="00316749"/>
    <w:rsid w:val="003167AF"/>
    <w:rsid w:val="003167C7"/>
    <w:rsid w:val="003167EB"/>
    <w:rsid w:val="00316804"/>
    <w:rsid w:val="00316868"/>
    <w:rsid w:val="00316922"/>
    <w:rsid w:val="0031697F"/>
    <w:rsid w:val="003169B3"/>
    <w:rsid w:val="003169D4"/>
    <w:rsid w:val="003169EB"/>
    <w:rsid w:val="003169FA"/>
    <w:rsid w:val="00316A1B"/>
    <w:rsid w:val="00316A1D"/>
    <w:rsid w:val="00316A41"/>
    <w:rsid w:val="00316B91"/>
    <w:rsid w:val="00316BE0"/>
    <w:rsid w:val="00316BF9"/>
    <w:rsid w:val="00316C69"/>
    <w:rsid w:val="00316D2F"/>
    <w:rsid w:val="00316DDE"/>
    <w:rsid w:val="00316E1C"/>
    <w:rsid w:val="00316E35"/>
    <w:rsid w:val="00316E38"/>
    <w:rsid w:val="00316F00"/>
    <w:rsid w:val="00316F27"/>
    <w:rsid w:val="00316F29"/>
    <w:rsid w:val="00316F7D"/>
    <w:rsid w:val="00316FEA"/>
    <w:rsid w:val="003170D6"/>
    <w:rsid w:val="0031713C"/>
    <w:rsid w:val="00317150"/>
    <w:rsid w:val="003171DF"/>
    <w:rsid w:val="00317277"/>
    <w:rsid w:val="003172AD"/>
    <w:rsid w:val="00317372"/>
    <w:rsid w:val="003173F7"/>
    <w:rsid w:val="0031740E"/>
    <w:rsid w:val="00317426"/>
    <w:rsid w:val="00317432"/>
    <w:rsid w:val="003175B1"/>
    <w:rsid w:val="003175B4"/>
    <w:rsid w:val="003175E8"/>
    <w:rsid w:val="0031761A"/>
    <w:rsid w:val="0031767C"/>
    <w:rsid w:val="0031768F"/>
    <w:rsid w:val="003176D0"/>
    <w:rsid w:val="0031773B"/>
    <w:rsid w:val="00317789"/>
    <w:rsid w:val="003177B0"/>
    <w:rsid w:val="0031789C"/>
    <w:rsid w:val="003178B9"/>
    <w:rsid w:val="00317908"/>
    <w:rsid w:val="00317909"/>
    <w:rsid w:val="0031790A"/>
    <w:rsid w:val="00317A9B"/>
    <w:rsid w:val="00317B7B"/>
    <w:rsid w:val="00317CBF"/>
    <w:rsid w:val="00317DFD"/>
    <w:rsid w:val="00317E44"/>
    <w:rsid w:val="00317E54"/>
    <w:rsid w:val="00317E7F"/>
    <w:rsid w:val="00317EFA"/>
    <w:rsid w:val="00317F53"/>
    <w:rsid w:val="00317FA1"/>
    <w:rsid w:val="00320006"/>
    <w:rsid w:val="00320095"/>
    <w:rsid w:val="003202D4"/>
    <w:rsid w:val="0032036E"/>
    <w:rsid w:val="003203D5"/>
    <w:rsid w:val="003203E8"/>
    <w:rsid w:val="0032047A"/>
    <w:rsid w:val="0032049C"/>
    <w:rsid w:val="003204B5"/>
    <w:rsid w:val="0032057E"/>
    <w:rsid w:val="00320682"/>
    <w:rsid w:val="003206A2"/>
    <w:rsid w:val="003206A3"/>
    <w:rsid w:val="003206C2"/>
    <w:rsid w:val="003206DF"/>
    <w:rsid w:val="003207BB"/>
    <w:rsid w:val="003207E9"/>
    <w:rsid w:val="003207F4"/>
    <w:rsid w:val="0032082E"/>
    <w:rsid w:val="00320857"/>
    <w:rsid w:val="00320881"/>
    <w:rsid w:val="00320892"/>
    <w:rsid w:val="00320A67"/>
    <w:rsid w:val="00320AC8"/>
    <w:rsid w:val="00320B28"/>
    <w:rsid w:val="00320B3B"/>
    <w:rsid w:val="00320B5A"/>
    <w:rsid w:val="00320BA3"/>
    <w:rsid w:val="00320BF1"/>
    <w:rsid w:val="00320C19"/>
    <w:rsid w:val="00320C39"/>
    <w:rsid w:val="00320C4B"/>
    <w:rsid w:val="00320CF7"/>
    <w:rsid w:val="00320D01"/>
    <w:rsid w:val="00320D3E"/>
    <w:rsid w:val="00320E48"/>
    <w:rsid w:val="00320E70"/>
    <w:rsid w:val="00320E71"/>
    <w:rsid w:val="00320E78"/>
    <w:rsid w:val="00320E8B"/>
    <w:rsid w:val="00320F45"/>
    <w:rsid w:val="00320FC9"/>
    <w:rsid w:val="00320FE2"/>
    <w:rsid w:val="0032101F"/>
    <w:rsid w:val="003211BF"/>
    <w:rsid w:val="00321223"/>
    <w:rsid w:val="003212B0"/>
    <w:rsid w:val="003212CD"/>
    <w:rsid w:val="0032132F"/>
    <w:rsid w:val="0032134A"/>
    <w:rsid w:val="00321362"/>
    <w:rsid w:val="00321367"/>
    <w:rsid w:val="00321377"/>
    <w:rsid w:val="00321383"/>
    <w:rsid w:val="0032138D"/>
    <w:rsid w:val="003214C7"/>
    <w:rsid w:val="003214D2"/>
    <w:rsid w:val="003214FA"/>
    <w:rsid w:val="003216AE"/>
    <w:rsid w:val="0032172B"/>
    <w:rsid w:val="003217C5"/>
    <w:rsid w:val="003217CD"/>
    <w:rsid w:val="003217F2"/>
    <w:rsid w:val="003217FC"/>
    <w:rsid w:val="003218B1"/>
    <w:rsid w:val="003218D0"/>
    <w:rsid w:val="00321A37"/>
    <w:rsid w:val="00321A6B"/>
    <w:rsid w:val="00321B07"/>
    <w:rsid w:val="00321B48"/>
    <w:rsid w:val="00321B96"/>
    <w:rsid w:val="00321BEB"/>
    <w:rsid w:val="00321D64"/>
    <w:rsid w:val="00321FFF"/>
    <w:rsid w:val="00322253"/>
    <w:rsid w:val="00322286"/>
    <w:rsid w:val="0032235A"/>
    <w:rsid w:val="00322374"/>
    <w:rsid w:val="003223BD"/>
    <w:rsid w:val="00322501"/>
    <w:rsid w:val="00322507"/>
    <w:rsid w:val="003226B6"/>
    <w:rsid w:val="00322720"/>
    <w:rsid w:val="00322750"/>
    <w:rsid w:val="0032275E"/>
    <w:rsid w:val="00322791"/>
    <w:rsid w:val="0032279F"/>
    <w:rsid w:val="003227F4"/>
    <w:rsid w:val="0032282B"/>
    <w:rsid w:val="00322897"/>
    <w:rsid w:val="00322907"/>
    <w:rsid w:val="0032292D"/>
    <w:rsid w:val="00322944"/>
    <w:rsid w:val="00322A1F"/>
    <w:rsid w:val="00322A22"/>
    <w:rsid w:val="00322A34"/>
    <w:rsid w:val="00322A9C"/>
    <w:rsid w:val="00322AFD"/>
    <w:rsid w:val="00322B38"/>
    <w:rsid w:val="00322B72"/>
    <w:rsid w:val="00322C6D"/>
    <w:rsid w:val="00322C9B"/>
    <w:rsid w:val="00322D36"/>
    <w:rsid w:val="00322EB3"/>
    <w:rsid w:val="00322EDA"/>
    <w:rsid w:val="003230A7"/>
    <w:rsid w:val="003230C6"/>
    <w:rsid w:val="0032323B"/>
    <w:rsid w:val="003232A4"/>
    <w:rsid w:val="003233D9"/>
    <w:rsid w:val="0032348F"/>
    <w:rsid w:val="00323506"/>
    <w:rsid w:val="003235BD"/>
    <w:rsid w:val="003235D8"/>
    <w:rsid w:val="0032371C"/>
    <w:rsid w:val="0032379C"/>
    <w:rsid w:val="00323825"/>
    <w:rsid w:val="0032386A"/>
    <w:rsid w:val="00323937"/>
    <w:rsid w:val="0032393A"/>
    <w:rsid w:val="00323A76"/>
    <w:rsid w:val="00323AA5"/>
    <w:rsid w:val="00323AAD"/>
    <w:rsid w:val="00323AFD"/>
    <w:rsid w:val="00323B83"/>
    <w:rsid w:val="00323B95"/>
    <w:rsid w:val="00323BA6"/>
    <w:rsid w:val="00323C19"/>
    <w:rsid w:val="00323CB2"/>
    <w:rsid w:val="00323D9B"/>
    <w:rsid w:val="00323E4A"/>
    <w:rsid w:val="00323EBA"/>
    <w:rsid w:val="00323ED7"/>
    <w:rsid w:val="00323F44"/>
    <w:rsid w:val="00323F60"/>
    <w:rsid w:val="00323F86"/>
    <w:rsid w:val="0032403F"/>
    <w:rsid w:val="00324066"/>
    <w:rsid w:val="003240E5"/>
    <w:rsid w:val="003240E6"/>
    <w:rsid w:val="00324103"/>
    <w:rsid w:val="00324145"/>
    <w:rsid w:val="003241D9"/>
    <w:rsid w:val="003241EA"/>
    <w:rsid w:val="0032425F"/>
    <w:rsid w:val="00324266"/>
    <w:rsid w:val="003242A0"/>
    <w:rsid w:val="00324393"/>
    <w:rsid w:val="00324396"/>
    <w:rsid w:val="0032442A"/>
    <w:rsid w:val="00324434"/>
    <w:rsid w:val="003244AA"/>
    <w:rsid w:val="003244FE"/>
    <w:rsid w:val="00324514"/>
    <w:rsid w:val="0032451C"/>
    <w:rsid w:val="0032458B"/>
    <w:rsid w:val="003246AB"/>
    <w:rsid w:val="00324871"/>
    <w:rsid w:val="0032488C"/>
    <w:rsid w:val="0032490C"/>
    <w:rsid w:val="00324959"/>
    <w:rsid w:val="0032498B"/>
    <w:rsid w:val="003249AD"/>
    <w:rsid w:val="00324A4E"/>
    <w:rsid w:val="00324A9D"/>
    <w:rsid w:val="00324B97"/>
    <w:rsid w:val="00324BC9"/>
    <w:rsid w:val="00324C14"/>
    <w:rsid w:val="00324C1A"/>
    <w:rsid w:val="00324DF1"/>
    <w:rsid w:val="00324E10"/>
    <w:rsid w:val="00324E19"/>
    <w:rsid w:val="00324E82"/>
    <w:rsid w:val="00324F29"/>
    <w:rsid w:val="00324FC4"/>
    <w:rsid w:val="00325042"/>
    <w:rsid w:val="00325072"/>
    <w:rsid w:val="003250E1"/>
    <w:rsid w:val="0032515E"/>
    <w:rsid w:val="0032516F"/>
    <w:rsid w:val="00325173"/>
    <w:rsid w:val="003251FF"/>
    <w:rsid w:val="00325232"/>
    <w:rsid w:val="0032527D"/>
    <w:rsid w:val="003252A5"/>
    <w:rsid w:val="0032535E"/>
    <w:rsid w:val="00325422"/>
    <w:rsid w:val="00325425"/>
    <w:rsid w:val="003254BA"/>
    <w:rsid w:val="003254F9"/>
    <w:rsid w:val="0032554E"/>
    <w:rsid w:val="00325584"/>
    <w:rsid w:val="003256BE"/>
    <w:rsid w:val="00325714"/>
    <w:rsid w:val="0032577A"/>
    <w:rsid w:val="00325959"/>
    <w:rsid w:val="0032597C"/>
    <w:rsid w:val="003259CD"/>
    <w:rsid w:val="00325A59"/>
    <w:rsid w:val="00325A91"/>
    <w:rsid w:val="00325AA3"/>
    <w:rsid w:val="00325ACC"/>
    <w:rsid w:val="00325B06"/>
    <w:rsid w:val="00325B6F"/>
    <w:rsid w:val="00325BC6"/>
    <w:rsid w:val="00325BCC"/>
    <w:rsid w:val="00325C8A"/>
    <w:rsid w:val="00325CCC"/>
    <w:rsid w:val="00325CDD"/>
    <w:rsid w:val="00325D08"/>
    <w:rsid w:val="00325D5A"/>
    <w:rsid w:val="00325D7C"/>
    <w:rsid w:val="00325D82"/>
    <w:rsid w:val="00325EAC"/>
    <w:rsid w:val="00326077"/>
    <w:rsid w:val="003260A4"/>
    <w:rsid w:val="003260C7"/>
    <w:rsid w:val="003260D0"/>
    <w:rsid w:val="0032611E"/>
    <w:rsid w:val="00326144"/>
    <w:rsid w:val="00326162"/>
    <w:rsid w:val="00326242"/>
    <w:rsid w:val="0032624A"/>
    <w:rsid w:val="003263F9"/>
    <w:rsid w:val="00326502"/>
    <w:rsid w:val="003265AD"/>
    <w:rsid w:val="003265D9"/>
    <w:rsid w:val="0032668B"/>
    <w:rsid w:val="003266E7"/>
    <w:rsid w:val="003267CF"/>
    <w:rsid w:val="0032681E"/>
    <w:rsid w:val="00326859"/>
    <w:rsid w:val="0032686D"/>
    <w:rsid w:val="00326897"/>
    <w:rsid w:val="0032692C"/>
    <w:rsid w:val="00326BA2"/>
    <w:rsid w:val="00326BBF"/>
    <w:rsid w:val="00326C06"/>
    <w:rsid w:val="00326C1E"/>
    <w:rsid w:val="00326C36"/>
    <w:rsid w:val="00326CA1"/>
    <w:rsid w:val="00326CCE"/>
    <w:rsid w:val="00326DC4"/>
    <w:rsid w:val="00326DFF"/>
    <w:rsid w:val="00326E06"/>
    <w:rsid w:val="00326E5E"/>
    <w:rsid w:val="00326E92"/>
    <w:rsid w:val="00326EAD"/>
    <w:rsid w:val="00326EC2"/>
    <w:rsid w:val="00326EC9"/>
    <w:rsid w:val="00326EE4"/>
    <w:rsid w:val="00326EF6"/>
    <w:rsid w:val="00326F2D"/>
    <w:rsid w:val="00326F39"/>
    <w:rsid w:val="00326F6D"/>
    <w:rsid w:val="00326FBF"/>
    <w:rsid w:val="00327006"/>
    <w:rsid w:val="00327015"/>
    <w:rsid w:val="00327063"/>
    <w:rsid w:val="003270EA"/>
    <w:rsid w:val="0032712E"/>
    <w:rsid w:val="0032717A"/>
    <w:rsid w:val="00327181"/>
    <w:rsid w:val="003271C8"/>
    <w:rsid w:val="00327220"/>
    <w:rsid w:val="00327288"/>
    <w:rsid w:val="003272BC"/>
    <w:rsid w:val="003272DC"/>
    <w:rsid w:val="003272E8"/>
    <w:rsid w:val="003273C0"/>
    <w:rsid w:val="003273C2"/>
    <w:rsid w:val="00327452"/>
    <w:rsid w:val="00327566"/>
    <w:rsid w:val="00327570"/>
    <w:rsid w:val="0032762D"/>
    <w:rsid w:val="00327674"/>
    <w:rsid w:val="003276C3"/>
    <w:rsid w:val="0032771E"/>
    <w:rsid w:val="0032772E"/>
    <w:rsid w:val="00327793"/>
    <w:rsid w:val="003277A8"/>
    <w:rsid w:val="003278C1"/>
    <w:rsid w:val="003278FF"/>
    <w:rsid w:val="00327928"/>
    <w:rsid w:val="003279A5"/>
    <w:rsid w:val="00327A37"/>
    <w:rsid w:val="00327A94"/>
    <w:rsid w:val="00327AA0"/>
    <w:rsid w:val="00327B8B"/>
    <w:rsid w:val="00327BE1"/>
    <w:rsid w:val="00327C52"/>
    <w:rsid w:val="00327C77"/>
    <w:rsid w:val="00327C7A"/>
    <w:rsid w:val="00327CA8"/>
    <w:rsid w:val="00327CDB"/>
    <w:rsid w:val="00327D21"/>
    <w:rsid w:val="00327D25"/>
    <w:rsid w:val="00327D2B"/>
    <w:rsid w:val="00327D56"/>
    <w:rsid w:val="00327D9C"/>
    <w:rsid w:val="00327DDA"/>
    <w:rsid w:val="00327E0E"/>
    <w:rsid w:val="00327E36"/>
    <w:rsid w:val="00327F3D"/>
    <w:rsid w:val="00327FA2"/>
    <w:rsid w:val="00330062"/>
    <w:rsid w:val="00330098"/>
    <w:rsid w:val="003300B8"/>
    <w:rsid w:val="003300D4"/>
    <w:rsid w:val="00330183"/>
    <w:rsid w:val="0033018A"/>
    <w:rsid w:val="00330201"/>
    <w:rsid w:val="00330255"/>
    <w:rsid w:val="003302D3"/>
    <w:rsid w:val="003303F9"/>
    <w:rsid w:val="0033043F"/>
    <w:rsid w:val="00330468"/>
    <w:rsid w:val="00330498"/>
    <w:rsid w:val="0033050D"/>
    <w:rsid w:val="0033055B"/>
    <w:rsid w:val="003305B3"/>
    <w:rsid w:val="003305B7"/>
    <w:rsid w:val="00330618"/>
    <w:rsid w:val="003307B7"/>
    <w:rsid w:val="003307C4"/>
    <w:rsid w:val="00330864"/>
    <w:rsid w:val="0033086B"/>
    <w:rsid w:val="00330891"/>
    <w:rsid w:val="003308A4"/>
    <w:rsid w:val="00330900"/>
    <w:rsid w:val="00330983"/>
    <w:rsid w:val="003309BA"/>
    <w:rsid w:val="003309D3"/>
    <w:rsid w:val="00330A0F"/>
    <w:rsid w:val="00330A14"/>
    <w:rsid w:val="00330B3C"/>
    <w:rsid w:val="00330B87"/>
    <w:rsid w:val="00330BB2"/>
    <w:rsid w:val="00330C55"/>
    <w:rsid w:val="00330C5A"/>
    <w:rsid w:val="00330CA9"/>
    <w:rsid w:val="00330E14"/>
    <w:rsid w:val="00330E68"/>
    <w:rsid w:val="00330E7C"/>
    <w:rsid w:val="00330E87"/>
    <w:rsid w:val="00330F3D"/>
    <w:rsid w:val="00330F63"/>
    <w:rsid w:val="00331045"/>
    <w:rsid w:val="00331049"/>
    <w:rsid w:val="003310AC"/>
    <w:rsid w:val="0033120F"/>
    <w:rsid w:val="0033127A"/>
    <w:rsid w:val="00331383"/>
    <w:rsid w:val="003313DA"/>
    <w:rsid w:val="00331444"/>
    <w:rsid w:val="00331493"/>
    <w:rsid w:val="00331546"/>
    <w:rsid w:val="00331594"/>
    <w:rsid w:val="003316F1"/>
    <w:rsid w:val="00331757"/>
    <w:rsid w:val="0033189B"/>
    <w:rsid w:val="003318FB"/>
    <w:rsid w:val="00331978"/>
    <w:rsid w:val="003319F7"/>
    <w:rsid w:val="00331A23"/>
    <w:rsid w:val="00331AAD"/>
    <w:rsid w:val="00331AB8"/>
    <w:rsid w:val="00331AC8"/>
    <w:rsid w:val="00331B69"/>
    <w:rsid w:val="00331B6B"/>
    <w:rsid w:val="00331BCD"/>
    <w:rsid w:val="00331CFD"/>
    <w:rsid w:val="00331D1B"/>
    <w:rsid w:val="00331D9C"/>
    <w:rsid w:val="00331DCF"/>
    <w:rsid w:val="00331E8D"/>
    <w:rsid w:val="00331EF4"/>
    <w:rsid w:val="00331FAE"/>
    <w:rsid w:val="0033212E"/>
    <w:rsid w:val="0033213C"/>
    <w:rsid w:val="00332153"/>
    <w:rsid w:val="003321CF"/>
    <w:rsid w:val="00332200"/>
    <w:rsid w:val="00332232"/>
    <w:rsid w:val="00332243"/>
    <w:rsid w:val="003322A2"/>
    <w:rsid w:val="003322C6"/>
    <w:rsid w:val="003322ED"/>
    <w:rsid w:val="00332310"/>
    <w:rsid w:val="00332390"/>
    <w:rsid w:val="003324B2"/>
    <w:rsid w:val="0033250F"/>
    <w:rsid w:val="00332593"/>
    <w:rsid w:val="003325A5"/>
    <w:rsid w:val="003325F7"/>
    <w:rsid w:val="00332617"/>
    <w:rsid w:val="00332649"/>
    <w:rsid w:val="0033264F"/>
    <w:rsid w:val="0033275F"/>
    <w:rsid w:val="003327AA"/>
    <w:rsid w:val="003327EB"/>
    <w:rsid w:val="00332817"/>
    <w:rsid w:val="00332867"/>
    <w:rsid w:val="003328B7"/>
    <w:rsid w:val="00332926"/>
    <w:rsid w:val="003329D2"/>
    <w:rsid w:val="00332B1B"/>
    <w:rsid w:val="00332B20"/>
    <w:rsid w:val="00332B41"/>
    <w:rsid w:val="00332B6E"/>
    <w:rsid w:val="00332B77"/>
    <w:rsid w:val="00332BA9"/>
    <w:rsid w:val="00332C35"/>
    <w:rsid w:val="00332C6D"/>
    <w:rsid w:val="00332C7C"/>
    <w:rsid w:val="00332CB0"/>
    <w:rsid w:val="00332CBC"/>
    <w:rsid w:val="00332D14"/>
    <w:rsid w:val="00332DCF"/>
    <w:rsid w:val="00332DD2"/>
    <w:rsid w:val="00332E9A"/>
    <w:rsid w:val="00332EDD"/>
    <w:rsid w:val="00332EFB"/>
    <w:rsid w:val="00332F4C"/>
    <w:rsid w:val="003330EC"/>
    <w:rsid w:val="00333140"/>
    <w:rsid w:val="0033316E"/>
    <w:rsid w:val="003331A2"/>
    <w:rsid w:val="003331D3"/>
    <w:rsid w:val="00333255"/>
    <w:rsid w:val="003332A5"/>
    <w:rsid w:val="003333C4"/>
    <w:rsid w:val="003333FE"/>
    <w:rsid w:val="003334B2"/>
    <w:rsid w:val="00333548"/>
    <w:rsid w:val="003335A7"/>
    <w:rsid w:val="0033363A"/>
    <w:rsid w:val="0033363E"/>
    <w:rsid w:val="0033374D"/>
    <w:rsid w:val="00333792"/>
    <w:rsid w:val="003338DF"/>
    <w:rsid w:val="003338F4"/>
    <w:rsid w:val="003338F9"/>
    <w:rsid w:val="003338FC"/>
    <w:rsid w:val="00333912"/>
    <w:rsid w:val="00333960"/>
    <w:rsid w:val="0033396C"/>
    <w:rsid w:val="003339B5"/>
    <w:rsid w:val="00333A97"/>
    <w:rsid w:val="00333B18"/>
    <w:rsid w:val="00333B45"/>
    <w:rsid w:val="00333B56"/>
    <w:rsid w:val="00333BA6"/>
    <w:rsid w:val="00333CE4"/>
    <w:rsid w:val="00333D09"/>
    <w:rsid w:val="00333D4A"/>
    <w:rsid w:val="00333DCA"/>
    <w:rsid w:val="00333E04"/>
    <w:rsid w:val="00333E27"/>
    <w:rsid w:val="00333F25"/>
    <w:rsid w:val="00333FE6"/>
    <w:rsid w:val="003340CE"/>
    <w:rsid w:val="00334131"/>
    <w:rsid w:val="00334165"/>
    <w:rsid w:val="003341CF"/>
    <w:rsid w:val="00334245"/>
    <w:rsid w:val="00334308"/>
    <w:rsid w:val="0033430A"/>
    <w:rsid w:val="003343A4"/>
    <w:rsid w:val="003343B7"/>
    <w:rsid w:val="00334413"/>
    <w:rsid w:val="00334424"/>
    <w:rsid w:val="003345FA"/>
    <w:rsid w:val="00334602"/>
    <w:rsid w:val="003346DA"/>
    <w:rsid w:val="0033470E"/>
    <w:rsid w:val="00334735"/>
    <w:rsid w:val="00334744"/>
    <w:rsid w:val="00334748"/>
    <w:rsid w:val="0033482A"/>
    <w:rsid w:val="00334831"/>
    <w:rsid w:val="00334872"/>
    <w:rsid w:val="00334888"/>
    <w:rsid w:val="003348DB"/>
    <w:rsid w:val="003349F0"/>
    <w:rsid w:val="00334A79"/>
    <w:rsid w:val="00334B04"/>
    <w:rsid w:val="00334B42"/>
    <w:rsid w:val="00334B81"/>
    <w:rsid w:val="00334BA5"/>
    <w:rsid w:val="00334BC8"/>
    <w:rsid w:val="00334C2B"/>
    <w:rsid w:val="00334DCD"/>
    <w:rsid w:val="00334EA0"/>
    <w:rsid w:val="00334EC6"/>
    <w:rsid w:val="00334F13"/>
    <w:rsid w:val="00334F33"/>
    <w:rsid w:val="00334F3D"/>
    <w:rsid w:val="00334F4E"/>
    <w:rsid w:val="00334FEC"/>
    <w:rsid w:val="00335066"/>
    <w:rsid w:val="003350FF"/>
    <w:rsid w:val="00335117"/>
    <w:rsid w:val="00335157"/>
    <w:rsid w:val="003351C9"/>
    <w:rsid w:val="003351F7"/>
    <w:rsid w:val="0033521D"/>
    <w:rsid w:val="00335250"/>
    <w:rsid w:val="00335337"/>
    <w:rsid w:val="003353AC"/>
    <w:rsid w:val="003353E4"/>
    <w:rsid w:val="003353F4"/>
    <w:rsid w:val="0033542B"/>
    <w:rsid w:val="003354C8"/>
    <w:rsid w:val="00335564"/>
    <w:rsid w:val="00335691"/>
    <w:rsid w:val="003356B5"/>
    <w:rsid w:val="003356F0"/>
    <w:rsid w:val="0033578E"/>
    <w:rsid w:val="00335827"/>
    <w:rsid w:val="00335887"/>
    <w:rsid w:val="00335912"/>
    <w:rsid w:val="003359FF"/>
    <w:rsid w:val="00335A44"/>
    <w:rsid w:val="00335A48"/>
    <w:rsid w:val="00335B4E"/>
    <w:rsid w:val="00335D94"/>
    <w:rsid w:val="00335E04"/>
    <w:rsid w:val="00335E71"/>
    <w:rsid w:val="00335E90"/>
    <w:rsid w:val="00335FF7"/>
    <w:rsid w:val="00336163"/>
    <w:rsid w:val="003362B5"/>
    <w:rsid w:val="003362BD"/>
    <w:rsid w:val="0033631E"/>
    <w:rsid w:val="00336325"/>
    <w:rsid w:val="0033632A"/>
    <w:rsid w:val="00336413"/>
    <w:rsid w:val="00336417"/>
    <w:rsid w:val="0033641F"/>
    <w:rsid w:val="003364E1"/>
    <w:rsid w:val="00336568"/>
    <w:rsid w:val="00336582"/>
    <w:rsid w:val="003365BB"/>
    <w:rsid w:val="0033662F"/>
    <w:rsid w:val="00336661"/>
    <w:rsid w:val="003366AA"/>
    <w:rsid w:val="003366BA"/>
    <w:rsid w:val="003366F6"/>
    <w:rsid w:val="00336709"/>
    <w:rsid w:val="0033673A"/>
    <w:rsid w:val="00336792"/>
    <w:rsid w:val="0033679E"/>
    <w:rsid w:val="00336887"/>
    <w:rsid w:val="003369B8"/>
    <w:rsid w:val="003369E9"/>
    <w:rsid w:val="003369FD"/>
    <w:rsid w:val="00336AE5"/>
    <w:rsid w:val="00336B4E"/>
    <w:rsid w:val="00336B71"/>
    <w:rsid w:val="00336B92"/>
    <w:rsid w:val="00336C8E"/>
    <w:rsid w:val="00336CFE"/>
    <w:rsid w:val="00336D21"/>
    <w:rsid w:val="00336D29"/>
    <w:rsid w:val="00336D43"/>
    <w:rsid w:val="00336D5E"/>
    <w:rsid w:val="00336E06"/>
    <w:rsid w:val="00336E0D"/>
    <w:rsid w:val="00336E9D"/>
    <w:rsid w:val="00336EA0"/>
    <w:rsid w:val="00336EB9"/>
    <w:rsid w:val="00336F09"/>
    <w:rsid w:val="00336F3C"/>
    <w:rsid w:val="00336F41"/>
    <w:rsid w:val="00337012"/>
    <w:rsid w:val="003370C0"/>
    <w:rsid w:val="00337152"/>
    <w:rsid w:val="003371DC"/>
    <w:rsid w:val="00337482"/>
    <w:rsid w:val="003374D9"/>
    <w:rsid w:val="00337608"/>
    <w:rsid w:val="00337636"/>
    <w:rsid w:val="00337664"/>
    <w:rsid w:val="00337666"/>
    <w:rsid w:val="00337667"/>
    <w:rsid w:val="0033775F"/>
    <w:rsid w:val="00337791"/>
    <w:rsid w:val="003378D9"/>
    <w:rsid w:val="003378F1"/>
    <w:rsid w:val="00337910"/>
    <w:rsid w:val="0033796C"/>
    <w:rsid w:val="00337A0E"/>
    <w:rsid w:val="00337A1E"/>
    <w:rsid w:val="00337B3D"/>
    <w:rsid w:val="00337B7D"/>
    <w:rsid w:val="00337BC2"/>
    <w:rsid w:val="00337CB3"/>
    <w:rsid w:val="00337CB4"/>
    <w:rsid w:val="00337CDC"/>
    <w:rsid w:val="00337D45"/>
    <w:rsid w:val="00337D83"/>
    <w:rsid w:val="00337E4A"/>
    <w:rsid w:val="00337E8C"/>
    <w:rsid w:val="00337E93"/>
    <w:rsid w:val="00337EBF"/>
    <w:rsid w:val="00337ED3"/>
    <w:rsid w:val="00337ED4"/>
    <w:rsid w:val="00337FD3"/>
    <w:rsid w:val="00337FD7"/>
    <w:rsid w:val="00340054"/>
    <w:rsid w:val="003400AA"/>
    <w:rsid w:val="003400CE"/>
    <w:rsid w:val="003400D3"/>
    <w:rsid w:val="003400D8"/>
    <w:rsid w:val="00340102"/>
    <w:rsid w:val="0034011E"/>
    <w:rsid w:val="0034013F"/>
    <w:rsid w:val="003401C3"/>
    <w:rsid w:val="0034023A"/>
    <w:rsid w:val="0034027E"/>
    <w:rsid w:val="00340301"/>
    <w:rsid w:val="00340335"/>
    <w:rsid w:val="0034034E"/>
    <w:rsid w:val="00340384"/>
    <w:rsid w:val="0034040A"/>
    <w:rsid w:val="003404D3"/>
    <w:rsid w:val="003404DB"/>
    <w:rsid w:val="00340561"/>
    <w:rsid w:val="003405A1"/>
    <w:rsid w:val="003406A3"/>
    <w:rsid w:val="003406E6"/>
    <w:rsid w:val="003407D3"/>
    <w:rsid w:val="003408DC"/>
    <w:rsid w:val="0034098E"/>
    <w:rsid w:val="003409D5"/>
    <w:rsid w:val="00340A6F"/>
    <w:rsid w:val="00340B36"/>
    <w:rsid w:val="00340BF2"/>
    <w:rsid w:val="00340C48"/>
    <w:rsid w:val="00340C77"/>
    <w:rsid w:val="00340CE1"/>
    <w:rsid w:val="00340D1C"/>
    <w:rsid w:val="00340D83"/>
    <w:rsid w:val="00340E44"/>
    <w:rsid w:val="00340E79"/>
    <w:rsid w:val="00340E83"/>
    <w:rsid w:val="00340F2B"/>
    <w:rsid w:val="00340F34"/>
    <w:rsid w:val="00340F69"/>
    <w:rsid w:val="00340FA6"/>
    <w:rsid w:val="00340FBB"/>
    <w:rsid w:val="00340FFF"/>
    <w:rsid w:val="00341030"/>
    <w:rsid w:val="00341031"/>
    <w:rsid w:val="00341067"/>
    <w:rsid w:val="00341111"/>
    <w:rsid w:val="00341273"/>
    <w:rsid w:val="00341297"/>
    <w:rsid w:val="003412D4"/>
    <w:rsid w:val="00341342"/>
    <w:rsid w:val="0034141C"/>
    <w:rsid w:val="00341429"/>
    <w:rsid w:val="00341454"/>
    <w:rsid w:val="00341561"/>
    <w:rsid w:val="00341586"/>
    <w:rsid w:val="003415BF"/>
    <w:rsid w:val="003415E9"/>
    <w:rsid w:val="003415ED"/>
    <w:rsid w:val="003416DC"/>
    <w:rsid w:val="00341708"/>
    <w:rsid w:val="003417D0"/>
    <w:rsid w:val="00341805"/>
    <w:rsid w:val="00341850"/>
    <w:rsid w:val="0034185F"/>
    <w:rsid w:val="00341866"/>
    <w:rsid w:val="003418A9"/>
    <w:rsid w:val="003418CC"/>
    <w:rsid w:val="003418CD"/>
    <w:rsid w:val="003418F5"/>
    <w:rsid w:val="00341973"/>
    <w:rsid w:val="003419AB"/>
    <w:rsid w:val="00341AEC"/>
    <w:rsid w:val="00341B28"/>
    <w:rsid w:val="00341B48"/>
    <w:rsid w:val="00341B62"/>
    <w:rsid w:val="00341CAB"/>
    <w:rsid w:val="00341D5B"/>
    <w:rsid w:val="00341F3A"/>
    <w:rsid w:val="00341FD3"/>
    <w:rsid w:val="00341FFE"/>
    <w:rsid w:val="00342086"/>
    <w:rsid w:val="003421F8"/>
    <w:rsid w:val="003421FA"/>
    <w:rsid w:val="00342258"/>
    <w:rsid w:val="00342315"/>
    <w:rsid w:val="00342345"/>
    <w:rsid w:val="00342390"/>
    <w:rsid w:val="00342391"/>
    <w:rsid w:val="003423C6"/>
    <w:rsid w:val="003424E5"/>
    <w:rsid w:val="00342524"/>
    <w:rsid w:val="00342569"/>
    <w:rsid w:val="00342582"/>
    <w:rsid w:val="0034262C"/>
    <w:rsid w:val="00342662"/>
    <w:rsid w:val="00342667"/>
    <w:rsid w:val="003426C8"/>
    <w:rsid w:val="0034272F"/>
    <w:rsid w:val="00342841"/>
    <w:rsid w:val="00342946"/>
    <w:rsid w:val="003429FC"/>
    <w:rsid w:val="00342A29"/>
    <w:rsid w:val="00342BD6"/>
    <w:rsid w:val="00342BFB"/>
    <w:rsid w:val="00342CB2"/>
    <w:rsid w:val="00342CD6"/>
    <w:rsid w:val="00342D1E"/>
    <w:rsid w:val="00342D21"/>
    <w:rsid w:val="00342D71"/>
    <w:rsid w:val="00342D7B"/>
    <w:rsid w:val="00342D84"/>
    <w:rsid w:val="00342DB9"/>
    <w:rsid w:val="00342DFF"/>
    <w:rsid w:val="00342FB9"/>
    <w:rsid w:val="00343013"/>
    <w:rsid w:val="0034305B"/>
    <w:rsid w:val="003430FD"/>
    <w:rsid w:val="00343137"/>
    <w:rsid w:val="00343188"/>
    <w:rsid w:val="00343228"/>
    <w:rsid w:val="003432A5"/>
    <w:rsid w:val="00343353"/>
    <w:rsid w:val="003433B4"/>
    <w:rsid w:val="003433C4"/>
    <w:rsid w:val="003433DA"/>
    <w:rsid w:val="003433E1"/>
    <w:rsid w:val="00343414"/>
    <w:rsid w:val="00343450"/>
    <w:rsid w:val="003434C6"/>
    <w:rsid w:val="00343516"/>
    <w:rsid w:val="0034353D"/>
    <w:rsid w:val="0034354D"/>
    <w:rsid w:val="003435AA"/>
    <w:rsid w:val="00343614"/>
    <w:rsid w:val="00343615"/>
    <w:rsid w:val="00343624"/>
    <w:rsid w:val="00343687"/>
    <w:rsid w:val="0034373E"/>
    <w:rsid w:val="0034377F"/>
    <w:rsid w:val="0034384A"/>
    <w:rsid w:val="0034388A"/>
    <w:rsid w:val="003439A8"/>
    <w:rsid w:val="003439B9"/>
    <w:rsid w:val="003439C3"/>
    <w:rsid w:val="00343A5F"/>
    <w:rsid w:val="00343AF0"/>
    <w:rsid w:val="00343B22"/>
    <w:rsid w:val="00343D5A"/>
    <w:rsid w:val="00343E81"/>
    <w:rsid w:val="00343EAB"/>
    <w:rsid w:val="00343F04"/>
    <w:rsid w:val="0034403D"/>
    <w:rsid w:val="003440EF"/>
    <w:rsid w:val="00344191"/>
    <w:rsid w:val="00344259"/>
    <w:rsid w:val="00344333"/>
    <w:rsid w:val="003443EC"/>
    <w:rsid w:val="0034440C"/>
    <w:rsid w:val="003444FF"/>
    <w:rsid w:val="00344515"/>
    <w:rsid w:val="0034458A"/>
    <w:rsid w:val="0034461E"/>
    <w:rsid w:val="00344639"/>
    <w:rsid w:val="00344642"/>
    <w:rsid w:val="0034466F"/>
    <w:rsid w:val="003446D8"/>
    <w:rsid w:val="00344712"/>
    <w:rsid w:val="00344799"/>
    <w:rsid w:val="003447AC"/>
    <w:rsid w:val="00344802"/>
    <w:rsid w:val="0034480F"/>
    <w:rsid w:val="00344817"/>
    <w:rsid w:val="00344856"/>
    <w:rsid w:val="00344931"/>
    <w:rsid w:val="0034493C"/>
    <w:rsid w:val="00344998"/>
    <w:rsid w:val="003449F4"/>
    <w:rsid w:val="00344A25"/>
    <w:rsid w:val="00344B00"/>
    <w:rsid w:val="00344B0E"/>
    <w:rsid w:val="00344B87"/>
    <w:rsid w:val="00344BD9"/>
    <w:rsid w:val="00344C15"/>
    <w:rsid w:val="00344C5A"/>
    <w:rsid w:val="00344CBD"/>
    <w:rsid w:val="00344D46"/>
    <w:rsid w:val="00344D86"/>
    <w:rsid w:val="00344E12"/>
    <w:rsid w:val="00344E45"/>
    <w:rsid w:val="00344EBA"/>
    <w:rsid w:val="00344FAF"/>
    <w:rsid w:val="0034502E"/>
    <w:rsid w:val="0034505D"/>
    <w:rsid w:val="00345158"/>
    <w:rsid w:val="0034515D"/>
    <w:rsid w:val="003452B7"/>
    <w:rsid w:val="0034537D"/>
    <w:rsid w:val="0034542D"/>
    <w:rsid w:val="00345457"/>
    <w:rsid w:val="003454EC"/>
    <w:rsid w:val="0034551D"/>
    <w:rsid w:val="00345634"/>
    <w:rsid w:val="00345655"/>
    <w:rsid w:val="003456E4"/>
    <w:rsid w:val="003456E7"/>
    <w:rsid w:val="003456FC"/>
    <w:rsid w:val="00345800"/>
    <w:rsid w:val="00345803"/>
    <w:rsid w:val="0034580D"/>
    <w:rsid w:val="0034581A"/>
    <w:rsid w:val="00345875"/>
    <w:rsid w:val="003458F8"/>
    <w:rsid w:val="0034597E"/>
    <w:rsid w:val="00345AC1"/>
    <w:rsid w:val="00345AE3"/>
    <w:rsid w:val="00345AF7"/>
    <w:rsid w:val="00345C76"/>
    <w:rsid w:val="00345D22"/>
    <w:rsid w:val="00345D32"/>
    <w:rsid w:val="00345DB6"/>
    <w:rsid w:val="00345E02"/>
    <w:rsid w:val="00345EB5"/>
    <w:rsid w:val="00345F43"/>
    <w:rsid w:val="00345FAC"/>
    <w:rsid w:val="003460E0"/>
    <w:rsid w:val="0034615B"/>
    <w:rsid w:val="003461C2"/>
    <w:rsid w:val="0034626D"/>
    <w:rsid w:val="003462BD"/>
    <w:rsid w:val="0034630F"/>
    <w:rsid w:val="0034635B"/>
    <w:rsid w:val="00346394"/>
    <w:rsid w:val="003463FB"/>
    <w:rsid w:val="00346403"/>
    <w:rsid w:val="0034641D"/>
    <w:rsid w:val="00346437"/>
    <w:rsid w:val="003464A1"/>
    <w:rsid w:val="00346531"/>
    <w:rsid w:val="0034657C"/>
    <w:rsid w:val="003465DE"/>
    <w:rsid w:val="003465EF"/>
    <w:rsid w:val="0034667A"/>
    <w:rsid w:val="003466F9"/>
    <w:rsid w:val="00346841"/>
    <w:rsid w:val="003468CD"/>
    <w:rsid w:val="00346925"/>
    <w:rsid w:val="00346A88"/>
    <w:rsid w:val="00346ACA"/>
    <w:rsid w:val="00346B77"/>
    <w:rsid w:val="00346B93"/>
    <w:rsid w:val="00346C0F"/>
    <w:rsid w:val="00346C74"/>
    <w:rsid w:val="00346CA2"/>
    <w:rsid w:val="00346CC5"/>
    <w:rsid w:val="00346CE8"/>
    <w:rsid w:val="00346CEA"/>
    <w:rsid w:val="00346D0E"/>
    <w:rsid w:val="00346DDA"/>
    <w:rsid w:val="00346EC7"/>
    <w:rsid w:val="00346F2B"/>
    <w:rsid w:val="00346F3A"/>
    <w:rsid w:val="00346FBC"/>
    <w:rsid w:val="00346FFF"/>
    <w:rsid w:val="003470A9"/>
    <w:rsid w:val="00347125"/>
    <w:rsid w:val="0034712D"/>
    <w:rsid w:val="0034716E"/>
    <w:rsid w:val="0034716F"/>
    <w:rsid w:val="0034718A"/>
    <w:rsid w:val="0034718F"/>
    <w:rsid w:val="0034723B"/>
    <w:rsid w:val="00347279"/>
    <w:rsid w:val="003473EC"/>
    <w:rsid w:val="00347431"/>
    <w:rsid w:val="00347443"/>
    <w:rsid w:val="0034746B"/>
    <w:rsid w:val="003474E5"/>
    <w:rsid w:val="0034751B"/>
    <w:rsid w:val="00347564"/>
    <w:rsid w:val="003475BA"/>
    <w:rsid w:val="003476D1"/>
    <w:rsid w:val="00347718"/>
    <w:rsid w:val="00347894"/>
    <w:rsid w:val="00347939"/>
    <w:rsid w:val="00347998"/>
    <w:rsid w:val="003479BF"/>
    <w:rsid w:val="00347ACD"/>
    <w:rsid w:val="00347AE8"/>
    <w:rsid w:val="00347BAD"/>
    <w:rsid w:val="00347BCE"/>
    <w:rsid w:val="00347BEC"/>
    <w:rsid w:val="00347BF8"/>
    <w:rsid w:val="00347C04"/>
    <w:rsid w:val="00347C26"/>
    <w:rsid w:val="00347C87"/>
    <w:rsid w:val="00347CBD"/>
    <w:rsid w:val="00347CEC"/>
    <w:rsid w:val="00347CF6"/>
    <w:rsid w:val="00347CFE"/>
    <w:rsid w:val="00347D7E"/>
    <w:rsid w:val="00347D95"/>
    <w:rsid w:val="00347D99"/>
    <w:rsid w:val="00347DC7"/>
    <w:rsid w:val="00347E6C"/>
    <w:rsid w:val="00347F52"/>
    <w:rsid w:val="00347F76"/>
    <w:rsid w:val="00347FB4"/>
    <w:rsid w:val="00347FB5"/>
    <w:rsid w:val="00350003"/>
    <w:rsid w:val="00350039"/>
    <w:rsid w:val="003500E6"/>
    <w:rsid w:val="00350152"/>
    <w:rsid w:val="0035018E"/>
    <w:rsid w:val="003501DF"/>
    <w:rsid w:val="003501E9"/>
    <w:rsid w:val="00350201"/>
    <w:rsid w:val="00350239"/>
    <w:rsid w:val="00350350"/>
    <w:rsid w:val="00350435"/>
    <w:rsid w:val="00350449"/>
    <w:rsid w:val="0035049E"/>
    <w:rsid w:val="003504E4"/>
    <w:rsid w:val="0035053D"/>
    <w:rsid w:val="00350586"/>
    <w:rsid w:val="003505B5"/>
    <w:rsid w:val="003505EE"/>
    <w:rsid w:val="00350615"/>
    <w:rsid w:val="003506A0"/>
    <w:rsid w:val="003506F9"/>
    <w:rsid w:val="00350719"/>
    <w:rsid w:val="0035074C"/>
    <w:rsid w:val="00350771"/>
    <w:rsid w:val="003507E0"/>
    <w:rsid w:val="003508CF"/>
    <w:rsid w:val="003508F9"/>
    <w:rsid w:val="00350981"/>
    <w:rsid w:val="003509AF"/>
    <w:rsid w:val="00350A04"/>
    <w:rsid w:val="00350A09"/>
    <w:rsid w:val="00350B68"/>
    <w:rsid w:val="00350B70"/>
    <w:rsid w:val="00350B7A"/>
    <w:rsid w:val="00350B96"/>
    <w:rsid w:val="00350C07"/>
    <w:rsid w:val="00350C09"/>
    <w:rsid w:val="00350C17"/>
    <w:rsid w:val="00350C3E"/>
    <w:rsid w:val="00350C3F"/>
    <w:rsid w:val="00350C6C"/>
    <w:rsid w:val="00350D45"/>
    <w:rsid w:val="00350DA4"/>
    <w:rsid w:val="00350EE7"/>
    <w:rsid w:val="00350F29"/>
    <w:rsid w:val="00350F7B"/>
    <w:rsid w:val="00350F92"/>
    <w:rsid w:val="00350FA6"/>
    <w:rsid w:val="0035100E"/>
    <w:rsid w:val="00351025"/>
    <w:rsid w:val="00351033"/>
    <w:rsid w:val="00351084"/>
    <w:rsid w:val="003510F4"/>
    <w:rsid w:val="00351150"/>
    <w:rsid w:val="0035115A"/>
    <w:rsid w:val="003511A5"/>
    <w:rsid w:val="003511C8"/>
    <w:rsid w:val="0035128F"/>
    <w:rsid w:val="00351292"/>
    <w:rsid w:val="003512F1"/>
    <w:rsid w:val="0035136D"/>
    <w:rsid w:val="00351433"/>
    <w:rsid w:val="003514EB"/>
    <w:rsid w:val="00351518"/>
    <w:rsid w:val="00351555"/>
    <w:rsid w:val="00351567"/>
    <w:rsid w:val="003515E2"/>
    <w:rsid w:val="00351615"/>
    <w:rsid w:val="003516A1"/>
    <w:rsid w:val="003516E9"/>
    <w:rsid w:val="003516FF"/>
    <w:rsid w:val="0035170A"/>
    <w:rsid w:val="00351780"/>
    <w:rsid w:val="003517B4"/>
    <w:rsid w:val="0035181C"/>
    <w:rsid w:val="00351848"/>
    <w:rsid w:val="0035184A"/>
    <w:rsid w:val="00351850"/>
    <w:rsid w:val="0035191D"/>
    <w:rsid w:val="003519AA"/>
    <w:rsid w:val="003519D0"/>
    <w:rsid w:val="00351A8A"/>
    <w:rsid w:val="00351AD2"/>
    <w:rsid w:val="00351BA6"/>
    <w:rsid w:val="00351BFB"/>
    <w:rsid w:val="00351D09"/>
    <w:rsid w:val="00351D54"/>
    <w:rsid w:val="00351D58"/>
    <w:rsid w:val="00351DE3"/>
    <w:rsid w:val="00351E1C"/>
    <w:rsid w:val="00351ED0"/>
    <w:rsid w:val="00351F11"/>
    <w:rsid w:val="00351FBA"/>
    <w:rsid w:val="0035208D"/>
    <w:rsid w:val="003520AC"/>
    <w:rsid w:val="0035210A"/>
    <w:rsid w:val="00352142"/>
    <w:rsid w:val="00352159"/>
    <w:rsid w:val="00352222"/>
    <w:rsid w:val="0035227C"/>
    <w:rsid w:val="00352360"/>
    <w:rsid w:val="003523CC"/>
    <w:rsid w:val="0035242F"/>
    <w:rsid w:val="00352457"/>
    <w:rsid w:val="0035246E"/>
    <w:rsid w:val="003524BA"/>
    <w:rsid w:val="003524F5"/>
    <w:rsid w:val="00352566"/>
    <w:rsid w:val="0035264D"/>
    <w:rsid w:val="00352660"/>
    <w:rsid w:val="003526A3"/>
    <w:rsid w:val="003526AF"/>
    <w:rsid w:val="003526CA"/>
    <w:rsid w:val="003526DD"/>
    <w:rsid w:val="003526EC"/>
    <w:rsid w:val="00352718"/>
    <w:rsid w:val="0035276A"/>
    <w:rsid w:val="003527F1"/>
    <w:rsid w:val="00352817"/>
    <w:rsid w:val="00352986"/>
    <w:rsid w:val="0035298E"/>
    <w:rsid w:val="003529C9"/>
    <w:rsid w:val="00352A1B"/>
    <w:rsid w:val="00352A70"/>
    <w:rsid w:val="00352B07"/>
    <w:rsid w:val="00352B65"/>
    <w:rsid w:val="00352B84"/>
    <w:rsid w:val="00352C05"/>
    <w:rsid w:val="00352C1E"/>
    <w:rsid w:val="00352C73"/>
    <w:rsid w:val="00352CB5"/>
    <w:rsid w:val="00352CE7"/>
    <w:rsid w:val="00352DA6"/>
    <w:rsid w:val="00352DB4"/>
    <w:rsid w:val="00352DC7"/>
    <w:rsid w:val="00352DEC"/>
    <w:rsid w:val="00352E1E"/>
    <w:rsid w:val="00352E78"/>
    <w:rsid w:val="00352E8E"/>
    <w:rsid w:val="00352F08"/>
    <w:rsid w:val="00352FA2"/>
    <w:rsid w:val="00352FFC"/>
    <w:rsid w:val="00353083"/>
    <w:rsid w:val="003530F8"/>
    <w:rsid w:val="0035310E"/>
    <w:rsid w:val="0035318D"/>
    <w:rsid w:val="0035321C"/>
    <w:rsid w:val="0035324B"/>
    <w:rsid w:val="0035324D"/>
    <w:rsid w:val="003532CA"/>
    <w:rsid w:val="00353320"/>
    <w:rsid w:val="00353346"/>
    <w:rsid w:val="0035336F"/>
    <w:rsid w:val="00353372"/>
    <w:rsid w:val="00353376"/>
    <w:rsid w:val="003533D2"/>
    <w:rsid w:val="00353478"/>
    <w:rsid w:val="003535A7"/>
    <w:rsid w:val="00353631"/>
    <w:rsid w:val="00353644"/>
    <w:rsid w:val="00353651"/>
    <w:rsid w:val="00353654"/>
    <w:rsid w:val="00353669"/>
    <w:rsid w:val="00353690"/>
    <w:rsid w:val="003537EC"/>
    <w:rsid w:val="0035385B"/>
    <w:rsid w:val="00353878"/>
    <w:rsid w:val="00353881"/>
    <w:rsid w:val="003538CD"/>
    <w:rsid w:val="00353991"/>
    <w:rsid w:val="003539C5"/>
    <w:rsid w:val="003539D2"/>
    <w:rsid w:val="00353A61"/>
    <w:rsid w:val="00353AFC"/>
    <w:rsid w:val="00353B1C"/>
    <w:rsid w:val="00353BF8"/>
    <w:rsid w:val="00353D26"/>
    <w:rsid w:val="00353D3A"/>
    <w:rsid w:val="00353D76"/>
    <w:rsid w:val="00353DAA"/>
    <w:rsid w:val="00353E60"/>
    <w:rsid w:val="00353E91"/>
    <w:rsid w:val="00353EF3"/>
    <w:rsid w:val="00353EF9"/>
    <w:rsid w:val="00353FBB"/>
    <w:rsid w:val="00354149"/>
    <w:rsid w:val="0035416F"/>
    <w:rsid w:val="0035423D"/>
    <w:rsid w:val="0035428D"/>
    <w:rsid w:val="003542EB"/>
    <w:rsid w:val="0035434D"/>
    <w:rsid w:val="00354376"/>
    <w:rsid w:val="00354415"/>
    <w:rsid w:val="00354632"/>
    <w:rsid w:val="00354636"/>
    <w:rsid w:val="00354686"/>
    <w:rsid w:val="003546A1"/>
    <w:rsid w:val="003546A6"/>
    <w:rsid w:val="003546C3"/>
    <w:rsid w:val="00354719"/>
    <w:rsid w:val="0035475A"/>
    <w:rsid w:val="00354762"/>
    <w:rsid w:val="003547A9"/>
    <w:rsid w:val="003547AA"/>
    <w:rsid w:val="0035485C"/>
    <w:rsid w:val="00354998"/>
    <w:rsid w:val="003549E0"/>
    <w:rsid w:val="00354A66"/>
    <w:rsid w:val="00354A78"/>
    <w:rsid w:val="00354C2B"/>
    <w:rsid w:val="00354C74"/>
    <w:rsid w:val="00354CD9"/>
    <w:rsid w:val="00354D0F"/>
    <w:rsid w:val="00354D52"/>
    <w:rsid w:val="00354D55"/>
    <w:rsid w:val="00354DE3"/>
    <w:rsid w:val="00354E40"/>
    <w:rsid w:val="00354E43"/>
    <w:rsid w:val="00354E5D"/>
    <w:rsid w:val="00354EA1"/>
    <w:rsid w:val="00354ED4"/>
    <w:rsid w:val="00354EDB"/>
    <w:rsid w:val="00354EE7"/>
    <w:rsid w:val="00354F0F"/>
    <w:rsid w:val="00354F79"/>
    <w:rsid w:val="00354FA3"/>
    <w:rsid w:val="00355083"/>
    <w:rsid w:val="003550E8"/>
    <w:rsid w:val="00355180"/>
    <w:rsid w:val="00355185"/>
    <w:rsid w:val="0035520E"/>
    <w:rsid w:val="0035525E"/>
    <w:rsid w:val="003552D7"/>
    <w:rsid w:val="00355304"/>
    <w:rsid w:val="00355391"/>
    <w:rsid w:val="0035539C"/>
    <w:rsid w:val="0035540F"/>
    <w:rsid w:val="00355452"/>
    <w:rsid w:val="00355545"/>
    <w:rsid w:val="00355579"/>
    <w:rsid w:val="003555D4"/>
    <w:rsid w:val="00355692"/>
    <w:rsid w:val="00355715"/>
    <w:rsid w:val="00355854"/>
    <w:rsid w:val="003558C9"/>
    <w:rsid w:val="003558F1"/>
    <w:rsid w:val="00355908"/>
    <w:rsid w:val="0035594C"/>
    <w:rsid w:val="00355970"/>
    <w:rsid w:val="003559A7"/>
    <w:rsid w:val="003559F1"/>
    <w:rsid w:val="00355A15"/>
    <w:rsid w:val="00355A97"/>
    <w:rsid w:val="00355AA0"/>
    <w:rsid w:val="00355B18"/>
    <w:rsid w:val="00355B3F"/>
    <w:rsid w:val="00355B52"/>
    <w:rsid w:val="00355BDE"/>
    <w:rsid w:val="00355C23"/>
    <w:rsid w:val="00355C5F"/>
    <w:rsid w:val="00355CC2"/>
    <w:rsid w:val="00355CE7"/>
    <w:rsid w:val="00355D3E"/>
    <w:rsid w:val="00355DE3"/>
    <w:rsid w:val="00355E17"/>
    <w:rsid w:val="00355EBC"/>
    <w:rsid w:val="00355EE6"/>
    <w:rsid w:val="00355F27"/>
    <w:rsid w:val="00355F6F"/>
    <w:rsid w:val="00355F7E"/>
    <w:rsid w:val="003560FC"/>
    <w:rsid w:val="00356233"/>
    <w:rsid w:val="00356262"/>
    <w:rsid w:val="00356281"/>
    <w:rsid w:val="00356296"/>
    <w:rsid w:val="00356344"/>
    <w:rsid w:val="00356364"/>
    <w:rsid w:val="00356388"/>
    <w:rsid w:val="003563E9"/>
    <w:rsid w:val="003563F4"/>
    <w:rsid w:val="0035641B"/>
    <w:rsid w:val="0035641C"/>
    <w:rsid w:val="00356485"/>
    <w:rsid w:val="00356498"/>
    <w:rsid w:val="003564D1"/>
    <w:rsid w:val="00356511"/>
    <w:rsid w:val="0035653F"/>
    <w:rsid w:val="00356578"/>
    <w:rsid w:val="003565DC"/>
    <w:rsid w:val="003566D9"/>
    <w:rsid w:val="003566E7"/>
    <w:rsid w:val="0035672B"/>
    <w:rsid w:val="00356760"/>
    <w:rsid w:val="0035682F"/>
    <w:rsid w:val="00356913"/>
    <w:rsid w:val="00356954"/>
    <w:rsid w:val="00356961"/>
    <w:rsid w:val="00356986"/>
    <w:rsid w:val="00356A0A"/>
    <w:rsid w:val="00356A60"/>
    <w:rsid w:val="00356A77"/>
    <w:rsid w:val="00356ACD"/>
    <w:rsid w:val="00356AF8"/>
    <w:rsid w:val="00356B2E"/>
    <w:rsid w:val="00356C14"/>
    <w:rsid w:val="00356C88"/>
    <w:rsid w:val="00356D57"/>
    <w:rsid w:val="00356D7C"/>
    <w:rsid w:val="00356F50"/>
    <w:rsid w:val="00356F59"/>
    <w:rsid w:val="00356F7F"/>
    <w:rsid w:val="00357009"/>
    <w:rsid w:val="00357118"/>
    <w:rsid w:val="0035713E"/>
    <w:rsid w:val="00357172"/>
    <w:rsid w:val="003571AC"/>
    <w:rsid w:val="003571FA"/>
    <w:rsid w:val="0035726E"/>
    <w:rsid w:val="003572FF"/>
    <w:rsid w:val="00357383"/>
    <w:rsid w:val="00357392"/>
    <w:rsid w:val="003573B3"/>
    <w:rsid w:val="003573F3"/>
    <w:rsid w:val="0035754D"/>
    <w:rsid w:val="003575C2"/>
    <w:rsid w:val="00357619"/>
    <w:rsid w:val="0035768E"/>
    <w:rsid w:val="003576A8"/>
    <w:rsid w:val="003577A9"/>
    <w:rsid w:val="003577CC"/>
    <w:rsid w:val="00357827"/>
    <w:rsid w:val="00357893"/>
    <w:rsid w:val="003578AC"/>
    <w:rsid w:val="0035792C"/>
    <w:rsid w:val="0035793D"/>
    <w:rsid w:val="00357952"/>
    <w:rsid w:val="0035797D"/>
    <w:rsid w:val="003579D6"/>
    <w:rsid w:val="00357A30"/>
    <w:rsid w:val="00357AE6"/>
    <w:rsid w:val="00357B51"/>
    <w:rsid w:val="00357B5D"/>
    <w:rsid w:val="00357B95"/>
    <w:rsid w:val="00357C38"/>
    <w:rsid w:val="00357E41"/>
    <w:rsid w:val="00357E4D"/>
    <w:rsid w:val="00357E59"/>
    <w:rsid w:val="00357EDC"/>
    <w:rsid w:val="00357F1C"/>
    <w:rsid w:val="00357FAC"/>
    <w:rsid w:val="00357FE6"/>
    <w:rsid w:val="00357FF7"/>
    <w:rsid w:val="0036006F"/>
    <w:rsid w:val="00360083"/>
    <w:rsid w:val="0036008E"/>
    <w:rsid w:val="003600BB"/>
    <w:rsid w:val="00360148"/>
    <w:rsid w:val="0036018C"/>
    <w:rsid w:val="003601E7"/>
    <w:rsid w:val="00360216"/>
    <w:rsid w:val="003602A8"/>
    <w:rsid w:val="0036036B"/>
    <w:rsid w:val="0036036F"/>
    <w:rsid w:val="0036038B"/>
    <w:rsid w:val="003603C1"/>
    <w:rsid w:val="00360493"/>
    <w:rsid w:val="003604B5"/>
    <w:rsid w:val="003604D9"/>
    <w:rsid w:val="003604DE"/>
    <w:rsid w:val="003605E5"/>
    <w:rsid w:val="003605ED"/>
    <w:rsid w:val="00360690"/>
    <w:rsid w:val="003606EC"/>
    <w:rsid w:val="00360761"/>
    <w:rsid w:val="003607E4"/>
    <w:rsid w:val="00360891"/>
    <w:rsid w:val="003608B3"/>
    <w:rsid w:val="003608C8"/>
    <w:rsid w:val="0036090F"/>
    <w:rsid w:val="00360913"/>
    <w:rsid w:val="00360939"/>
    <w:rsid w:val="003609EA"/>
    <w:rsid w:val="00360A40"/>
    <w:rsid w:val="00360A79"/>
    <w:rsid w:val="00360A9E"/>
    <w:rsid w:val="00360AB8"/>
    <w:rsid w:val="00360AD4"/>
    <w:rsid w:val="00360B7E"/>
    <w:rsid w:val="00360BA5"/>
    <w:rsid w:val="00360BCD"/>
    <w:rsid w:val="00360BE0"/>
    <w:rsid w:val="00360CC4"/>
    <w:rsid w:val="00360D7A"/>
    <w:rsid w:val="00360F03"/>
    <w:rsid w:val="00360F0F"/>
    <w:rsid w:val="00360F13"/>
    <w:rsid w:val="00361067"/>
    <w:rsid w:val="00361093"/>
    <w:rsid w:val="00361161"/>
    <w:rsid w:val="003611A5"/>
    <w:rsid w:val="003611E5"/>
    <w:rsid w:val="00361256"/>
    <w:rsid w:val="003612B5"/>
    <w:rsid w:val="003612B6"/>
    <w:rsid w:val="0036131C"/>
    <w:rsid w:val="00361333"/>
    <w:rsid w:val="003613D0"/>
    <w:rsid w:val="003613D5"/>
    <w:rsid w:val="003613E1"/>
    <w:rsid w:val="00361407"/>
    <w:rsid w:val="00361416"/>
    <w:rsid w:val="0036143E"/>
    <w:rsid w:val="00361568"/>
    <w:rsid w:val="003615FD"/>
    <w:rsid w:val="00361622"/>
    <w:rsid w:val="003616A1"/>
    <w:rsid w:val="003616E2"/>
    <w:rsid w:val="00361717"/>
    <w:rsid w:val="00361773"/>
    <w:rsid w:val="00361804"/>
    <w:rsid w:val="00361848"/>
    <w:rsid w:val="003618A3"/>
    <w:rsid w:val="003618FD"/>
    <w:rsid w:val="003619BB"/>
    <w:rsid w:val="00361A0C"/>
    <w:rsid w:val="00361A4B"/>
    <w:rsid w:val="00361A4D"/>
    <w:rsid w:val="00361A5A"/>
    <w:rsid w:val="00361ACC"/>
    <w:rsid w:val="00361AF5"/>
    <w:rsid w:val="00361B26"/>
    <w:rsid w:val="00361B53"/>
    <w:rsid w:val="00361B59"/>
    <w:rsid w:val="00361B6C"/>
    <w:rsid w:val="00361C08"/>
    <w:rsid w:val="00361C2C"/>
    <w:rsid w:val="00361CA8"/>
    <w:rsid w:val="00361CD2"/>
    <w:rsid w:val="00361CE4"/>
    <w:rsid w:val="00361D36"/>
    <w:rsid w:val="00361E50"/>
    <w:rsid w:val="00361E8F"/>
    <w:rsid w:val="00361EA3"/>
    <w:rsid w:val="00361F54"/>
    <w:rsid w:val="00361FA7"/>
    <w:rsid w:val="00361FCD"/>
    <w:rsid w:val="0036202B"/>
    <w:rsid w:val="00362070"/>
    <w:rsid w:val="003621D6"/>
    <w:rsid w:val="003621FD"/>
    <w:rsid w:val="00362262"/>
    <w:rsid w:val="0036228C"/>
    <w:rsid w:val="003623A7"/>
    <w:rsid w:val="003624A6"/>
    <w:rsid w:val="003624B1"/>
    <w:rsid w:val="0036250D"/>
    <w:rsid w:val="003625A1"/>
    <w:rsid w:val="003625B7"/>
    <w:rsid w:val="00362614"/>
    <w:rsid w:val="00362631"/>
    <w:rsid w:val="0036266C"/>
    <w:rsid w:val="003626B4"/>
    <w:rsid w:val="003626FE"/>
    <w:rsid w:val="0036273E"/>
    <w:rsid w:val="003627AE"/>
    <w:rsid w:val="003627FE"/>
    <w:rsid w:val="003628DE"/>
    <w:rsid w:val="003628EF"/>
    <w:rsid w:val="00362905"/>
    <w:rsid w:val="0036292E"/>
    <w:rsid w:val="003629DB"/>
    <w:rsid w:val="00362A58"/>
    <w:rsid w:val="00362A6F"/>
    <w:rsid w:val="00362A76"/>
    <w:rsid w:val="00362AC9"/>
    <w:rsid w:val="00362AEA"/>
    <w:rsid w:val="00362B24"/>
    <w:rsid w:val="00362B3A"/>
    <w:rsid w:val="00362B73"/>
    <w:rsid w:val="00362B86"/>
    <w:rsid w:val="00362CCC"/>
    <w:rsid w:val="00362D26"/>
    <w:rsid w:val="00362D40"/>
    <w:rsid w:val="00362DA9"/>
    <w:rsid w:val="0036300C"/>
    <w:rsid w:val="00363012"/>
    <w:rsid w:val="00363019"/>
    <w:rsid w:val="00363074"/>
    <w:rsid w:val="0036312A"/>
    <w:rsid w:val="00363152"/>
    <w:rsid w:val="00363190"/>
    <w:rsid w:val="003631F9"/>
    <w:rsid w:val="00363222"/>
    <w:rsid w:val="003632AD"/>
    <w:rsid w:val="003632BF"/>
    <w:rsid w:val="003632C3"/>
    <w:rsid w:val="003632F0"/>
    <w:rsid w:val="00363398"/>
    <w:rsid w:val="003633C6"/>
    <w:rsid w:val="003633CF"/>
    <w:rsid w:val="003633EF"/>
    <w:rsid w:val="00363433"/>
    <w:rsid w:val="00363542"/>
    <w:rsid w:val="00363548"/>
    <w:rsid w:val="00363577"/>
    <w:rsid w:val="0036357E"/>
    <w:rsid w:val="003635BA"/>
    <w:rsid w:val="003635E1"/>
    <w:rsid w:val="00363618"/>
    <w:rsid w:val="00363624"/>
    <w:rsid w:val="00363840"/>
    <w:rsid w:val="00363852"/>
    <w:rsid w:val="003638A1"/>
    <w:rsid w:val="003638E1"/>
    <w:rsid w:val="00363918"/>
    <w:rsid w:val="00363939"/>
    <w:rsid w:val="00363957"/>
    <w:rsid w:val="0036397D"/>
    <w:rsid w:val="0036398B"/>
    <w:rsid w:val="0036399C"/>
    <w:rsid w:val="003639D3"/>
    <w:rsid w:val="00363A70"/>
    <w:rsid w:val="00363B5A"/>
    <w:rsid w:val="00363C27"/>
    <w:rsid w:val="00363C3D"/>
    <w:rsid w:val="00363C9F"/>
    <w:rsid w:val="00363CB6"/>
    <w:rsid w:val="00363D1C"/>
    <w:rsid w:val="00363D3A"/>
    <w:rsid w:val="00363E15"/>
    <w:rsid w:val="00363EAA"/>
    <w:rsid w:val="00363F24"/>
    <w:rsid w:val="00363F3D"/>
    <w:rsid w:val="00363FE6"/>
    <w:rsid w:val="0036407D"/>
    <w:rsid w:val="00364117"/>
    <w:rsid w:val="003641A0"/>
    <w:rsid w:val="003641C6"/>
    <w:rsid w:val="00364200"/>
    <w:rsid w:val="003642A2"/>
    <w:rsid w:val="003643A1"/>
    <w:rsid w:val="003643E0"/>
    <w:rsid w:val="0036446A"/>
    <w:rsid w:val="0036448E"/>
    <w:rsid w:val="00364550"/>
    <w:rsid w:val="0036455A"/>
    <w:rsid w:val="00364632"/>
    <w:rsid w:val="00364672"/>
    <w:rsid w:val="003646F8"/>
    <w:rsid w:val="0036471A"/>
    <w:rsid w:val="00364749"/>
    <w:rsid w:val="00364789"/>
    <w:rsid w:val="003647D8"/>
    <w:rsid w:val="00364874"/>
    <w:rsid w:val="003648A2"/>
    <w:rsid w:val="00364A11"/>
    <w:rsid w:val="00364ADF"/>
    <w:rsid w:val="00364B0F"/>
    <w:rsid w:val="00364B47"/>
    <w:rsid w:val="00364BF5"/>
    <w:rsid w:val="00364C87"/>
    <w:rsid w:val="00364D23"/>
    <w:rsid w:val="00364D48"/>
    <w:rsid w:val="00364D55"/>
    <w:rsid w:val="00364DAC"/>
    <w:rsid w:val="00364DFC"/>
    <w:rsid w:val="00364E42"/>
    <w:rsid w:val="00364F0A"/>
    <w:rsid w:val="00364F6B"/>
    <w:rsid w:val="00364F7E"/>
    <w:rsid w:val="00364FE3"/>
    <w:rsid w:val="00365025"/>
    <w:rsid w:val="00365042"/>
    <w:rsid w:val="00365069"/>
    <w:rsid w:val="0036508E"/>
    <w:rsid w:val="003650EF"/>
    <w:rsid w:val="003651E7"/>
    <w:rsid w:val="0036520D"/>
    <w:rsid w:val="0036529B"/>
    <w:rsid w:val="0036536A"/>
    <w:rsid w:val="003653BD"/>
    <w:rsid w:val="0036545C"/>
    <w:rsid w:val="003654F7"/>
    <w:rsid w:val="00365527"/>
    <w:rsid w:val="0036556B"/>
    <w:rsid w:val="0036556F"/>
    <w:rsid w:val="003655AB"/>
    <w:rsid w:val="00365602"/>
    <w:rsid w:val="0036569C"/>
    <w:rsid w:val="003656C2"/>
    <w:rsid w:val="00365763"/>
    <w:rsid w:val="00365806"/>
    <w:rsid w:val="0036581F"/>
    <w:rsid w:val="00365828"/>
    <w:rsid w:val="00365892"/>
    <w:rsid w:val="00365AA0"/>
    <w:rsid w:val="00365AB6"/>
    <w:rsid w:val="00365B18"/>
    <w:rsid w:val="00365B24"/>
    <w:rsid w:val="00365B5A"/>
    <w:rsid w:val="00365B9D"/>
    <w:rsid w:val="00365C43"/>
    <w:rsid w:val="00365CF3"/>
    <w:rsid w:val="00365D1A"/>
    <w:rsid w:val="00365D2A"/>
    <w:rsid w:val="00365D31"/>
    <w:rsid w:val="00365E91"/>
    <w:rsid w:val="00365EFA"/>
    <w:rsid w:val="00365F22"/>
    <w:rsid w:val="00365FAF"/>
    <w:rsid w:val="003660C2"/>
    <w:rsid w:val="00366105"/>
    <w:rsid w:val="0036612C"/>
    <w:rsid w:val="0036612D"/>
    <w:rsid w:val="0036616A"/>
    <w:rsid w:val="00366199"/>
    <w:rsid w:val="003661A7"/>
    <w:rsid w:val="00366294"/>
    <w:rsid w:val="00366337"/>
    <w:rsid w:val="003663D1"/>
    <w:rsid w:val="003664D8"/>
    <w:rsid w:val="00366521"/>
    <w:rsid w:val="00366547"/>
    <w:rsid w:val="00366575"/>
    <w:rsid w:val="00366609"/>
    <w:rsid w:val="00366652"/>
    <w:rsid w:val="00366691"/>
    <w:rsid w:val="003666B9"/>
    <w:rsid w:val="00366718"/>
    <w:rsid w:val="003667C5"/>
    <w:rsid w:val="003667C8"/>
    <w:rsid w:val="003667CE"/>
    <w:rsid w:val="0036686D"/>
    <w:rsid w:val="003668B9"/>
    <w:rsid w:val="003669B7"/>
    <w:rsid w:val="003669FA"/>
    <w:rsid w:val="00366A28"/>
    <w:rsid w:val="00366A45"/>
    <w:rsid w:val="00366A80"/>
    <w:rsid w:val="00366A83"/>
    <w:rsid w:val="00366AE2"/>
    <w:rsid w:val="00366B8B"/>
    <w:rsid w:val="00366BF8"/>
    <w:rsid w:val="00366C3A"/>
    <w:rsid w:val="00366C90"/>
    <w:rsid w:val="00366DAD"/>
    <w:rsid w:val="00366DFC"/>
    <w:rsid w:val="00366E23"/>
    <w:rsid w:val="00366EA1"/>
    <w:rsid w:val="00366EA7"/>
    <w:rsid w:val="00366F1A"/>
    <w:rsid w:val="0036701F"/>
    <w:rsid w:val="0036707B"/>
    <w:rsid w:val="003670DB"/>
    <w:rsid w:val="00367168"/>
    <w:rsid w:val="003671BC"/>
    <w:rsid w:val="003671D6"/>
    <w:rsid w:val="0036742E"/>
    <w:rsid w:val="003674E5"/>
    <w:rsid w:val="003675E7"/>
    <w:rsid w:val="00367623"/>
    <w:rsid w:val="003676E2"/>
    <w:rsid w:val="003676F9"/>
    <w:rsid w:val="003677AD"/>
    <w:rsid w:val="003677B9"/>
    <w:rsid w:val="003677F4"/>
    <w:rsid w:val="00367806"/>
    <w:rsid w:val="0036792D"/>
    <w:rsid w:val="00367949"/>
    <w:rsid w:val="0036798C"/>
    <w:rsid w:val="003679A4"/>
    <w:rsid w:val="003679E1"/>
    <w:rsid w:val="00367A0C"/>
    <w:rsid w:val="00367A24"/>
    <w:rsid w:val="00367A8B"/>
    <w:rsid w:val="00367AE0"/>
    <w:rsid w:val="00367AE4"/>
    <w:rsid w:val="00367AF9"/>
    <w:rsid w:val="00367B36"/>
    <w:rsid w:val="00367B4B"/>
    <w:rsid w:val="00367BE7"/>
    <w:rsid w:val="00367C1D"/>
    <w:rsid w:val="00367C28"/>
    <w:rsid w:val="00367C3D"/>
    <w:rsid w:val="00367DAB"/>
    <w:rsid w:val="00367DBD"/>
    <w:rsid w:val="00367EAC"/>
    <w:rsid w:val="00367EF7"/>
    <w:rsid w:val="00367FE0"/>
    <w:rsid w:val="00370018"/>
    <w:rsid w:val="0037002B"/>
    <w:rsid w:val="0037004A"/>
    <w:rsid w:val="0037008A"/>
    <w:rsid w:val="00370101"/>
    <w:rsid w:val="00370112"/>
    <w:rsid w:val="0037019F"/>
    <w:rsid w:val="0037022C"/>
    <w:rsid w:val="00370289"/>
    <w:rsid w:val="003702B4"/>
    <w:rsid w:val="003703F1"/>
    <w:rsid w:val="00370463"/>
    <w:rsid w:val="0037052A"/>
    <w:rsid w:val="0037056C"/>
    <w:rsid w:val="00370611"/>
    <w:rsid w:val="00370749"/>
    <w:rsid w:val="0037075F"/>
    <w:rsid w:val="00370784"/>
    <w:rsid w:val="00370842"/>
    <w:rsid w:val="003708BE"/>
    <w:rsid w:val="00370924"/>
    <w:rsid w:val="0037095F"/>
    <w:rsid w:val="00370986"/>
    <w:rsid w:val="00370A09"/>
    <w:rsid w:val="00370A3C"/>
    <w:rsid w:val="00370A83"/>
    <w:rsid w:val="00370B6D"/>
    <w:rsid w:val="00370B87"/>
    <w:rsid w:val="00370BB2"/>
    <w:rsid w:val="00370D65"/>
    <w:rsid w:val="00370E39"/>
    <w:rsid w:val="00370EAD"/>
    <w:rsid w:val="00370F69"/>
    <w:rsid w:val="00370F76"/>
    <w:rsid w:val="00370FE3"/>
    <w:rsid w:val="0037102D"/>
    <w:rsid w:val="00371046"/>
    <w:rsid w:val="0037111C"/>
    <w:rsid w:val="003711A9"/>
    <w:rsid w:val="003712C0"/>
    <w:rsid w:val="00371308"/>
    <w:rsid w:val="00371318"/>
    <w:rsid w:val="00371356"/>
    <w:rsid w:val="00371380"/>
    <w:rsid w:val="0037138C"/>
    <w:rsid w:val="00371390"/>
    <w:rsid w:val="0037139B"/>
    <w:rsid w:val="00371441"/>
    <w:rsid w:val="0037155D"/>
    <w:rsid w:val="00371585"/>
    <w:rsid w:val="0037159F"/>
    <w:rsid w:val="0037162B"/>
    <w:rsid w:val="003716CA"/>
    <w:rsid w:val="00371702"/>
    <w:rsid w:val="00371756"/>
    <w:rsid w:val="003718A5"/>
    <w:rsid w:val="003718FE"/>
    <w:rsid w:val="00371931"/>
    <w:rsid w:val="0037194E"/>
    <w:rsid w:val="00371A55"/>
    <w:rsid w:val="00371AA7"/>
    <w:rsid w:val="00371BF8"/>
    <w:rsid w:val="00371C0E"/>
    <w:rsid w:val="00371C27"/>
    <w:rsid w:val="00371C2E"/>
    <w:rsid w:val="00371C79"/>
    <w:rsid w:val="00371CA6"/>
    <w:rsid w:val="00371CB7"/>
    <w:rsid w:val="00371D18"/>
    <w:rsid w:val="00371D60"/>
    <w:rsid w:val="00371D6C"/>
    <w:rsid w:val="00371DF9"/>
    <w:rsid w:val="00371EC4"/>
    <w:rsid w:val="00371EC8"/>
    <w:rsid w:val="00371F31"/>
    <w:rsid w:val="00371FF2"/>
    <w:rsid w:val="00372073"/>
    <w:rsid w:val="003720AF"/>
    <w:rsid w:val="00372101"/>
    <w:rsid w:val="0037212D"/>
    <w:rsid w:val="0037220C"/>
    <w:rsid w:val="00372214"/>
    <w:rsid w:val="00372284"/>
    <w:rsid w:val="00372431"/>
    <w:rsid w:val="0037246F"/>
    <w:rsid w:val="00372490"/>
    <w:rsid w:val="003724C1"/>
    <w:rsid w:val="003724DF"/>
    <w:rsid w:val="0037258E"/>
    <w:rsid w:val="003725E4"/>
    <w:rsid w:val="003726C4"/>
    <w:rsid w:val="003726EA"/>
    <w:rsid w:val="003726F7"/>
    <w:rsid w:val="003728A7"/>
    <w:rsid w:val="0037292C"/>
    <w:rsid w:val="0037293E"/>
    <w:rsid w:val="0037296E"/>
    <w:rsid w:val="003729F6"/>
    <w:rsid w:val="00372A11"/>
    <w:rsid w:val="00372A57"/>
    <w:rsid w:val="00372A5D"/>
    <w:rsid w:val="00372A81"/>
    <w:rsid w:val="00372AB5"/>
    <w:rsid w:val="00372B0E"/>
    <w:rsid w:val="00372BC1"/>
    <w:rsid w:val="00372BC8"/>
    <w:rsid w:val="00372BD4"/>
    <w:rsid w:val="00372BDF"/>
    <w:rsid w:val="00372C11"/>
    <w:rsid w:val="00372CD4"/>
    <w:rsid w:val="00372D56"/>
    <w:rsid w:val="00372D67"/>
    <w:rsid w:val="00372DAA"/>
    <w:rsid w:val="00372E21"/>
    <w:rsid w:val="00372F8E"/>
    <w:rsid w:val="00372FBA"/>
    <w:rsid w:val="00372FF1"/>
    <w:rsid w:val="00373003"/>
    <w:rsid w:val="0037301D"/>
    <w:rsid w:val="0037305E"/>
    <w:rsid w:val="00373170"/>
    <w:rsid w:val="003731D7"/>
    <w:rsid w:val="003731DE"/>
    <w:rsid w:val="00373393"/>
    <w:rsid w:val="00373447"/>
    <w:rsid w:val="0037349E"/>
    <w:rsid w:val="003735B8"/>
    <w:rsid w:val="003735C3"/>
    <w:rsid w:val="00373619"/>
    <w:rsid w:val="00373623"/>
    <w:rsid w:val="003736B5"/>
    <w:rsid w:val="003737A8"/>
    <w:rsid w:val="003737EA"/>
    <w:rsid w:val="0037381B"/>
    <w:rsid w:val="00373855"/>
    <w:rsid w:val="003738FA"/>
    <w:rsid w:val="00373975"/>
    <w:rsid w:val="003739B3"/>
    <w:rsid w:val="003739DE"/>
    <w:rsid w:val="003739FB"/>
    <w:rsid w:val="00373A24"/>
    <w:rsid w:val="00373A87"/>
    <w:rsid w:val="00373A97"/>
    <w:rsid w:val="00373B0A"/>
    <w:rsid w:val="00373B3E"/>
    <w:rsid w:val="00373B4E"/>
    <w:rsid w:val="00373B58"/>
    <w:rsid w:val="00373BD2"/>
    <w:rsid w:val="00373C4B"/>
    <w:rsid w:val="00373CB0"/>
    <w:rsid w:val="00373CBE"/>
    <w:rsid w:val="00373CF4"/>
    <w:rsid w:val="00373D77"/>
    <w:rsid w:val="00373E39"/>
    <w:rsid w:val="00373E4C"/>
    <w:rsid w:val="00373E6A"/>
    <w:rsid w:val="00373EE3"/>
    <w:rsid w:val="003740BC"/>
    <w:rsid w:val="003740C5"/>
    <w:rsid w:val="00374162"/>
    <w:rsid w:val="003741AD"/>
    <w:rsid w:val="003741D1"/>
    <w:rsid w:val="0037421D"/>
    <w:rsid w:val="0037427C"/>
    <w:rsid w:val="003742B8"/>
    <w:rsid w:val="003743E9"/>
    <w:rsid w:val="00374400"/>
    <w:rsid w:val="00374457"/>
    <w:rsid w:val="00374478"/>
    <w:rsid w:val="0037449E"/>
    <w:rsid w:val="003745B5"/>
    <w:rsid w:val="003745FA"/>
    <w:rsid w:val="0037461F"/>
    <w:rsid w:val="00374623"/>
    <w:rsid w:val="0037469C"/>
    <w:rsid w:val="003746C2"/>
    <w:rsid w:val="0037475E"/>
    <w:rsid w:val="003747EA"/>
    <w:rsid w:val="00374895"/>
    <w:rsid w:val="003748CD"/>
    <w:rsid w:val="003748E7"/>
    <w:rsid w:val="00374953"/>
    <w:rsid w:val="003749A4"/>
    <w:rsid w:val="003749C1"/>
    <w:rsid w:val="00374B46"/>
    <w:rsid w:val="00374B48"/>
    <w:rsid w:val="00374B4A"/>
    <w:rsid w:val="00374BD2"/>
    <w:rsid w:val="00374CFA"/>
    <w:rsid w:val="00374D40"/>
    <w:rsid w:val="00374D65"/>
    <w:rsid w:val="00374D72"/>
    <w:rsid w:val="00374D7B"/>
    <w:rsid w:val="00374E29"/>
    <w:rsid w:val="00374FC6"/>
    <w:rsid w:val="0037500F"/>
    <w:rsid w:val="003750D2"/>
    <w:rsid w:val="003750DB"/>
    <w:rsid w:val="0037510C"/>
    <w:rsid w:val="0037511E"/>
    <w:rsid w:val="00375143"/>
    <w:rsid w:val="00375191"/>
    <w:rsid w:val="003751A4"/>
    <w:rsid w:val="003751C2"/>
    <w:rsid w:val="003751E1"/>
    <w:rsid w:val="00375224"/>
    <w:rsid w:val="0037528C"/>
    <w:rsid w:val="00375410"/>
    <w:rsid w:val="00375484"/>
    <w:rsid w:val="0037549A"/>
    <w:rsid w:val="003754D3"/>
    <w:rsid w:val="00375508"/>
    <w:rsid w:val="00375532"/>
    <w:rsid w:val="0037555F"/>
    <w:rsid w:val="003755F0"/>
    <w:rsid w:val="003755F1"/>
    <w:rsid w:val="00375643"/>
    <w:rsid w:val="00375681"/>
    <w:rsid w:val="003756DF"/>
    <w:rsid w:val="0037577D"/>
    <w:rsid w:val="0037578C"/>
    <w:rsid w:val="003757D5"/>
    <w:rsid w:val="0037590D"/>
    <w:rsid w:val="00375922"/>
    <w:rsid w:val="003759D2"/>
    <w:rsid w:val="003759FF"/>
    <w:rsid w:val="00375A28"/>
    <w:rsid w:val="00375AA7"/>
    <w:rsid w:val="00375AC5"/>
    <w:rsid w:val="00375B96"/>
    <w:rsid w:val="00375BCD"/>
    <w:rsid w:val="00375C92"/>
    <w:rsid w:val="00375CB4"/>
    <w:rsid w:val="00375CBB"/>
    <w:rsid w:val="00375CC5"/>
    <w:rsid w:val="00375CD4"/>
    <w:rsid w:val="00375D11"/>
    <w:rsid w:val="00375D12"/>
    <w:rsid w:val="00375D9D"/>
    <w:rsid w:val="00375E1F"/>
    <w:rsid w:val="00375E43"/>
    <w:rsid w:val="00375E58"/>
    <w:rsid w:val="00375EE8"/>
    <w:rsid w:val="00375EE9"/>
    <w:rsid w:val="00375F63"/>
    <w:rsid w:val="00375F9A"/>
    <w:rsid w:val="00375FA1"/>
    <w:rsid w:val="00376170"/>
    <w:rsid w:val="003761C3"/>
    <w:rsid w:val="00376239"/>
    <w:rsid w:val="003762D7"/>
    <w:rsid w:val="00376306"/>
    <w:rsid w:val="00376333"/>
    <w:rsid w:val="00376338"/>
    <w:rsid w:val="003763A0"/>
    <w:rsid w:val="003763E0"/>
    <w:rsid w:val="003763E6"/>
    <w:rsid w:val="00376438"/>
    <w:rsid w:val="00376456"/>
    <w:rsid w:val="003764FA"/>
    <w:rsid w:val="0037651A"/>
    <w:rsid w:val="00376547"/>
    <w:rsid w:val="00376593"/>
    <w:rsid w:val="003765BF"/>
    <w:rsid w:val="003765F0"/>
    <w:rsid w:val="00376619"/>
    <w:rsid w:val="0037667F"/>
    <w:rsid w:val="003766A9"/>
    <w:rsid w:val="00376759"/>
    <w:rsid w:val="003767E0"/>
    <w:rsid w:val="00376929"/>
    <w:rsid w:val="0037692E"/>
    <w:rsid w:val="00376945"/>
    <w:rsid w:val="00376954"/>
    <w:rsid w:val="003769AC"/>
    <w:rsid w:val="003769FC"/>
    <w:rsid w:val="00376A77"/>
    <w:rsid w:val="00376AAA"/>
    <w:rsid w:val="00376B45"/>
    <w:rsid w:val="00376B53"/>
    <w:rsid w:val="00376B90"/>
    <w:rsid w:val="00376BE6"/>
    <w:rsid w:val="00376C65"/>
    <w:rsid w:val="00376F30"/>
    <w:rsid w:val="00376FE5"/>
    <w:rsid w:val="00377031"/>
    <w:rsid w:val="00377043"/>
    <w:rsid w:val="00377123"/>
    <w:rsid w:val="0037723E"/>
    <w:rsid w:val="003772A3"/>
    <w:rsid w:val="003772AE"/>
    <w:rsid w:val="003772B5"/>
    <w:rsid w:val="003772B9"/>
    <w:rsid w:val="003774A4"/>
    <w:rsid w:val="0037751F"/>
    <w:rsid w:val="00377586"/>
    <w:rsid w:val="003775AD"/>
    <w:rsid w:val="003775CA"/>
    <w:rsid w:val="003775D4"/>
    <w:rsid w:val="0037763E"/>
    <w:rsid w:val="003776CA"/>
    <w:rsid w:val="00377711"/>
    <w:rsid w:val="003777C1"/>
    <w:rsid w:val="00377AC3"/>
    <w:rsid w:val="00377AE9"/>
    <w:rsid w:val="00377B5A"/>
    <w:rsid w:val="00377C82"/>
    <w:rsid w:val="00377C9F"/>
    <w:rsid w:val="00377D26"/>
    <w:rsid w:val="00377D4D"/>
    <w:rsid w:val="00377D72"/>
    <w:rsid w:val="00377D85"/>
    <w:rsid w:val="00377DC4"/>
    <w:rsid w:val="00377EE8"/>
    <w:rsid w:val="00377F63"/>
    <w:rsid w:val="00377F6A"/>
    <w:rsid w:val="00377F89"/>
    <w:rsid w:val="0038001A"/>
    <w:rsid w:val="0038003F"/>
    <w:rsid w:val="00380040"/>
    <w:rsid w:val="0038005A"/>
    <w:rsid w:val="003801BC"/>
    <w:rsid w:val="003801FC"/>
    <w:rsid w:val="00380244"/>
    <w:rsid w:val="0038026C"/>
    <w:rsid w:val="003802F0"/>
    <w:rsid w:val="00380342"/>
    <w:rsid w:val="003803E7"/>
    <w:rsid w:val="00380430"/>
    <w:rsid w:val="00380447"/>
    <w:rsid w:val="0038047D"/>
    <w:rsid w:val="003804F0"/>
    <w:rsid w:val="00380568"/>
    <w:rsid w:val="00380576"/>
    <w:rsid w:val="0038058A"/>
    <w:rsid w:val="00380591"/>
    <w:rsid w:val="0038063F"/>
    <w:rsid w:val="0038070D"/>
    <w:rsid w:val="00380734"/>
    <w:rsid w:val="003808A0"/>
    <w:rsid w:val="003808CB"/>
    <w:rsid w:val="00380901"/>
    <w:rsid w:val="00380909"/>
    <w:rsid w:val="0038095C"/>
    <w:rsid w:val="00380996"/>
    <w:rsid w:val="003809AF"/>
    <w:rsid w:val="003809E8"/>
    <w:rsid w:val="00380A85"/>
    <w:rsid w:val="00380BED"/>
    <w:rsid w:val="00380CF9"/>
    <w:rsid w:val="00380E02"/>
    <w:rsid w:val="00380EFC"/>
    <w:rsid w:val="00380FAA"/>
    <w:rsid w:val="00380FF9"/>
    <w:rsid w:val="0038101F"/>
    <w:rsid w:val="003810EA"/>
    <w:rsid w:val="00381169"/>
    <w:rsid w:val="0038121A"/>
    <w:rsid w:val="0038129F"/>
    <w:rsid w:val="003812A7"/>
    <w:rsid w:val="0038131B"/>
    <w:rsid w:val="00381326"/>
    <w:rsid w:val="003813E3"/>
    <w:rsid w:val="003814FF"/>
    <w:rsid w:val="0038154C"/>
    <w:rsid w:val="00381562"/>
    <w:rsid w:val="003815A1"/>
    <w:rsid w:val="003815DD"/>
    <w:rsid w:val="00381667"/>
    <w:rsid w:val="003816DD"/>
    <w:rsid w:val="003816F0"/>
    <w:rsid w:val="0038171F"/>
    <w:rsid w:val="00381771"/>
    <w:rsid w:val="0038178C"/>
    <w:rsid w:val="00381897"/>
    <w:rsid w:val="00381984"/>
    <w:rsid w:val="00381A03"/>
    <w:rsid w:val="00381A70"/>
    <w:rsid w:val="00381AA0"/>
    <w:rsid w:val="00381AC0"/>
    <w:rsid w:val="00381ADF"/>
    <w:rsid w:val="00381B16"/>
    <w:rsid w:val="00381BCD"/>
    <w:rsid w:val="00381C38"/>
    <w:rsid w:val="00381C4D"/>
    <w:rsid w:val="00381D74"/>
    <w:rsid w:val="00381D7C"/>
    <w:rsid w:val="00381DCA"/>
    <w:rsid w:val="00381E95"/>
    <w:rsid w:val="00381F8D"/>
    <w:rsid w:val="00381FA8"/>
    <w:rsid w:val="0038207B"/>
    <w:rsid w:val="0038209E"/>
    <w:rsid w:val="003820BF"/>
    <w:rsid w:val="00382111"/>
    <w:rsid w:val="00382139"/>
    <w:rsid w:val="003822BE"/>
    <w:rsid w:val="0038230C"/>
    <w:rsid w:val="0038232C"/>
    <w:rsid w:val="0038236A"/>
    <w:rsid w:val="00382446"/>
    <w:rsid w:val="003824D2"/>
    <w:rsid w:val="003824E9"/>
    <w:rsid w:val="00382568"/>
    <w:rsid w:val="00382600"/>
    <w:rsid w:val="0038262C"/>
    <w:rsid w:val="00382672"/>
    <w:rsid w:val="003826CD"/>
    <w:rsid w:val="0038275F"/>
    <w:rsid w:val="003827A8"/>
    <w:rsid w:val="003827D2"/>
    <w:rsid w:val="00382845"/>
    <w:rsid w:val="0038284D"/>
    <w:rsid w:val="00382972"/>
    <w:rsid w:val="0038299C"/>
    <w:rsid w:val="00382A1C"/>
    <w:rsid w:val="00382ABD"/>
    <w:rsid w:val="00382C8E"/>
    <w:rsid w:val="00382D07"/>
    <w:rsid w:val="00382D18"/>
    <w:rsid w:val="00382D54"/>
    <w:rsid w:val="00382DF0"/>
    <w:rsid w:val="00382DF3"/>
    <w:rsid w:val="00382E59"/>
    <w:rsid w:val="00382E68"/>
    <w:rsid w:val="00382F09"/>
    <w:rsid w:val="00382F44"/>
    <w:rsid w:val="00382F4C"/>
    <w:rsid w:val="00382FB4"/>
    <w:rsid w:val="00383036"/>
    <w:rsid w:val="003830E1"/>
    <w:rsid w:val="00383124"/>
    <w:rsid w:val="00383199"/>
    <w:rsid w:val="003831BE"/>
    <w:rsid w:val="003831C2"/>
    <w:rsid w:val="00383306"/>
    <w:rsid w:val="00383321"/>
    <w:rsid w:val="003833C1"/>
    <w:rsid w:val="0038344E"/>
    <w:rsid w:val="003834BA"/>
    <w:rsid w:val="003834E9"/>
    <w:rsid w:val="003834EF"/>
    <w:rsid w:val="003834F5"/>
    <w:rsid w:val="003835CE"/>
    <w:rsid w:val="003835D8"/>
    <w:rsid w:val="0038380B"/>
    <w:rsid w:val="00383810"/>
    <w:rsid w:val="003838A7"/>
    <w:rsid w:val="00383982"/>
    <w:rsid w:val="003839D7"/>
    <w:rsid w:val="00383A24"/>
    <w:rsid w:val="00383A9D"/>
    <w:rsid w:val="00383B33"/>
    <w:rsid w:val="00383BBD"/>
    <w:rsid w:val="00383C6D"/>
    <w:rsid w:val="00383CE8"/>
    <w:rsid w:val="00383CF3"/>
    <w:rsid w:val="00383D62"/>
    <w:rsid w:val="00383DF1"/>
    <w:rsid w:val="00383E29"/>
    <w:rsid w:val="00383EC7"/>
    <w:rsid w:val="00383F33"/>
    <w:rsid w:val="00383F4A"/>
    <w:rsid w:val="00383F6B"/>
    <w:rsid w:val="0038413D"/>
    <w:rsid w:val="00384221"/>
    <w:rsid w:val="00384371"/>
    <w:rsid w:val="00384421"/>
    <w:rsid w:val="00384501"/>
    <w:rsid w:val="0038456C"/>
    <w:rsid w:val="00384635"/>
    <w:rsid w:val="00384741"/>
    <w:rsid w:val="00384789"/>
    <w:rsid w:val="003849CE"/>
    <w:rsid w:val="003849DE"/>
    <w:rsid w:val="003849EA"/>
    <w:rsid w:val="00384A90"/>
    <w:rsid w:val="00384AC7"/>
    <w:rsid w:val="00384B1C"/>
    <w:rsid w:val="00384B3F"/>
    <w:rsid w:val="00384B68"/>
    <w:rsid w:val="00384B88"/>
    <w:rsid w:val="00384C54"/>
    <w:rsid w:val="00384CDF"/>
    <w:rsid w:val="00384DBD"/>
    <w:rsid w:val="00384DEE"/>
    <w:rsid w:val="00384E53"/>
    <w:rsid w:val="00384F13"/>
    <w:rsid w:val="00384F15"/>
    <w:rsid w:val="0038507A"/>
    <w:rsid w:val="003851B5"/>
    <w:rsid w:val="003851FB"/>
    <w:rsid w:val="00385205"/>
    <w:rsid w:val="00385383"/>
    <w:rsid w:val="003853B7"/>
    <w:rsid w:val="003853CF"/>
    <w:rsid w:val="003853E2"/>
    <w:rsid w:val="0038547F"/>
    <w:rsid w:val="00385491"/>
    <w:rsid w:val="00385593"/>
    <w:rsid w:val="0038563E"/>
    <w:rsid w:val="00385738"/>
    <w:rsid w:val="0038578E"/>
    <w:rsid w:val="003857F0"/>
    <w:rsid w:val="0038580B"/>
    <w:rsid w:val="003858B0"/>
    <w:rsid w:val="003858E2"/>
    <w:rsid w:val="0038590C"/>
    <w:rsid w:val="00385944"/>
    <w:rsid w:val="0038595D"/>
    <w:rsid w:val="00385967"/>
    <w:rsid w:val="003859A0"/>
    <w:rsid w:val="00385B47"/>
    <w:rsid w:val="00385B77"/>
    <w:rsid w:val="00385B81"/>
    <w:rsid w:val="00385BA7"/>
    <w:rsid w:val="00385BDC"/>
    <w:rsid w:val="00385BEA"/>
    <w:rsid w:val="00385C6F"/>
    <w:rsid w:val="00385CF0"/>
    <w:rsid w:val="00385D43"/>
    <w:rsid w:val="00385D57"/>
    <w:rsid w:val="00385D5F"/>
    <w:rsid w:val="00385D60"/>
    <w:rsid w:val="00385D76"/>
    <w:rsid w:val="00385DBC"/>
    <w:rsid w:val="00385E3D"/>
    <w:rsid w:val="00385E42"/>
    <w:rsid w:val="00385F3D"/>
    <w:rsid w:val="00385F85"/>
    <w:rsid w:val="00385FBF"/>
    <w:rsid w:val="00385FE2"/>
    <w:rsid w:val="00386062"/>
    <w:rsid w:val="0038609B"/>
    <w:rsid w:val="003860A9"/>
    <w:rsid w:val="003860B2"/>
    <w:rsid w:val="003860B6"/>
    <w:rsid w:val="00386191"/>
    <w:rsid w:val="003861C0"/>
    <w:rsid w:val="003861C5"/>
    <w:rsid w:val="003862FA"/>
    <w:rsid w:val="00386348"/>
    <w:rsid w:val="00386385"/>
    <w:rsid w:val="003863FC"/>
    <w:rsid w:val="0038646F"/>
    <w:rsid w:val="0038649E"/>
    <w:rsid w:val="003864D7"/>
    <w:rsid w:val="003865A1"/>
    <w:rsid w:val="0038670C"/>
    <w:rsid w:val="00386745"/>
    <w:rsid w:val="003867F7"/>
    <w:rsid w:val="003868B0"/>
    <w:rsid w:val="0038694B"/>
    <w:rsid w:val="0038696E"/>
    <w:rsid w:val="0038698D"/>
    <w:rsid w:val="00386AEC"/>
    <w:rsid w:val="00386B5E"/>
    <w:rsid w:val="00386BBF"/>
    <w:rsid w:val="00386C6A"/>
    <w:rsid w:val="00386C7A"/>
    <w:rsid w:val="00386CC9"/>
    <w:rsid w:val="00386CD4"/>
    <w:rsid w:val="00386E05"/>
    <w:rsid w:val="00386ED9"/>
    <w:rsid w:val="00386EFD"/>
    <w:rsid w:val="00386F7C"/>
    <w:rsid w:val="00386FFC"/>
    <w:rsid w:val="00387011"/>
    <w:rsid w:val="00387088"/>
    <w:rsid w:val="0038710D"/>
    <w:rsid w:val="0038712C"/>
    <w:rsid w:val="003871BB"/>
    <w:rsid w:val="0038726B"/>
    <w:rsid w:val="003872C2"/>
    <w:rsid w:val="003873D2"/>
    <w:rsid w:val="00387486"/>
    <w:rsid w:val="003874B2"/>
    <w:rsid w:val="00387501"/>
    <w:rsid w:val="00387569"/>
    <w:rsid w:val="0038757E"/>
    <w:rsid w:val="0038761B"/>
    <w:rsid w:val="003876B9"/>
    <w:rsid w:val="003876E4"/>
    <w:rsid w:val="00387759"/>
    <w:rsid w:val="0038775E"/>
    <w:rsid w:val="003877DD"/>
    <w:rsid w:val="003877F5"/>
    <w:rsid w:val="0038786E"/>
    <w:rsid w:val="00387879"/>
    <w:rsid w:val="00387883"/>
    <w:rsid w:val="003878CA"/>
    <w:rsid w:val="003878EF"/>
    <w:rsid w:val="003878F0"/>
    <w:rsid w:val="0038793F"/>
    <w:rsid w:val="00387A0A"/>
    <w:rsid w:val="00387A23"/>
    <w:rsid w:val="00387AC7"/>
    <w:rsid w:val="00387AFF"/>
    <w:rsid w:val="00387B05"/>
    <w:rsid w:val="00387B58"/>
    <w:rsid w:val="00387B76"/>
    <w:rsid w:val="00387B90"/>
    <w:rsid w:val="00387BA8"/>
    <w:rsid w:val="00387BCA"/>
    <w:rsid w:val="00387C08"/>
    <w:rsid w:val="00387D1A"/>
    <w:rsid w:val="00387D56"/>
    <w:rsid w:val="00387D97"/>
    <w:rsid w:val="00387DB2"/>
    <w:rsid w:val="00387DFB"/>
    <w:rsid w:val="00387E6C"/>
    <w:rsid w:val="00387EAA"/>
    <w:rsid w:val="00387F02"/>
    <w:rsid w:val="00387F80"/>
    <w:rsid w:val="00387F88"/>
    <w:rsid w:val="003900AC"/>
    <w:rsid w:val="00390125"/>
    <w:rsid w:val="00390132"/>
    <w:rsid w:val="00390158"/>
    <w:rsid w:val="003901E3"/>
    <w:rsid w:val="00390240"/>
    <w:rsid w:val="00390243"/>
    <w:rsid w:val="00390304"/>
    <w:rsid w:val="0039030A"/>
    <w:rsid w:val="00390342"/>
    <w:rsid w:val="0039034E"/>
    <w:rsid w:val="003903BB"/>
    <w:rsid w:val="00390444"/>
    <w:rsid w:val="0039047F"/>
    <w:rsid w:val="00390485"/>
    <w:rsid w:val="003904E0"/>
    <w:rsid w:val="003904F1"/>
    <w:rsid w:val="0039059D"/>
    <w:rsid w:val="003905B4"/>
    <w:rsid w:val="00390651"/>
    <w:rsid w:val="0039066C"/>
    <w:rsid w:val="0039071C"/>
    <w:rsid w:val="0039072A"/>
    <w:rsid w:val="0039076E"/>
    <w:rsid w:val="0039081B"/>
    <w:rsid w:val="0039083F"/>
    <w:rsid w:val="00390842"/>
    <w:rsid w:val="003908F3"/>
    <w:rsid w:val="00390963"/>
    <w:rsid w:val="00390966"/>
    <w:rsid w:val="00390A34"/>
    <w:rsid w:val="00390B30"/>
    <w:rsid w:val="00390CAC"/>
    <w:rsid w:val="00390CCD"/>
    <w:rsid w:val="00390D16"/>
    <w:rsid w:val="00390DD6"/>
    <w:rsid w:val="00390EB3"/>
    <w:rsid w:val="00391098"/>
    <w:rsid w:val="003910BF"/>
    <w:rsid w:val="00391107"/>
    <w:rsid w:val="00391113"/>
    <w:rsid w:val="00391160"/>
    <w:rsid w:val="00391189"/>
    <w:rsid w:val="00391289"/>
    <w:rsid w:val="003913DD"/>
    <w:rsid w:val="003913FC"/>
    <w:rsid w:val="00391411"/>
    <w:rsid w:val="003914CB"/>
    <w:rsid w:val="003914CC"/>
    <w:rsid w:val="003914CE"/>
    <w:rsid w:val="003914D8"/>
    <w:rsid w:val="00391519"/>
    <w:rsid w:val="0039152B"/>
    <w:rsid w:val="003916A4"/>
    <w:rsid w:val="003916CF"/>
    <w:rsid w:val="003916EF"/>
    <w:rsid w:val="00391710"/>
    <w:rsid w:val="00391736"/>
    <w:rsid w:val="00391821"/>
    <w:rsid w:val="0039182A"/>
    <w:rsid w:val="0039191A"/>
    <w:rsid w:val="0039192F"/>
    <w:rsid w:val="00391946"/>
    <w:rsid w:val="00391A23"/>
    <w:rsid w:val="00391A59"/>
    <w:rsid w:val="00391AD6"/>
    <w:rsid w:val="00391AFB"/>
    <w:rsid w:val="00391B00"/>
    <w:rsid w:val="00391B8F"/>
    <w:rsid w:val="00391BB0"/>
    <w:rsid w:val="00391C3C"/>
    <w:rsid w:val="00391C76"/>
    <w:rsid w:val="00391C92"/>
    <w:rsid w:val="00391CB3"/>
    <w:rsid w:val="00391D03"/>
    <w:rsid w:val="00391D26"/>
    <w:rsid w:val="00391DDB"/>
    <w:rsid w:val="00391E89"/>
    <w:rsid w:val="00391F68"/>
    <w:rsid w:val="00392058"/>
    <w:rsid w:val="0039210C"/>
    <w:rsid w:val="00392133"/>
    <w:rsid w:val="00392141"/>
    <w:rsid w:val="003921A8"/>
    <w:rsid w:val="003921CA"/>
    <w:rsid w:val="0039223F"/>
    <w:rsid w:val="00392281"/>
    <w:rsid w:val="0039229B"/>
    <w:rsid w:val="003922BD"/>
    <w:rsid w:val="00392306"/>
    <w:rsid w:val="0039231B"/>
    <w:rsid w:val="0039241D"/>
    <w:rsid w:val="003924F3"/>
    <w:rsid w:val="003925A0"/>
    <w:rsid w:val="003925DA"/>
    <w:rsid w:val="0039262C"/>
    <w:rsid w:val="003926E6"/>
    <w:rsid w:val="00392725"/>
    <w:rsid w:val="00392737"/>
    <w:rsid w:val="003927A5"/>
    <w:rsid w:val="003928FC"/>
    <w:rsid w:val="00392971"/>
    <w:rsid w:val="00392A12"/>
    <w:rsid w:val="00392B10"/>
    <w:rsid w:val="00392B1E"/>
    <w:rsid w:val="00392B42"/>
    <w:rsid w:val="00392CC6"/>
    <w:rsid w:val="00392DB1"/>
    <w:rsid w:val="00392E11"/>
    <w:rsid w:val="00392EA0"/>
    <w:rsid w:val="00392F0B"/>
    <w:rsid w:val="00392F4F"/>
    <w:rsid w:val="00392F70"/>
    <w:rsid w:val="0039302D"/>
    <w:rsid w:val="003930C9"/>
    <w:rsid w:val="003931F1"/>
    <w:rsid w:val="00393209"/>
    <w:rsid w:val="0039335B"/>
    <w:rsid w:val="00393375"/>
    <w:rsid w:val="0039337C"/>
    <w:rsid w:val="0039338F"/>
    <w:rsid w:val="00393472"/>
    <w:rsid w:val="003935E7"/>
    <w:rsid w:val="00393667"/>
    <w:rsid w:val="003936A0"/>
    <w:rsid w:val="003936B7"/>
    <w:rsid w:val="003937EC"/>
    <w:rsid w:val="0039380C"/>
    <w:rsid w:val="0039388E"/>
    <w:rsid w:val="00393893"/>
    <w:rsid w:val="003938EF"/>
    <w:rsid w:val="0039391F"/>
    <w:rsid w:val="00393939"/>
    <w:rsid w:val="00393A50"/>
    <w:rsid w:val="00393A68"/>
    <w:rsid w:val="00393A7C"/>
    <w:rsid w:val="00393AA9"/>
    <w:rsid w:val="00393AC5"/>
    <w:rsid w:val="00393ACD"/>
    <w:rsid w:val="00393BD8"/>
    <w:rsid w:val="00393BEF"/>
    <w:rsid w:val="00393C72"/>
    <w:rsid w:val="00393C8C"/>
    <w:rsid w:val="00393CAB"/>
    <w:rsid w:val="00393CB2"/>
    <w:rsid w:val="00393CE6"/>
    <w:rsid w:val="00393D95"/>
    <w:rsid w:val="00393E4C"/>
    <w:rsid w:val="00393E7B"/>
    <w:rsid w:val="00393E96"/>
    <w:rsid w:val="00393F08"/>
    <w:rsid w:val="00393F42"/>
    <w:rsid w:val="00393FE4"/>
    <w:rsid w:val="00394016"/>
    <w:rsid w:val="0039407F"/>
    <w:rsid w:val="003940B6"/>
    <w:rsid w:val="003940BB"/>
    <w:rsid w:val="00394171"/>
    <w:rsid w:val="0039420C"/>
    <w:rsid w:val="003942A4"/>
    <w:rsid w:val="003942FB"/>
    <w:rsid w:val="00394317"/>
    <w:rsid w:val="003943EB"/>
    <w:rsid w:val="00394405"/>
    <w:rsid w:val="00394458"/>
    <w:rsid w:val="0039454C"/>
    <w:rsid w:val="0039461F"/>
    <w:rsid w:val="003946CB"/>
    <w:rsid w:val="003946EB"/>
    <w:rsid w:val="00394836"/>
    <w:rsid w:val="003948A6"/>
    <w:rsid w:val="003948CE"/>
    <w:rsid w:val="0039493F"/>
    <w:rsid w:val="0039497C"/>
    <w:rsid w:val="00394A32"/>
    <w:rsid w:val="00394A3D"/>
    <w:rsid w:val="00394B5A"/>
    <w:rsid w:val="00394C24"/>
    <w:rsid w:val="00394C4F"/>
    <w:rsid w:val="00394CEB"/>
    <w:rsid w:val="00394E09"/>
    <w:rsid w:val="00394E21"/>
    <w:rsid w:val="00394F3E"/>
    <w:rsid w:val="00394F74"/>
    <w:rsid w:val="00394FD7"/>
    <w:rsid w:val="00394FEA"/>
    <w:rsid w:val="003950A6"/>
    <w:rsid w:val="003950D3"/>
    <w:rsid w:val="0039514A"/>
    <w:rsid w:val="00395151"/>
    <w:rsid w:val="003951EB"/>
    <w:rsid w:val="003951FD"/>
    <w:rsid w:val="00395207"/>
    <w:rsid w:val="003953A5"/>
    <w:rsid w:val="003953BA"/>
    <w:rsid w:val="0039543F"/>
    <w:rsid w:val="0039549B"/>
    <w:rsid w:val="00395615"/>
    <w:rsid w:val="00395658"/>
    <w:rsid w:val="0039566B"/>
    <w:rsid w:val="0039577C"/>
    <w:rsid w:val="00395811"/>
    <w:rsid w:val="00395842"/>
    <w:rsid w:val="0039586A"/>
    <w:rsid w:val="00395901"/>
    <w:rsid w:val="0039597F"/>
    <w:rsid w:val="00395A1E"/>
    <w:rsid w:val="00395B15"/>
    <w:rsid w:val="00395BA3"/>
    <w:rsid w:val="00395BC6"/>
    <w:rsid w:val="00395C4A"/>
    <w:rsid w:val="00395C5E"/>
    <w:rsid w:val="00395CAE"/>
    <w:rsid w:val="00395CD0"/>
    <w:rsid w:val="00395CD2"/>
    <w:rsid w:val="00395D57"/>
    <w:rsid w:val="00395D59"/>
    <w:rsid w:val="00395E81"/>
    <w:rsid w:val="00395EF9"/>
    <w:rsid w:val="00395F47"/>
    <w:rsid w:val="00395F64"/>
    <w:rsid w:val="00395F84"/>
    <w:rsid w:val="00396080"/>
    <w:rsid w:val="003960B2"/>
    <w:rsid w:val="003960BE"/>
    <w:rsid w:val="003960C7"/>
    <w:rsid w:val="003960E5"/>
    <w:rsid w:val="00396109"/>
    <w:rsid w:val="003961DD"/>
    <w:rsid w:val="003961EE"/>
    <w:rsid w:val="0039621A"/>
    <w:rsid w:val="0039621B"/>
    <w:rsid w:val="0039621F"/>
    <w:rsid w:val="003962E1"/>
    <w:rsid w:val="00396370"/>
    <w:rsid w:val="00396422"/>
    <w:rsid w:val="003964C7"/>
    <w:rsid w:val="00396528"/>
    <w:rsid w:val="00396603"/>
    <w:rsid w:val="0039662D"/>
    <w:rsid w:val="003968F0"/>
    <w:rsid w:val="00396919"/>
    <w:rsid w:val="0039698E"/>
    <w:rsid w:val="003969BF"/>
    <w:rsid w:val="00396A45"/>
    <w:rsid w:val="00396B46"/>
    <w:rsid w:val="00396B4E"/>
    <w:rsid w:val="00396BFE"/>
    <w:rsid w:val="00396C17"/>
    <w:rsid w:val="00396C1E"/>
    <w:rsid w:val="00396C7A"/>
    <w:rsid w:val="00396CEA"/>
    <w:rsid w:val="00396CF8"/>
    <w:rsid w:val="00396D74"/>
    <w:rsid w:val="00396E2A"/>
    <w:rsid w:val="00396E35"/>
    <w:rsid w:val="00396ECB"/>
    <w:rsid w:val="00396F13"/>
    <w:rsid w:val="00396F16"/>
    <w:rsid w:val="00396F77"/>
    <w:rsid w:val="0039701B"/>
    <w:rsid w:val="00397219"/>
    <w:rsid w:val="00397256"/>
    <w:rsid w:val="00397267"/>
    <w:rsid w:val="0039731D"/>
    <w:rsid w:val="00397357"/>
    <w:rsid w:val="003974D6"/>
    <w:rsid w:val="003974EE"/>
    <w:rsid w:val="00397561"/>
    <w:rsid w:val="003975AB"/>
    <w:rsid w:val="003975D3"/>
    <w:rsid w:val="003975E2"/>
    <w:rsid w:val="003975FB"/>
    <w:rsid w:val="003976FE"/>
    <w:rsid w:val="0039776D"/>
    <w:rsid w:val="003977EB"/>
    <w:rsid w:val="00397804"/>
    <w:rsid w:val="0039788F"/>
    <w:rsid w:val="003978A7"/>
    <w:rsid w:val="003978B2"/>
    <w:rsid w:val="003978F9"/>
    <w:rsid w:val="00397927"/>
    <w:rsid w:val="00397971"/>
    <w:rsid w:val="003979CA"/>
    <w:rsid w:val="003979D4"/>
    <w:rsid w:val="003979DA"/>
    <w:rsid w:val="00397A29"/>
    <w:rsid w:val="00397B52"/>
    <w:rsid w:val="00397B8E"/>
    <w:rsid w:val="00397BDA"/>
    <w:rsid w:val="00397BE8"/>
    <w:rsid w:val="00397C83"/>
    <w:rsid w:val="00397CB8"/>
    <w:rsid w:val="00397D6B"/>
    <w:rsid w:val="00397D9F"/>
    <w:rsid w:val="00397DBB"/>
    <w:rsid w:val="00397DBF"/>
    <w:rsid w:val="00397E07"/>
    <w:rsid w:val="00397E25"/>
    <w:rsid w:val="00397E2D"/>
    <w:rsid w:val="00397E9B"/>
    <w:rsid w:val="00397EAE"/>
    <w:rsid w:val="00397EBB"/>
    <w:rsid w:val="00397F5A"/>
    <w:rsid w:val="00397F8E"/>
    <w:rsid w:val="00397FC2"/>
    <w:rsid w:val="00397FE0"/>
    <w:rsid w:val="0039C849"/>
    <w:rsid w:val="003A019F"/>
    <w:rsid w:val="003A01B0"/>
    <w:rsid w:val="003A01E0"/>
    <w:rsid w:val="003A0355"/>
    <w:rsid w:val="003A0464"/>
    <w:rsid w:val="003A053A"/>
    <w:rsid w:val="003A053D"/>
    <w:rsid w:val="003A06A6"/>
    <w:rsid w:val="003A06E8"/>
    <w:rsid w:val="003A0713"/>
    <w:rsid w:val="003A077E"/>
    <w:rsid w:val="003A07D6"/>
    <w:rsid w:val="003A0862"/>
    <w:rsid w:val="003A0975"/>
    <w:rsid w:val="003A0983"/>
    <w:rsid w:val="003A09CE"/>
    <w:rsid w:val="003A0ACF"/>
    <w:rsid w:val="003A0C85"/>
    <w:rsid w:val="003A0CA2"/>
    <w:rsid w:val="003A0CFC"/>
    <w:rsid w:val="003A0DFD"/>
    <w:rsid w:val="003A0E93"/>
    <w:rsid w:val="003A0ED9"/>
    <w:rsid w:val="003A0EF9"/>
    <w:rsid w:val="003A0F06"/>
    <w:rsid w:val="003A0FD8"/>
    <w:rsid w:val="003A0FEA"/>
    <w:rsid w:val="003A104B"/>
    <w:rsid w:val="003A1132"/>
    <w:rsid w:val="003A1177"/>
    <w:rsid w:val="003A11CB"/>
    <w:rsid w:val="003A125C"/>
    <w:rsid w:val="003A1301"/>
    <w:rsid w:val="003A134D"/>
    <w:rsid w:val="003A13E6"/>
    <w:rsid w:val="003A153B"/>
    <w:rsid w:val="003A1641"/>
    <w:rsid w:val="003A1652"/>
    <w:rsid w:val="003A16E4"/>
    <w:rsid w:val="003A17A8"/>
    <w:rsid w:val="003A17C8"/>
    <w:rsid w:val="003A18EF"/>
    <w:rsid w:val="003A190A"/>
    <w:rsid w:val="003A196A"/>
    <w:rsid w:val="003A196E"/>
    <w:rsid w:val="003A1A47"/>
    <w:rsid w:val="003A1A89"/>
    <w:rsid w:val="003A1C65"/>
    <w:rsid w:val="003A1C78"/>
    <w:rsid w:val="003A1D27"/>
    <w:rsid w:val="003A1D50"/>
    <w:rsid w:val="003A1E0C"/>
    <w:rsid w:val="003A1E3F"/>
    <w:rsid w:val="003A1EFB"/>
    <w:rsid w:val="003A1FE0"/>
    <w:rsid w:val="003A2055"/>
    <w:rsid w:val="003A2127"/>
    <w:rsid w:val="003A22C5"/>
    <w:rsid w:val="003A231B"/>
    <w:rsid w:val="003A2345"/>
    <w:rsid w:val="003A2390"/>
    <w:rsid w:val="003A23CD"/>
    <w:rsid w:val="003A2609"/>
    <w:rsid w:val="003A2680"/>
    <w:rsid w:val="003A2699"/>
    <w:rsid w:val="003A2703"/>
    <w:rsid w:val="003A275B"/>
    <w:rsid w:val="003A2801"/>
    <w:rsid w:val="003A283C"/>
    <w:rsid w:val="003A287B"/>
    <w:rsid w:val="003A28D0"/>
    <w:rsid w:val="003A29C1"/>
    <w:rsid w:val="003A2A3A"/>
    <w:rsid w:val="003A2A4B"/>
    <w:rsid w:val="003A2B29"/>
    <w:rsid w:val="003A2C21"/>
    <w:rsid w:val="003A2C28"/>
    <w:rsid w:val="003A2C55"/>
    <w:rsid w:val="003A2C6A"/>
    <w:rsid w:val="003A2CDF"/>
    <w:rsid w:val="003A2E12"/>
    <w:rsid w:val="003A2E74"/>
    <w:rsid w:val="003A2E98"/>
    <w:rsid w:val="003A2F55"/>
    <w:rsid w:val="003A2F59"/>
    <w:rsid w:val="003A2F7C"/>
    <w:rsid w:val="003A2F95"/>
    <w:rsid w:val="003A2FFB"/>
    <w:rsid w:val="003A302D"/>
    <w:rsid w:val="003A3103"/>
    <w:rsid w:val="003A311D"/>
    <w:rsid w:val="003A3143"/>
    <w:rsid w:val="003A318C"/>
    <w:rsid w:val="003A3229"/>
    <w:rsid w:val="003A324D"/>
    <w:rsid w:val="003A3297"/>
    <w:rsid w:val="003A330F"/>
    <w:rsid w:val="003A33F2"/>
    <w:rsid w:val="003A3427"/>
    <w:rsid w:val="003A345B"/>
    <w:rsid w:val="003A351C"/>
    <w:rsid w:val="003A359B"/>
    <w:rsid w:val="003A3603"/>
    <w:rsid w:val="003A3630"/>
    <w:rsid w:val="003A3672"/>
    <w:rsid w:val="003A36D2"/>
    <w:rsid w:val="003A36E6"/>
    <w:rsid w:val="003A3765"/>
    <w:rsid w:val="003A37D6"/>
    <w:rsid w:val="003A37F9"/>
    <w:rsid w:val="003A388A"/>
    <w:rsid w:val="003A3929"/>
    <w:rsid w:val="003A393B"/>
    <w:rsid w:val="003A3960"/>
    <w:rsid w:val="003A3970"/>
    <w:rsid w:val="003A39B0"/>
    <w:rsid w:val="003A3A94"/>
    <w:rsid w:val="003A3AF3"/>
    <w:rsid w:val="003A3B4B"/>
    <w:rsid w:val="003A3B50"/>
    <w:rsid w:val="003A3BDB"/>
    <w:rsid w:val="003A3C46"/>
    <w:rsid w:val="003A3CBE"/>
    <w:rsid w:val="003A3CDB"/>
    <w:rsid w:val="003A3D99"/>
    <w:rsid w:val="003A3DA3"/>
    <w:rsid w:val="003A3E26"/>
    <w:rsid w:val="003A3E3A"/>
    <w:rsid w:val="003A3E5E"/>
    <w:rsid w:val="003A3E84"/>
    <w:rsid w:val="003A3F2C"/>
    <w:rsid w:val="003A3F88"/>
    <w:rsid w:val="003A4018"/>
    <w:rsid w:val="003A4036"/>
    <w:rsid w:val="003A40F7"/>
    <w:rsid w:val="003A4127"/>
    <w:rsid w:val="003A4152"/>
    <w:rsid w:val="003A41DC"/>
    <w:rsid w:val="003A4258"/>
    <w:rsid w:val="003A4289"/>
    <w:rsid w:val="003A4344"/>
    <w:rsid w:val="003A4381"/>
    <w:rsid w:val="003A4389"/>
    <w:rsid w:val="003A4393"/>
    <w:rsid w:val="003A43A0"/>
    <w:rsid w:val="003A446B"/>
    <w:rsid w:val="003A44A8"/>
    <w:rsid w:val="003A4579"/>
    <w:rsid w:val="003A45B9"/>
    <w:rsid w:val="003A473F"/>
    <w:rsid w:val="003A47E3"/>
    <w:rsid w:val="003A4850"/>
    <w:rsid w:val="003A4896"/>
    <w:rsid w:val="003A48CE"/>
    <w:rsid w:val="003A4A30"/>
    <w:rsid w:val="003A4A59"/>
    <w:rsid w:val="003A4AB6"/>
    <w:rsid w:val="003A4B47"/>
    <w:rsid w:val="003A4B86"/>
    <w:rsid w:val="003A4C1D"/>
    <w:rsid w:val="003A4D85"/>
    <w:rsid w:val="003A4DED"/>
    <w:rsid w:val="003A4E00"/>
    <w:rsid w:val="003A4ED4"/>
    <w:rsid w:val="003A4F07"/>
    <w:rsid w:val="003A4F34"/>
    <w:rsid w:val="003A4FD4"/>
    <w:rsid w:val="003A5023"/>
    <w:rsid w:val="003A5064"/>
    <w:rsid w:val="003A5075"/>
    <w:rsid w:val="003A51D0"/>
    <w:rsid w:val="003A51E3"/>
    <w:rsid w:val="003A52E8"/>
    <w:rsid w:val="003A5317"/>
    <w:rsid w:val="003A533D"/>
    <w:rsid w:val="003A535D"/>
    <w:rsid w:val="003A5388"/>
    <w:rsid w:val="003A5448"/>
    <w:rsid w:val="003A54B4"/>
    <w:rsid w:val="003A552A"/>
    <w:rsid w:val="003A555F"/>
    <w:rsid w:val="003A558A"/>
    <w:rsid w:val="003A55C2"/>
    <w:rsid w:val="003A5641"/>
    <w:rsid w:val="003A5659"/>
    <w:rsid w:val="003A56B6"/>
    <w:rsid w:val="003A5736"/>
    <w:rsid w:val="003A5814"/>
    <w:rsid w:val="003A5826"/>
    <w:rsid w:val="003A58CA"/>
    <w:rsid w:val="003A5947"/>
    <w:rsid w:val="003A5AA0"/>
    <w:rsid w:val="003A5AA6"/>
    <w:rsid w:val="003A5AA7"/>
    <w:rsid w:val="003A5AE1"/>
    <w:rsid w:val="003A5AE5"/>
    <w:rsid w:val="003A5BB7"/>
    <w:rsid w:val="003A5BE9"/>
    <w:rsid w:val="003A5C36"/>
    <w:rsid w:val="003A5C5C"/>
    <w:rsid w:val="003A5C74"/>
    <w:rsid w:val="003A5CBB"/>
    <w:rsid w:val="003A5CF8"/>
    <w:rsid w:val="003A5D23"/>
    <w:rsid w:val="003A5D9D"/>
    <w:rsid w:val="003A5E3F"/>
    <w:rsid w:val="003A5E82"/>
    <w:rsid w:val="003A5EF0"/>
    <w:rsid w:val="003A5EF4"/>
    <w:rsid w:val="003A5F08"/>
    <w:rsid w:val="003A5F5B"/>
    <w:rsid w:val="003A5F87"/>
    <w:rsid w:val="003A5FA5"/>
    <w:rsid w:val="003A5FF2"/>
    <w:rsid w:val="003A60C0"/>
    <w:rsid w:val="003A6111"/>
    <w:rsid w:val="003A61E9"/>
    <w:rsid w:val="003A6243"/>
    <w:rsid w:val="003A6278"/>
    <w:rsid w:val="003A6329"/>
    <w:rsid w:val="003A63BD"/>
    <w:rsid w:val="003A646B"/>
    <w:rsid w:val="003A64B5"/>
    <w:rsid w:val="003A64CF"/>
    <w:rsid w:val="003A651D"/>
    <w:rsid w:val="003A6527"/>
    <w:rsid w:val="003A658A"/>
    <w:rsid w:val="003A663D"/>
    <w:rsid w:val="003A66BE"/>
    <w:rsid w:val="003A66E4"/>
    <w:rsid w:val="003A6707"/>
    <w:rsid w:val="003A670D"/>
    <w:rsid w:val="003A674F"/>
    <w:rsid w:val="003A6865"/>
    <w:rsid w:val="003A6941"/>
    <w:rsid w:val="003A69D8"/>
    <w:rsid w:val="003A69EA"/>
    <w:rsid w:val="003A6A1A"/>
    <w:rsid w:val="003A6A21"/>
    <w:rsid w:val="003A6B3D"/>
    <w:rsid w:val="003A6BAF"/>
    <w:rsid w:val="003A6BD5"/>
    <w:rsid w:val="003A6BEE"/>
    <w:rsid w:val="003A6C06"/>
    <w:rsid w:val="003A6C8A"/>
    <w:rsid w:val="003A6EDF"/>
    <w:rsid w:val="003A6FCC"/>
    <w:rsid w:val="003A6FE7"/>
    <w:rsid w:val="003A70AC"/>
    <w:rsid w:val="003A70BA"/>
    <w:rsid w:val="003A710E"/>
    <w:rsid w:val="003A715D"/>
    <w:rsid w:val="003A72AE"/>
    <w:rsid w:val="003A72C9"/>
    <w:rsid w:val="003A749F"/>
    <w:rsid w:val="003A75A4"/>
    <w:rsid w:val="003A75B5"/>
    <w:rsid w:val="003A75F7"/>
    <w:rsid w:val="003A764D"/>
    <w:rsid w:val="003A766D"/>
    <w:rsid w:val="003A76C1"/>
    <w:rsid w:val="003A76CB"/>
    <w:rsid w:val="003A7729"/>
    <w:rsid w:val="003A7802"/>
    <w:rsid w:val="003A78B1"/>
    <w:rsid w:val="003A7921"/>
    <w:rsid w:val="003A7944"/>
    <w:rsid w:val="003A7A58"/>
    <w:rsid w:val="003A7A7A"/>
    <w:rsid w:val="003A7AF7"/>
    <w:rsid w:val="003A7B18"/>
    <w:rsid w:val="003A7B9E"/>
    <w:rsid w:val="003A7D88"/>
    <w:rsid w:val="003A7E6E"/>
    <w:rsid w:val="003A7F04"/>
    <w:rsid w:val="003A7F70"/>
    <w:rsid w:val="003A7FAE"/>
    <w:rsid w:val="003AC537"/>
    <w:rsid w:val="003B0036"/>
    <w:rsid w:val="003B0040"/>
    <w:rsid w:val="003B00B8"/>
    <w:rsid w:val="003B00F7"/>
    <w:rsid w:val="003B0105"/>
    <w:rsid w:val="003B011B"/>
    <w:rsid w:val="003B0183"/>
    <w:rsid w:val="003B01D0"/>
    <w:rsid w:val="003B0232"/>
    <w:rsid w:val="003B026E"/>
    <w:rsid w:val="003B028B"/>
    <w:rsid w:val="003B02AC"/>
    <w:rsid w:val="003B02FE"/>
    <w:rsid w:val="003B0380"/>
    <w:rsid w:val="003B03EC"/>
    <w:rsid w:val="003B0421"/>
    <w:rsid w:val="003B0456"/>
    <w:rsid w:val="003B0533"/>
    <w:rsid w:val="003B056A"/>
    <w:rsid w:val="003B05BD"/>
    <w:rsid w:val="003B05D0"/>
    <w:rsid w:val="003B05F8"/>
    <w:rsid w:val="003B0648"/>
    <w:rsid w:val="003B0654"/>
    <w:rsid w:val="003B0694"/>
    <w:rsid w:val="003B0717"/>
    <w:rsid w:val="003B071A"/>
    <w:rsid w:val="003B0749"/>
    <w:rsid w:val="003B0780"/>
    <w:rsid w:val="003B0833"/>
    <w:rsid w:val="003B0848"/>
    <w:rsid w:val="003B08D3"/>
    <w:rsid w:val="003B08FF"/>
    <w:rsid w:val="003B0977"/>
    <w:rsid w:val="003B097C"/>
    <w:rsid w:val="003B0990"/>
    <w:rsid w:val="003B0A3E"/>
    <w:rsid w:val="003B0AC7"/>
    <w:rsid w:val="003B0AD6"/>
    <w:rsid w:val="003B0B39"/>
    <w:rsid w:val="003B0BFA"/>
    <w:rsid w:val="003B0C14"/>
    <w:rsid w:val="003B0CD2"/>
    <w:rsid w:val="003B0CFC"/>
    <w:rsid w:val="003B0D05"/>
    <w:rsid w:val="003B0D28"/>
    <w:rsid w:val="003B0D5E"/>
    <w:rsid w:val="003B0E2D"/>
    <w:rsid w:val="003B0E67"/>
    <w:rsid w:val="003B0FD5"/>
    <w:rsid w:val="003B1129"/>
    <w:rsid w:val="003B1178"/>
    <w:rsid w:val="003B1196"/>
    <w:rsid w:val="003B120F"/>
    <w:rsid w:val="003B1230"/>
    <w:rsid w:val="003B127C"/>
    <w:rsid w:val="003B127E"/>
    <w:rsid w:val="003B1299"/>
    <w:rsid w:val="003B1339"/>
    <w:rsid w:val="003B133A"/>
    <w:rsid w:val="003B145A"/>
    <w:rsid w:val="003B1560"/>
    <w:rsid w:val="003B1580"/>
    <w:rsid w:val="003B15EC"/>
    <w:rsid w:val="003B1602"/>
    <w:rsid w:val="003B165A"/>
    <w:rsid w:val="003B167D"/>
    <w:rsid w:val="003B16DD"/>
    <w:rsid w:val="003B1745"/>
    <w:rsid w:val="003B176C"/>
    <w:rsid w:val="003B1800"/>
    <w:rsid w:val="003B180D"/>
    <w:rsid w:val="003B1866"/>
    <w:rsid w:val="003B189B"/>
    <w:rsid w:val="003B189E"/>
    <w:rsid w:val="003B18A5"/>
    <w:rsid w:val="003B18F2"/>
    <w:rsid w:val="003B18FD"/>
    <w:rsid w:val="003B1912"/>
    <w:rsid w:val="003B1914"/>
    <w:rsid w:val="003B1927"/>
    <w:rsid w:val="003B19EC"/>
    <w:rsid w:val="003B1A35"/>
    <w:rsid w:val="003B1A52"/>
    <w:rsid w:val="003B1AEE"/>
    <w:rsid w:val="003B1B45"/>
    <w:rsid w:val="003B1B8D"/>
    <w:rsid w:val="003B1BA8"/>
    <w:rsid w:val="003B1CDC"/>
    <w:rsid w:val="003B1CF6"/>
    <w:rsid w:val="003B1D2D"/>
    <w:rsid w:val="003B1D99"/>
    <w:rsid w:val="003B1DA1"/>
    <w:rsid w:val="003B1DFE"/>
    <w:rsid w:val="003B1E96"/>
    <w:rsid w:val="003B1EB6"/>
    <w:rsid w:val="003B1EF2"/>
    <w:rsid w:val="003B1F20"/>
    <w:rsid w:val="003B1F49"/>
    <w:rsid w:val="003B1F8D"/>
    <w:rsid w:val="003B1FB8"/>
    <w:rsid w:val="003B2045"/>
    <w:rsid w:val="003B2063"/>
    <w:rsid w:val="003B207A"/>
    <w:rsid w:val="003B20B2"/>
    <w:rsid w:val="003B20ED"/>
    <w:rsid w:val="003B2113"/>
    <w:rsid w:val="003B212D"/>
    <w:rsid w:val="003B214A"/>
    <w:rsid w:val="003B2156"/>
    <w:rsid w:val="003B2157"/>
    <w:rsid w:val="003B217B"/>
    <w:rsid w:val="003B2182"/>
    <w:rsid w:val="003B21CF"/>
    <w:rsid w:val="003B2213"/>
    <w:rsid w:val="003B22BD"/>
    <w:rsid w:val="003B22E2"/>
    <w:rsid w:val="003B246A"/>
    <w:rsid w:val="003B24B6"/>
    <w:rsid w:val="003B24F5"/>
    <w:rsid w:val="003B2506"/>
    <w:rsid w:val="003B2538"/>
    <w:rsid w:val="003B2544"/>
    <w:rsid w:val="003B259D"/>
    <w:rsid w:val="003B25AA"/>
    <w:rsid w:val="003B25EE"/>
    <w:rsid w:val="003B26C7"/>
    <w:rsid w:val="003B26EB"/>
    <w:rsid w:val="003B2708"/>
    <w:rsid w:val="003B2709"/>
    <w:rsid w:val="003B2815"/>
    <w:rsid w:val="003B283C"/>
    <w:rsid w:val="003B292F"/>
    <w:rsid w:val="003B29B8"/>
    <w:rsid w:val="003B2A41"/>
    <w:rsid w:val="003B2A42"/>
    <w:rsid w:val="003B2A45"/>
    <w:rsid w:val="003B2B21"/>
    <w:rsid w:val="003B2B45"/>
    <w:rsid w:val="003B2B8B"/>
    <w:rsid w:val="003B2BE0"/>
    <w:rsid w:val="003B2C34"/>
    <w:rsid w:val="003B2C35"/>
    <w:rsid w:val="003B2CA4"/>
    <w:rsid w:val="003B2E37"/>
    <w:rsid w:val="003B2E93"/>
    <w:rsid w:val="003B2FE2"/>
    <w:rsid w:val="003B3009"/>
    <w:rsid w:val="003B3012"/>
    <w:rsid w:val="003B3033"/>
    <w:rsid w:val="003B304E"/>
    <w:rsid w:val="003B305D"/>
    <w:rsid w:val="003B3074"/>
    <w:rsid w:val="003B307C"/>
    <w:rsid w:val="003B3127"/>
    <w:rsid w:val="003B3144"/>
    <w:rsid w:val="003B315B"/>
    <w:rsid w:val="003B3163"/>
    <w:rsid w:val="003B31D2"/>
    <w:rsid w:val="003B328E"/>
    <w:rsid w:val="003B32B0"/>
    <w:rsid w:val="003B3305"/>
    <w:rsid w:val="003B3324"/>
    <w:rsid w:val="003B337A"/>
    <w:rsid w:val="003B3386"/>
    <w:rsid w:val="003B338E"/>
    <w:rsid w:val="003B33E4"/>
    <w:rsid w:val="003B33EF"/>
    <w:rsid w:val="003B33FE"/>
    <w:rsid w:val="003B3435"/>
    <w:rsid w:val="003B343F"/>
    <w:rsid w:val="003B345B"/>
    <w:rsid w:val="003B3487"/>
    <w:rsid w:val="003B3514"/>
    <w:rsid w:val="003B3563"/>
    <w:rsid w:val="003B3567"/>
    <w:rsid w:val="003B375E"/>
    <w:rsid w:val="003B3776"/>
    <w:rsid w:val="003B379A"/>
    <w:rsid w:val="003B37AE"/>
    <w:rsid w:val="003B3813"/>
    <w:rsid w:val="003B3890"/>
    <w:rsid w:val="003B38C9"/>
    <w:rsid w:val="003B3929"/>
    <w:rsid w:val="003B39CA"/>
    <w:rsid w:val="003B39DF"/>
    <w:rsid w:val="003B3A49"/>
    <w:rsid w:val="003B3A5D"/>
    <w:rsid w:val="003B3B67"/>
    <w:rsid w:val="003B3BA3"/>
    <w:rsid w:val="003B3C07"/>
    <w:rsid w:val="003B3C6B"/>
    <w:rsid w:val="003B3CE8"/>
    <w:rsid w:val="003B3D40"/>
    <w:rsid w:val="003B3D51"/>
    <w:rsid w:val="003B3E8C"/>
    <w:rsid w:val="003B4111"/>
    <w:rsid w:val="003B41F4"/>
    <w:rsid w:val="003B42AE"/>
    <w:rsid w:val="003B447C"/>
    <w:rsid w:val="003B44A2"/>
    <w:rsid w:val="003B44BF"/>
    <w:rsid w:val="003B4520"/>
    <w:rsid w:val="003B45B3"/>
    <w:rsid w:val="003B45BC"/>
    <w:rsid w:val="003B45DB"/>
    <w:rsid w:val="003B4627"/>
    <w:rsid w:val="003B4651"/>
    <w:rsid w:val="003B47A3"/>
    <w:rsid w:val="003B481C"/>
    <w:rsid w:val="003B4873"/>
    <w:rsid w:val="003B4895"/>
    <w:rsid w:val="003B48D4"/>
    <w:rsid w:val="003B495D"/>
    <w:rsid w:val="003B49E9"/>
    <w:rsid w:val="003B4A5A"/>
    <w:rsid w:val="003B4AAA"/>
    <w:rsid w:val="003B4B74"/>
    <w:rsid w:val="003B4C21"/>
    <w:rsid w:val="003B4C5D"/>
    <w:rsid w:val="003B4CBB"/>
    <w:rsid w:val="003B4D99"/>
    <w:rsid w:val="003B4E85"/>
    <w:rsid w:val="003B4F29"/>
    <w:rsid w:val="003B4FE6"/>
    <w:rsid w:val="003B5136"/>
    <w:rsid w:val="003B516A"/>
    <w:rsid w:val="003B5228"/>
    <w:rsid w:val="003B52AD"/>
    <w:rsid w:val="003B53B1"/>
    <w:rsid w:val="003B5475"/>
    <w:rsid w:val="003B5500"/>
    <w:rsid w:val="003B559C"/>
    <w:rsid w:val="003B55B4"/>
    <w:rsid w:val="003B55D6"/>
    <w:rsid w:val="003B5677"/>
    <w:rsid w:val="003B56A4"/>
    <w:rsid w:val="003B56CA"/>
    <w:rsid w:val="003B56E9"/>
    <w:rsid w:val="003B578E"/>
    <w:rsid w:val="003B57AD"/>
    <w:rsid w:val="003B57DC"/>
    <w:rsid w:val="003B580D"/>
    <w:rsid w:val="003B5830"/>
    <w:rsid w:val="003B5866"/>
    <w:rsid w:val="003B5876"/>
    <w:rsid w:val="003B58FF"/>
    <w:rsid w:val="003B593E"/>
    <w:rsid w:val="003B594A"/>
    <w:rsid w:val="003B5976"/>
    <w:rsid w:val="003B5990"/>
    <w:rsid w:val="003B59F9"/>
    <w:rsid w:val="003B5A44"/>
    <w:rsid w:val="003B5A87"/>
    <w:rsid w:val="003B5B4D"/>
    <w:rsid w:val="003B5C35"/>
    <w:rsid w:val="003B5C68"/>
    <w:rsid w:val="003B5C91"/>
    <w:rsid w:val="003B5CD2"/>
    <w:rsid w:val="003B5D02"/>
    <w:rsid w:val="003B5D72"/>
    <w:rsid w:val="003B5DE3"/>
    <w:rsid w:val="003B5DEE"/>
    <w:rsid w:val="003B5E89"/>
    <w:rsid w:val="003B5EA3"/>
    <w:rsid w:val="003B5EBE"/>
    <w:rsid w:val="003B5EC9"/>
    <w:rsid w:val="003B5ED0"/>
    <w:rsid w:val="003B5F09"/>
    <w:rsid w:val="003B5F85"/>
    <w:rsid w:val="003B5FBE"/>
    <w:rsid w:val="003B5FC8"/>
    <w:rsid w:val="003B5FED"/>
    <w:rsid w:val="003B601F"/>
    <w:rsid w:val="003B604E"/>
    <w:rsid w:val="003B6099"/>
    <w:rsid w:val="003B609C"/>
    <w:rsid w:val="003B60B8"/>
    <w:rsid w:val="003B60ED"/>
    <w:rsid w:val="003B614F"/>
    <w:rsid w:val="003B62EB"/>
    <w:rsid w:val="003B632B"/>
    <w:rsid w:val="003B63F2"/>
    <w:rsid w:val="003B6458"/>
    <w:rsid w:val="003B648E"/>
    <w:rsid w:val="003B64BF"/>
    <w:rsid w:val="003B64C2"/>
    <w:rsid w:val="003B64E5"/>
    <w:rsid w:val="003B65FC"/>
    <w:rsid w:val="003B6883"/>
    <w:rsid w:val="003B68CA"/>
    <w:rsid w:val="003B692E"/>
    <w:rsid w:val="003B694C"/>
    <w:rsid w:val="003B69B5"/>
    <w:rsid w:val="003B69C5"/>
    <w:rsid w:val="003B69CF"/>
    <w:rsid w:val="003B6A29"/>
    <w:rsid w:val="003B6A41"/>
    <w:rsid w:val="003B6A5B"/>
    <w:rsid w:val="003B6AED"/>
    <w:rsid w:val="003B6BE9"/>
    <w:rsid w:val="003B6CA0"/>
    <w:rsid w:val="003B6CED"/>
    <w:rsid w:val="003B6CF7"/>
    <w:rsid w:val="003B6CFC"/>
    <w:rsid w:val="003B6D23"/>
    <w:rsid w:val="003B6D2C"/>
    <w:rsid w:val="003B6D31"/>
    <w:rsid w:val="003B6E0B"/>
    <w:rsid w:val="003B6EB0"/>
    <w:rsid w:val="003B6F23"/>
    <w:rsid w:val="003B7018"/>
    <w:rsid w:val="003B70BC"/>
    <w:rsid w:val="003B710F"/>
    <w:rsid w:val="003B7138"/>
    <w:rsid w:val="003B7178"/>
    <w:rsid w:val="003B719F"/>
    <w:rsid w:val="003B7201"/>
    <w:rsid w:val="003B7223"/>
    <w:rsid w:val="003B726F"/>
    <w:rsid w:val="003B72F3"/>
    <w:rsid w:val="003B72F8"/>
    <w:rsid w:val="003B7351"/>
    <w:rsid w:val="003B73BB"/>
    <w:rsid w:val="003B7439"/>
    <w:rsid w:val="003B746D"/>
    <w:rsid w:val="003B74AC"/>
    <w:rsid w:val="003B75B4"/>
    <w:rsid w:val="003B7714"/>
    <w:rsid w:val="003B771C"/>
    <w:rsid w:val="003B7740"/>
    <w:rsid w:val="003B7743"/>
    <w:rsid w:val="003B7747"/>
    <w:rsid w:val="003B782E"/>
    <w:rsid w:val="003B78C3"/>
    <w:rsid w:val="003B78EC"/>
    <w:rsid w:val="003B78FE"/>
    <w:rsid w:val="003B7921"/>
    <w:rsid w:val="003B79B0"/>
    <w:rsid w:val="003B7A79"/>
    <w:rsid w:val="003B7AAD"/>
    <w:rsid w:val="003B7AD1"/>
    <w:rsid w:val="003B7AF8"/>
    <w:rsid w:val="003B7B03"/>
    <w:rsid w:val="003B7BF6"/>
    <w:rsid w:val="003B7C16"/>
    <w:rsid w:val="003B7CC5"/>
    <w:rsid w:val="003B7D45"/>
    <w:rsid w:val="003B7D8F"/>
    <w:rsid w:val="003B7E3B"/>
    <w:rsid w:val="003B7FC1"/>
    <w:rsid w:val="003B7FC9"/>
    <w:rsid w:val="003C003A"/>
    <w:rsid w:val="003C003F"/>
    <w:rsid w:val="003C0064"/>
    <w:rsid w:val="003C00AD"/>
    <w:rsid w:val="003C0114"/>
    <w:rsid w:val="003C01AF"/>
    <w:rsid w:val="003C01FC"/>
    <w:rsid w:val="003C0283"/>
    <w:rsid w:val="003C02BC"/>
    <w:rsid w:val="003C02F2"/>
    <w:rsid w:val="003C0307"/>
    <w:rsid w:val="003C0331"/>
    <w:rsid w:val="003C043A"/>
    <w:rsid w:val="003C04E2"/>
    <w:rsid w:val="003C05D8"/>
    <w:rsid w:val="003C05F4"/>
    <w:rsid w:val="003C06A0"/>
    <w:rsid w:val="003C06A1"/>
    <w:rsid w:val="003C0788"/>
    <w:rsid w:val="003C07DE"/>
    <w:rsid w:val="003C0855"/>
    <w:rsid w:val="003C087C"/>
    <w:rsid w:val="003C088B"/>
    <w:rsid w:val="003C08E8"/>
    <w:rsid w:val="003C08EA"/>
    <w:rsid w:val="003C08EF"/>
    <w:rsid w:val="003C0959"/>
    <w:rsid w:val="003C0992"/>
    <w:rsid w:val="003C09EA"/>
    <w:rsid w:val="003C0A55"/>
    <w:rsid w:val="003C0A6E"/>
    <w:rsid w:val="003C0B15"/>
    <w:rsid w:val="003C0B51"/>
    <w:rsid w:val="003C0B9D"/>
    <w:rsid w:val="003C0CB6"/>
    <w:rsid w:val="003C0D5E"/>
    <w:rsid w:val="003C0D63"/>
    <w:rsid w:val="003C0DEC"/>
    <w:rsid w:val="003C0DEE"/>
    <w:rsid w:val="003C0E09"/>
    <w:rsid w:val="003C0E18"/>
    <w:rsid w:val="003C0E3C"/>
    <w:rsid w:val="003C0E81"/>
    <w:rsid w:val="003C0F0C"/>
    <w:rsid w:val="003C0F65"/>
    <w:rsid w:val="003C0F9C"/>
    <w:rsid w:val="003C0FA6"/>
    <w:rsid w:val="003C0FC8"/>
    <w:rsid w:val="003C101E"/>
    <w:rsid w:val="003C1188"/>
    <w:rsid w:val="003C11AE"/>
    <w:rsid w:val="003C11CA"/>
    <w:rsid w:val="003C1267"/>
    <w:rsid w:val="003C1315"/>
    <w:rsid w:val="003C13C0"/>
    <w:rsid w:val="003C1519"/>
    <w:rsid w:val="003C15C0"/>
    <w:rsid w:val="003C160E"/>
    <w:rsid w:val="003C1625"/>
    <w:rsid w:val="003C165D"/>
    <w:rsid w:val="003C16D8"/>
    <w:rsid w:val="003C16DD"/>
    <w:rsid w:val="003C1743"/>
    <w:rsid w:val="003C1757"/>
    <w:rsid w:val="003C17F7"/>
    <w:rsid w:val="003C185B"/>
    <w:rsid w:val="003C188D"/>
    <w:rsid w:val="003C18A6"/>
    <w:rsid w:val="003C1947"/>
    <w:rsid w:val="003C1952"/>
    <w:rsid w:val="003C1993"/>
    <w:rsid w:val="003C1A9F"/>
    <w:rsid w:val="003C1B6D"/>
    <w:rsid w:val="003C1B98"/>
    <w:rsid w:val="003C1C09"/>
    <w:rsid w:val="003C1C1A"/>
    <w:rsid w:val="003C1C1C"/>
    <w:rsid w:val="003C1C24"/>
    <w:rsid w:val="003C1C69"/>
    <w:rsid w:val="003C1CEB"/>
    <w:rsid w:val="003C1D04"/>
    <w:rsid w:val="003C1D4F"/>
    <w:rsid w:val="003C1DAE"/>
    <w:rsid w:val="003C1E0D"/>
    <w:rsid w:val="003C1E6D"/>
    <w:rsid w:val="003C1E83"/>
    <w:rsid w:val="003C1E8A"/>
    <w:rsid w:val="003C1E8D"/>
    <w:rsid w:val="003C1F24"/>
    <w:rsid w:val="003C1F3A"/>
    <w:rsid w:val="003C1F4F"/>
    <w:rsid w:val="003C2030"/>
    <w:rsid w:val="003C2073"/>
    <w:rsid w:val="003C20A3"/>
    <w:rsid w:val="003C2178"/>
    <w:rsid w:val="003C2197"/>
    <w:rsid w:val="003C21B2"/>
    <w:rsid w:val="003C22B3"/>
    <w:rsid w:val="003C22F1"/>
    <w:rsid w:val="003C23BD"/>
    <w:rsid w:val="003C248B"/>
    <w:rsid w:val="003C24B4"/>
    <w:rsid w:val="003C2550"/>
    <w:rsid w:val="003C2559"/>
    <w:rsid w:val="003C260C"/>
    <w:rsid w:val="003C2697"/>
    <w:rsid w:val="003C269B"/>
    <w:rsid w:val="003C26D1"/>
    <w:rsid w:val="003C2716"/>
    <w:rsid w:val="003C280E"/>
    <w:rsid w:val="003C2A27"/>
    <w:rsid w:val="003C2ABB"/>
    <w:rsid w:val="003C2BFF"/>
    <w:rsid w:val="003C2C43"/>
    <w:rsid w:val="003C2C66"/>
    <w:rsid w:val="003C2CBA"/>
    <w:rsid w:val="003C2D52"/>
    <w:rsid w:val="003C2D53"/>
    <w:rsid w:val="003C2D81"/>
    <w:rsid w:val="003C2DB0"/>
    <w:rsid w:val="003C2E52"/>
    <w:rsid w:val="003C2ED5"/>
    <w:rsid w:val="003C2EF9"/>
    <w:rsid w:val="003C2F15"/>
    <w:rsid w:val="003C2F26"/>
    <w:rsid w:val="003C2FBF"/>
    <w:rsid w:val="003C303A"/>
    <w:rsid w:val="003C3098"/>
    <w:rsid w:val="003C30C1"/>
    <w:rsid w:val="003C3105"/>
    <w:rsid w:val="003C3124"/>
    <w:rsid w:val="003C3238"/>
    <w:rsid w:val="003C3283"/>
    <w:rsid w:val="003C336E"/>
    <w:rsid w:val="003C3383"/>
    <w:rsid w:val="003C3384"/>
    <w:rsid w:val="003C347F"/>
    <w:rsid w:val="003C34E7"/>
    <w:rsid w:val="003C362B"/>
    <w:rsid w:val="003C363F"/>
    <w:rsid w:val="003C366D"/>
    <w:rsid w:val="003C36B6"/>
    <w:rsid w:val="003C36BB"/>
    <w:rsid w:val="003C36E5"/>
    <w:rsid w:val="003C372C"/>
    <w:rsid w:val="003C3768"/>
    <w:rsid w:val="003C37D9"/>
    <w:rsid w:val="003C3858"/>
    <w:rsid w:val="003C39A1"/>
    <w:rsid w:val="003C39ED"/>
    <w:rsid w:val="003C3A26"/>
    <w:rsid w:val="003C3A35"/>
    <w:rsid w:val="003C3A94"/>
    <w:rsid w:val="003C3AC4"/>
    <w:rsid w:val="003C3AD0"/>
    <w:rsid w:val="003C3AD8"/>
    <w:rsid w:val="003C3AF0"/>
    <w:rsid w:val="003C3B45"/>
    <w:rsid w:val="003C3B8A"/>
    <w:rsid w:val="003C3BBD"/>
    <w:rsid w:val="003C3C23"/>
    <w:rsid w:val="003C3C37"/>
    <w:rsid w:val="003C3D49"/>
    <w:rsid w:val="003C3D80"/>
    <w:rsid w:val="003C3D8F"/>
    <w:rsid w:val="003C3E2F"/>
    <w:rsid w:val="003C3E4F"/>
    <w:rsid w:val="003C3E6F"/>
    <w:rsid w:val="003C3E74"/>
    <w:rsid w:val="003C3E8C"/>
    <w:rsid w:val="003C3ECB"/>
    <w:rsid w:val="003C3F68"/>
    <w:rsid w:val="003C3FE7"/>
    <w:rsid w:val="003C3FEA"/>
    <w:rsid w:val="003C407C"/>
    <w:rsid w:val="003C4145"/>
    <w:rsid w:val="003C4160"/>
    <w:rsid w:val="003C41AE"/>
    <w:rsid w:val="003C43A2"/>
    <w:rsid w:val="003C4469"/>
    <w:rsid w:val="003C447B"/>
    <w:rsid w:val="003C44D2"/>
    <w:rsid w:val="003C44FD"/>
    <w:rsid w:val="003C4531"/>
    <w:rsid w:val="003C455A"/>
    <w:rsid w:val="003C459F"/>
    <w:rsid w:val="003C45D2"/>
    <w:rsid w:val="003C4631"/>
    <w:rsid w:val="003C463D"/>
    <w:rsid w:val="003C46AB"/>
    <w:rsid w:val="003C47CE"/>
    <w:rsid w:val="003C4822"/>
    <w:rsid w:val="003C4949"/>
    <w:rsid w:val="003C49A2"/>
    <w:rsid w:val="003C4A1B"/>
    <w:rsid w:val="003C4A2F"/>
    <w:rsid w:val="003C4AAE"/>
    <w:rsid w:val="003C4AC8"/>
    <w:rsid w:val="003C4AF3"/>
    <w:rsid w:val="003C4B09"/>
    <w:rsid w:val="003C4B26"/>
    <w:rsid w:val="003C4B53"/>
    <w:rsid w:val="003C4BE9"/>
    <w:rsid w:val="003C4C15"/>
    <w:rsid w:val="003C4C24"/>
    <w:rsid w:val="003C4C30"/>
    <w:rsid w:val="003C4C8A"/>
    <w:rsid w:val="003C4D4C"/>
    <w:rsid w:val="003C4D4F"/>
    <w:rsid w:val="003C4D93"/>
    <w:rsid w:val="003C4DFE"/>
    <w:rsid w:val="003C4DFF"/>
    <w:rsid w:val="003C4E38"/>
    <w:rsid w:val="003C50FA"/>
    <w:rsid w:val="003C5112"/>
    <w:rsid w:val="003C5141"/>
    <w:rsid w:val="003C5236"/>
    <w:rsid w:val="003C5238"/>
    <w:rsid w:val="003C5252"/>
    <w:rsid w:val="003C5257"/>
    <w:rsid w:val="003C526F"/>
    <w:rsid w:val="003C5288"/>
    <w:rsid w:val="003C5299"/>
    <w:rsid w:val="003C52C7"/>
    <w:rsid w:val="003C5394"/>
    <w:rsid w:val="003C5422"/>
    <w:rsid w:val="003C5434"/>
    <w:rsid w:val="003C5468"/>
    <w:rsid w:val="003C54A0"/>
    <w:rsid w:val="003C5552"/>
    <w:rsid w:val="003C55FC"/>
    <w:rsid w:val="003C5618"/>
    <w:rsid w:val="003C56A3"/>
    <w:rsid w:val="003C56EB"/>
    <w:rsid w:val="003C5720"/>
    <w:rsid w:val="003C572A"/>
    <w:rsid w:val="003C572E"/>
    <w:rsid w:val="003C575B"/>
    <w:rsid w:val="003C577F"/>
    <w:rsid w:val="003C5781"/>
    <w:rsid w:val="003C5799"/>
    <w:rsid w:val="003C5894"/>
    <w:rsid w:val="003C590B"/>
    <w:rsid w:val="003C594D"/>
    <w:rsid w:val="003C5979"/>
    <w:rsid w:val="003C598C"/>
    <w:rsid w:val="003C59F9"/>
    <w:rsid w:val="003C5A55"/>
    <w:rsid w:val="003C5AC5"/>
    <w:rsid w:val="003C5C02"/>
    <w:rsid w:val="003C5CB1"/>
    <w:rsid w:val="003C5CE2"/>
    <w:rsid w:val="003C5D2B"/>
    <w:rsid w:val="003C5D64"/>
    <w:rsid w:val="003C5DC0"/>
    <w:rsid w:val="003C5E22"/>
    <w:rsid w:val="003C5F13"/>
    <w:rsid w:val="003C5F36"/>
    <w:rsid w:val="003C5F7D"/>
    <w:rsid w:val="003C5FA9"/>
    <w:rsid w:val="003C5FD6"/>
    <w:rsid w:val="003C6113"/>
    <w:rsid w:val="003C614F"/>
    <w:rsid w:val="003C61C5"/>
    <w:rsid w:val="003C61C8"/>
    <w:rsid w:val="003C627F"/>
    <w:rsid w:val="003C62B7"/>
    <w:rsid w:val="003C6311"/>
    <w:rsid w:val="003C631A"/>
    <w:rsid w:val="003C6385"/>
    <w:rsid w:val="003C6447"/>
    <w:rsid w:val="003C646F"/>
    <w:rsid w:val="003C64A1"/>
    <w:rsid w:val="003C64EC"/>
    <w:rsid w:val="003C64F0"/>
    <w:rsid w:val="003C6542"/>
    <w:rsid w:val="003C6602"/>
    <w:rsid w:val="003C6721"/>
    <w:rsid w:val="003C67D1"/>
    <w:rsid w:val="003C67DA"/>
    <w:rsid w:val="003C682C"/>
    <w:rsid w:val="003C6848"/>
    <w:rsid w:val="003C6883"/>
    <w:rsid w:val="003C6911"/>
    <w:rsid w:val="003C6979"/>
    <w:rsid w:val="003C69BB"/>
    <w:rsid w:val="003C69DE"/>
    <w:rsid w:val="003C6AA1"/>
    <w:rsid w:val="003C6AA3"/>
    <w:rsid w:val="003C6B07"/>
    <w:rsid w:val="003C6B4D"/>
    <w:rsid w:val="003C6B74"/>
    <w:rsid w:val="003C6BCD"/>
    <w:rsid w:val="003C6BD2"/>
    <w:rsid w:val="003C6BFA"/>
    <w:rsid w:val="003C6C3B"/>
    <w:rsid w:val="003C6CDB"/>
    <w:rsid w:val="003C6D79"/>
    <w:rsid w:val="003C6DB1"/>
    <w:rsid w:val="003C6DF0"/>
    <w:rsid w:val="003C6E1A"/>
    <w:rsid w:val="003C6E6D"/>
    <w:rsid w:val="003C6E8C"/>
    <w:rsid w:val="003C6ECF"/>
    <w:rsid w:val="003C6EE0"/>
    <w:rsid w:val="003C6F18"/>
    <w:rsid w:val="003C6FB4"/>
    <w:rsid w:val="003C6FE7"/>
    <w:rsid w:val="003C70A5"/>
    <w:rsid w:val="003C70A9"/>
    <w:rsid w:val="003C70E5"/>
    <w:rsid w:val="003C717D"/>
    <w:rsid w:val="003C7235"/>
    <w:rsid w:val="003C7264"/>
    <w:rsid w:val="003C7265"/>
    <w:rsid w:val="003C72E1"/>
    <w:rsid w:val="003C7348"/>
    <w:rsid w:val="003C735F"/>
    <w:rsid w:val="003C7375"/>
    <w:rsid w:val="003C73C9"/>
    <w:rsid w:val="003C73F9"/>
    <w:rsid w:val="003C7443"/>
    <w:rsid w:val="003C7445"/>
    <w:rsid w:val="003C7487"/>
    <w:rsid w:val="003C750D"/>
    <w:rsid w:val="003C7519"/>
    <w:rsid w:val="003C754D"/>
    <w:rsid w:val="003C7557"/>
    <w:rsid w:val="003C75CD"/>
    <w:rsid w:val="003C7606"/>
    <w:rsid w:val="003C76AC"/>
    <w:rsid w:val="003C76B8"/>
    <w:rsid w:val="003C76DF"/>
    <w:rsid w:val="003C76EE"/>
    <w:rsid w:val="003C776E"/>
    <w:rsid w:val="003C779D"/>
    <w:rsid w:val="003C77BB"/>
    <w:rsid w:val="003C78A1"/>
    <w:rsid w:val="003C78D8"/>
    <w:rsid w:val="003C7A73"/>
    <w:rsid w:val="003C7AB1"/>
    <w:rsid w:val="003C7AB7"/>
    <w:rsid w:val="003C7AC5"/>
    <w:rsid w:val="003C7B32"/>
    <w:rsid w:val="003C7C16"/>
    <w:rsid w:val="003C7C25"/>
    <w:rsid w:val="003C7C29"/>
    <w:rsid w:val="003C7C3F"/>
    <w:rsid w:val="003C7D8A"/>
    <w:rsid w:val="003C7DFB"/>
    <w:rsid w:val="003C7EB3"/>
    <w:rsid w:val="003C7ECD"/>
    <w:rsid w:val="003C7EE4"/>
    <w:rsid w:val="003C7F6C"/>
    <w:rsid w:val="003C7F7E"/>
    <w:rsid w:val="003C7FA3"/>
    <w:rsid w:val="003C7FC1"/>
    <w:rsid w:val="003D003B"/>
    <w:rsid w:val="003D0056"/>
    <w:rsid w:val="003D0080"/>
    <w:rsid w:val="003D0086"/>
    <w:rsid w:val="003D011D"/>
    <w:rsid w:val="003D0159"/>
    <w:rsid w:val="003D01CE"/>
    <w:rsid w:val="003D024C"/>
    <w:rsid w:val="003D025C"/>
    <w:rsid w:val="003D0417"/>
    <w:rsid w:val="003D0491"/>
    <w:rsid w:val="003D0493"/>
    <w:rsid w:val="003D0496"/>
    <w:rsid w:val="003D0503"/>
    <w:rsid w:val="003D057A"/>
    <w:rsid w:val="003D0597"/>
    <w:rsid w:val="003D05CA"/>
    <w:rsid w:val="003D05D7"/>
    <w:rsid w:val="003D0618"/>
    <w:rsid w:val="003D0621"/>
    <w:rsid w:val="003D0630"/>
    <w:rsid w:val="003D0635"/>
    <w:rsid w:val="003D065C"/>
    <w:rsid w:val="003D0668"/>
    <w:rsid w:val="003D067E"/>
    <w:rsid w:val="003D0776"/>
    <w:rsid w:val="003D081D"/>
    <w:rsid w:val="003D0829"/>
    <w:rsid w:val="003D0861"/>
    <w:rsid w:val="003D089D"/>
    <w:rsid w:val="003D0907"/>
    <w:rsid w:val="003D0956"/>
    <w:rsid w:val="003D09DF"/>
    <w:rsid w:val="003D0AF1"/>
    <w:rsid w:val="003D0B7F"/>
    <w:rsid w:val="003D0B80"/>
    <w:rsid w:val="003D0BBF"/>
    <w:rsid w:val="003D0C18"/>
    <w:rsid w:val="003D0D91"/>
    <w:rsid w:val="003D0DE6"/>
    <w:rsid w:val="003D0E33"/>
    <w:rsid w:val="003D0E5C"/>
    <w:rsid w:val="003D0E75"/>
    <w:rsid w:val="003D0EFA"/>
    <w:rsid w:val="003D1060"/>
    <w:rsid w:val="003D106B"/>
    <w:rsid w:val="003D1075"/>
    <w:rsid w:val="003D1088"/>
    <w:rsid w:val="003D10B0"/>
    <w:rsid w:val="003D1232"/>
    <w:rsid w:val="003D1233"/>
    <w:rsid w:val="003D1308"/>
    <w:rsid w:val="003D1325"/>
    <w:rsid w:val="003D1345"/>
    <w:rsid w:val="003D140E"/>
    <w:rsid w:val="003D1416"/>
    <w:rsid w:val="003D1469"/>
    <w:rsid w:val="003D1483"/>
    <w:rsid w:val="003D149B"/>
    <w:rsid w:val="003D149E"/>
    <w:rsid w:val="003D14F6"/>
    <w:rsid w:val="003D157C"/>
    <w:rsid w:val="003D1599"/>
    <w:rsid w:val="003D16B1"/>
    <w:rsid w:val="003D1721"/>
    <w:rsid w:val="003D1760"/>
    <w:rsid w:val="003D17DB"/>
    <w:rsid w:val="003D1830"/>
    <w:rsid w:val="003D18A8"/>
    <w:rsid w:val="003D18AC"/>
    <w:rsid w:val="003D18C9"/>
    <w:rsid w:val="003D1A92"/>
    <w:rsid w:val="003D1B4C"/>
    <w:rsid w:val="003D1B9E"/>
    <w:rsid w:val="003D1D96"/>
    <w:rsid w:val="003D1E91"/>
    <w:rsid w:val="003D1F37"/>
    <w:rsid w:val="003D2167"/>
    <w:rsid w:val="003D21C7"/>
    <w:rsid w:val="003D21DA"/>
    <w:rsid w:val="003D225F"/>
    <w:rsid w:val="003D226F"/>
    <w:rsid w:val="003D22C0"/>
    <w:rsid w:val="003D2301"/>
    <w:rsid w:val="003D23C2"/>
    <w:rsid w:val="003D23CB"/>
    <w:rsid w:val="003D23E1"/>
    <w:rsid w:val="003D247F"/>
    <w:rsid w:val="003D249C"/>
    <w:rsid w:val="003D2563"/>
    <w:rsid w:val="003D25AD"/>
    <w:rsid w:val="003D25ED"/>
    <w:rsid w:val="003D2766"/>
    <w:rsid w:val="003D28A5"/>
    <w:rsid w:val="003D28CE"/>
    <w:rsid w:val="003D2912"/>
    <w:rsid w:val="003D2982"/>
    <w:rsid w:val="003D29D7"/>
    <w:rsid w:val="003D2A08"/>
    <w:rsid w:val="003D2B94"/>
    <w:rsid w:val="003D2BE2"/>
    <w:rsid w:val="003D2C5E"/>
    <w:rsid w:val="003D2CB4"/>
    <w:rsid w:val="003D2CCA"/>
    <w:rsid w:val="003D2CED"/>
    <w:rsid w:val="003D2D00"/>
    <w:rsid w:val="003D2D05"/>
    <w:rsid w:val="003D2DDB"/>
    <w:rsid w:val="003D2E40"/>
    <w:rsid w:val="003D2ECB"/>
    <w:rsid w:val="003D2F20"/>
    <w:rsid w:val="003D2F5A"/>
    <w:rsid w:val="003D2FC2"/>
    <w:rsid w:val="003D304D"/>
    <w:rsid w:val="003D313F"/>
    <w:rsid w:val="003D31A7"/>
    <w:rsid w:val="003D31F7"/>
    <w:rsid w:val="003D3312"/>
    <w:rsid w:val="003D3343"/>
    <w:rsid w:val="003D3373"/>
    <w:rsid w:val="003D33E9"/>
    <w:rsid w:val="003D342C"/>
    <w:rsid w:val="003D344C"/>
    <w:rsid w:val="003D352F"/>
    <w:rsid w:val="003D356A"/>
    <w:rsid w:val="003D35AB"/>
    <w:rsid w:val="003D3606"/>
    <w:rsid w:val="003D3653"/>
    <w:rsid w:val="003D366B"/>
    <w:rsid w:val="003D368F"/>
    <w:rsid w:val="003D369A"/>
    <w:rsid w:val="003D37E7"/>
    <w:rsid w:val="003D382D"/>
    <w:rsid w:val="003D3847"/>
    <w:rsid w:val="003D39CB"/>
    <w:rsid w:val="003D3A71"/>
    <w:rsid w:val="003D3AD1"/>
    <w:rsid w:val="003D3ADC"/>
    <w:rsid w:val="003D3AFE"/>
    <w:rsid w:val="003D3B3A"/>
    <w:rsid w:val="003D3C60"/>
    <w:rsid w:val="003D3C93"/>
    <w:rsid w:val="003D3D4C"/>
    <w:rsid w:val="003D3DF3"/>
    <w:rsid w:val="003D3ED5"/>
    <w:rsid w:val="003D3F1A"/>
    <w:rsid w:val="003D3F55"/>
    <w:rsid w:val="003D40C5"/>
    <w:rsid w:val="003D416A"/>
    <w:rsid w:val="003D41E2"/>
    <w:rsid w:val="003D4283"/>
    <w:rsid w:val="003D42A4"/>
    <w:rsid w:val="003D42D5"/>
    <w:rsid w:val="003D4355"/>
    <w:rsid w:val="003D4370"/>
    <w:rsid w:val="003D456A"/>
    <w:rsid w:val="003D45ED"/>
    <w:rsid w:val="003D46B6"/>
    <w:rsid w:val="003D47B5"/>
    <w:rsid w:val="003D4822"/>
    <w:rsid w:val="003D48E1"/>
    <w:rsid w:val="003D4919"/>
    <w:rsid w:val="003D49BC"/>
    <w:rsid w:val="003D4A75"/>
    <w:rsid w:val="003D4A88"/>
    <w:rsid w:val="003D4AE1"/>
    <w:rsid w:val="003D4B6B"/>
    <w:rsid w:val="003D4B75"/>
    <w:rsid w:val="003D4BA1"/>
    <w:rsid w:val="003D4CCF"/>
    <w:rsid w:val="003D4D12"/>
    <w:rsid w:val="003D4E3C"/>
    <w:rsid w:val="003D4E4D"/>
    <w:rsid w:val="003D4F94"/>
    <w:rsid w:val="003D4FA7"/>
    <w:rsid w:val="003D50B5"/>
    <w:rsid w:val="003D50BD"/>
    <w:rsid w:val="003D50FB"/>
    <w:rsid w:val="003D5163"/>
    <w:rsid w:val="003D5203"/>
    <w:rsid w:val="003D5219"/>
    <w:rsid w:val="003D524C"/>
    <w:rsid w:val="003D541D"/>
    <w:rsid w:val="003D5450"/>
    <w:rsid w:val="003D5473"/>
    <w:rsid w:val="003D547A"/>
    <w:rsid w:val="003D5493"/>
    <w:rsid w:val="003D54FF"/>
    <w:rsid w:val="003D5512"/>
    <w:rsid w:val="003D5577"/>
    <w:rsid w:val="003D5578"/>
    <w:rsid w:val="003D5582"/>
    <w:rsid w:val="003D55B7"/>
    <w:rsid w:val="003D55BA"/>
    <w:rsid w:val="003D55DA"/>
    <w:rsid w:val="003D55F1"/>
    <w:rsid w:val="003D56D0"/>
    <w:rsid w:val="003D5714"/>
    <w:rsid w:val="003D57CB"/>
    <w:rsid w:val="003D581B"/>
    <w:rsid w:val="003D59E7"/>
    <w:rsid w:val="003D5A36"/>
    <w:rsid w:val="003D5A55"/>
    <w:rsid w:val="003D5A65"/>
    <w:rsid w:val="003D5A67"/>
    <w:rsid w:val="003D5A9D"/>
    <w:rsid w:val="003D5B64"/>
    <w:rsid w:val="003D5BD2"/>
    <w:rsid w:val="003D5C15"/>
    <w:rsid w:val="003D5C94"/>
    <w:rsid w:val="003D5CBC"/>
    <w:rsid w:val="003D5D4D"/>
    <w:rsid w:val="003D5D92"/>
    <w:rsid w:val="003D5DF8"/>
    <w:rsid w:val="003D5E00"/>
    <w:rsid w:val="003D6031"/>
    <w:rsid w:val="003D60D2"/>
    <w:rsid w:val="003D61AA"/>
    <w:rsid w:val="003D61E7"/>
    <w:rsid w:val="003D622E"/>
    <w:rsid w:val="003D626C"/>
    <w:rsid w:val="003D62A7"/>
    <w:rsid w:val="003D62B6"/>
    <w:rsid w:val="003D6337"/>
    <w:rsid w:val="003D6394"/>
    <w:rsid w:val="003D6414"/>
    <w:rsid w:val="003D6480"/>
    <w:rsid w:val="003D6490"/>
    <w:rsid w:val="003D656D"/>
    <w:rsid w:val="003D65D6"/>
    <w:rsid w:val="003D65DB"/>
    <w:rsid w:val="003D6629"/>
    <w:rsid w:val="003D6650"/>
    <w:rsid w:val="003D6687"/>
    <w:rsid w:val="003D66D8"/>
    <w:rsid w:val="003D679F"/>
    <w:rsid w:val="003D6800"/>
    <w:rsid w:val="003D6803"/>
    <w:rsid w:val="003D68A8"/>
    <w:rsid w:val="003D69F7"/>
    <w:rsid w:val="003D6A87"/>
    <w:rsid w:val="003D6A8B"/>
    <w:rsid w:val="003D6A9A"/>
    <w:rsid w:val="003D6AD0"/>
    <w:rsid w:val="003D6B1F"/>
    <w:rsid w:val="003D6BFB"/>
    <w:rsid w:val="003D6C55"/>
    <w:rsid w:val="003D6D6D"/>
    <w:rsid w:val="003D6E10"/>
    <w:rsid w:val="003D6F78"/>
    <w:rsid w:val="003D7034"/>
    <w:rsid w:val="003D70CC"/>
    <w:rsid w:val="003D7107"/>
    <w:rsid w:val="003D7114"/>
    <w:rsid w:val="003D7155"/>
    <w:rsid w:val="003D71CC"/>
    <w:rsid w:val="003D71D4"/>
    <w:rsid w:val="003D728A"/>
    <w:rsid w:val="003D72B4"/>
    <w:rsid w:val="003D7345"/>
    <w:rsid w:val="003D73A2"/>
    <w:rsid w:val="003D73F8"/>
    <w:rsid w:val="003D74F0"/>
    <w:rsid w:val="003D74F1"/>
    <w:rsid w:val="003D7534"/>
    <w:rsid w:val="003D75D9"/>
    <w:rsid w:val="003D7609"/>
    <w:rsid w:val="003D768B"/>
    <w:rsid w:val="003D7772"/>
    <w:rsid w:val="003D7787"/>
    <w:rsid w:val="003D77AA"/>
    <w:rsid w:val="003D7817"/>
    <w:rsid w:val="003D7847"/>
    <w:rsid w:val="003D7914"/>
    <w:rsid w:val="003D7A19"/>
    <w:rsid w:val="003D7A58"/>
    <w:rsid w:val="003D7B48"/>
    <w:rsid w:val="003D7BFE"/>
    <w:rsid w:val="003D7C55"/>
    <w:rsid w:val="003D7CD4"/>
    <w:rsid w:val="003D7D6E"/>
    <w:rsid w:val="003D7DCE"/>
    <w:rsid w:val="003D7E69"/>
    <w:rsid w:val="003D7E96"/>
    <w:rsid w:val="003D7EFB"/>
    <w:rsid w:val="003D7F12"/>
    <w:rsid w:val="003D7F46"/>
    <w:rsid w:val="003D7F5E"/>
    <w:rsid w:val="003D7FFD"/>
    <w:rsid w:val="003E001F"/>
    <w:rsid w:val="003E0049"/>
    <w:rsid w:val="003E0058"/>
    <w:rsid w:val="003E00CB"/>
    <w:rsid w:val="003E0106"/>
    <w:rsid w:val="003E011C"/>
    <w:rsid w:val="003E016F"/>
    <w:rsid w:val="003E0249"/>
    <w:rsid w:val="003E0268"/>
    <w:rsid w:val="003E0393"/>
    <w:rsid w:val="003E0394"/>
    <w:rsid w:val="003E03A0"/>
    <w:rsid w:val="003E03A2"/>
    <w:rsid w:val="003E03CE"/>
    <w:rsid w:val="003E0407"/>
    <w:rsid w:val="003E0442"/>
    <w:rsid w:val="003E0471"/>
    <w:rsid w:val="003E0534"/>
    <w:rsid w:val="003E053F"/>
    <w:rsid w:val="003E0546"/>
    <w:rsid w:val="003E066B"/>
    <w:rsid w:val="003E074E"/>
    <w:rsid w:val="003E076E"/>
    <w:rsid w:val="003E0798"/>
    <w:rsid w:val="003E0810"/>
    <w:rsid w:val="003E0822"/>
    <w:rsid w:val="003E08F0"/>
    <w:rsid w:val="003E0904"/>
    <w:rsid w:val="003E093C"/>
    <w:rsid w:val="003E09B8"/>
    <w:rsid w:val="003E09D7"/>
    <w:rsid w:val="003E0A4B"/>
    <w:rsid w:val="003E0A8D"/>
    <w:rsid w:val="003E0AB3"/>
    <w:rsid w:val="003E0AC9"/>
    <w:rsid w:val="003E0B3B"/>
    <w:rsid w:val="003E0BAF"/>
    <w:rsid w:val="003E0BD2"/>
    <w:rsid w:val="003E0C03"/>
    <w:rsid w:val="003E0C1F"/>
    <w:rsid w:val="003E0CCC"/>
    <w:rsid w:val="003E0CE0"/>
    <w:rsid w:val="003E0D11"/>
    <w:rsid w:val="003E0D9C"/>
    <w:rsid w:val="003E0DB3"/>
    <w:rsid w:val="003E0DB5"/>
    <w:rsid w:val="003E0E97"/>
    <w:rsid w:val="003E0EB5"/>
    <w:rsid w:val="003E0EF1"/>
    <w:rsid w:val="003E0F53"/>
    <w:rsid w:val="003E0F6B"/>
    <w:rsid w:val="003E10C2"/>
    <w:rsid w:val="003E1112"/>
    <w:rsid w:val="003E1119"/>
    <w:rsid w:val="003E1161"/>
    <w:rsid w:val="003E1194"/>
    <w:rsid w:val="003E119F"/>
    <w:rsid w:val="003E11DF"/>
    <w:rsid w:val="003E11F8"/>
    <w:rsid w:val="003E123F"/>
    <w:rsid w:val="003E127A"/>
    <w:rsid w:val="003E1329"/>
    <w:rsid w:val="003E13D2"/>
    <w:rsid w:val="003E140D"/>
    <w:rsid w:val="003E1443"/>
    <w:rsid w:val="003E148A"/>
    <w:rsid w:val="003E14E8"/>
    <w:rsid w:val="003E152B"/>
    <w:rsid w:val="003E15C5"/>
    <w:rsid w:val="003E15C6"/>
    <w:rsid w:val="003E15FA"/>
    <w:rsid w:val="003E1663"/>
    <w:rsid w:val="003E168B"/>
    <w:rsid w:val="003E16CE"/>
    <w:rsid w:val="003E16D4"/>
    <w:rsid w:val="003E16ED"/>
    <w:rsid w:val="003E1772"/>
    <w:rsid w:val="003E17D9"/>
    <w:rsid w:val="003E1810"/>
    <w:rsid w:val="003E1841"/>
    <w:rsid w:val="003E18E0"/>
    <w:rsid w:val="003E191F"/>
    <w:rsid w:val="003E1945"/>
    <w:rsid w:val="003E19B7"/>
    <w:rsid w:val="003E19DA"/>
    <w:rsid w:val="003E19DB"/>
    <w:rsid w:val="003E1A17"/>
    <w:rsid w:val="003E1A27"/>
    <w:rsid w:val="003E1A3E"/>
    <w:rsid w:val="003E1B00"/>
    <w:rsid w:val="003E1B02"/>
    <w:rsid w:val="003E1B1F"/>
    <w:rsid w:val="003E1B41"/>
    <w:rsid w:val="003E1B60"/>
    <w:rsid w:val="003E1C08"/>
    <w:rsid w:val="003E1D01"/>
    <w:rsid w:val="003E1D55"/>
    <w:rsid w:val="003E1DA3"/>
    <w:rsid w:val="003E1DDC"/>
    <w:rsid w:val="003E1DFE"/>
    <w:rsid w:val="003E1EE3"/>
    <w:rsid w:val="003E1F21"/>
    <w:rsid w:val="003E1F8F"/>
    <w:rsid w:val="003E1FCC"/>
    <w:rsid w:val="003E1FD6"/>
    <w:rsid w:val="003E201F"/>
    <w:rsid w:val="003E207F"/>
    <w:rsid w:val="003E2084"/>
    <w:rsid w:val="003E2089"/>
    <w:rsid w:val="003E20CE"/>
    <w:rsid w:val="003E21ED"/>
    <w:rsid w:val="003E227D"/>
    <w:rsid w:val="003E2298"/>
    <w:rsid w:val="003E2299"/>
    <w:rsid w:val="003E229F"/>
    <w:rsid w:val="003E22A1"/>
    <w:rsid w:val="003E22F1"/>
    <w:rsid w:val="003E230C"/>
    <w:rsid w:val="003E23DA"/>
    <w:rsid w:val="003E247F"/>
    <w:rsid w:val="003E2504"/>
    <w:rsid w:val="003E2593"/>
    <w:rsid w:val="003E25BB"/>
    <w:rsid w:val="003E278E"/>
    <w:rsid w:val="003E27AC"/>
    <w:rsid w:val="003E27D3"/>
    <w:rsid w:val="003E286D"/>
    <w:rsid w:val="003E288B"/>
    <w:rsid w:val="003E28EC"/>
    <w:rsid w:val="003E2A67"/>
    <w:rsid w:val="003E2AE5"/>
    <w:rsid w:val="003E2C0A"/>
    <w:rsid w:val="003E2C24"/>
    <w:rsid w:val="003E2D37"/>
    <w:rsid w:val="003E2E6B"/>
    <w:rsid w:val="003E2E90"/>
    <w:rsid w:val="003E2F4A"/>
    <w:rsid w:val="003E2F4F"/>
    <w:rsid w:val="003E3016"/>
    <w:rsid w:val="003E301F"/>
    <w:rsid w:val="003E3048"/>
    <w:rsid w:val="003E30AC"/>
    <w:rsid w:val="003E30AE"/>
    <w:rsid w:val="003E3120"/>
    <w:rsid w:val="003E312D"/>
    <w:rsid w:val="003E31D4"/>
    <w:rsid w:val="003E31FF"/>
    <w:rsid w:val="003E323E"/>
    <w:rsid w:val="003E3242"/>
    <w:rsid w:val="003E3247"/>
    <w:rsid w:val="003E3337"/>
    <w:rsid w:val="003E334C"/>
    <w:rsid w:val="003E3354"/>
    <w:rsid w:val="003E338C"/>
    <w:rsid w:val="003E344F"/>
    <w:rsid w:val="003E3451"/>
    <w:rsid w:val="003E3507"/>
    <w:rsid w:val="003E35A2"/>
    <w:rsid w:val="003E35B9"/>
    <w:rsid w:val="003E362D"/>
    <w:rsid w:val="003E363B"/>
    <w:rsid w:val="003E3685"/>
    <w:rsid w:val="003E368C"/>
    <w:rsid w:val="003E3698"/>
    <w:rsid w:val="003E36BD"/>
    <w:rsid w:val="003E3704"/>
    <w:rsid w:val="003E3738"/>
    <w:rsid w:val="003E3886"/>
    <w:rsid w:val="003E3988"/>
    <w:rsid w:val="003E39D0"/>
    <w:rsid w:val="003E39F1"/>
    <w:rsid w:val="003E3A2D"/>
    <w:rsid w:val="003E3A6F"/>
    <w:rsid w:val="003E3AE1"/>
    <w:rsid w:val="003E3B3C"/>
    <w:rsid w:val="003E3B6B"/>
    <w:rsid w:val="003E3C0D"/>
    <w:rsid w:val="003E3C61"/>
    <w:rsid w:val="003E3C9E"/>
    <w:rsid w:val="003E3D6E"/>
    <w:rsid w:val="003E3D8A"/>
    <w:rsid w:val="003E3D9F"/>
    <w:rsid w:val="003E3DC5"/>
    <w:rsid w:val="003E3EEA"/>
    <w:rsid w:val="003E3FEE"/>
    <w:rsid w:val="003E4054"/>
    <w:rsid w:val="003E40EE"/>
    <w:rsid w:val="003E40F0"/>
    <w:rsid w:val="003E417D"/>
    <w:rsid w:val="003E4389"/>
    <w:rsid w:val="003E4410"/>
    <w:rsid w:val="003E44CE"/>
    <w:rsid w:val="003E44D2"/>
    <w:rsid w:val="003E4517"/>
    <w:rsid w:val="003E4625"/>
    <w:rsid w:val="003E4626"/>
    <w:rsid w:val="003E470F"/>
    <w:rsid w:val="003E4710"/>
    <w:rsid w:val="003E4786"/>
    <w:rsid w:val="003E4823"/>
    <w:rsid w:val="003E4875"/>
    <w:rsid w:val="003E487A"/>
    <w:rsid w:val="003E4936"/>
    <w:rsid w:val="003E4986"/>
    <w:rsid w:val="003E4990"/>
    <w:rsid w:val="003E4A02"/>
    <w:rsid w:val="003E4A1B"/>
    <w:rsid w:val="003E4AED"/>
    <w:rsid w:val="003E4B0E"/>
    <w:rsid w:val="003E4BF8"/>
    <w:rsid w:val="003E4BFB"/>
    <w:rsid w:val="003E4D44"/>
    <w:rsid w:val="003E4DC8"/>
    <w:rsid w:val="003E4E21"/>
    <w:rsid w:val="003E4E2F"/>
    <w:rsid w:val="003E4E73"/>
    <w:rsid w:val="003E4F6C"/>
    <w:rsid w:val="003E4F6F"/>
    <w:rsid w:val="003E4F91"/>
    <w:rsid w:val="003E4FE1"/>
    <w:rsid w:val="003E4FED"/>
    <w:rsid w:val="003E5023"/>
    <w:rsid w:val="003E504A"/>
    <w:rsid w:val="003E5054"/>
    <w:rsid w:val="003E5083"/>
    <w:rsid w:val="003E5149"/>
    <w:rsid w:val="003E51EB"/>
    <w:rsid w:val="003E5280"/>
    <w:rsid w:val="003E5321"/>
    <w:rsid w:val="003E53B8"/>
    <w:rsid w:val="003E53F4"/>
    <w:rsid w:val="003E545A"/>
    <w:rsid w:val="003E54B6"/>
    <w:rsid w:val="003E551C"/>
    <w:rsid w:val="003E5606"/>
    <w:rsid w:val="003E5616"/>
    <w:rsid w:val="003E5691"/>
    <w:rsid w:val="003E57EB"/>
    <w:rsid w:val="003E5896"/>
    <w:rsid w:val="003E5938"/>
    <w:rsid w:val="003E59A0"/>
    <w:rsid w:val="003E5A14"/>
    <w:rsid w:val="003E5A7C"/>
    <w:rsid w:val="003E5BF8"/>
    <w:rsid w:val="003E5C09"/>
    <w:rsid w:val="003E5C64"/>
    <w:rsid w:val="003E5C73"/>
    <w:rsid w:val="003E5C82"/>
    <w:rsid w:val="003E5C85"/>
    <w:rsid w:val="003E5D44"/>
    <w:rsid w:val="003E5DD5"/>
    <w:rsid w:val="003E5E04"/>
    <w:rsid w:val="003E5EC4"/>
    <w:rsid w:val="003E5F26"/>
    <w:rsid w:val="003E5FE6"/>
    <w:rsid w:val="003E6008"/>
    <w:rsid w:val="003E601B"/>
    <w:rsid w:val="003E60AC"/>
    <w:rsid w:val="003E60C0"/>
    <w:rsid w:val="003E6174"/>
    <w:rsid w:val="003E6259"/>
    <w:rsid w:val="003E6274"/>
    <w:rsid w:val="003E6299"/>
    <w:rsid w:val="003E62AE"/>
    <w:rsid w:val="003E62B6"/>
    <w:rsid w:val="003E6436"/>
    <w:rsid w:val="003E6481"/>
    <w:rsid w:val="003E64F0"/>
    <w:rsid w:val="003E65A1"/>
    <w:rsid w:val="003E6626"/>
    <w:rsid w:val="003E66E5"/>
    <w:rsid w:val="003E6732"/>
    <w:rsid w:val="003E6818"/>
    <w:rsid w:val="003E6830"/>
    <w:rsid w:val="003E687F"/>
    <w:rsid w:val="003E68A5"/>
    <w:rsid w:val="003E68BF"/>
    <w:rsid w:val="003E6927"/>
    <w:rsid w:val="003E6952"/>
    <w:rsid w:val="003E69D5"/>
    <w:rsid w:val="003E6AA6"/>
    <w:rsid w:val="003E6B08"/>
    <w:rsid w:val="003E6B3B"/>
    <w:rsid w:val="003E6B79"/>
    <w:rsid w:val="003E6B81"/>
    <w:rsid w:val="003E6C55"/>
    <w:rsid w:val="003E6CAA"/>
    <w:rsid w:val="003E6CBB"/>
    <w:rsid w:val="003E6CFB"/>
    <w:rsid w:val="003E6E07"/>
    <w:rsid w:val="003E6E21"/>
    <w:rsid w:val="003E6E74"/>
    <w:rsid w:val="003E6E8F"/>
    <w:rsid w:val="003E6EA5"/>
    <w:rsid w:val="003E6EAD"/>
    <w:rsid w:val="003E6FFF"/>
    <w:rsid w:val="003E700F"/>
    <w:rsid w:val="003E70E8"/>
    <w:rsid w:val="003E72B7"/>
    <w:rsid w:val="003E72C9"/>
    <w:rsid w:val="003E7329"/>
    <w:rsid w:val="003E7399"/>
    <w:rsid w:val="003E7451"/>
    <w:rsid w:val="003E7483"/>
    <w:rsid w:val="003E7548"/>
    <w:rsid w:val="003E7597"/>
    <w:rsid w:val="003E75A8"/>
    <w:rsid w:val="003E7636"/>
    <w:rsid w:val="003E768B"/>
    <w:rsid w:val="003E76B1"/>
    <w:rsid w:val="003E76B5"/>
    <w:rsid w:val="003E7735"/>
    <w:rsid w:val="003E773E"/>
    <w:rsid w:val="003E7763"/>
    <w:rsid w:val="003E77DF"/>
    <w:rsid w:val="003E78F2"/>
    <w:rsid w:val="003E7913"/>
    <w:rsid w:val="003E79B0"/>
    <w:rsid w:val="003E79D4"/>
    <w:rsid w:val="003E7A8A"/>
    <w:rsid w:val="003E7A97"/>
    <w:rsid w:val="003E7A9E"/>
    <w:rsid w:val="003E7AB3"/>
    <w:rsid w:val="003E7B32"/>
    <w:rsid w:val="003E7BDA"/>
    <w:rsid w:val="003E7C06"/>
    <w:rsid w:val="003E7C53"/>
    <w:rsid w:val="003E7C68"/>
    <w:rsid w:val="003E7CA4"/>
    <w:rsid w:val="003E7CD4"/>
    <w:rsid w:val="003E7D18"/>
    <w:rsid w:val="003E7DC8"/>
    <w:rsid w:val="003E7E18"/>
    <w:rsid w:val="003E7E5A"/>
    <w:rsid w:val="003E7E8F"/>
    <w:rsid w:val="003E7F82"/>
    <w:rsid w:val="003E7FEF"/>
    <w:rsid w:val="003F000C"/>
    <w:rsid w:val="003F0019"/>
    <w:rsid w:val="003F0077"/>
    <w:rsid w:val="003F00A6"/>
    <w:rsid w:val="003F00D8"/>
    <w:rsid w:val="003F00EE"/>
    <w:rsid w:val="003F00F2"/>
    <w:rsid w:val="003F0105"/>
    <w:rsid w:val="003F013D"/>
    <w:rsid w:val="003F0154"/>
    <w:rsid w:val="003F016B"/>
    <w:rsid w:val="003F020B"/>
    <w:rsid w:val="003F0276"/>
    <w:rsid w:val="003F027E"/>
    <w:rsid w:val="003F02B6"/>
    <w:rsid w:val="003F0329"/>
    <w:rsid w:val="003F046F"/>
    <w:rsid w:val="003F0498"/>
    <w:rsid w:val="003F0531"/>
    <w:rsid w:val="003F0567"/>
    <w:rsid w:val="003F05A5"/>
    <w:rsid w:val="003F05B9"/>
    <w:rsid w:val="003F0664"/>
    <w:rsid w:val="003F0668"/>
    <w:rsid w:val="003F066B"/>
    <w:rsid w:val="003F0698"/>
    <w:rsid w:val="003F0701"/>
    <w:rsid w:val="003F070A"/>
    <w:rsid w:val="003F0714"/>
    <w:rsid w:val="003F0767"/>
    <w:rsid w:val="003F0786"/>
    <w:rsid w:val="003F07BE"/>
    <w:rsid w:val="003F07D5"/>
    <w:rsid w:val="003F0857"/>
    <w:rsid w:val="003F088A"/>
    <w:rsid w:val="003F0910"/>
    <w:rsid w:val="003F09A9"/>
    <w:rsid w:val="003F09B4"/>
    <w:rsid w:val="003F09D3"/>
    <w:rsid w:val="003F0A8E"/>
    <w:rsid w:val="003F0AB1"/>
    <w:rsid w:val="003F0B91"/>
    <w:rsid w:val="003F0BAA"/>
    <w:rsid w:val="003F0BB8"/>
    <w:rsid w:val="003F0CA7"/>
    <w:rsid w:val="003F0CB6"/>
    <w:rsid w:val="003F0DCD"/>
    <w:rsid w:val="003F0DED"/>
    <w:rsid w:val="003F0DEE"/>
    <w:rsid w:val="003F0F5B"/>
    <w:rsid w:val="003F0FCE"/>
    <w:rsid w:val="003F10AA"/>
    <w:rsid w:val="003F10B8"/>
    <w:rsid w:val="003F111C"/>
    <w:rsid w:val="003F1176"/>
    <w:rsid w:val="003F1178"/>
    <w:rsid w:val="003F117F"/>
    <w:rsid w:val="003F11B0"/>
    <w:rsid w:val="003F11CB"/>
    <w:rsid w:val="003F1236"/>
    <w:rsid w:val="003F1310"/>
    <w:rsid w:val="003F133C"/>
    <w:rsid w:val="003F1354"/>
    <w:rsid w:val="003F13C9"/>
    <w:rsid w:val="003F142E"/>
    <w:rsid w:val="003F144D"/>
    <w:rsid w:val="003F1451"/>
    <w:rsid w:val="003F1457"/>
    <w:rsid w:val="003F1459"/>
    <w:rsid w:val="003F146A"/>
    <w:rsid w:val="003F152D"/>
    <w:rsid w:val="003F15F1"/>
    <w:rsid w:val="003F1642"/>
    <w:rsid w:val="003F1699"/>
    <w:rsid w:val="003F171F"/>
    <w:rsid w:val="003F1733"/>
    <w:rsid w:val="003F1781"/>
    <w:rsid w:val="003F17CD"/>
    <w:rsid w:val="003F17D2"/>
    <w:rsid w:val="003F1866"/>
    <w:rsid w:val="003F1879"/>
    <w:rsid w:val="003F18A0"/>
    <w:rsid w:val="003F19FE"/>
    <w:rsid w:val="003F1A29"/>
    <w:rsid w:val="003F1A99"/>
    <w:rsid w:val="003F1B07"/>
    <w:rsid w:val="003F1B75"/>
    <w:rsid w:val="003F1BA5"/>
    <w:rsid w:val="003F1BEF"/>
    <w:rsid w:val="003F1BFD"/>
    <w:rsid w:val="003F1C0C"/>
    <w:rsid w:val="003F1C57"/>
    <w:rsid w:val="003F1D6B"/>
    <w:rsid w:val="003F1DEE"/>
    <w:rsid w:val="003F1E45"/>
    <w:rsid w:val="003F1E9D"/>
    <w:rsid w:val="003F1F04"/>
    <w:rsid w:val="003F1F2E"/>
    <w:rsid w:val="003F1FC2"/>
    <w:rsid w:val="003F1FCC"/>
    <w:rsid w:val="003F2021"/>
    <w:rsid w:val="003F2064"/>
    <w:rsid w:val="003F2193"/>
    <w:rsid w:val="003F21C6"/>
    <w:rsid w:val="003F221B"/>
    <w:rsid w:val="003F2303"/>
    <w:rsid w:val="003F23A5"/>
    <w:rsid w:val="003F23C2"/>
    <w:rsid w:val="003F24C3"/>
    <w:rsid w:val="003F24EB"/>
    <w:rsid w:val="003F252D"/>
    <w:rsid w:val="003F2584"/>
    <w:rsid w:val="003F25BD"/>
    <w:rsid w:val="003F2636"/>
    <w:rsid w:val="003F2643"/>
    <w:rsid w:val="003F2649"/>
    <w:rsid w:val="003F267A"/>
    <w:rsid w:val="003F2689"/>
    <w:rsid w:val="003F26DD"/>
    <w:rsid w:val="003F2742"/>
    <w:rsid w:val="003F275D"/>
    <w:rsid w:val="003F27CE"/>
    <w:rsid w:val="003F2806"/>
    <w:rsid w:val="003F286E"/>
    <w:rsid w:val="003F2907"/>
    <w:rsid w:val="003F292E"/>
    <w:rsid w:val="003F2986"/>
    <w:rsid w:val="003F299D"/>
    <w:rsid w:val="003F29AB"/>
    <w:rsid w:val="003F2A02"/>
    <w:rsid w:val="003F2A8F"/>
    <w:rsid w:val="003F2AD8"/>
    <w:rsid w:val="003F2B72"/>
    <w:rsid w:val="003F2C17"/>
    <w:rsid w:val="003F2C40"/>
    <w:rsid w:val="003F2C74"/>
    <w:rsid w:val="003F2C92"/>
    <w:rsid w:val="003F2C95"/>
    <w:rsid w:val="003F2CED"/>
    <w:rsid w:val="003F2CF5"/>
    <w:rsid w:val="003F2D6D"/>
    <w:rsid w:val="003F2E23"/>
    <w:rsid w:val="003F2E7A"/>
    <w:rsid w:val="003F2EE2"/>
    <w:rsid w:val="003F2F91"/>
    <w:rsid w:val="003F2F95"/>
    <w:rsid w:val="003F3006"/>
    <w:rsid w:val="003F300F"/>
    <w:rsid w:val="003F3046"/>
    <w:rsid w:val="003F305A"/>
    <w:rsid w:val="003F3063"/>
    <w:rsid w:val="003F30D1"/>
    <w:rsid w:val="003F310E"/>
    <w:rsid w:val="003F3239"/>
    <w:rsid w:val="003F32A5"/>
    <w:rsid w:val="003F32CA"/>
    <w:rsid w:val="003F32CC"/>
    <w:rsid w:val="003F32F7"/>
    <w:rsid w:val="003F3342"/>
    <w:rsid w:val="003F33B5"/>
    <w:rsid w:val="003F33C0"/>
    <w:rsid w:val="003F33C2"/>
    <w:rsid w:val="003F33F7"/>
    <w:rsid w:val="003F3426"/>
    <w:rsid w:val="003F349C"/>
    <w:rsid w:val="003F34A3"/>
    <w:rsid w:val="003F35ED"/>
    <w:rsid w:val="003F3600"/>
    <w:rsid w:val="003F3851"/>
    <w:rsid w:val="003F38A1"/>
    <w:rsid w:val="003F3923"/>
    <w:rsid w:val="003F3A15"/>
    <w:rsid w:val="003F3B4B"/>
    <w:rsid w:val="003F3D0E"/>
    <w:rsid w:val="003F3D7A"/>
    <w:rsid w:val="003F3D86"/>
    <w:rsid w:val="003F3DD6"/>
    <w:rsid w:val="003F3DEF"/>
    <w:rsid w:val="003F3E6A"/>
    <w:rsid w:val="003F3EA7"/>
    <w:rsid w:val="003F3EF9"/>
    <w:rsid w:val="003F3F1A"/>
    <w:rsid w:val="003F410A"/>
    <w:rsid w:val="003F411F"/>
    <w:rsid w:val="003F41A2"/>
    <w:rsid w:val="003F41D5"/>
    <w:rsid w:val="003F4258"/>
    <w:rsid w:val="003F426E"/>
    <w:rsid w:val="003F42D4"/>
    <w:rsid w:val="003F42D6"/>
    <w:rsid w:val="003F42F0"/>
    <w:rsid w:val="003F430D"/>
    <w:rsid w:val="003F4313"/>
    <w:rsid w:val="003F4391"/>
    <w:rsid w:val="003F43DE"/>
    <w:rsid w:val="003F44BA"/>
    <w:rsid w:val="003F452B"/>
    <w:rsid w:val="003F4532"/>
    <w:rsid w:val="003F4572"/>
    <w:rsid w:val="003F459D"/>
    <w:rsid w:val="003F45AC"/>
    <w:rsid w:val="003F46E2"/>
    <w:rsid w:val="003F4717"/>
    <w:rsid w:val="003F4789"/>
    <w:rsid w:val="003F47C2"/>
    <w:rsid w:val="003F4834"/>
    <w:rsid w:val="003F4847"/>
    <w:rsid w:val="003F48CF"/>
    <w:rsid w:val="003F48D7"/>
    <w:rsid w:val="003F4A03"/>
    <w:rsid w:val="003F4A05"/>
    <w:rsid w:val="003F4A4B"/>
    <w:rsid w:val="003F4C65"/>
    <w:rsid w:val="003F4D98"/>
    <w:rsid w:val="003F4DDA"/>
    <w:rsid w:val="003F4E19"/>
    <w:rsid w:val="003F4E40"/>
    <w:rsid w:val="003F4E65"/>
    <w:rsid w:val="003F4F02"/>
    <w:rsid w:val="003F4F4F"/>
    <w:rsid w:val="003F4F95"/>
    <w:rsid w:val="003F508A"/>
    <w:rsid w:val="003F515E"/>
    <w:rsid w:val="003F5168"/>
    <w:rsid w:val="003F51B1"/>
    <w:rsid w:val="003F51D9"/>
    <w:rsid w:val="003F51DD"/>
    <w:rsid w:val="003F521A"/>
    <w:rsid w:val="003F529C"/>
    <w:rsid w:val="003F52A1"/>
    <w:rsid w:val="003F5377"/>
    <w:rsid w:val="003F53A4"/>
    <w:rsid w:val="003F53DB"/>
    <w:rsid w:val="003F5470"/>
    <w:rsid w:val="003F5590"/>
    <w:rsid w:val="003F55B2"/>
    <w:rsid w:val="003F565B"/>
    <w:rsid w:val="003F565E"/>
    <w:rsid w:val="003F56B2"/>
    <w:rsid w:val="003F56B3"/>
    <w:rsid w:val="003F5705"/>
    <w:rsid w:val="003F5821"/>
    <w:rsid w:val="003F598E"/>
    <w:rsid w:val="003F5A68"/>
    <w:rsid w:val="003F5AFD"/>
    <w:rsid w:val="003F5B2A"/>
    <w:rsid w:val="003F5B64"/>
    <w:rsid w:val="003F5C71"/>
    <w:rsid w:val="003F5D10"/>
    <w:rsid w:val="003F5D95"/>
    <w:rsid w:val="003F5E00"/>
    <w:rsid w:val="003F5E9B"/>
    <w:rsid w:val="003F5EC4"/>
    <w:rsid w:val="003F5EFD"/>
    <w:rsid w:val="003F5F38"/>
    <w:rsid w:val="003F5F4C"/>
    <w:rsid w:val="003F5FB2"/>
    <w:rsid w:val="003F6015"/>
    <w:rsid w:val="003F610D"/>
    <w:rsid w:val="003F61E6"/>
    <w:rsid w:val="003F6290"/>
    <w:rsid w:val="003F62A5"/>
    <w:rsid w:val="003F62B6"/>
    <w:rsid w:val="003F6335"/>
    <w:rsid w:val="003F63A8"/>
    <w:rsid w:val="003F63B1"/>
    <w:rsid w:val="003F643B"/>
    <w:rsid w:val="003F646C"/>
    <w:rsid w:val="003F65D1"/>
    <w:rsid w:val="003F65F9"/>
    <w:rsid w:val="003F6608"/>
    <w:rsid w:val="003F661D"/>
    <w:rsid w:val="003F664E"/>
    <w:rsid w:val="003F6680"/>
    <w:rsid w:val="003F66E9"/>
    <w:rsid w:val="003F6797"/>
    <w:rsid w:val="003F67D8"/>
    <w:rsid w:val="003F6829"/>
    <w:rsid w:val="003F684F"/>
    <w:rsid w:val="003F6867"/>
    <w:rsid w:val="003F68A0"/>
    <w:rsid w:val="003F69C9"/>
    <w:rsid w:val="003F69F8"/>
    <w:rsid w:val="003F6A0F"/>
    <w:rsid w:val="003F6AC5"/>
    <w:rsid w:val="003F6AD9"/>
    <w:rsid w:val="003F6AE2"/>
    <w:rsid w:val="003F6BB8"/>
    <w:rsid w:val="003F6C07"/>
    <w:rsid w:val="003F6C3A"/>
    <w:rsid w:val="003F6DF2"/>
    <w:rsid w:val="003F6E7A"/>
    <w:rsid w:val="003F6E99"/>
    <w:rsid w:val="003F6EAA"/>
    <w:rsid w:val="003F6EB1"/>
    <w:rsid w:val="003F6F3C"/>
    <w:rsid w:val="003F707C"/>
    <w:rsid w:val="003F7082"/>
    <w:rsid w:val="003F70CA"/>
    <w:rsid w:val="003F70DD"/>
    <w:rsid w:val="003F711D"/>
    <w:rsid w:val="003F7127"/>
    <w:rsid w:val="003F7165"/>
    <w:rsid w:val="003F71D8"/>
    <w:rsid w:val="003F7245"/>
    <w:rsid w:val="003F7346"/>
    <w:rsid w:val="003F7371"/>
    <w:rsid w:val="003F73FE"/>
    <w:rsid w:val="003F7426"/>
    <w:rsid w:val="003F7479"/>
    <w:rsid w:val="003F74E4"/>
    <w:rsid w:val="003F753D"/>
    <w:rsid w:val="003F7556"/>
    <w:rsid w:val="003F7559"/>
    <w:rsid w:val="003F7698"/>
    <w:rsid w:val="003F76D3"/>
    <w:rsid w:val="003F76EC"/>
    <w:rsid w:val="003F7727"/>
    <w:rsid w:val="003F7812"/>
    <w:rsid w:val="003F786F"/>
    <w:rsid w:val="003F7889"/>
    <w:rsid w:val="003F7897"/>
    <w:rsid w:val="003F7932"/>
    <w:rsid w:val="003F7968"/>
    <w:rsid w:val="003F7A75"/>
    <w:rsid w:val="003F7A7B"/>
    <w:rsid w:val="003F7AA6"/>
    <w:rsid w:val="003F7AC3"/>
    <w:rsid w:val="003F7C15"/>
    <w:rsid w:val="003F7C1C"/>
    <w:rsid w:val="003F7C9B"/>
    <w:rsid w:val="003F7D1A"/>
    <w:rsid w:val="003F7D3A"/>
    <w:rsid w:val="003F7D51"/>
    <w:rsid w:val="003F7D9C"/>
    <w:rsid w:val="003F7E40"/>
    <w:rsid w:val="003F7E4F"/>
    <w:rsid w:val="003F7E86"/>
    <w:rsid w:val="003F7EAE"/>
    <w:rsid w:val="003F7F6F"/>
    <w:rsid w:val="003F7F78"/>
    <w:rsid w:val="003F7F7D"/>
    <w:rsid w:val="003F7FBB"/>
    <w:rsid w:val="003F7FDC"/>
    <w:rsid w:val="0040010D"/>
    <w:rsid w:val="00400240"/>
    <w:rsid w:val="00400293"/>
    <w:rsid w:val="0040032F"/>
    <w:rsid w:val="00400403"/>
    <w:rsid w:val="0040041E"/>
    <w:rsid w:val="00400451"/>
    <w:rsid w:val="0040049C"/>
    <w:rsid w:val="004004DC"/>
    <w:rsid w:val="004004EF"/>
    <w:rsid w:val="00400550"/>
    <w:rsid w:val="0040062E"/>
    <w:rsid w:val="0040063B"/>
    <w:rsid w:val="004007D3"/>
    <w:rsid w:val="00400833"/>
    <w:rsid w:val="0040089F"/>
    <w:rsid w:val="004008BB"/>
    <w:rsid w:val="00400966"/>
    <w:rsid w:val="004009BA"/>
    <w:rsid w:val="00400A1A"/>
    <w:rsid w:val="00400A3B"/>
    <w:rsid w:val="00400AEE"/>
    <w:rsid w:val="00400B21"/>
    <w:rsid w:val="00400BBD"/>
    <w:rsid w:val="00400C4E"/>
    <w:rsid w:val="00400CD8"/>
    <w:rsid w:val="00400D30"/>
    <w:rsid w:val="00400D53"/>
    <w:rsid w:val="00400D76"/>
    <w:rsid w:val="00400D9C"/>
    <w:rsid w:val="00400E1E"/>
    <w:rsid w:val="00400E64"/>
    <w:rsid w:val="00400F2D"/>
    <w:rsid w:val="00400F98"/>
    <w:rsid w:val="00400FB2"/>
    <w:rsid w:val="00400FDA"/>
    <w:rsid w:val="004010E8"/>
    <w:rsid w:val="0040114B"/>
    <w:rsid w:val="00401174"/>
    <w:rsid w:val="004011AD"/>
    <w:rsid w:val="004011D4"/>
    <w:rsid w:val="00401215"/>
    <w:rsid w:val="00401220"/>
    <w:rsid w:val="0040122D"/>
    <w:rsid w:val="00401250"/>
    <w:rsid w:val="0040125F"/>
    <w:rsid w:val="004012B6"/>
    <w:rsid w:val="00401314"/>
    <w:rsid w:val="00401357"/>
    <w:rsid w:val="004013F9"/>
    <w:rsid w:val="004013FA"/>
    <w:rsid w:val="004013FF"/>
    <w:rsid w:val="0040149D"/>
    <w:rsid w:val="0040159A"/>
    <w:rsid w:val="00401655"/>
    <w:rsid w:val="00401676"/>
    <w:rsid w:val="00401734"/>
    <w:rsid w:val="00401757"/>
    <w:rsid w:val="004017D8"/>
    <w:rsid w:val="004017F5"/>
    <w:rsid w:val="0040182B"/>
    <w:rsid w:val="004018CA"/>
    <w:rsid w:val="00401986"/>
    <w:rsid w:val="004019A6"/>
    <w:rsid w:val="00401A2A"/>
    <w:rsid w:val="00401A2B"/>
    <w:rsid w:val="00401AAF"/>
    <w:rsid w:val="00401AF9"/>
    <w:rsid w:val="00401B11"/>
    <w:rsid w:val="00401BE1"/>
    <w:rsid w:val="00401C71"/>
    <w:rsid w:val="00401D15"/>
    <w:rsid w:val="00401D6A"/>
    <w:rsid w:val="00401E1F"/>
    <w:rsid w:val="00401F29"/>
    <w:rsid w:val="00401F2B"/>
    <w:rsid w:val="00401F69"/>
    <w:rsid w:val="00401FA8"/>
    <w:rsid w:val="00402053"/>
    <w:rsid w:val="00402076"/>
    <w:rsid w:val="004020D9"/>
    <w:rsid w:val="004020EE"/>
    <w:rsid w:val="004021E4"/>
    <w:rsid w:val="00402238"/>
    <w:rsid w:val="004022E5"/>
    <w:rsid w:val="004022F2"/>
    <w:rsid w:val="004022F8"/>
    <w:rsid w:val="00402301"/>
    <w:rsid w:val="004023A1"/>
    <w:rsid w:val="00402483"/>
    <w:rsid w:val="00402597"/>
    <w:rsid w:val="004025B2"/>
    <w:rsid w:val="004025E5"/>
    <w:rsid w:val="00402602"/>
    <w:rsid w:val="0040266F"/>
    <w:rsid w:val="004026ED"/>
    <w:rsid w:val="0040272C"/>
    <w:rsid w:val="00402752"/>
    <w:rsid w:val="00402769"/>
    <w:rsid w:val="004028C6"/>
    <w:rsid w:val="00402913"/>
    <w:rsid w:val="004029F5"/>
    <w:rsid w:val="00402B49"/>
    <w:rsid w:val="00402B68"/>
    <w:rsid w:val="00402BB9"/>
    <w:rsid w:val="00402BBB"/>
    <w:rsid w:val="00402CC1"/>
    <w:rsid w:val="00402CF2"/>
    <w:rsid w:val="00402E18"/>
    <w:rsid w:val="00402E2D"/>
    <w:rsid w:val="00402EAE"/>
    <w:rsid w:val="00402EE7"/>
    <w:rsid w:val="00402F11"/>
    <w:rsid w:val="00402F54"/>
    <w:rsid w:val="00402F63"/>
    <w:rsid w:val="00402F95"/>
    <w:rsid w:val="00402FBA"/>
    <w:rsid w:val="00402FEB"/>
    <w:rsid w:val="00402FF0"/>
    <w:rsid w:val="00403016"/>
    <w:rsid w:val="00403067"/>
    <w:rsid w:val="00403105"/>
    <w:rsid w:val="00403177"/>
    <w:rsid w:val="004031D5"/>
    <w:rsid w:val="0040323F"/>
    <w:rsid w:val="004032C8"/>
    <w:rsid w:val="004032CE"/>
    <w:rsid w:val="004032E2"/>
    <w:rsid w:val="004032F3"/>
    <w:rsid w:val="00403348"/>
    <w:rsid w:val="00403360"/>
    <w:rsid w:val="00403366"/>
    <w:rsid w:val="00403396"/>
    <w:rsid w:val="004033E8"/>
    <w:rsid w:val="004033F3"/>
    <w:rsid w:val="00403427"/>
    <w:rsid w:val="00403464"/>
    <w:rsid w:val="004034B8"/>
    <w:rsid w:val="00403517"/>
    <w:rsid w:val="0040351C"/>
    <w:rsid w:val="00403558"/>
    <w:rsid w:val="00403576"/>
    <w:rsid w:val="004035C6"/>
    <w:rsid w:val="004035DA"/>
    <w:rsid w:val="00403619"/>
    <w:rsid w:val="0040369F"/>
    <w:rsid w:val="004036D6"/>
    <w:rsid w:val="00403797"/>
    <w:rsid w:val="004037FB"/>
    <w:rsid w:val="00403843"/>
    <w:rsid w:val="00403A2D"/>
    <w:rsid w:val="00403A81"/>
    <w:rsid w:val="00403A98"/>
    <w:rsid w:val="00403ACE"/>
    <w:rsid w:val="00403B18"/>
    <w:rsid w:val="00403B3D"/>
    <w:rsid w:val="00403B3F"/>
    <w:rsid w:val="00403BAC"/>
    <w:rsid w:val="00403CB4"/>
    <w:rsid w:val="00403D82"/>
    <w:rsid w:val="00403DD1"/>
    <w:rsid w:val="00403E43"/>
    <w:rsid w:val="00403F02"/>
    <w:rsid w:val="00403F14"/>
    <w:rsid w:val="00403F57"/>
    <w:rsid w:val="00404020"/>
    <w:rsid w:val="00404028"/>
    <w:rsid w:val="00404160"/>
    <w:rsid w:val="0040422A"/>
    <w:rsid w:val="0040437E"/>
    <w:rsid w:val="00404393"/>
    <w:rsid w:val="004044D6"/>
    <w:rsid w:val="00404519"/>
    <w:rsid w:val="00404531"/>
    <w:rsid w:val="00404672"/>
    <w:rsid w:val="004046E2"/>
    <w:rsid w:val="0040478E"/>
    <w:rsid w:val="00404810"/>
    <w:rsid w:val="00404827"/>
    <w:rsid w:val="00404858"/>
    <w:rsid w:val="0040496C"/>
    <w:rsid w:val="00404AB6"/>
    <w:rsid w:val="00404BE6"/>
    <w:rsid w:val="00404C13"/>
    <w:rsid w:val="00404C15"/>
    <w:rsid w:val="00404C71"/>
    <w:rsid w:val="00404CA4"/>
    <w:rsid w:val="00404CB3"/>
    <w:rsid w:val="00404DD9"/>
    <w:rsid w:val="00404DF6"/>
    <w:rsid w:val="00404DF9"/>
    <w:rsid w:val="00404E59"/>
    <w:rsid w:val="00404E8E"/>
    <w:rsid w:val="00404EA9"/>
    <w:rsid w:val="00404F1E"/>
    <w:rsid w:val="00404FAA"/>
    <w:rsid w:val="00404FE6"/>
    <w:rsid w:val="0040500A"/>
    <w:rsid w:val="00405137"/>
    <w:rsid w:val="0040513A"/>
    <w:rsid w:val="004051BB"/>
    <w:rsid w:val="00405218"/>
    <w:rsid w:val="00405224"/>
    <w:rsid w:val="00405248"/>
    <w:rsid w:val="0040529C"/>
    <w:rsid w:val="004052B2"/>
    <w:rsid w:val="0040539B"/>
    <w:rsid w:val="0040542B"/>
    <w:rsid w:val="00405477"/>
    <w:rsid w:val="00405483"/>
    <w:rsid w:val="0040549C"/>
    <w:rsid w:val="004054DB"/>
    <w:rsid w:val="00405533"/>
    <w:rsid w:val="0040558B"/>
    <w:rsid w:val="004055D6"/>
    <w:rsid w:val="00405681"/>
    <w:rsid w:val="004056D8"/>
    <w:rsid w:val="004056F7"/>
    <w:rsid w:val="0040579D"/>
    <w:rsid w:val="00405826"/>
    <w:rsid w:val="00405879"/>
    <w:rsid w:val="004058D0"/>
    <w:rsid w:val="00405929"/>
    <w:rsid w:val="00405958"/>
    <w:rsid w:val="004059B6"/>
    <w:rsid w:val="00405B55"/>
    <w:rsid w:val="00405B5A"/>
    <w:rsid w:val="00405B5F"/>
    <w:rsid w:val="00405C62"/>
    <w:rsid w:val="00405C94"/>
    <w:rsid w:val="00405CE3"/>
    <w:rsid w:val="00405D45"/>
    <w:rsid w:val="00405D5F"/>
    <w:rsid w:val="00405D77"/>
    <w:rsid w:val="00405D89"/>
    <w:rsid w:val="00405DFA"/>
    <w:rsid w:val="00405E71"/>
    <w:rsid w:val="00405FBA"/>
    <w:rsid w:val="004060DF"/>
    <w:rsid w:val="00406103"/>
    <w:rsid w:val="00406242"/>
    <w:rsid w:val="00406277"/>
    <w:rsid w:val="004062C1"/>
    <w:rsid w:val="004062D5"/>
    <w:rsid w:val="00406382"/>
    <w:rsid w:val="004063D9"/>
    <w:rsid w:val="00406489"/>
    <w:rsid w:val="00406599"/>
    <w:rsid w:val="004065E2"/>
    <w:rsid w:val="00406605"/>
    <w:rsid w:val="00406697"/>
    <w:rsid w:val="004066B0"/>
    <w:rsid w:val="0040673B"/>
    <w:rsid w:val="00406849"/>
    <w:rsid w:val="00406889"/>
    <w:rsid w:val="0040690B"/>
    <w:rsid w:val="00406941"/>
    <w:rsid w:val="00406989"/>
    <w:rsid w:val="00406A69"/>
    <w:rsid w:val="00406B1B"/>
    <w:rsid w:val="00406B33"/>
    <w:rsid w:val="00406C35"/>
    <w:rsid w:val="00406D1E"/>
    <w:rsid w:val="00406D30"/>
    <w:rsid w:val="00406DD2"/>
    <w:rsid w:val="00406DFB"/>
    <w:rsid w:val="00406E4E"/>
    <w:rsid w:val="00406ECB"/>
    <w:rsid w:val="00406F1C"/>
    <w:rsid w:val="00406F31"/>
    <w:rsid w:val="00406F89"/>
    <w:rsid w:val="00406FC6"/>
    <w:rsid w:val="00407110"/>
    <w:rsid w:val="004071D1"/>
    <w:rsid w:val="00407222"/>
    <w:rsid w:val="00407270"/>
    <w:rsid w:val="004072B5"/>
    <w:rsid w:val="004072CE"/>
    <w:rsid w:val="00407307"/>
    <w:rsid w:val="00407393"/>
    <w:rsid w:val="004073CC"/>
    <w:rsid w:val="00407401"/>
    <w:rsid w:val="0040756A"/>
    <w:rsid w:val="0040757C"/>
    <w:rsid w:val="00407637"/>
    <w:rsid w:val="00407652"/>
    <w:rsid w:val="00407687"/>
    <w:rsid w:val="004076B1"/>
    <w:rsid w:val="0040788A"/>
    <w:rsid w:val="004078BE"/>
    <w:rsid w:val="0040792E"/>
    <w:rsid w:val="00407A6C"/>
    <w:rsid w:val="00407A92"/>
    <w:rsid w:val="00407ACD"/>
    <w:rsid w:val="00407ADC"/>
    <w:rsid w:val="00407ADD"/>
    <w:rsid w:val="00407AE4"/>
    <w:rsid w:val="00407B0F"/>
    <w:rsid w:val="00407B10"/>
    <w:rsid w:val="00407B31"/>
    <w:rsid w:val="00407BE8"/>
    <w:rsid w:val="00407D27"/>
    <w:rsid w:val="00407D92"/>
    <w:rsid w:val="00407DC8"/>
    <w:rsid w:val="00407E00"/>
    <w:rsid w:val="00407E0E"/>
    <w:rsid w:val="00407E69"/>
    <w:rsid w:val="00407F6E"/>
    <w:rsid w:val="00407FBA"/>
    <w:rsid w:val="004100F7"/>
    <w:rsid w:val="004101CD"/>
    <w:rsid w:val="004101E5"/>
    <w:rsid w:val="00410218"/>
    <w:rsid w:val="004102B1"/>
    <w:rsid w:val="004103EB"/>
    <w:rsid w:val="00410427"/>
    <w:rsid w:val="00410481"/>
    <w:rsid w:val="0041050C"/>
    <w:rsid w:val="004105A6"/>
    <w:rsid w:val="0041064C"/>
    <w:rsid w:val="00410656"/>
    <w:rsid w:val="00410683"/>
    <w:rsid w:val="004107A6"/>
    <w:rsid w:val="004107FE"/>
    <w:rsid w:val="004108BD"/>
    <w:rsid w:val="004108D3"/>
    <w:rsid w:val="004108E5"/>
    <w:rsid w:val="00410919"/>
    <w:rsid w:val="00410930"/>
    <w:rsid w:val="0041093B"/>
    <w:rsid w:val="0041099C"/>
    <w:rsid w:val="004109BA"/>
    <w:rsid w:val="00410A5C"/>
    <w:rsid w:val="00410A66"/>
    <w:rsid w:val="00410A7E"/>
    <w:rsid w:val="00410B19"/>
    <w:rsid w:val="00410B32"/>
    <w:rsid w:val="00410B48"/>
    <w:rsid w:val="00410B70"/>
    <w:rsid w:val="00410BD1"/>
    <w:rsid w:val="00410D42"/>
    <w:rsid w:val="00410D4E"/>
    <w:rsid w:val="00410D8C"/>
    <w:rsid w:val="00410DC6"/>
    <w:rsid w:val="00410EAD"/>
    <w:rsid w:val="00410F3C"/>
    <w:rsid w:val="00410F42"/>
    <w:rsid w:val="00410F49"/>
    <w:rsid w:val="00410FB4"/>
    <w:rsid w:val="0041101D"/>
    <w:rsid w:val="00411044"/>
    <w:rsid w:val="00411067"/>
    <w:rsid w:val="0041106A"/>
    <w:rsid w:val="0041106F"/>
    <w:rsid w:val="004110F7"/>
    <w:rsid w:val="00411142"/>
    <w:rsid w:val="004112A7"/>
    <w:rsid w:val="004112C1"/>
    <w:rsid w:val="00411340"/>
    <w:rsid w:val="0041139F"/>
    <w:rsid w:val="004113B8"/>
    <w:rsid w:val="004114DB"/>
    <w:rsid w:val="00411531"/>
    <w:rsid w:val="00411547"/>
    <w:rsid w:val="0041155E"/>
    <w:rsid w:val="0041157D"/>
    <w:rsid w:val="004115A5"/>
    <w:rsid w:val="00411619"/>
    <w:rsid w:val="004116B6"/>
    <w:rsid w:val="00411712"/>
    <w:rsid w:val="00411714"/>
    <w:rsid w:val="00411786"/>
    <w:rsid w:val="00411791"/>
    <w:rsid w:val="004117A8"/>
    <w:rsid w:val="00411821"/>
    <w:rsid w:val="004119D9"/>
    <w:rsid w:val="00411A30"/>
    <w:rsid w:val="00411B4B"/>
    <w:rsid w:val="00411B9D"/>
    <w:rsid w:val="00411C46"/>
    <w:rsid w:val="00411CBD"/>
    <w:rsid w:val="00411CC7"/>
    <w:rsid w:val="00411CCB"/>
    <w:rsid w:val="00411D59"/>
    <w:rsid w:val="00411D6B"/>
    <w:rsid w:val="00411ED0"/>
    <w:rsid w:val="00411EFA"/>
    <w:rsid w:val="00411F11"/>
    <w:rsid w:val="00411FE2"/>
    <w:rsid w:val="0041202E"/>
    <w:rsid w:val="00412098"/>
    <w:rsid w:val="004120C9"/>
    <w:rsid w:val="0041213F"/>
    <w:rsid w:val="004122B7"/>
    <w:rsid w:val="00412365"/>
    <w:rsid w:val="00412397"/>
    <w:rsid w:val="0041252E"/>
    <w:rsid w:val="0041255B"/>
    <w:rsid w:val="004125CB"/>
    <w:rsid w:val="00412603"/>
    <w:rsid w:val="00412621"/>
    <w:rsid w:val="00412699"/>
    <w:rsid w:val="004126F2"/>
    <w:rsid w:val="00412780"/>
    <w:rsid w:val="004127A5"/>
    <w:rsid w:val="004127EE"/>
    <w:rsid w:val="0041289D"/>
    <w:rsid w:val="004128CE"/>
    <w:rsid w:val="004128E7"/>
    <w:rsid w:val="004128F3"/>
    <w:rsid w:val="00412992"/>
    <w:rsid w:val="004129B1"/>
    <w:rsid w:val="004129C7"/>
    <w:rsid w:val="004129ED"/>
    <w:rsid w:val="00412A35"/>
    <w:rsid w:val="00412A5B"/>
    <w:rsid w:val="00412AD2"/>
    <w:rsid w:val="00412D13"/>
    <w:rsid w:val="00412D18"/>
    <w:rsid w:val="00412D27"/>
    <w:rsid w:val="00412DE6"/>
    <w:rsid w:val="00412E7D"/>
    <w:rsid w:val="00412F02"/>
    <w:rsid w:val="00412F24"/>
    <w:rsid w:val="00413059"/>
    <w:rsid w:val="004130E6"/>
    <w:rsid w:val="00413101"/>
    <w:rsid w:val="00413112"/>
    <w:rsid w:val="0041328B"/>
    <w:rsid w:val="00413343"/>
    <w:rsid w:val="00413358"/>
    <w:rsid w:val="0041335D"/>
    <w:rsid w:val="004133C8"/>
    <w:rsid w:val="004133DA"/>
    <w:rsid w:val="00413455"/>
    <w:rsid w:val="0041345C"/>
    <w:rsid w:val="00413469"/>
    <w:rsid w:val="00413479"/>
    <w:rsid w:val="004134A1"/>
    <w:rsid w:val="004134A4"/>
    <w:rsid w:val="004134DC"/>
    <w:rsid w:val="004137A5"/>
    <w:rsid w:val="004137B6"/>
    <w:rsid w:val="004137E6"/>
    <w:rsid w:val="00413804"/>
    <w:rsid w:val="00413840"/>
    <w:rsid w:val="00413849"/>
    <w:rsid w:val="00413869"/>
    <w:rsid w:val="00413883"/>
    <w:rsid w:val="00413886"/>
    <w:rsid w:val="0041393A"/>
    <w:rsid w:val="0041395A"/>
    <w:rsid w:val="0041398E"/>
    <w:rsid w:val="004139D4"/>
    <w:rsid w:val="004139E2"/>
    <w:rsid w:val="00413A2E"/>
    <w:rsid w:val="00413AB1"/>
    <w:rsid w:val="00413AB9"/>
    <w:rsid w:val="00413AD1"/>
    <w:rsid w:val="00413B25"/>
    <w:rsid w:val="00413B52"/>
    <w:rsid w:val="00413BB1"/>
    <w:rsid w:val="00413C2C"/>
    <w:rsid w:val="00413CC1"/>
    <w:rsid w:val="00413CD4"/>
    <w:rsid w:val="00413CE7"/>
    <w:rsid w:val="00413D29"/>
    <w:rsid w:val="00413D72"/>
    <w:rsid w:val="00413E16"/>
    <w:rsid w:val="00413E1A"/>
    <w:rsid w:val="00413F1E"/>
    <w:rsid w:val="00413F22"/>
    <w:rsid w:val="0041403E"/>
    <w:rsid w:val="00414107"/>
    <w:rsid w:val="00414173"/>
    <w:rsid w:val="004141E4"/>
    <w:rsid w:val="00414379"/>
    <w:rsid w:val="004143EE"/>
    <w:rsid w:val="00414413"/>
    <w:rsid w:val="0041446C"/>
    <w:rsid w:val="0041447A"/>
    <w:rsid w:val="00414488"/>
    <w:rsid w:val="0041453A"/>
    <w:rsid w:val="00414561"/>
    <w:rsid w:val="0041462A"/>
    <w:rsid w:val="00414672"/>
    <w:rsid w:val="00414713"/>
    <w:rsid w:val="00414747"/>
    <w:rsid w:val="00414748"/>
    <w:rsid w:val="00414776"/>
    <w:rsid w:val="00414785"/>
    <w:rsid w:val="004147CB"/>
    <w:rsid w:val="004147D9"/>
    <w:rsid w:val="00414872"/>
    <w:rsid w:val="00414906"/>
    <w:rsid w:val="0041495D"/>
    <w:rsid w:val="00414973"/>
    <w:rsid w:val="00414982"/>
    <w:rsid w:val="004149DE"/>
    <w:rsid w:val="004149EB"/>
    <w:rsid w:val="004149F3"/>
    <w:rsid w:val="00414A95"/>
    <w:rsid w:val="00414D25"/>
    <w:rsid w:val="00414D31"/>
    <w:rsid w:val="00414D32"/>
    <w:rsid w:val="00414DA9"/>
    <w:rsid w:val="00414DB6"/>
    <w:rsid w:val="00414DEE"/>
    <w:rsid w:val="00414DFF"/>
    <w:rsid w:val="00414EBC"/>
    <w:rsid w:val="00414F22"/>
    <w:rsid w:val="00414F89"/>
    <w:rsid w:val="00414FF0"/>
    <w:rsid w:val="00415061"/>
    <w:rsid w:val="0041508D"/>
    <w:rsid w:val="0041511F"/>
    <w:rsid w:val="00415214"/>
    <w:rsid w:val="004152F1"/>
    <w:rsid w:val="00415304"/>
    <w:rsid w:val="004153CE"/>
    <w:rsid w:val="004153EE"/>
    <w:rsid w:val="004153FE"/>
    <w:rsid w:val="00415403"/>
    <w:rsid w:val="0041549E"/>
    <w:rsid w:val="0041552D"/>
    <w:rsid w:val="0041559A"/>
    <w:rsid w:val="004155DB"/>
    <w:rsid w:val="0041563D"/>
    <w:rsid w:val="004156C3"/>
    <w:rsid w:val="00415767"/>
    <w:rsid w:val="0041576E"/>
    <w:rsid w:val="004157AE"/>
    <w:rsid w:val="004157CA"/>
    <w:rsid w:val="0041582E"/>
    <w:rsid w:val="004158C4"/>
    <w:rsid w:val="00415912"/>
    <w:rsid w:val="00415A0A"/>
    <w:rsid w:val="00415A7F"/>
    <w:rsid w:val="00415A9E"/>
    <w:rsid w:val="00415AA2"/>
    <w:rsid w:val="00415ADB"/>
    <w:rsid w:val="00415AF5"/>
    <w:rsid w:val="00415AFC"/>
    <w:rsid w:val="00415B53"/>
    <w:rsid w:val="00415BE8"/>
    <w:rsid w:val="00415C2E"/>
    <w:rsid w:val="00415C65"/>
    <w:rsid w:val="00415DF9"/>
    <w:rsid w:val="00415E56"/>
    <w:rsid w:val="00415E7E"/>
    <w:rsid w:val="00415E95"/>
    <w:rsid w:val="00415EA5"/>
    <w:rsid w:val="00415EF0"/>
    <w:rsid w:val="00415EF3"/>
    <w:rsid w:val="00416033"/>
    <w:rsid w:val="00416055"/>
    <w:rsid w:val="0041608A"/>
    <w:rsid w:val="004161A4"/>
    <w:rsid w:val="004161A9"/>
    <w:rsid w:val="004161FA"/>
    <w:rsid w:val="0041622F"/>
    <w:rsid w:val="00416390"/>
    <w:rsid w:val="00416426"/>
    <w:rsid w:val="00416484"/>
    <w:rsid w:val="0041649E"/>
    <w:rsid w:val="004164A5"/>
    <w:rsid w:val="004164AE"/>
    <w:rsid w:val="00416524"/>
    <w:rsid w:val="004166D6"/>
    <w:rsid w:val="004166E2"/>
    <w:rsid w:val="00416772"/>
    <w:rsid w:val="00416796"/>
    <w:rsid w:val="004168A0"/>
    <w:rsid w:val="004168D3"/>
    <w:rsid w:val="00416917"/>
    <w:rsid w:val="00416A85"/>
    <w:rsid w:val="00416B07"/>
    <w:rsid w:val="00416B09"/>
    <w:rsid w:val="00416BA3"/>
    <w:rsid w:val="00416C95"/>
    <w:rsid w:val="00416CD3"/>
    <w:rsid w:val="00416DCB"/>
    <w:rsid w:val="00416E0D"/>
    <w:rsid w:val="00416E5C"/>
    <w:rsid w:val="00416ECF"/>
    <w:rsid w:val="00416F08"/>
    <w:rsid w:val="00416FE9"/>
    <w:rsid w:val="00416FF7"/>
    <w:rsid w:val="00417021"/>
    <w:rsid w:val="0041709B"/>
    <w:rsid w:val="00417177"/>
    <w:rsid w:val="004171B5"/>
    <w:rsid w:val="00417231"/>
    <w:rsid w:val="004172C0"/>
    <w:rsid w:val="004172C2"/>
    <w:rsid w:val="00417351"/>
    <w:rsid w:val="00417386"/>
    <w:rsid w:val="00417514"/>
    <w:rsid w:val="004175CE"/>
    <w:rsid w:val="0041774A"/>
    <w:rsid w:val="0041778A"/>
    <w:rsid w:val="004177D2"/>
    <w:rsid w:val="00417830"/>
    <w:rsid w:val="0041783D"/>
    <w:rsid w:val="004178C5"/>
    <w:rsid w:val="00417A44"/>
    <w:rsid w:val="00417A51"/>
    <w:rsid w:val="00417B2A"/>
    <w:rsid w:val="00417B3A"/>
    <w:rsid w:val="00417BA5"/>
    <w:rsid w:val="00417CA7"/>
    <w:rsid w:val="00417CE4"/>
    <w:rsid w:val="00417D11"/>
    <w:rsid w:val="00417D51"/>
    <w:rsid w:val="00417D6B"/>
    <w:rsid w:val="00417E2A"/>
    <w:rsid w:val="00417E8B"/>
    <w:rsid w:val="00417EB7"/>
    <w:rsid w:val="00417ED9"/>
    <w:rsid w:val="00417F72"/>
    <w:rsid w:val="00417F90"/>
    <w:rsid w:val="00417FA1"/>
    <w:rsid w:val="00417FD6"/>
    <w:rsid w:val="0042000A"/>
    <w:rsid w:val="0042013C"/>
    <w:rsid w:val="004201BB"/>
    <w:rsid w:val="004201EE"/>
    <w:rsid w:val="00420230"/>
    <w:rsid w:val="00420250"/>
    <w:rsid w:val="004202C9"/>
    <w:rsid w:val="004203C9"/>
    <w:rsid w:val="004203CE"/>
    <w:rsid w:val="00420434"/>
    <w:rsid w:val="0042046E"/>
    <w:rsid w:val="004204D3"/>
    <w:rsid w:val="004204EF"/>
    <w:rsid w:val="00420541"/>
    <w:rsid w:val="00420827"/>
    <w:rsid w:val="00420840"/>
    <w:rsid w:val="00420930"/>
    <w:rsid w:val="0042093E"/>
    <w:rsid w:val="0042095A"/>
    <w:rsid w:val="004209ED"/>
    <w:rsid w:val="00420A22"/>
    <w:rsid w:val="00420A8A"/>
    <w:rsid w:val="00420B14"/>
    <w:rsid w:val="00420B29"/>
    <w:rsid w:val="00420B41"/>
    <w:rsid w:val="00420B61"/>
    <w:rsid w:val="00420CA2"/>
    <w:rsid w:val="00420CDE"/>
    <w:rsid w:val="00420CEF"/>
    <w:rsid w:val="00420D07"/>
    <w:rsid w:val="00420DF3"/>
    <w:rsid w:val="00420EE6"/>
    <w:rsid w:val="00420F17"/>
    <w:rsid w:val="00420F3A"/>
    <w:rsid w:val="00420F62"/>
    <w:rsid w:val="00420F63"/>
    <w:rsid w:val="00420F69"/>
    <w:rsid w:val="00420F88"/>
    <w:rsid w:val="0042102A"/>
    <w:rsid w:val="00421049"/>
    <w:rsid w:val="00421092"/>
    <w:rsid w:val="00421114"/>
    <w:rsid w:val="00421168"/>
    <w:rsid w:val="0042116B"/>
    <w:rsid w:val="00421191"/>
    <w:rsid w:val="0042130E"/>
    <w:rsid w:val="00421310"/>
    <w:rsid w:val="00421315"/>
    <w:rsid w:val="0042132E"/>
    <w:rsid w:val="00421342"/>
    <w:rsid w:val="00421381"/>
    <w:rsid w:val="004213E4"/>
    <w:rsid w:val="00421480"/>
    <w:rsid w:val="004214AA"/>
    <w:rsid w:val="0042150C"/>
    <w:rsid w:val="00421553"/>
    <w:rsid w:val="0042158F"/>
    <w:rsid w:val="004215D4"/>
    <w:rsid w:val="00421611"/>
    <w:rsid w:val="00421650"/>
    <w:rsid w:val="004216FC"/>
    <w:rsid w:val="00421702"/>
    <w:rsid w:val="00421714"/>
    <w:rsid w:val="00421791"/>
    <w:rsid w:val="004217AD"/>
    <w:rsid w:val="004217B1"/>
    <w:rsid w:val="004217D1"/>
    <w:rsid w:val="004218B8"/>
    <w:rsid w:val="00421961"/>
    <w:rsid w:val="004219A3"/>
    <w:rsid w:val="00421A2C"/>
    <w:rsid w:val="00421ACC"/>
    <w:rsid w:val="00421ADD"/>
    <w:rsid w:val="00421BDB"/>
    <w:rsid w:val="00421C11"/>
    <w:rsid w:val="00421D77"/>
    <w:rsid w:val="00421D99"/>
    <w:rsid w:val="00421DD5"/>
    <w:rsid w:val="00421E74"/>
    <w:rsid w:val="00421E9E"/>
    <w:rsid w:val="00421EE9"/>
    <w:rsid w:val="00421F1E"/>
    <w:rsid w:val="00421F85"/>
    <w:rsid w:val="00421F90"/>
    <w:rsid w:val="00421FFE"/>
    <w:rsid w:val="0042200D"/>
    <w:rsid w:val="00422060"/>
    <w:rsid w:val="00422124"/>
    <w:rsid w:val="00422141"/>
    <w:rsid w:val="00422214"/>
    <w:rsid w:val="004223C4"/>
    <w:rsid w:val="00422446"/>
    <w:rsid w:val="00422489"/>
    <w:rsid w:val="004225C1"/>
    <w:rsid w:val="00422634"/>
    <w:rsid w:val="004227A7"/>
    <w:rsid w:val="004227C5"/>
    <w:rsid w:val="004227D2"/>
    <w:rsid w:val="004228A0"/>
    <w:rsid w:val="00422988"/>
    <w:rsid w:val="004229AF"/>
    <w:rsid w:val="00422A45"/>
    <w:rsid w:val="00422AD7"/>
    <w:rsid w:val="00422B85"/>
    <w:rsid w:val="00422BA6"/>
    <w:rsid w:val="00422CB0"/>
    <w:rsid w:val="00422CFA"/>
    <w:rsid w:val="00422CFF"/>
    <w:rsid w:val="00422D39"/>
    <w:rsid w:val="00422D49"/>
    <w:rsid w:val="00422DCF"/>
    <w:rsid w:val="00422E69"/>
    <w:rsid w:val="00422E87"/>
    <w:rsid w:val="00422E89"/>
    <w:rsid w:val="004231BF"/>
    <w:rsid w:val="004231F0"/>
    <w:rsid w:val="0042323F"/>
    <w:rsid w:val="004232FC"/>
    <w:rsid w:val="004233A5"/>
    <w:rsid w:val="00423406"/>
    <w:rsid w:val="00423482"/>
    <w:rsid w:val="00423492"/>
    <w:rsid w:val="00423571"/>
    <w:rsid w:val="00423677"/>
    <w:rsid w:val="00423689"/>
    <w:rsid w:val="004236B7"/>
    <w:rsid w:val="00423720"/>
    <w:rsid w:val="004237AB"/>
    <w:rsid w:val="004237B3"/>
    <w:rsid w:val="004237C8"/>
    <w:rsid w:val="00423819"/>
    <w:rsid w:val="004238CC"/>
    <w:rsid w:val="0042393D"/>
    <w:rsid w:val="0042398A"/>
    <w:rsid w:val="004239AC"/>
    <w:rsid w:val="00423A3C"/>
    <w:rsid w:val="00423BCB"/>
    <w:rsid w:val="00423BF6"/>
    <w:rsid w:val="00423C42"/>
    <w:rsid w:val="00423C45"/>
    <w:rsid w:val="00423C4F"/>
    <w:rsid w:val="00423C68"/>
    <w:rsid w:val="00423CB0"/>
    <w:rsid w:val="00423E3A"/>
    <w:rsid w:val="00423E6B"/>
    <w:rsid w:val="00423F81"/>
    <w:rsid w:val="00423FD2"/>
    <w:rsid w:val="00424072"/>
    <w:rsid w:val="004240D4"/>
    <w:rsid w:val="004240D7"/>
    <w:rsid w:val="004240E2"/>
    <w:rsid w:val="00424120"/>
    <w:rsid w:val="00424143"/>
    <w:rsid w:val="004241B5"/>
    <w:rsid w:val="004241B6"/>
    <w:rsid w:val="004241BE"/>
    <w:rsid w:val="004241E4"/>
    <w:rsid w:val="004241F5"/>
    <w:rsid w:val="00424209"/>
    <w:rsid w:val="00424250"/>
    <w:rsid w:val="00424299"/>
    <w:rsid w:val="00424465"/>
    <w:rsid w:val="00424485"/>
    <w:rsid w:val="004244C7"/>
    <w:rsid w:val="00424505"/>
    <w:rsid w:val="0042458A"/>
    <w:rsid w:val="004245ED"/>
    <w:rsid w:val="004245F4"/>
    <w:rsid w:val="00424684"/>
    <w:rsid w:val="004246C7"/>
    <w:rsid w:val="004247EA"/>
    <w:rsid w:val="0042480A"/>
    <w:rsid w:val="0042482A"/>
    <w:rsid w:val="00424952"/>
    <w:rsid w:val="0042499F"/>
    <w:rsid w:val="00424A1C"/>
    <w:rsid w:val="00424A29"/>
    <w:rsid w:val="00424A61"/>
    <w:rsid w:val="00424ADB"/>
    <w:rsid w:val="00424B0B"/>
    <w:rsid w:val="00424B21"/>
    <w:rsid w:val="00424B9A"/>
    <w:rsid w:val="00424BE2"/>
    <w:rsid w:val="00424CBC"/>
    <w:rsid w:val="00424CE4"/>
    <w:rsid w:val="00424CE7"/>
    <w:rsid w:val="00424D26"/>
    <w:rsid w:val="00424D39"/>
    <w:rsid w:val="00424D6B"/>
    <w:rsid w:val="00424DF1"/>
    <w:rsid w:val="00424E1D"/>
    <w:rsid w:val="00424EFA"/>
    <w:rsid w:val="00424F36"/>
    <w:rsid w:val="00424F83"/>
    <w:rsid w:val="00424FC6"/>
    <w:rsid w:val="00424FC9"/>
    <w:rsid w:val="00424FFC"/>
    <w:rsid w:val="0042505E"/>
    <w:rsid w:val="0042506C"/>
    <w:rsid w:val="004250AA"/>
    <w:rsid w:val="004250B3"/>
    <w:rsid w:val="004250ED"/>
    <w:rsid w:val="00425162"/>
    <w:rsid w:val="004251FE"/>
    <w:rsid w:val="00425205"/>
    <w:rsid w:val="00425229"/>
    <w:rsid w:val="0042522A"/>
    <w:rsid w:val="0042525A"/>
    <w:rsid w:val="00425314"/>
    <w:rsid w:val="0042531C"/>
    <w:rsid w:val="00425334"/>
    <w:rsid w:val="0042536B"/>
    <w:rsid w:val="0042537B"/>
    <w:rsid w:val="0042537C"/>
    <w:rsid w:val="0042540F"/>
    <w:rsid w:val="0042545F"/>
    <w:rsid w:val="004254D6"/>
    <w:rsid w:val="0042566A"/>
    <w:rsid w:val="0042567E"/>
    <w:rsid w:val="004256CB"/>
    <w:rsid w:val="00425738"/>
    <w:rsid w:val="00425765"/>
    <w:rsid w:val="004257B5"/>
    <w:rsid w:val="00425843"/>
    <w:rsid w:val="00425936"/>
    <w:rsid w:val="004259A1"/>
    <w:rsid w:val="00425A30"/>
    <w:rsid w:val="00425A7E"/>
    <w:rsid w:val="00425ADF"/>
    <w:rsid w:val="00425B3D"/>
    <w:rsid w:val="00425B94"/>
    <w:rsid w:val="00425BE3"/>
    <w:rsid w:val="00425C91"/>
    <w:rsid w:val="00425CBB"/>
    <w:rsid w:val="00425D07"/>
    <w:rsid w:val="00425D20"/>
    <w:rsid w:val="00425D58"/>
    <w:rsid w:val="00425D93"/>
    <w:rsid w:val="00425DCB"/>
    <w:rsid w:val="00425DCF"/>
    <w:rsid w:val="00425DD4"/>
    <w:rsid w:val="00425E2F"/>
    <w:rsid w:val="00425E57"/>
    <w:rsid w:val="00425E7C"/>
    <w:rsid w:val="00425F27"/>
    <w:rsid w:val="00425F86"/>
    <w:rsid w:val="00425FC2"/>
    <w:rsid w:val="00425FCE"/>
    <w:rsid w:val="00426005"/>
    <w:rsid w:val="00426144"/>
    <w:rsid w:val="004261EB"/>
    <w:rsid w:val="0042624B"/>
    <w:rsid w:val="0042628E"/>
    <w:rsid w:val="0042632F"/>
    <w:rsid w:val="004263BD"/>
    <w:rsid w:val="00426435"/>
    <w:rsid w:val="00426486"/>
    <w:rsid w:val="004264E9"/>
    <w:rsid w:val="004265AB"/>
    <w:rsid w:val="00426608"/>
    <w:rsid w:val="0042665D"/>
    <w:rsid w:val="00426684"/>
    <w:rsid w:val="004266F7"/>
    <w:rsid w:val="00426703"/>
    <w:rsid w:val="0042670D"/>
    <w:rsid w:val="00426766"/>
    <w:rsid w:val="00426894"/>
    <w:rsid w:val="004268C3"/>
    <w:rsid w:val="00426937"/>
    <w:rsid w:val="00426A12"/>
    <w:rsid w:val="00426A14"/>
    <w:rsid w:val="00426A32"/>
    <w:rsid w:val="00426A50"/>
    <w:rsid w:val="00426B3E"/>
    <w:rsid w:val="00426B42"/>
    <w:rsid w:val="00426BB7"/>
    <w:rsid w:val="00426CEA"/>
    <w:rsid w:val="00426D4D"/>
    <w:rsid w:val="00426D84"/>
    <w:rsid w:val="00426DC4"/>
    <w:rsid w:val="00426E12"/>
    <w:rsid w:val="00426E49"/>
    <w:rsid w:val="00426E97"/>
    <w:rsid w:val="00426E9F"/>
    <w:rsid w:val="00426EE3"/>
    <w:rsid w:val="00426EEA"/>
    <w:rsid w:val="00426EF0"/>
    <w:rsid w:val="00426F01"/>
    <w:rsid w:val="00426F0F"/>
    <w:rsid w:val="00426F1E"/>
    <w:rsid w:val="00427073"/>
    <w:rsid w:val="004270DE"/>
    <w:rsid w:val="004270F6"/>
    <w:rsid w:val="00427131"/>
    <w:rsid w:val="0042715E"/>
    <w:rsid w:val="0042722B"/>
    <w:rsid w:val="0042731B"/>
    <w:rsid w:val="0042739F"/>
    <w:rsid w:val="00427406"/>
    <w:rsid w:val="00427427"/>
    <w:rsid w:val="004275B4"/>
    <w:rsid w:val="004275DD"/>
    <w:rsid w:val="004276CC"/>
    <w:rsid w:val="00427762"/>
    <w:rsid w:val="00427791"/>
    <w:rsid w:val="004277D1"/>
    <w:rsid w:val="004277E6"/>
    <w:rsid w:val="00427824"/>
    <w:rsid w:val="0042786A"/>
    <w:rsid w:val="00427938"/>
    <w:rsid w:val="004279AF"/>
    <w:rsid w:val="004279B7"/>
    <w:rsid w:val="00427A32"/>
    <w:rsid w:val="00427A49"/>
    <w:rsid w:val="00427AA3"/>
    <w:rsid w:val="00427B48"/>
    <w:rsid w:val="00427C3D"/>
    <w:rsid w:val="00427C5A"/>
    <w:rsid w:val="00427CFA"/>
    <w:rsid w:val="00427D53"/>
    <w:rsid w:val="00427E41"/>
    <w:rsid w:val="00427EAC"/>
    <w:rsid w:val="00427F17"/>
    <w:rsid w:val="00427F1D"/>
    <w:rsid w:val="00427F6A"/>
    <w:rsid w:val="00427F99"/>
    <w:rsid w:val="00427FB0"/>
    <w:rsid w:val="00427FDF"/>
    <w:rsid w:val="0042BEF0"/>
    <w:rsid w:val="004300A9"/>
    <w:rsid w:val="004300DB"/>
    <w:rsid w:val="004300F3"/>
    <w:rsid w:val="004300F4"/>
    <w:rsid w:val="00430113"/>
    <w:rsid w:val="0043016E"/>
    <w:rsid w:val="00430189"/>
    <w:rsid w:val="00430193"/>
    <w:rsid w:val="004301E9"/>
    <w:rsid w:val="00430336"/>
    <w:rsid w:val="00430345"/>
    <w:rsid w:val="0043034B"/>
    <w:rsid w:val="0043036A"/>
    <w:rsid w:val="0043036D"/>
    <w:rsid w:val="00430431"/>
    <w:rsid w:val="00430457"/>
    <w:rsid w:val="00430498"/>
    <w:rsid w:val="004304D6"/>
    <w:rsid w:val="0043050F"/>
    <w:rsid w:val="00430529"/>
    <w:rsid w:val="0043055A"/>
    <w:rsid w:val="00430565"/>
    <w:rsid w:val="004305BB"/>
    <w:rsid w:val="004305D1"/>
    <w:rsid w:val="0043061E"/>
    <w:rsid w:val="0043070C"/>
    <w:rsid w:val="00430751"/>
    <w:rsid w:val="004307D6"/>
    <w:rsid w:val="004307FE"/>
    <w:rsid w:val="0043085E"/>
    <w:rsid w:val="00430885"/>
    <w:rsid w:val="004308E6"/>
    <w:rsid w:val="00430A43"/>
    <w:rsid w:val="00430AF1"/>
    <w:rsid w:val="00430B4F"/>
    <w:rsid w:val="00430B89"/>
    <w:rsid w:val="00430BC9"/>
    <w:rsid w:val="00430C9C"/>
    <w:rsid w:val="00430CE7"/>
    <w:rsid w:val="00430D1B"/>
    <w:rsid w:val="00430D7A"/>
    <w:rsid w:val="00430DAF"/>
    <w:rsid w:val="00430DFE"/>
    <w:rsid w:val="00430E32"/>
    <w:rsid w:val="00430EF2"/>
    <w:rsid w:val="00430F8E"/>
    <w:rsid w:val="00431068"/>
    <w:rsid w:val="004310EB"/>
    <w:rsid w:val="004311AC"/>
    <w:rsid w:val="004311D0"/>
    <w:rsid w:val="004311EC"/>
    <w:rsid w:val="004312CC"/>
    <w:rsid w:val="00431396"/>
    <w:rsid w:val="004313F3"/>
    <w:rsid w:val="00431425"/>
    <w:rsid w:val="0043144B"/>
    <w:rsid w:val="0043145A"/>
    <w:rsid w:val="0043147F"/>
    <w:rsid w:val="0043148D"/>
    <w:rsid w:val="00431502"/>
    <w:rsid w:val="004315F6"/>
    <w:rsid w:val="00431717"/>
    <w:rsid w:val="00431762"/>
    <w:rsid w:val="004317A8"/>
    <w:rsid w:val="004317C2"/>
    <w:rsid w:val="00431888"/>
    <w:rsid w:val="004318E3"/>
    <w:rsid w:val="00431923"/>
    <w:rsid w:val="0043192F"/>
    <w:rsid w:val="004319D2"/>
    <w:rsid w:val="004319D8"/>
    <w:rsid w:val="00431A73"/>
    <w:rsid w:val="00431AAF"/>
    <w:rsid w:val="00431AFD"/>
    <w:rsid w:val="00431B33"/>
    <w:rsid w:val="00431B7E"/>
    <w:rsid w:val="00431B96"/>
    <w:rsid w:val="00431C3F"/>
    <w:rsid w:val="00431C76"/>
    <w:rsid w:val="00431CCF"/>
    <w:rsid w:val="00431D57"/>
    <w:rsid w:val="00431D85"/>
    <w:rsid w:val="00431DC7"/>
    <w:rsid w:val="00431E70"/>
    <w:rsid w:val="00431F1A"/>
    <w:rsid w:val="00431F26"/>
    <w:rsid w:val="00431F5E"/>
    <w:rsid w:val="00431F9D"/>
    <w:rsid w:val="00431FA4"/>
    <w:rsid w:val="00431FDE"/>
    <w:rsid w:val="00431FE0"/>
    <w:rsid w:val="00431FF6"/>
    <w:rsid w:val="004320F4"/>
    <w:rsid w:val="00432197"/>
    <w:rsid w:val="004321A2"/>
    <w:rsid w:val="004321C3"/>
    <w:rsid w:val="00432247"/>
    <w:rsid w:val="00432263"/>
    <w:rsid w:val="0043233D"/>
    <w:rsid w:val="004323D3"/>
    <w:rsid w:val="0043240B"/>
    <w:rsid w:val="00432424"/>
    <w:rsid w:val="00432434"/>
    <w:rsid w:val="00432486"/>
    <w:rsid w:val="00432527"/>
    <w:rsid w:val="00432614"/>
    <w:rsid w:val="00432620"/>
    <w:rsid w:val="0043267C"/>
    <w:rsid w:val="00432728"/>
    <w:rsid w:val="0043274A"/>
    <w:rsid w:val="0043278A"/>
    <w:rsid w:val="004327E4"/>
    <w:rsid w:val="00432856"/>
    <w:rsid w:val="004328C3"/>
    <w:rsid w:val="00432925"/>
    <w:rsid w:val="00432A37"/>
    <w:rsid w:val="00432D4B"/>
    <w:rsid w:val="00432D8F"/>
    <w:rsid w:val="00432E8E"/>
    <w:rsid w:val="00432EFA"/>
    <w:rsid w:val="00432F9B"/>
    <w:rsid w:val="00432FBD"/>
    <w:rsid w:val="00432FEC"/>
    <w:rsid w:val="00432FF2"/>
    <w:rsid w:val="00433104"/>
    <w:rsid w:val="00433121"/>
    <w:rsid w:val="00433150"/>
    <w:rsid w:val="00433154"/>
    <w:rsid w:val="00433197"/>
    <w:rsid w:val="004331E9"/>
    <w:rsid w:val="0043327A"/>
    <w:rsid w:val="00433295"/>
    <w:rsid w:val="00433400"/>
    <w:rsid w:val="0043340E"/>
    <w:rsid w:val="00433497"/>
    <w:rsid w:val="004334A8"/>
    <w:rsid w:val="004334BC"/>
    <w:rsid w:val="004334DA"/>
    <w:rsid w:val="004334F9"/>
    <w:rsid w:val="00433700"/>
    <w:rsid w:val="00433793"/>
    <w:rsid w:val="00433795"/>
    <w:rsid w:val="004337B0"/>
    <w:rsid w:val="004337B7"/>
    <w:rsid w:val="004337F0"/>
    <w:rsid w:val="00433839"/>
    <w:rsid w:val="004338DB"/>
    <w:rsid w:val="00433915"/>
    <w:rsid w:val="00433921"/>
    <w:rsid w:val="004339FC"/>
    <w:rsid w:val="00433AC5"/>
    <w:rsid w:val="00433B06"/>
    <w:rsid w:val="00433B4D"/>
    <w:rsid w:val="00433B5C"/>
    <w:rsid w:val="00433B6D"/>
    <w:rsid w:val="00433B7F"/>
    <w:rsid w:val="00433CC5"/>
    <w:rsid w:val="00433CD5"/>
    <w:rsid w:val="00433D05"/>
    <w:rsid w:val="00433F28"/>
    <w:rsid w:val="00433F56"/>
    <w:rsid w:val="00433FAA"/>
    <w:rsid w:val="00433FC4"/>
    <w:rsid w:val="00433FCD"/>
    <w:rsid w:val="0043400F"/>
    <w:rsid w:val="00434022"/>
    <w:rsid w:val="004340BA"/>
    <w:rsid w:val="00434180"/>
    <w:rsid w:val="004341B9"/>
    <w:rsid w:val="004341D6"/>
    <w:rsid w:val="004341EA"/>
    <w:rsid w:val="004342D7"/>
    <w:rsid w:val="004342DE"/>
    <w:rsid w:val="00434302"/>
    <w:rsid w:val="0043442E"/>
    <w:rsid w:val="0043453E"/>
    <w:rsid w:val="004345B2"/>
    <w:rsid w:val="004345B5"/>
    <w:rsid w:val="004345BF"/>
    <w:rsid w:val="004345DD"/>
    <w:rsid w:val="00434627"/>
    <w:rsid w:val="00434632"/>
    <w:rsid w:val="0043467E"/>
    <w:rsid w:val="00434806"/>
    <w:rsid w:val="004348D8"/>
    <w:rsid w:val="004349C0"/>
    <w:rsid w:val="004349D9"/>
    <w:rsid w:val="00434A1E"/>
    <w:rsid w:val="00434A22"/>
    <w:rsid w:val="00434A60"/>
    <w:rsid w:val="00434B75"/>
    <w:rsid w:val="00434B79"/>
    <w:rsid w:val="00434C0C"/>
    <w:rsid w:val="00434CC7"/>
    <w:rsid w:val="00434CF4"/>
    <w:rsid w:val="00434D06"/>
    <w:rsid w:val="00434DEF"/>
    <w:rsid w:val="00434DFF"/>
    <w:rsid w:val="00434E85"/>
    <w:rsid w:val="00434EAE"/>
    <w:rsid w:val="00434EC7"/>
    <w:rsid w:val="00434FC9"/>
    <w:rsid w:val="00434FCD"/>
    <w:rsid w:val="00435010"/>
    <w:rsid w:val="004350B9"/>
    <w:rsid w:val="004350FF"/>
    <w:rsid w:val="00435117"/>
    <w:rsid w:val="00435164"/>
    <w:rsid w:val="00435172"/>
    <w:rsid w:val="0043517D"/>
    <w:rsid w:val="00435276"/>
    <w:rsid w:val="004352B1"/>
    <w:rsid w:val="0043538D"/>
    <w:rsid w:val="004353A1"/>
    <w:rsid w:val="004354C6"/>
    <w:rsid w:val="004354CE"/>
    <w:rsid w:val="0043552F"/>
    <w:rsid w:val="0043556E"/>
    <w:rsid w:val="00435601"/>
    <w:rsid w:val="004356B3"/>
    <w:rsid w:val="004356FB"/>
    <w:rsid w:val="0043573D"/>
    <w:rsid w:val="004357E6"/>
    <w:rsid w:val="004358FE"/>
    <w:rsid w:val="00435912"/>
    <w:rsid w:val="00435938"/>
    <w:rsid w:val="0043595C"/>
    <w:rsid w:val="004359AD"/>
    <w:rsid w:val="004359CC"/>
    <w:rsid w:val="00435A58"/>
    <w:rsid w:val="00435B14"/>
    <w:rsid w:val="00435B1C"/>
    <w:rsid w:val="00435C1B"/>
    <w:rsid w:val="00435D59"/>
    <w:rsid w:val="00435D61"/>
    <w:rsid w:val="00435D62"/>
    <w:rsid w:val="00435D75"/>
    <w:rsid w:val="00435DA3"/>
    <w:rsid w:val="00435E26"/>
    <w:rsid w:val="00435E86"/>
    <w:rsid w:val="00435ED9"/>
    <w:rsid w:val="00435F89"/>
    <w:rsid w:val="0043611C"/>
    <w:rsid w:val="00436144"/>
    <w:rsid w:val="00436158"/>
    <w:rsid w:val="00436173"/>
    <w:rsid w:val="00436189"/>
    <w:rsid w:val="0043619C"/>
    <w:rsid w:val="00436248"/>
    <w:rsid w:val="00436284"/>
    <w:rsid w:val="00436304"/>
    <w:rsid w:val="004363EC"/>
    <w:rsid w:val="004363F9"/>
    <w:rsid w:val="00436499"/>
    <w:rsid w:val="004364BD"/>
    <w:rsid w:val="004364EE"/>
    <w:rsid w:val="00436626"/>
    <w:rsid w:val="0043668A"/>
    <w:rsid w:val="004366C2"/>
    <w:rsid w:val="004366D7"/>
    <w:rsid w:val="004367DE"/>
    <w:rsid w:val="00436841"/>
    <w:rsid w:val="00436852"/>
    <w:rsid w:val="00436865"/>
    <w:rsid w:val="00436887"/>
    <w:rsid w:val="0043692E"/>
    <w:rsid w:val="00436981"/>
    <w:rsid w:val="004369C1"/>
    <w:rsid w:val="00436A5E"/>
    <w:rsid w:val="00436AE5"/>
    <w:rsid w:val="00436B0A"/>
    <w:rsid w:val="00436B60"/>
    <w:rsid w:val="00436B6F"/>
    <w:rsid w:val="00436BB6"/>
    <w:rsid w:val="00436BD1"/>
    <w:rsid w:val="00436BD6"/>
    <w:rsid w:val="00436BE7"/>
    <w:rsid w:val="00436D63"/>
    <w:rsid w:val="00436D7B"/>
    <w:rsid w:val="00436D91"/>
    <w:rsid w:val="00436D9D"/>
    <w:rsid w:val="00436EB6"/>
    <w:rsid w:val="00436F3B"/>
    <w:rsid w:val="00436FB6"/>
    <w:rsid w:val="00436FD3"/>
    <w:rsid w:val="00436FE1"/>
    <w:rsid w:val="00437133"/>
    <w:rsid w:val="00437194"/>
    <w:rsid w:val="004371CE"/>
    <w:rsid w:val="0043721A"/>
    <w:rsid w:val="00437249"/>
    <w:rsid w:val="0043728F"/>
    <w:rsid w:val="004372AA"/>
    <w:rsid w:val="004372B9"/>
    <w:rsid w:val="00437320"/>
    <w:rsid w:val="00437363"/>
    <w:rsid w:val="0043737C"/>
    <w:rsid w:val="00437386"/>
    <w:rsid w:val="00437423"/>
    <w:rsid w:val="0043743A"/>
    <w:rsid w:val="0043743F"/>
    <w:rsid w:val="00437487"/>
    <w:rsid w:val="00437499"/>
    <w:rsid w:val="004374B0"/>
    <w:rsid w:val="004374CB"/>
    <w:rsid w:val="004375AE"/>
    <w:rsid w:val="0043768D"/>
    <w:rsid w:val="0043773A"/>
    <w:rsid w:val="00437759"/>
    <w:rsid w:val="004377A9"/>
    <w:rsid w:val="004377BA"/>
    <w:rsid w:val="004377EA"/>
    <w:rsid w:val="00437817"/>
    <w:rsid w:val="00437828"/>
    <w:rsid w:val="0043784C"/>
    <w:rsid w:val="0043785D"/>
    <w:rsid w:val="0043787F"/>
    <w:rsid w:val="004378F4"/>
    <w:rsid w:val="00437975"/>
    <w:rsid w:val="0043797A"/>
    <w:rsid w:val="00437A41"/>
    <w:rsid w:val="00437AAB"/>
    <w:rsid w:val="00437AB5"/>
    <w:rsid w:val="00437AD4"/>
    <w:rsid w:val="00437BB5"/>
    <w:rsid w:val="00437BF4"/>
    <w:rsid w:val="00437C07"/>
    <w:rsid w:val="00437C29"/>
    <w:rsid w:val="00437C5A"/>
    <w:rsid w:val="00437C7D"/>
    <w:rsid w:val="00437CBE"/>
    <w:rsid w:val="00437CC8"/>
    <w:rsid w:val="00437D03"/>
    <w:rsid w:val="00437DF0"/>
    <w:rsid w:val="00437E5E"/>
    <w:rsid w:val="00437EC6"/>
    <w:rsid w:val="00437EF3"/>
    <w:rsid w:val="00437F33"/>
    <w:rsid w:val="00437F39"/>
    <w:rsid w:val="00437F63"/>
    <w:rsid w:val="00437F6B"/>
    <w:rsid w:val="00437F83"/>
    <w:rsid w:val="00437FDF"/>
    <w:rsid w:val="00437FF1"/>
    <w:rsid w:val="0044001F"/>
    <w:rsid w:val="00440169"/>
    <w:rsid w:val="00440226"/>
    <w:rsid w:val="004402DD"/>
    <w:rsid w:val="0044048E"/>
    <w:rsid w:val="00440574"/>
    <w:rsid w:val="0044058A"/>
    <w:rsid w:val="0044081A"/>
    <w:rsid w:val="00440832"/>
    <w:rsid w:val="0044084F"/>
    <w:rsid w:val="00440870"/>
    <w:rsid w:val="0044091C"/>
    <w:rsid w:val="0044091D"/>
    <w:rsid w:val="00440929"/>
    <w:rsid w:val="00440933"/>
    <w:rsid w:val="0044093C"/>
    <w:rsid w:val="0044094E"/>
    <w:rsid w:val="004409AC"/>
    <w:rsid w:val="004409F7"/>
    <w:rsid w:val="00440A27"/>
    <w:rsid w:val="00440A78"/>
    <w:rsid w:val="00440A99"/>
    <w:rsid w:val="00440ABF"/>
    <w:rsid w:val="00440B1F"/>
    <w:rsid w:val="00440D06"/>
    <w:rsid w:val="00440E18"/>
    <w:rsid w:val="00440E82"/>
    <w:rsid w:val="00440E83"/>
    <w:rsid w:val="00440EFF"/>
    <w:rsid w:val="00440F00"/>
    <w:rsid w:val="00440F89"/>
    <w:rsid w:val="00440F8E"/>
    <w:rsid w:val="00441020"/>
    <w:rsid w:val="0044108A"/>
    <w:rsid w:val="00441139"/>
    <w:rsid w:val="0044113A"/>
    <w:rsid w:val="00441150"/>
    <w:rsid w:val="00441198"/>
    <w:rsid w:val="0044119B"/>
    <w:rsid w:val="004411B7"/>
    <w:rsid w:val="004411F7"/>
    <w:rsid w:val="0044123D"/>
    <w:rsid w:val="00441299"/>
    <w:rsid w:val="004412B5"/>
    <w:rsid w:val="004412D0"/>
    <w:rsid w:val="004412F2"/>
    <w:rsid w:val="00441300"/>
    <w:rsid w:val="0044133A"/>
    <w:rsid w:val="004413D4"/>
    <w:rsid w:val="004413D6"/>
    <w:rsid w:val="00441447"/>
    <w:rsid w:val="004414A0"/>
    <w:rsid w:val="004414BC"/>
    <w:rsid w:val="00441629"/>
    <w:rsid w:val="00441682"/>
    <w:rsid w:val="0044172C"/>
    <w:rsid w:val="00441753"/>
    <w:rsid w:val="00441760"/>
    <w:rsid w:val="00441793"/>
    <w:rsid w:val="0044179C"/>
    <w:rsid w:val="004417ED"/>
    <w:rsid w:val="00441879"/>
    <w:rsid w:val="004418B5"/>
    <w:rsid w:val="004418D0"/>
    <w:rsid w:val="004418DB"/>
    <w:rsid w:val="004419A7"/>
    <w:rsid w:val="00441A28"/>
    <w:rsid w:val="00441A78"/>
    <w:rsid w:val="00441BDC"/>
    <w:rsid w:val="00441BDD"/>
    <w:rsid w:val="00441BE6"/>
    <w:rsid w:val="00441CF1"/>
    <w:rsid w:val="00441CF7"/>
    <w:rsid w:val="00441D14"/>
    <w:rsid w:val="00441D9D"/>
    <w:rsid w:val="00441E34"/>
    <w:rsid w:val="00441E6C"/>
    <w:rsid w:val="00441EC3"/>
    <w:rsid w:val="00441F17"/>
    <w:rsid w:val="00441F83"/>
    <w:rsid w:val="00441FA8"/>
    <w:rsid w:val="0044201C"/>
    <w:rsid w:val="00442132"/>
    <w:rsid w:val="00442141"/>
    <w:rsid w:val="004421A7"/>
    <w:rsid w:val="004421B3"/>
    <w:rsid w:val="004421E0"/>
    <w:rsid w:val="004421F6"/>
    <w:rsid w:val="00442216"/>
    <w:rsid w:val="0044225F"/>
    <w:rsid w:val="004422CA"/>
    <w:rsid w:val="004422EF"/>
    <w:rsid w:val="00442309"/>
    <w:rsid w:val="004423BB"/>
    <w:rsid w:val="00442484"/>
    <w:rsid w:val="00442545"/>
    <w:rsid w:val="00442583"/>
    <w:rsid w:val="00442613"/>
    <w:rsid w:val="004426E2"/>
    <w:rsid w:val="0044274A"/>
    <w:rsid w:val="00442755"/>
    <w:rsid w:val="004427BF"/>
    <w:rsid w:val="004427D9"/>
    <w:rsid w:val="00442849"/>
    <w:rsid w:val="00442928"/>
    <w:rsid w:val="004429CE"/>
    <w:rsid w:val="004429FF"/>
    <w:rsid w:val="00442AE6"/>
    <w:rsid w:val="00442B04"/>
    <w:rsid w:val="00442B0B"/>
    <w:rsid w:val="00442B88"/>
    <w:rsid w:val="00442C12"/>
    <w:rsid w:val="00442C1E"/>
    <w:rsid w:val="00442C4A"/>
    <w:rsid w:val="00442D4B"/>
    <w:rsid w:val="00442EBE"/>
    <w:rsid w:val="00442ECB"/>
    <w:rsid w:val="00442F4E"/>
    <w:rsid w:val="00442FC3"/>
    <w:rsid w:val="00443064"/>
    <w:rsid w:val="00443106"/>
    <w:rsid w:val="004431D0"/>
    <w:rsid w:val="00443225"/>
    <w:rsid w:val="00443329"/>
    <w:rsid w:val="00443347"/>
    <w:rsid w:val="004434BA"/>
    <w:rsid w:val="004434CA"/>
    <w:rsid w:val="00443540"/>
    <w:rsid w:val="00443554"/>
    <w:rsid w:val="00443559"/>
    <w:rsid w:val="00443564"/>
    <w:rsid w:val="00443567"/>
    <w:rsid w:val="00443649"/>
    <w:rsid w:val="004436A4"/>
    <w:rsid w:val="004437CC"/>
    <w:rsid w:val="00443832"/>
    <w:rsid w:val="0044384F"/>
    <w:rsid w:val="00443864"/>
    <w:rsid w:val="004438A5"/>
    <w:rsid w:val="004438E7"/>
    <w:rsid w:val="00443915"/>
    <w:rsid w:val="004439E1"/>
    <w:rsid w:val="00443A60"/>
    <w:rsid w:val="00443B5D"/>
    <w:rsid w:val="00443BE0"/>
    <w:rsid w:val="00443BEC"/>
    <w:rsid w:val="00443C6D"/>
    <w:rsid w:val="00443D6C"/>
    <w:rsid w:val="00443D79"/>
    <w:rsid w:val="00443D90"/>
    <w:rsid w:val="00443E15"/>
    <w:rsid w:val="00443E4B"/>
    <w:rsid w:val="00443F6E"/>
    <w:rsid w:val="00444026"/>
    <w:rsid w:val="00444065"/>
    <w:rsid w:val="0044409D"/>
    <w:rsid w:val="004440C2"/>
    <w:rsid w:val="004440CA"/>
    <w:rsid w:val="00444182"/>
    <w:rsid w:val="00444387"/>
    <w:rsid w:val="004443AC"/>
    <w:rsid w:val="00444540"/>
    <w:rsid w:val="0044465B"/>
    <w:rsid w:val="00444702"/>
    <w:rsid w:val="0044472E"/>
    <w:rsid w:val="00444855"/>
    <w:rsid w:val="00444869"/>
    <w:rsid w:val="004448A0"/>
    <w:rsid w:val="004449A4"/>
    <w:rsid w:val="004449B8"/>
    <w:rsid w:val="004449CC"/>
    <w:rsid w:val="004449DB"/>
    <w:rsid w:val="004449DC"/>
    <w:rsid w:val="004449E4"/>
    <w:rsid w:val="004449F1"/>
    <w:rsid w:val="00444A33"/>
    <w:rsid w:val="00444A60"/>
    <w:rsid w:val="00444AC9"/>
    <w:rsid w:val="00444AF8"/>
    <w:rsid w:val="00444B77"/>
    <w:rsid w:val="00444BCA"/>
    <w:rsid w:val="00444BFC"/>
    <w:rsid w:val="00444C13"/>
    <w:rsid w:val="00444C17"/>
    <w:rsid w:val="00444C36"/>
    <w:rsid w:val="00444C38"/>
    <w:rsid w:val="00444C3C"/>
    <w:rsid w:val="00444DA7"/>
    <w:rsid w:val="00444EF0"/>
    <w:rsid w:val="00444F01"/>
    <w:rsid w:val="00444F6F"/>
    <w:rsid w:val="00444FC1"/>
    <w:rsid w:val="0044502D"/>
    <w:rsid w:val="00445087"/>
    <w:rsid w:val="00445096"/>
    <w:rsid w:val="004450E0"/>
    <w:rsid w:val="0044513E"/>
    <w:rsid w:val="0044517B"/>
    <w:rsid w:val="004451DC"/>
    <w:rsid w:val="00445230"/>
    <w:rsid w:val="00445295"/>
    <w:rsid w:val="0044533C"/>
    <w:rsid w:val="004453DC"/>
    <w:rsid w:val="004453FA"/>
    <w:rsid w:val="0044548B"/>
    <w:rsid w:val="00445514"/>
    <w:rsid w:val="00445525"/>
    <w:rsid w:val="00445689"/>
    <w:rsid w:val="004456BA"/>
    <w:rsid w:val="004456D6"/>
    <w:rsid w:val="00445801"/>
    <w:rsid w:val="00445813"/>
    <w:rsid w:val="0044584B"/>
    <w:rsid w:val="00445893"/>
    <w:rsid w:val="00445924"/>
    <w:rsid w:val="00445940"/>
    <w:rsid w:val="00445947"/>
    <w:rsid w:val="004459DF"/>
    <w:rsid w:val="004459E0"/>
    <w:rsid w:val="004459F0"/>
    <w:rsid w:val="00445A4D"/>
    <w:rsid w:val="00445AE7"/>
    <w:rsid w:val="00445B53"/>
    <w:rsid w:val="00445BE7"/>
    <w:rsid w:val="00445BEC"/>
    <w:rsid w:val="00445C00"/>
    <w:rsid w:val="00445C02"/>
    <w:rsid w:val="00445CBB"/>
    <w:rsid w:val="00445DB5"/>
    <w:rsid w:val="00445F08"/>
    <w:rsid w:val="00445F44"/>
    <w:rsid w:val="00445FA9"/>
    <w:rsid w:val="00445FE6"/>
    <w:rsid w:val="00446056"/>
    <w:rsid w:val="0044610D"/>
    <w:rsid w:val="0044614F"/>
    <w:rsid w:val="00446171"/>
    <w:rsid w:val="00446206"/>
    <w:rsid w:val="00446247"/>
    <w:rsid w:val="00446276"/>
    <w:rsid w:val="004462AE"/>
    <w:rsid w:val="004462AF"/>
    <w:rsid w:val="004462B8"/>
    <w:rsid w:val="004462EC"/>
    <w:rsid w:val="004463D7"/>
    <w:rsid w:val="0044649E"/>
    <w:rsid w:val="004464B0"/>
    <w:rsid w:val="004464C3"/>
    <w:rsid w:val="00446556"/>
    <w:rsid w:val="0044656C"/>
    <w:rsid w:val="0044658C"/>
    <w:rsid w:val="004465D4"/>
    <w:rsid w:val="0044661A"/>
    <w:rsid w:val="00446661"/>
    <w:rsid w:val="0044672B"/>
    <w:rsid w:val="00446785"/>
    <w:rsid w:val="004467F9"/>
    <w:rsid w:val="0044682D"/>
    <w:rsid w:val="0044693E"/>
    <w:rsid w:val="0044696E"/>
    <w:rsid w:val="00446974"/>
    <w:rsid w:val="004469E2"/>
    <w:rsid w:val="004469E5"/>
    <w:rsid w:val="00446A15"/>
    <w:rsid w:val="00446A6F"/>
    <w:rsid w:val="00446AB5"/>
    <w:rsid w:val="00446AF3"/>
    <w:rsid w:val="00446B33"/>
    <w:rsid w:val="00446C87"/>
    <w:rsid w:val="00446CAA"/>
    <w:rsid w:val="00446D5B"/>
    <w:rsid w:val="00446DB8"/>
    <w:rsid w:val="00446DC3"/>
    <w:rsid w:val="00446E06"/>
    <w:rsid w:val="00446E15"/>
    <w:rsid w:val="00446EFC"/>
    <w:rsid w:val="00447157"/>
    <w:rsid w:val="00447159"/>
    <w:rsid w:val="00447182"/>
    <w:rsid w:val="004471E2"/>
    <w:rsid w:val="004472A6"/>
    <w:rsid w:val="004472A9"/>
    <w:rsid w:val="00447311"/>
    <w:rsid w:val="004473CD"/>
    <w:rsid w:val="00447475"/>
    <w:rsid w:val="0044757C"/>
    <w:rsid w:val="00447595"/>
    <w:rsid w:val="00447626"/>
    <w:rsid w:val="00447659"/>
    <w:rsid w:val="0044773F"/>
    <w:rsid w:val="004478AE"/>
    <w:rsid w:val="004478B2"/>
    <w:rsid w:val="004478CC"/>
    <w:rsid w:val="00447A3B"/>
    <w:rsid w:val="00447A44"/>
    <w:rsid w:val="00447A51"/>
    <w:rsid w:val="00447A6C"/>
    <w:rsid w:val="00447AC5"/>
    <w:rsid w:val="00447B82"/>
    <w:rsid w:val="00447BF4"/>
    <w:rsid w:val="00447BF9"/>
    <w:rsid w:val="00447C02"/>
    <w:rsid w:val="00447C5F"/>
    <w:rsid w:val="00447C84"/>
    <w:rsid w:val="00447CF6"/>
    <w:rsid w:val="00447D52"/>
    <w:rsid w:val="00447D8D"/>
    <w:rsid w:val="00447DD0"/>
    <w:rsid w:val="00447E5F"/>
    <w:rsid w:val="00447EA0"/>
    <w:rsid w:val="00447EAB"/>
    <w:rsid w:val="00447EB0"/>
    <w:rsid w:val="00447F4E"/>
    <w:rsid w:val="00447F61"/>
    <w:rsid w:val="00447F72"/>
    <w:rsid w:val="00447FD0"/>
    <w:rsid w:val="00450039"/>
    <w:rsid w:val="00450116"/>
    <w:rsid w:val="00450134"/>
    <w:rsid w:val="004501C4"/>
    <w:rsid w:val="004501E5"/>
    <w:rsid w:val="0045034D"/>
    <w:rsid w:val="00450360"/>
    <w:rsid w:val="00450440"/>
    <w:rsid w:val="004504F5"/>
    <w:rsid w:val="00450514"/>
    <w:rsid w:val="0045055A"/>
    <w:rsid w:val="00450568"/>
    <w:rsid w:val="004506BD"/>
    <w:rsid w:val="004506FA"/>
    <w:rsid w:val="00450701"/>
    <w:rsid w:val="00450801"/>
    <w:rsid w:val="00450838"/>
    <w:rsid w:val="00450884"/>
    <w:rsid w:val="00450885"/>
    <w:rsid w:val="00450891"/>
    <w:rsid w:val="004508B0"/>
    <w:rsid w:val="004508DF"/>
    <w:rsid w:val="0045090D"/>
    <w:rsid w:val="00450910"/>
    <w:rsid w:val="00450939"/>
    <w:rsid w:val="004509C4"/>
    <w:rsid w:val="00450A2C"/>
    <w:rsid w:val="00450A34"/>
    <w:rsid w:val="00450B03"/>
    <w:rsid w:val="00450B57"/>
    <w:rsid w:val="00450B7F"/>
    <w:rsid w:val="00450BCE"/>
    <w:rsid w:val="00450BD5"/>
    <w:rsid w:val="00450C63"/>
    <w:rsid w:val="00450D20"/>
    <w:rsid w:val="00450D22"/>
    <w:rsid w:val="00450D2D"/>
    <w:rsid w:val="00450D91"/>
    <w:rsid w:val="00450DD8"/>
    <w:rsid w:val="00450E2D"/>
    <w:rsid w:val="00450E8E"/>
    <w:rsid w:val="00450F58"/>
    <w:rsid w:val="00450FAB"/>
    <w:rsid w:val="00450FDB"/>
    <w:rsid w:val="0045105A"/>
    <w:rsid w:val="004510AB"/>
    <w:rsid w:val="004510C0"/>
    <w:rsid w:val="004510C9"/>
    <w:rsid w:val="0045119A"/>
    <w:rsid w:val="004511D1"/>
    <w:rsid w:val="004511ED"/>
    <w:rsid w:val="0045122C"/>
    <w:rsid w:val="00451291"/>
    <w:rsid w:val="004512D5"/>
    <w:rsid w:val="0045133D"/>
    <w:rsid w:val="00451364"/>
    <w:rsid w:val="00451446"/>
    <w:rsid w:val="00451484"/>
    <w:rsid w:val="004514BF"/>
    <w:rsid w:val="004514DD"/>
    <w:rsid w:val="004514DE"/>
    <w:rsid w:val="00451593"/>
    <w:rsid w:val="004515B5"/>
    <w:rsid w:val="004515E2"/>
    <w:rsid w:val="00451615"/>
    <w:rsid w:val="00451670"/>
    <w:rsid w:val="004516A4"/>
    <w:rsid w:val="0045175D"/>
    <w:rsid w:val="0045176A"/>
    <w:rsid w:val="004517D6"/>
    <w:rsid w:val="00451823"/>
    <w:rsid w:val="00451836"/>
    <w:rsid w:val="0045196A"/>
    <w:rsid w:val="004519D1"/>
    <w:rsid w:val="00451A32"/>
    <w:rsid w:val="00451C14"/>
    <w:rsid w:val="00451C47"/>
    <w:rsid w:val="00451C64"/>
    <w:rsid w:val="00451C96"/>
    <w:rsid w:val="00451D22"/>
    <w:rsid w:val="00451D3C"/>
    <w:rsid w:val="00451D53"/>
    <w:rsid w:val="00451DEB"/>
    <w:rsid w:val="00451E4E"/>
    <w:rsid w:val="00451EDC"/>
    <w:rsid w:val="00451EEB"/>
    <w:rsid w:val="00451F4F"/>
    <w:rsid w:val="00451FCA"/>
    <w:rsid w:val="00452021"/>
    <w:rsid w:val="00452041"/>
    <w:rsid w:val="00452053"/>
    <w:rsid w:val="0045214E"/>
    <w:rsid w:val="004521B0"/>
    <w:rsid w:val="00452206"/>
    <w:rsid w:val="00452233"/>
    <w:rsid w:val="00452287"/>
    <w:rsid w:val="004522B6"/>
    <w:rsid w:val="0045231A"/>
    <w:rsid w:val="00452328"/>
    <w:rsid w:val="00452381"/>
    <w:rsid w:val="00452431"/>
    <w:rsid w:val="0045243C"/>
    <w:rsid w:val="00452477"/>
    <w:rsid w:val="004524A8"/>
    <w:rsid w:val="004524B0"/>
    <w:rsid w:val="004524D6"/>
    <w:rsid w:val="004524FE"/>
    <w:rsid w:val="004525C4"/>
    <w:rsid w:val="004525F6"/>
    <w:rsid w:val="00452615"/>
    <w:rsid w:val="00452627"/>
    <w:rsid w:val="004526B5"/>
    <w:rsid w:val="004526D1"/>
    <w:rsid w:val="004526FA"/>
    <w:rsid w:val="00452707"/>
    <w:rsid w:val="0045279B"/>
    <w:rsid w:val="00452850"/>
    <w:rsid w:val="004528EC"/>
    <w:rsid w:val="00452935"/>
    <w:rsid w:val="00452952"/>
    <w:rsid w:val="00452A3A"/>
    <w:rsid w:val="00452A3F"/>
    <w:rsid w:val="00452A6E"/>
    <w:rsid w:val="00452B15"/>
    <w:rsid w:val="00452B57"/>
    <w:rsid w:val="00452C8B"/>
    <w:rsid w:val="00452CB5"/>
    <w:rsid w:val="00452CF4"/>
    <w:rsid w:val="00452CF5"/>
    <w:rsid w:val="00452CF6"/>
    <w:rsid w:val="00452DF8"/>
    <w:rsid w:val="00453006"/>
    <w:rsid w:val="00453047"/>
    <w:rsid w:val="00453105"/>
    <w:rsid w:val="00453232"/>
    <w:rsid w:val="00453264"/>
    <w:rsid w:val="00453299"/>
    <w:rsid w:val="004532C5"/>
    <w:rsid w:val="004532C7"/>
    <w:rsid w:val="004532CF"/>
    <w:rsid w:val="00453342"/>
    <w:rsid w:val="004533CE"/>
    <w:rsid w:val="004533E9"/>
    <w:rsid w:val="0045343C"/>
    <w:rsid w:val="004534D1"/>
    <w:rsid w:val="00453526"/>
    <w:rsid w:val="0045369E"/>
    <w:rsid w:val="004536A1"/>
    <w:rsid w:val="0045374B"/>
    <w:rsid w:val="004537B9"/>
    <w:rsid w:val="004537C3"/>
    <w:rsid w:val="0045385D"/>
    <w:rsid w:val="00453862"/>
    <w:rsid w:val="00453884"/>
    <w:rsid w:val="00453929"/>
    <w:rsid w:val="004539B7"/>
    <w:rsid w:val="00453A8C"/>
    <w:rsid w:val="00453AF9"/>
    <w:rsid w:val="00453AFF"/>
    <w:rsid w:val="00453C41"/>
    <w:rsid w:val="00453CA2"/>
    <w:rsid w:val="00453CAB"/>
    <w:rsid w:val="00453CAF"/>
    <w:rsid w:val="00453CDA"/>
    <w:rsid w:val="00453CE1"/>
    <w:rsid w:val="00453CE2"/>
    <w:rsid w:val="00453D27"/>
    <w:rsid w:val="00453DA9"/>
    <w:rsid w:val="00453DDA"/>
    <w:rsid w:val="00453E51"/>
    <w:rsid w:val="00453EF9"/>
    <w:rsid w:val="00453F70"/>
    <w:rsid w:val="00454108"/>
    <w:rsid w:val="004541F7"/>
    <w:rsid w:val="0045420C"/>
    <w:rsid w:val="00454226"/>
    <w:rsid w:val="0045424D"/>
    <w:rsid w:val="0045428D"/>
    <w:rsid w:val="004542F4"/>
    <w:rsid w:val="004543AB"/>
    <w:rsid w:val="00454427"/>
    <w:rsid w:val="00454480"/>
    <w:rsid w:val="004544AB"/>
    <w:rsid w:val="004544FA"/>
    <w:rsid w:val="00454554"/>
    <w:rsid w:val="00454556"/>
    <w:rsid w:val="0045455F"/>
    <w:rsid w:val="00454565"/>
    <w:rsid w:val="00454579"/>
    <w:rsid w:val="004545B1"/>
    <w:rsid w:val="004546A9"/>
    <w:rsid w:val="00454719"/>
    <w:rsid w:val="00454865"/>
    <w:rsid w:val="004548C5"/>
    <w:rsid w:val="00454932"/>
    <w:rsid w:val="004549DB"/>
    <w:rsid w:val="004549EC"/>
    <w:rsid w:val="00454A12"/>
    <w:rsid w:val="00454A40"/>
    <w:rsid w:val="00454A59"/>
    <w:rsid w:val="00454A6D"/>
    <w:rsid w:val="00454AA8"/>
    <w:rsid w:val="00454AD1"/>
    <w:rsid w:val="00454AF5"/>
    <w:rsid w:val="00454B61"/>
    <w:rsid w:val="00454C0D"/>
    <w:rsid w:val="00454C1E"/>
    <w:rsid w:val="00454D14"/>
    <w:rsid w:val="00454D18"/>
    <w:rsid w:val="00454E6C"/>
    <w:rsid w:val="00454F65"/>
    <w:rsid w:val="00454FA9"/>
    <w:rsid w:val="00454FEB"/>
    <w:rsid w:val="00455011"/>
    <w:rsid w:val="00455033"/>
    <w:rsid w:val="004550A1"/>
    <w:rsid w:val="004550A6"/>
    <w:rsid w:val="004550B9"/>
    <w:rsid w:val="004551A7"/>
    <w:rsid w:val="004551B0"/>
    <w:rsid w:val="004551CC"/>
    <w:rsid w:val="004551D4"/>
    <w:rsid w:val="0045520B"/>
    <w:rsid w:val="00455241"/>
    <w:rsid w:val="0045533E"/>
    <w:rsid w:val="0045537D"/>
    <w:rsid w:val="004553E5"/>
    <w:rsid w:val="004554F6"/>
    <w:rsid w:val="004555C6"/>
    <w:rsid w:val="00455630"/>
    <w:rsid w:val="00455688"/>
    <w:rsid w:val="004556A4"/>
    <w:rsid w:val="004556BF"/>
    <w:rsid w:val="004556CC"/>
    <w:rsid w:val="0045582C"/>
    <w:rsid w:val="0045587F"/>
    <w:rsid w:val="004559B7"/>
    <w:rsid w:val="00455A13"/>
    <w:rsid w:val="00455A27"/>
    <w:rsid w:val="00455A80"/>
    <w:rsid w:val="00455AD8"/>
    <w:rsid w:val="00455B28"/>
    <w:rsid w:val="00455B74"/>
    <w:rsid w:val="00455BEB"/>
    <w:rsid w:val="00455C10"/>
    <w:rsid w:val="00455C36"/>
    <w:rsid w:val="00455C7E"/>
    <w:rsid w:val="00455CE6"/>
    <w:rsid w:val="00455D94"/>
    <w:rsid w:val="00455E1F"/>
    <w:rsid w:val="00455E50"/>
    <w:rsid w:val="00455F11"/>
    <w:rsid w:val="00455F40"/>
    <w:rsid w:val="004560AC"/>
    <w:rsid w:val="0045613E"/>
    <w:rsid w:val="0045615C"/>
    <w:rsid w:val="00456197"/>
    <w:rsid w:val="004561E1"/>
    <w:rsid w:val="00456287"/>
    <w:rsid w:val="0045632B"/>
    <w:rsid w:val="00456361"/>
    <w:rsid w:val="0045636A"/>
    <w:rsid w:val="00456376"/>
    <w:rsid w:val="004563FF"/>
    <w:rsid w:val="0045645D"/>
    <w:rsid w:val="00456486"/>
    <w:rsid w:val="004564EC"/>
    <w:rsid w:val="004565C9"/>
    <w:rsid w:val="00456766"/>
    <w:rsid w:val="00456842"/>
    <w:rsid w:val="004568AD"/>
    <w:rsid w:val="0045692B"/>
    <w:rsid w:val="004569E1"/>
    <w:rsid w:val="00456A9D"/>
    <w:rsid w:val="00456AA5"/>
    <w:rsid w:val="00456AE1"/>
    <w:rsid w:val="00456AFD"/>
    <w:rsid w:val="00456B0C"/>
    <w:rsid w:val="00456B68"/>
    <w:rsid w:val="00456C61"/>
    <w:rsid w:val="00456CA3"/>
    <w:rsid w:val="00456CC8"/>
    <w:rsid w:val="00456CFF"/>
    <w:rsid w:val="00456D8D"/>
    <w:rsid w:val="00456DA2"/>
    <w:rsid w:val="00456DC1"/>
    <w:rsid w:val="00456DDB"/>
    <w:rsid w:val="00456DE1"/>
    <w:rsid w:val="00456E87"/>
    <w:rsid w:val="00456E8F"/>
    <w:rsid w:val="00456EF8"/>
    <w:rsid w:val="00456FA9"/>
    <w:rsid w:val="00457004"/>
    <w:rsid w:val="00457013"/>
    <w:rsid w:val="004570C4"/>
    <w:rsid w:val="004570E1"/>
    <w:rsid w:val="00457253"/>
    <w:rsid w:val="00457284"/>
    <w:rsid w:val="004572CB"/>
    <w:rsid w:val="00457337"/>
    <w:rsid w:val="00457352"/>
    <w:rsid w:val="004573C0"/>
    <w:rsid w:val="004573ED"/>
    <w:rsid w:val="00457448"/>
    <w:rsid w:val="004574B6"/>
    <w:rsid w:val="004574F1"/>
    <w:rsid w:val="004574FF"/>
    <w:rsid w:val="0045751F"/>
    <w:rsid w:val="0045753B"/>
    <w:rsid w:val="0045754B"/>
    <w:rsid w:val="0045760E"/>
    <w:rsid w:val="0045765B"/>
    <w:rsid w:val="00457671"/>
    <w:rsid w:val="00457707"/>
    <w:rsid w:val="004578DB"/>
    <w:rsid w:val="0045790D"/>
    <w:rsid w:val="00457A6F"/>
    <w:rsid w:val="00457B37"/>
    <w:rsid w:val="00457BD1"/>
    <w:rsid w:val="00457BF4"/>
    <w:rsid w:val="00457C53"/>
    <w:rsid w:val="00457C62"/>
    <w:rsid w:val="00457C76"/>
    <w:rsid w:val="00457CE8"/>
    <w:rsid w:val="00457D60"/>
    <w:rsid w:val="00457D83"/>
    <w:rsid w:val="00457D93"/>
    <w:rsid w:val="00457FBE"/>
    <w:rsid w:val="00457FC9"/>
    <w:rsid w:val="00460010"/>
    <w:rsid w:val="00460021"/>
    <w:rsid w:val="0046002F"/>
    <w:rsid w:val="004600B1"/>
    <w:rsid w:val="004600C8"/>
    <w:rsid w:val="004600CA"/>
    <w:rsid w:val="00460153"/>
    <w:rsid w:val="0046015B"/>
    <w:rsid w:val="004601D7"/>
    <w:rsid w:val="00460217"/>
    <w:rsid w:val="00460264"/>
    <w:rsid w:val="0046031C"/>
    <w:rsid w:val="0046036F"/>
    <w:rsid w:val="00460382"/>
    <w:rsid w:val="004603FC"/>
    <w:rsid w:val="00460402"/>
    <w:rsid w:val="00460444"/>
    <w:rsid w:val="0046045B"/>
    <w:rsid w:val="004604DA"/>
    <w:rsid w:val="00460527"/>
    <w:rsid w:val="0046055E"/>
    <w:rsid w:val="00460591"/>
    <w:rsid w:val="004605D9"/>
    <w:rsid w:val="00460656"/>
    <w:rsid w:val="004606E3"/>
    <w:rsid w:val="00460719"/>
    <w:rsid w:val="00460720"/>
    <w:rsid w:val="004607FB"/>
    <w:rsid w:val="0046098E"/>
    <w:rsid w:val="004609A4"/>
    <w:rsid w:val="004609DC"/>
    <w:rsid w:val="004609F4"/>
    <w:rsid w:val="00460AA3"/>
    <w:rsid w:val="00460AF3"/>
    <w:rsid w:val="00460B55"/>
    <w:rsid w:val="00460B69"/>
    <w:rsid w:val="00460C21"/>
    <w:rsid w:val="00460CD0"/>
    <w:rsid w:val="00460CFA"/>
    <w:rsid w:val="00460D11"/>
    <w:rsid w:val="00460D3A"/>
    <w:rsid w:val="00460D93"/>
    <w:rsid w:val="00460DF7"/>
    <w:rsid w:val="00460E2C"/>
    <w:rsid w:val="00460E65"/>
    <w:rsid w:val="00460ED4"/>
    <w:rsid w:val="00460FBB"/>
    <w:rsid w:val="0046106E"/>
    <w:rsid w:val="00461083"/>
    <w:rsid w:val="00461084"/>
    <w:rsid w:val="004610BF"/>
    <w:rsid w:val="004610EF"/>
    <w:rsid w:val="00461131"/>
    <w:rsid w:val="0046113E"/>
    <w:rsid w:val="00461153"/>
    <w:rsid w:val="00461267"/>
    <w:rsid w:val="00461432"/>
    <w:rsid w:val="004614C9"/>
    <w:rsid w:val="004614EA"/>
    <w:rsid w:val="00461516"/>
    <w:rsid w:val="0046153B"/>
    <w:rsid w:val="00461546"/>
    <w:rsid w:val="004615C6"/>
    <w:rsid w:val="004616A6"/>
    <w:rsid w:val="004616B2"/>
    <w:rsid w:val="00461732"/>
    <w:rsid w:val="00461736"/>
    <w:rsid w:val="00461796"/>
    <w:rsid w:val="004617B6"/>
    <w:rsid w:val="004618D6"/>
    <w:rsid w:val="00461964"/>
    <w:rsid w:val="00461994"/>
    <w:rsid w:val="004619DF"/>
    <w:rsid w:val="00461A31"/>
    <w:rsid w:val="00461AB6"/>
    <w:rsid w:val="00461B70"/>
    <w:rsid w:val="00461C2E"/>
    <w:rsid w:val="00461C69"/>
    <w:rsid w:val="00461C9C"/>
    <w:rsid w:val="00461CC8"/>
    <w:rsid w:val="00461D2C"/>
    <w:rsid w:val="00461DA9"/>
    <w:rsid w:val="00461E2F"/>
    <w:rsid w:val="00461F19"/>
    <w:rsid w:val="00461F26"/>
    <w:rsid w:val="00461F31"/>
    <w:rsid w:val="00461F3C"/>
    <w:rsid w:val="00461F5A"/>
    <w:rsid w:val="00462049"/>
    <w:rsid w:val="00462050"/>
    <w:rsid w:val="004620D5"/>
    <w:rsid w:val="00462137"/>
    <w:rsid w:val="0046216C"/>
    <w:rsid w:val="004621F6"/>
    <w:rsid w:val="004622B4"/>
    <w:rsid w:val="004622EA"/>
    <w:rsid w:val="004622F7"/>
    <w:rsid w:val="00462351"/>
    <w:rsid w:val="00462376"/>
    <w:rsid w:val="004623DD"/>
    <w:rsid w:val="004623FD"/>
    <w:rsid w:val="0046248E"/>
    <w:rsid w:val="004624E8"/>
    <w:rsid w:val="00462563"/>
    <w:rsid w:val="004625A6"/>
    <w:rsid w:val="004625CB"/>
    <w:rsid w:val="004625DF"/>
    <w:rsid w:val="0046274D"/>
    <w:rsid w:val="00462821"/>
    <w:rsid w:val="00462827"/>
    <w:rsid w:val="0046289F"/>
    <w:rsid w:val="004628E7"/>
    <w:rsid w:val="004629F8"/>
    <w:rsid w:val="00462AB5"/>
    <w:rsid w:val="00462AFF"/>
    <w:rsid w:val="00462B28"/>
    <w:rsid w:val="00462C01"/>
    <w:rsid w:val="00462C16"/>
    <w:rsid w:val="00462C3A"/>
    <w:rsid w:val="00462C3F"/>
    <w:rsid w:val="00462D1C"/>
    <w:rsid w:val="00462D34"/>
    <w:rsid w:val="00462D55"/>
    <w:rsid w:val="00462E23"/>
    <w:rsid w:val="00462E36"/>
    <w:rsid w:val="00462E7E"/>
    <w:rsid w:val="00462F19"/>
    <w:rsid w:val="00462F4A"/>
    <w:rsid w:val="00462F7D"/>
    <w:rsid w:val="0046304E"/>
    <w:rsid w:val="004631B7"/>
    <w:rsid w:val="004631F6"/>
    <w:rsid w:val="004632D6"/>
    <w:rsid w:val="00463346"/>
    <w:rsid w:val="0046335F"/>
    <w:rsid w:val="00463397"/>
    <w:rsid w:val="004633BF"/>
    <w:rsid w:val="004634BC"/>
    <w:rsid w:val="004634FA"/>
    <w:rsid w:val="0046350C"/>
    <w:rsid w:val="00463692"/>
    <w:rsid w:val="004636AC"/>
    <w:rsid w:val="004636B0"/>
    <w:rsid w:val="004636F2"/>
    <w:rsid w:val="00463748"/>
    <w:rsid w:val="0046382E"/>
    <w:rsid w:val="00463831"/>
    <w:rsid w:val="004638CD"/>
    <w:rsid w:val="004638FD"/>
    <w:rsid w:val="00463979"/>
    <w:rsid w:val="004639D3"/>
    <w:rsid w:val="00463A8A"/>
    <w:rsid w:val="00463A9E"/>
    <w:rsid w:val="00463AA5"/>
    <w:rsid w:val="00463ABE"/>
    <w:rsid w:val="00463B2D"/>
    <w:rsid w:val="00463BE0"/>
    <w:rsid w:val="00463CCF"/>
    <w:rsid w:val="00463CEB"/>
    <w:rsid w:val="00463D56"/>
    <w:rsid w:val="00463D57"/>
    <w:rsid w:val="00463DBB"/>
    <w:rsid w:val="00463DCB"/>
    <w:rsid w:val="00463E19"/>
    <w:rsid w:val="00463E58"/>
    <w:rsid w:val="00463E8F"/>
    <w:rsid w:val="00463EA4"/>
    <w:rsid w:val="00463ECC"/>
    <w:rsid w:val="00463ED9"/>
    <w:rsid w:val="00463FA4"/>
    <w:rsid w:val="00463FB1"/>
    <w:rsid w:val="00464013"/>
    <w:rsid w:val="00464045"/>
    <w:rsid w:val="00464092"/>
    <w:rsid w:val="004640EC"/>
    <w:rsid w:val="00464179"/>
    <w:rsid w:val="004641AD"/>
    <w:rsid w:val="004641B2"/>
    <w:rsid w:val="004641B9"/>
    <w:rsid w:val="004641C3"/>
    <w:rsid w:val="004641F3"/>
    <w:rsid w:val="00464261"/>
    <w:rsid w:val="00464299"/>
    <w:rsid w:val="004642B8"/>
    <w:rsid w:val="004642D8"/>
    <w:rsid w:val="004642EC"/>
    <w:rsid w:val="004642F7"/>
    <w:rsid w:val="004642FC"/>
    <w:rsid w:val="0046431B"/>
    <w:rsid w:val="00464483"/>
    <w:rsid w:val="0046453F"/>
    <w:rsid w:val="00464666"/>
    <w:rsid w:val="0046466B"/>
    <w:rsid w:val="00464672"/>
    <w:rsid w:val="00464685"/>
    <w:rsid w:val="0046477E"/>
    <w:rsid w:val="004647E5"/>
    <w:rsid w:val="004647F4"/>
    <w:rsid w:val="00464820"/>
    <w:rsid w:val="00464867"/>
    <w:rsid w:val="00464909"/>
    <w:rsid w:val="00464918"/>
    <w:rsid w:val="00464925"/>
    <w:rsid w:val="00464A17"/>
    <w:rsid w:val="00464A97"/>
    <w:rsid w:val="00464A9C"/>
    <w:rsid w:val="00464ACE"/>
    <w:rsid w:val="00464B76"/>
    <w:rsid w:val="00464BFF"/>
    <w:rsid w:val="00464C00"/>
    <w:rsid w:val="00464C3D"/>
    <w:rsid w:val="00464C5D"/>
    <w:rsid w:val="00464CDD"/>
    <w:rsid w:val="00464CE4"/>
    <w:rsid w:val="00464D46"/>
    <w:rsid w:val="00464D4C"/>
    <w:rsid w:val="00464D56"/>
    <w:rsid w:val="00464D69"/>
    <w:rsid w:val="00464DC8"/>
    <w:rsid w:val="00464E21"/>
    <w:rsid w:val="00464E36"/>
    <w:rsid w:val="00464EA9"/>
    <w:rsid w:val="00464EFA"/>
    <w:rsid w:val="00464FEF"/>
    <w:rsid w:val="0046502D"/>
    <w:rsid w:val="00465045"/>
    <w:rsid w:val="004651A3"/>
    <w:rsid w:val="004651FA"/>
    <w:rsid w:val="004652B3"/>
    <w:rsid w:val="004652CB"/>
    <w:rsid w:val="004652FF"/>
    <w:rsid w:val="00465342"/>
    <w:rsid w:val="004653F2"/>
    <w:rsid w:val="00465408"/>
    <w:rsid w:val="00465460"/>
    <w:rsid w:val="0046556E"/>
    <w:rsid w:val="004655C8"/>
    <w:rsid w:val="004655C9"/>
    <w:rsid w:val="0046563B"/>
    <w:rsid w:val="004657C9"/>
    <w:rsid w:val="004657F1"/>
    <w:rsid w:val="004658F6"/>
    <w:rsid w:val="0046596F"/>
    <w:rsid w:val="00465987"/>
    <w:rsid w:val="00465A8E"/>
    <w:rsid w:val="00465AA7"/>
    <w:rsid w:val="00465AC9"/>
    <w:rsid w:val="00465DEA"/>
    <w:rsid w:val="00465F70"/>
    <w:rsid w:val="00465FD9"/>
    <w:rsid w:val="00465FF1"/>
    <w:rsid w:val="00466009"/>
    <w:rsid w:val="0046607B"/>
    <w:rsid w:val="00466081"/>
    <w:rsid w:val="004660A6"/>
    <w:rsid w:val="00466132"/>
    <w:rsid w:val="004661C3"/>
    <w:rsid w:val="004663C5"/>
    <w:rsid w:val="004663C8"/>
    <w:rsid w:val="00466415"/>
    <w:rsid w:val="0046642A"/>
    <w:rsid w:val="00466565"/>
    <w:rsid w:val="00466591"/>
    <w:rsid w:val="00466661"/>
    <w:rsid w:val="004666F0"/>
    <w:rsid w:val="0046672B"/>
    <w:rsid w:val="004668BF"/>
    <w:rsid w:val="004668F0"/>
    <w:rsid w:val="00466930"/>
    <w:rsid w:val="00466958"/>
    <w:rsid w:val="004669DF"/>
    <w:rsid w:val="004669EA"/>
    <w:rsid w:val="004669EC"/>
    <w:rsid w:val="004669FE"/>
    <w:rsid w:val="00466A38"/>
    <w:rsid w:val="00466A4F"/>
    <w:rsid w:val="00466AC2"/>
    <w:rsid w:val="00466AC3"/>
    <w:rsid w:val="00466B08"/>
    <w:rsid w:val="00466B1A"/>
    <w:rsid w:val="00466B71"/>
    <w:rsid w:val="00466BB9"/>
    <w:rsid w:val="00466BD5"/>
    <w:rsid w:val="00466C6C"/>
    <w:rsid w:val="00466D53"/>
    <w:rsid w:val="00466D65"/>
    <w:rsid w:val="00466E3B"/>
    <w:rsid w:val="00466E56"/>
    <w:rsid w:val="00466ED5"/>
    <w:rsid w:val="004670ED"/>
    <w:rsid w:val="00467177"/>
    <w:rsid w:val="004671E8"/>
    <w:rsid w:val="00467201"/>
    <w:rsid w:val="00467248"/>
    <w:rsid w:val="00467249"/>
    <w:rsid w:val="0046724C"/>
    <w:rsid w:val="0046724D"/>
    <w:rsid w:val="004672CC"/>
    <w:rsid w:val="004672DC"/>
    <w:rsid w:val="0046737D"/>
    <w:rsid w:val="004673AA"/>
    <w:rsid w:val="004673F4"/>
    <w:rsid w:val="0046749B"/>
    <w:rsid w:val="0046751F"/>
    <w:rsid w:val="00467599"/>
    <w:rsid w:val="00467606"/>
    <w:rsid w:val="00467612"/>
    <w:rsid w:val="0046767E"/>
    <w:rsid w:val="004676BB"/>
    <w:rsid w:val="00467733"/>
    <w:rsid w:val="00467807"/>
    <w:rsid w:val="004678DC"/>
    <w:rsid w:val="00467901"/>
    <w:rsid w:val="0046791E"/>
    <w:rsid w:val="0046793A"/>
    <w:rsid w:val="00467948"/>
    <w:rsid w:val="004679CF"/>
    <w:rsid w:val="00467A12"/>
    <w:rsid w:val="00467A63"/>
    <w:rsid w:val="00467B39"/>
    <w:rsid w:val="00467BBC"/>
    <w:rsid w:val="00467C0E"/>
    <w:rsid w:val="00467C2C"/>
    <w:rsid w:val="00467C47"/>
    <w:rsid w:val="00467C85"/>
    <w:rsid w:val="00467CFC"/>
    <w:rsid w:val="00467D47"/>
    <w:rsid w:val="00467D92"/>
    <w:rsid w:val="00467DF7"/>
    <w:rsid w:val="00467E3E"/>
    <w:rsid w:val="00467E58"/>
    <w:rsid w:val="00467E95"/>
    <w:rsid w:val="00467EBD"/>
    <w:rsid w:val="00467F6C"/>
    <w:rsid w:val="00467FC9"/>
    <w:rsid w:val="00470019"/>
    <w:rsid w:val="00470079"/>
    <w:rsid w:val="004700DD"/>
    <w:rsid w:val="00470313"/>
    <w:rsid w:val="004703F2"/>
    <w:rsid w:val="00470422"/>
    <w:rsid w:val="00470455"/>
    <w:rsid w:val="00470461"/>
    <w:rsid w:val="00470524"/>
    <w:rsid w:val="00470588"/>
    <w:rsid w:val="00470619"/>
    <w:rsid w:val="00470711"/>
    <w:rsid w:val="0047079F"/>
    <w:rsid w:val="00470817"/>
    <w:rsid w:val="00470911"/>
    <w:rsid w:val="0047091C"/>
    <w:rsid w:val="004709E0"/>
    <w:rsid w:val="004709FD"/>
    <w:rsid w:val="00470A26"/>
    <w:rsid w:val="00470A97"/>
    <w:rsid w:val="00470AAC"/>
    <w:rsid w:val="00470AC7"/>
    <w:rsid w:val="00470ACF"/>
    <w:rsid w:val="00470B02"/>
    <w:rsid w:val="00470C0D"/>
    <w:rsid w:val="00470C3B"/>
    <w:rsid w:val="00470C46"/>
    <w:rsid w:val="00470D4C"/>
    <w:rsid w:val="00470D95"/>
    <w:rsid w:val="00470DDA"/>
    <w:rsid w:val="00470F1B"/>
    <w:rsid w:val="00470FC9"/>
    <w:rsid w:val="0047105E"/>
    <w:rsid w:val="004711FA"/>
    <w:rsid w:val="00471229"/>
    <w:rsid w:val="00471246"/>
    <w:rsid w:val="00471279"/>
    <w:rsid w:val="00471323"/>
    <w:rsid w:val="004713D8"/>
    <w:rsid w:val="004713FB"/>
    <w:rsid w:val="004713FD"/>
    <w:rsid w:val="00471413"/>
    <w:rsid w:val="0047146A"/>
    <w:rsid w:val="004714B1"/>
    <w:rsid w:val="004714E0"/>
    <w:rsid w:val="00471560"/>
    <w:rsid w:val="004715C7"/>
    <w:rsid w:val="004716E3"/>
    <w:rsid w:val="004716F2"/>
    <w:rsid w:val="004717FB"/>
    <w:rsid w:val="004718B2"/>
    <w:rsid w:val="004718BD"/>
    <w:rsid w:val="00471942"/>
    <w:rsid w:val="00471981"/>
    <w:rsid w:val="00471AC8"/>
    <w:rsid w:val="00471AE3"/>
    <w:rsid w:val="00471B0B"/>
    <w:rsid w:val="00471BD1"/>
    <w:rsid w:val="00471CA2"/>
    <w:rsid w:val="00471D4F"/>
    <w:rsid w:val="00471D6C"/>
    <w:rsid w:val="00471E4F"/>
    <w:rsid w:val="00471E5E"/>
    <w:rsid w:val="00471E78"/>
    <w:rsid w:val="00472011"/>
    <w:rsid w:val="004720E6"/>
    <w:rsid w:val="00472101"/>
    <w:rsid w:val="0047210B"/>
    <w:rsid w:val="004721A5"/>
    <w:rsid w:val="004721FC"/>
    <w:rsid w:val="00472255"/>
    <w:rsid w:val="0047226A"/>
    <w:rsid w:val="00472288"/>
    <w:rsid w:val="004722A1"/>
    <w:rsid w:val="0047245C"/>
    <w:rsid w:val="00472471"/>
    <w:rsid w:val="004724E0"/>
    <w:rsid w:val="004724FC"/>
    <w:rsid w:val="00472595"/>
    <w:rsid w:val="004725D8"/>
    <w:rsid w:val="004726E7"/>
    <w:rsid w:val="00472724"/>
    <w:rsid w:val="004727C1"/>
    <w:rsid w:val="004727EE"/>
    <w:rsid w:val="004727FB"/>
    <w:rsid w:val="00472848"/>
    <w:rsid w:val="00472858"/>
    <w:rsid w:val="0047288E"/>
    <w:rsid w:val="0047290B"/>
    <w:rsid w:val="0047291C"/>
    <w:rsid w:val="00472936"/>
    <w:rsid w:val="00472A0E"/>
    <w:rsid w:val="00472A19"/>
    <w:rsid w:val="00472A5A"/>
    <w:rsid w:val="00472AEB"/>
    <w:rsid w:val="00472B7F"/>
    <w:rsid w:val="00472BC2"/>
    <w:rsid w:val="00472C36"/>
    <w:rsid w:val="00472C53"/>
    <w:rsid w:val="00472CA1"/>
    <w:rsid w:val="00472D55"/>
    <w:rsid w:val="00472D69"/>
    <w:rsid w:val="00472D83"/>
    <w:rsid w:val="00472E1C"/>
    <w:rsid w:val="00472E4A"/>
    <w:rsid w:val="00472E58"/>
    <w:rsid w:val="00472E72"/>
    <w:rsid w:val="00472E76"/>
    <w:rsid w:val="00472EDE"/>
    <w:rsid w:val="00472F82"/>
    <w:rsid w:val="00472FA1"/>
    <w:rsid w:val="00472FAE"/>
    <w:rsid w:val="00472FF6"/>
    <w:rsid w:val="0047305B"/>
    <w:rsid w:val="0047310E"/>
    <w:rsid w:val="004731DA"/>
    <w:rsid w:val="004731ED"/>
    <w:rsid w:val="00473279"/>
    <w:rsid w:val="004732C9"/>
    <w:rsid w:val="004732EC"/>
    <w:rsid w:val="00473346"/>
    <w:rsid w:val="004733C5"/>
    <w:rsid w:val="00473423"/>
    <w:rsid w:val="0047342A"/>
    <w:rsid w:val="004734A8"/>
    <w:rsid w:val="0047355C"/>
    <w:rsid w:val="00473567"/>
    <w:rsid w:val="0047356D"/>
    <w:rsid w:val="00473576"/>
    <w:rsid w:val="004735D7"/>
    <w:rsid w:val="0047369C"/>
    <w:rsid w:val="004736CB"/>
    <w:rsid w:val="00473731"/>
    <w:rsid w:val="0047380C"/>
    <w:rsid w:val="00473838"/>
    <w:rsid w:val="004738F7"/>
    <w:rsid w:val="00473937"/>
    <w:rsid w:val="00473994"/>
    <w:rsid w:val="004739BF"/>
    <w:rsid w:val="00473A00"/>
    <w:rsid w:val="00473A8E"/>
    <w:rsid w:val="00473A8F"/>
    <w:rsid w:val="00473AC6"/>
    <w:rsid w:val="00473B13"/>
    <w:rsid w:val="00473C7B"/>
    <w:rsid w:val="00473C98"/>
    <w:rsid w:val="00473C99"/>
    <w:rsid w:val="00473D04"/>
    <w:rsid w:val="00473D79"/>
    <w:rsid w:val="00473E66"/>
    <w:rsid w:val="00473E7E"/>
    <w:rsid w:val="00473EA0"/>
    <w:rsid w:val="00473F1B"/>
    <w:rsid w:val="00473F25"/>
    <w:rsid w:val="00474009"/>
    <w:rsid w:val="00474022"/>
    <w:rsid w:val="004740B1"/>
    <w:rsid w:val="004740EB"/>
    <w:rsid w:val="00474137"/>
    <w:rsid w:val="0047413A"/>
    <w:rsid w:val="0047413E"/>
    <w:rsid w:val="004741EC"/>
    <w:rsid w:val="0047420E"/>
    <w:rsid w:val="004742DF"/>
    <w:rsid w:val="00474386"/>
    <w:rsid w:val="004743A6"/>
    <w:rsid w:val="004743BB"/>
    <w:rsid w:val="004745D3"/>
    <w:rsid w:val="004746E4"/>
    <w:rsid w:val="004747CA"/>
    <w:rsid w:val="004747E5"/>
    <w:rsid w:val="0047484E"/>
    <w:rsid w:val="004748C8"/>
    <w:rsid w:val="004748DA"/>
    <w:rsid w:val="00474917"/>
    <w:rsid w:val="0047492B"/>
    <w:rsid w:val="004749EE"/>
    <w:rsid w:val="004749FD"/>
    <w:rsid w:val="00474A4E"/>
    <w:rsid w:val="00474A74"/>
    <w:rsid w:val="00474AA8"/>
    <w:rsid w:val="00474AB0"/>
    <w:rsid w:val="00474B23"/>
    <w:rsid w:val="00474BDA"/>
    <w:rsid w:val="00474C23"/>
    <w:rsid w:val="00474CCB"/>
    <w:rsid w:val="00474D49"/>
    <w:rsid w:val="00474DA1"/>
    <w:rsid w:val="00474DDE"/>
    <w:rsid w:val="00474DF1"/>
    <w:rsid w:val="00474E73"/>
    <w:rsid w:val="00474EC2"/>
    <w:rsid w:val="00474EC5"/>
    <w:rsid w:val="00474EDC"/>
    <w:rsid w:val="00474F0E"/>
    <w:rsid w:val="00474F5D"/>
    <w:rsid w:val="00474FB8"/>
    <w:rsid w:val="00475066"/>
    <w:rsid w:val="0047507C"/>
    <w:rsid w:val="0047508B"/>
    <w:rsid w:val="004750ED"/>
    <w:rsid w:val="0047518F"/>
    <w:rsid w:val="004751A7"/>
    <w:rsid w:val="004751E1"/>
    <w:rsid w:val="004751E6"/>
    <w:rsid w:val="0047520E"/>
    <w:rsid w:val="0047521F"/>
    <w:rsid w:val="004752E3"/>
    <w:rsid w:val="0047534E"/>
    <w:rsid w:val="004753BA"/>
    <w:rsid w:val="004753C1"/>
    <w:rsid w:val="00475494"/>
    <w:rsid w:val="004754B5"/>
    <w:rsid w:val="0047554A"/>
    <w:rsid w:val="0047559C"/>
    <w:rsid w:val="004755CF"/>
    <w:rsid w:val="00475604"/>
    <w:rsid w:val="004756C5"/>
    <w:rsid w:val="00475760"/>
    <w:rsid w:val="004757C2"/>
    <w:rsid w:val="004757E6"/>
    <w:rsid w:val="004758A3"/>
    <w:rsid w:val="004759AA"/>
    <w:rsid w:val="00475A08"/>
    <w:rsid w:val="00475A17"/>
    <w:rsid w:val="00475A50"/>
    <w:rsid w:val="00475B7D"/>
    <w:rsid w:val="00475C51"/>
    <w:rsid w:val="00475E2A"/>
    <w:rsid w:val="00475E73"/>
    <w:rsid w:val="00475EE7"/>
    <w:rsid w:val="00475F5A"/>
    <w:rsid w:val="0047608F"/>
    <w:rsid w:val="004760E2"/>
    <w:rsid w:val="004760F1"/>
    <w:rsid w:val="0047612F"/>
    <w:rsid w:val="00476165"/>
    <w:rsid w:val="00476198"/>
    <w:rsid w:val="004761C6"/>
    <w:rsid w:val="004761CF"/>
    <w:rsid w:val="00476212"/>
    <w:rsid w:val="004762E8"/>
    <w:rsid w:val="004762F7"/>
    <w:rsid w:val="00476332"/>
    <w:rsid w:val="00476335"/>
    <w:rsid w:val="0047635A"/>
    <w:rsid w:val="00476381"/>
    <w:rsid w:val="004763C3"/>
    <w:rsid w:val="004764E0"/>
    <w:rsid w:val="00476578"/>
    <w:rsid w:val="004765A7"/>
    <w:rsid w:val="004765EC"/>
    <w:rsid w:val="0047662D"/>
    <w:rsid w:val="00476657"/>
    <w:rsid w:val="004766BF"/>
    <w:rsid w:val="00476728"/>
    <w:rsid w:val="00476773"/>
    <w:rsid w:val="00476901"/>
    <w:rsid w:val="004769A0"/>
    <w:rsid w:val="00476A0B"/>
    <w:rsid w:val="00476A13"/>
    <w:rsid w:val="00476AC1"/>
    <w:rsid w:val="00476ACF"/>
    <w:rsid w:val="00476C09"/>
    <w:rsid w:val="00476C12"/>
    <w:rsid w:val="00476CD8"/>
    <w:rsid w:val="00476D41"/>
    <w:rsid w:val="00476D90"/>
    <w:rsid w:val="00476F1D"/>
    <w:rsid w:val="00476FB2"/>
    <w:rsid w:val="00476FBE"/>
    <w:rsid w:val="00477063"/>
    <w:rsid w:val="004770E9"/>
    <w:rsid w:val="00477243"/>
    <w:rsid w:val="00477333"/>
    <w:rsid w:val="0047736F"/>
    <w:rsid w:val="0047739C"/>
    <w:rsid w:val="00477410"/>
    <w:rsid w:val="0047745C"/>
    <w:rsid w:val="00477483"/>
    <w:rsid w:val="00477647"/>
    <w:rsid w:val="004776EF"/>
    <w:rsid w:val="0047774D"/>
    <w:rsid w:val="0047782D"/>
    <w:rsid w:val="00477865"/>
    <w:rsid w:val="004778F3"/>
    <w:rsid w:val="0047794D"/>
    <w:rsid w:val="00477976"/>
    <w:rsid w:val="00477A0A"/>
    <w:rsid w:val="00477A89"/>
    <w:rsid w:val="00477AB0"/>
    <w:rsid w:val="00477BDE"/>
    <w:rsid w:val="00477C31"/>
    <w:rsid w:val="00477C77"/>
    <w:rsid w:val="00477CCB"/>
    <w:rsid w:val="00477D0A"/>
    <w:rsid w:val="00477DAD"/>
    <w:rsid w:val="00477DDF"/>
    <w:rsid w:val="00477DE5"/>
    <w:rsid w:val="00477DFD"/>
    <w:rsid w:val="00477E11"/>
    <w:rsid w:val="00477E52"/>
    <w:rsid w:val="00477E54"/>
    <w:rsid w:val="00477E7A"/>
    <w:rsid w:val="00477F93"/>
    <w:rsid w:val="00477FE2"/>
    <w:rsid w:val="00477FE5"/>
    <w:rsid w:val="0048001C"/>
    <w:rsid w:val="004800CA"/>
    <w:rsid w:val="0048015F"/>
    <w:rsid w:val="00480173"/>
    <w:rsid w:val="00480175"/>
    <w:rsid w:val="00480186"/>
    <w:rsid w:val="0048019F"/>
    <w:rsid w:val="00480332"/>
    <w:rsid w:val="004803A2"/>
    <w:rsid w:val="00480411"/>
    <w:rsid w:val="00480426"/>
    <w:rsid w:val="00480456"/>
    <w:rsid w:val="00480476"/>
    <w:rsid w:val="004804C8"/>
    <w:rsid w:val="004804DE"/>
    <w:rsid w:val="004805CF"/>
    <w:rsid w:val="004805F7"/>
    <w:rsid w:val="00480648"/>
    <w:rsid w:val="0048064F"/>
    <w:rsid w:val="0048065B"/>
    <w:rsid w:val="00480667"/>
    <w:rsid w:val="004806DA"/>
    <w:rsid w:val="0048074E"/>
    <w:rsid w:val="004807A4"/>
    <w:rsid w:val="00480911"/>
    <w:rsid w:val="00480999"/>
    <w:rsid w:val="004809C6"/>
    <w:rsid w:val="00480A3C"/>
    <w:rsid w:val="00480A74"/>
    <w:rsid w:val="00480ACC"/>
    <w:rsid w:val="00480B16"/>
    <w:rsid w:val="00480B3B"/>
    <w:rsid w:val="00480D32"/>
    <w:rsid w:val="00480D76"/>
    <w:rsid w:val="00480D8F"/>
    <w:rsid w:val="00480E15"/>
    <w:rsid w:val="00480EA9"/>
    <w:rsid w:val="00480F0B"/>
    <w:rsid w:val="00480F5B"/>
    <w:rsid w:val="00480F6C"/>
    <w:rsid w:val="00480FB0"/>
    <w:rsid w:val="004810FB"/>
    <w:rsid w:val="00481145"/>
    <w:rsid w:val="00481190"/>
    <w:rsid w:val="00481207"/>
    <w:rsid w:val="0048124F"/>
    <w:rsid w:val="00481259"/>
    <w:rsid w:val="00481261"/>
    <w:rsid w:val="0048126C"/>
    <w:rsid w:val="00481351"/>
    <w:rsid w:val="0048136E"/>
    <w:rsid w:val="004813A2"/>
    <w:rsid w:val="004813F1"/>
    <w:rsid w:val="0048142F"/>
    <w:rsid w:val="00481437"/>
    <w:rsid w:val="0048143D"/>
    <w:rsid w:val="00481492"/>
    <w:rsid w:val="00481564"/>
    <w:rsid w:val="00481587"/>
    <w:rsid w:val="004816D1"/>
    <w:rsid w:val="004817DE"/>
    <w:rsid w:val="004818B1"/>
    <w:rsid w:val="00481903"/>
    <w:rsid w:val="0048191A"/>
    <w:rsid w:val="0048192D"/>
    <w:rsid w:val="004819E2"/>
    <w:rsid w:val="00481BA4"/>
    <w:rsid w:val="00481C36"/>
    <w:rsid w:val="00481C95"/>
    <w:rsid w:val="00481CCC"/>
    <w:rsid w:val="00481CDB"/>
    <w:rsid w:val="00481D78"/>
    <w:rsid w:val="00481E63"/>
    <w:rsid w:val="00481E6F"/>
    <w:rsid w:val="00481EC4"/>
    <w:rsid w:val="00481ED5"/>
    <w:rsid w:val="00481EDC"/>
    <w:rsid w:val="00481F12"/>
    <w:rsid w:val="00481F14"/>
    <w:rsid w:val="00481F2A"/>
    <w:rsid w:val="00482037"/>
    <w:rsid w:val="0048204D"/>
    <w:rsid w:val="004820D8"/>
    <w:rsid w:val="004821D6"/>
    <w:rsid w:val="004821F7"/>
    <w:rsid w:val="00482237"/>
    <w:rsid w:val="004822D6"/>
    <w:rsid w:val="0048246F"/>
    <w:rsid w:val="00482490"/>
    <w:rsid w:val="004824D8"/>
    <w:rsid w:val="004825EF"/>
    <w:rsid w:val="00482660"/>
    <w:rsid w:val="00482669"/>
    <w:rsid w:val="00482670"/>
    <w:rsid w:val="0048267F"/>
    <w:rsid w:val="00482682"/>
    <w:rsid w:val="004826EB"/>
    <w:rsid w:val="004826F8"/>
    <w:rsid w:val="00482776"/>
    <w:rsid w:val="004827A1"/>
    <w:rsid w:val="004827AB"/>
    <w:rsid w:val="004827C2"/>
    <w:rsid w:val="00482851"/>
    <w:rsid w:val="004828D0"/>
    <w:rsid w:val="00482976"/>
    <w:rsid w:val="0048297D"/>
    <w:rsid w:val="0048299E"/>
    <w:rsid w:val="00482A11"/>
    <w:rsid w:val="00482A20"/>
    <w:rsid w:val="00482A57"/>
    <w:rsid w:val="00482AAA"/>
    <w:rsid w:val="00482AF3"/>
    <w:rsid w:val="00482BC7"/>
    <w:rsid w:val="00482CBE"/>
    <w:rsid w:val="00482D29"/>
    <w:rsid w:val="00482D4C"/>
    <w:rsid w:val="00482DE0"/>
    <w:rsid w:val="00482E45"/>
    <w:rsid w:val="00482EFA"/>
    <w:rsid w:val="00482FA7"/>
    <w:rsid w:val="00483115"/>
    <w:rsid w:val="0048317A"/>
    <w:rsid w:val="004831A0"/>
    <w:rsid w:val="004831B8"/>
    <w:rsid w:val="004831CB"/>
    <w:rsid w:val="004831D0"/>
    <w:rsid w:val="004832C8"/>
    <w:rsid w:val="004832D3"/>
    <w:rsid w:val="0048334D"/>
    <w:rsid w:val="004833F9"/>
    <w:rsid w:val="0048349B"/>
    <w:rsid w:val="00483553"/>
    <w:rsid w:val="004835F5"/>
    <w:rsid w:val="00483628"/>
    <w:rsid w:val="0048363D"/>
    <w:rsid w:val="004837A1"/>
    <w:rsid w:val="0048382A"/>
    <w:rsid w:val="00483884"/>
    <w:rsid w:val="004838F6"/>
    <w:rsid w:val="004839BC"/>
    <w:rsid w:val="00483A1B"/>
    <w:rsid w:val="00483A36"/>
    <w:rsid w:val="00483B19"/>
    <w:rsid w:val="00483B4E"/>
    <w:rsid w:val="00483B5A"/>
    <w:rsid w:val="00483B8A"/>
    <w:rsid w:val="00483BD6"/>
    <w:rsid w:val="00483C50"/>
    <w:rsid w:val="00483C8D"/>
    <w:rsid w:val="00483D48"/>
    <w:rsid w:val="00483D6C"/>
    <w:rsid w:val="00483DD4"/>
    <w:rsid w:val="00483DEA"/>
    <w:rsid w:val="00483DEE"/>
    <w:rsid w:val="00483E1B"/>
    <w:rsid w:val="00483E25"/>
    <w:rsid w:val="00483E2D"/>
    <w:rsid w:val="00483EE3"/>
    <w:rsid w:val="00483F50"/>
    <w:rsid w:val="00483FFC"/>
    <w:rsid w:val="00484019"/>
    <w:rsid w:val="0048408A"/>
    <w:rsid w:val="0048409B"/>
    <w:rsid w:val="004840D8"/>
    <w:rsid w:val="004840DB"/>
    <w:rsid w:val="00484103"/>
    <w:rsid w:val="004841BF"/>
    <w:rsid w:val="00484244"/>
    <w:rsid w:val="004842D2"/>
    <w:rsid w:val="00484420"/>
    <w:rsid w:val="004844BF"/>
    <w:rsid w:val="004844FB"/>
    <w:rsid w:val="00484534"/>
    <w:rsid w:val="0048459A"/>
    <w:rsid w:val="004845E5"/>
    <w:rsid w:val="00484620"/>
    <w:rsid w:val="00484678"/>
    <w:rsid w:val="004846A6"/>
    <w:rsid w:val="004846DA"/>
    <w:rsid w:val="004846F8"/>
    <w:rsid w:val="00484703"/>
    <w:rsid w:val="00484728"/>
    <w:rsid w:val="004847B9"/>
    <w:rsid w:val="0048484C"/>
    <w:rsid w:val="0048486E"/>
    <w:rsid w:val="0048488C"/>
    <w:rsid w:val="004849E4"/>
    <w:rsid w:val="00484A07"/>
    <w:rsid w:val="00484A24"/>
    <w:rsid w:val="00484A34"/>
    <w:rsid w:val="00484B76"/>
    <w:rsid w:val="00484B96"/>
    <w:rsid w:val="00484BEB"/>
    <w:rsid w:val="00484D8F"/>
    <w:rsid w:val="00484DAA"/>
    <w:rsid w:val="00484ED0"/>
    <w:rsid w:val="00484EE5"/>
    <w:rsid w:val="00484EED"/>
    <w:rsid w:val="00484F0D"/>
    <w:rsid w:val="00484F99"/>
    <w:rsid w:val="00484FC4"/>
    <w:rsid w:val="0048507E"/>
    <w:rsid w:val="00485097"/>
    <w:rsid w:val="004850D1"/>
    <w:rsid w:val="004850EE"/>
    <w:rsid w:val="00485278"/>
    <w:rsid w:val="004852F9"/>
    <w:rsid w:val="00485345"/>
    <w:rsid w:val="004853C0"/>
    <w:rsid w:val="004853FB"/>
    <w:rsid w:val="00485569"/>
    <w:rsid w:val="00485582"/>
    <w:rsid w:val="004855C2"/>
    <w:rsid w:val="00485762"/>
    <w:rsid w:val="00485775"/>
    <w:rsid w:val="004857FD"/>
    <w:rsid w:val="00485859"/>
    <w:rsid w:val="00485886"/>
    <w:rsid w:val="004858A1"/>
    <w:rsid w:val="00485A43"/>
    <w:rsid w:val="00485A68"/>
    <w:rsid w:val="00485AB7"/>
    <w:rsid w:val="00485AE4"/>
    <w:rsid w:val="00485B08"/>
    <w:rsid w:val="00485BC8"/>
    <w:rsid w:val="00485BEB"/>
    <w:rsid w:val="00485D98"/>
    <w:rsid w:val="00485E36"/>
    <w:rsid w:val="00485EB6"/>
    <w:rsid w:val="00485F3A"/>
    <w:rsid w:val="00485FC9"/>
    <w:rsid w:val="00485FDB"/>
    <w:rsid w:val="00485FE7"/>
    <w:rsid w:val="004860E8"/>
    <w:rsid w:val="004860FC"/>
    <w:rsid w:val="0048620F"/>
    <w:rsid w:val="00486215"/>
    <w:rsid w:val="00486248"/>
    <w:rsid w:val="004862F0"/>
    <w:rsid w:val="004863C5"/>
    <w:rsid w:val="00486421"/>
    <w:rsid w:val="00486422"/>
    <w:rsid w:val="0048642B"/>
    <w:rsid w:val="00486443"/>
    <w:rsid w:val="004864A3"/>
    <w:rsid w:val="0048651E"/>
    <w:rsid w:val="00486584"/>
    <w:rsid w:val="00486612"/>
    <w:rsid w:val="00486617"/>
    <w:rsid w:val="00486709"/>
    <w:rsid w:val="00486710"/>
    <w:rsid w:val="00486737"/>
    <w:rsid w:val="004867A0"/>
    <w:rsid w:val="00486807"/>
    <w:rsid w:val="0048680C"/>
    <w:rsid w:val="00486872"/>
    <w:rsid w:val="0048688A"/>
    <w:rsid w:val="00486908"/>
    <w:rsid w:val="00486938"/>
    <w:rsid w:val="00486976"/>
    <w:rsid w:val="00486994"/>
    <w:rsid w:val="00486B35"/>
    <w:rsid w:val="00486B5B"/>
    <w:rsid w:val="00486B7B"/>
    <w:rsid w:val="00486BD5"/>
    <w:rsid w:val="00486BED"/>
    <w:rsid w:val="00486CC8"/>
    <w:rsid w:val="00486CC9"/>
    <w:rsid w:val="00486D1E"/>
    <w:rsid w:val="00486D59"/>
    <w:rsid w:val="00486E0B"/>
    <w:rsid w:val="00486E5A"/>
    <w:rsid w:val="00486E9D"/>
    <w:rsid w:val="00486EB1"/>
    <w:rsid w:val="00486F22"/>
    <w:rsid w:val="00486FE2"/>
    <w:rsid w:val="00486FFC"/>
    <w:rsid w:val="004871A7"/>
    <w:rsid w:val="004872EC"/>
    <w:rsid w:val="00487330"/>
    <w:rsid w:val="004873CA"/>
    <w:rsid w:val="00487407"/>
    <w:rsid w:val="00487408"/>
    <w:rsid w:val="00487457"/>
    <w:rsid w:val="00487480"/>
    <w:rsid w:val="00487492"/>
    <w:rsid w:val="004874D1"/>
    <w:rsid w:val="00487506"/>
    <w:rsid w:val="00487508"/>
    <w:rsid w:val="0048750C"/>
    <w:rsid w:val="00487535"/>
    <w:rsid w:val="00487536"/>
    <w:rsid w:val="0048756B"/>
    <w:rsid w:val="004875AB"/>
    <w:rsid w:val="004875D5"/>
    <w:rsid w:val="004876A0"/>
    <w:rsid w:val="00487728"/>
    <w:rsid w:val="00487731"/>
    <w:rsid w:val="00487744"/>
    <w:rsid w:val="004877AB"/>
    <w:rsid w:val="004877B8"/>
    <w:rsid w:val="0048783C"/>
    <w:rsid w:val="00487848"/>
    <w:rsid w:val="0048789C"/>
    <w:rsid w:val="004878CF"/>
    <w:rsid w:val="00487916"/>
    <w:rsid w:val="0048793E"/>
    <w:rsid w:val="0048797C"/>
    <w:rsid w:val="00487A44"/>
    <w:rsid w:val="00487A4D"/>
    <w:rsid w:val="00487BE7"/>
    <w:rsid w:val="00487D12"/>
    <w:rsid w:val="00487D20"/>
    <w:rsid w:val="00487E2D"/>
    <w:rsid w:val="00487E7F"/>
    <w:rsid w:val="00487EEB"/>
    <w:rsid w:val="00487F5A"/>
    <w:rsid w:val="00487F74"/>
    <w:rsid w:val="00487FB7"/>
    <w:rsid w:val="00487FCC"/>
    <w:rsid w:val="00487FE7"/>
    <w:rsid w:val="00490096"/>
    <w:rsid w:val="0049013B"/>
    <w:rsid w:val="0049024B"/>
    <w:rsid w:val="00490278"/>
    <w:rsid w:val="00490298"/>
    <w:rsid w:val="00490325"/>
    <w:rsid w:val="00490361"/>
    <w:rsid w:val="00490368"/>
    <w:rsid w:val="0049053D"/>
    <w:rsid w:val="00490587"/>
    <w:rsid w:val="004905C7"/>
    <w:rsid w:val="00490640"/>
    <w:rsid w:val="004906A8"/>
    <w:rsid w:val="004906AE"/>
    <w:rsid w:val="00490778"/>
    <w:rsid w:val="004907AD"/>
    <w:rsid w:val="004907BE"/>
    <w:rsid w:val="004907D5"/>
    <w:rsid w:val="004907EB"/>
    <w:rsid w:val="004907F0"/>
    <w:rsid w:val="0049080E"/>
    <w:rsid w:val="0049082C"/>
    <w:rsid w:val="0049085F"/>
    <w:rsid w:val="0049087E"/>
    <w:rsid w:val="0049099F"/>
    <w:rsid w:val="00490A20"/>
    <w:rsid w:val="00490A71"/>
    <w:rsid w:val="00490ACF"/>
    <w:rsid w:val="00490B58"/>
    <w:rsid w:val="00490B84"/>
    <w:rsid w:val="00490C67"/>
    <w:rsid w:val="00490CB0"/>
    <w:rsid w:val="00490D01"/>
    <w:rsid w:val="00490D48"/>
    <w:rsid w:val="00490D50"/>
    <w:rsid w:val="00490E8B"/>
    <w:rsid w:val="00490F02"/>
    <w:rsid w:val="00490F83"/>
    <w:rsid w:val="00490F9A"/>
    <w:rsid w:val="00490FCB"/>
    <w:rsid w:val="00490FDF"/>
    <w:rsid w:val="0049105D"/>
    <w:rsid w:val="004910FC"/>
    <w:rsid w:val="00491132"/>
    <w:rsid w:val="0049113A"/>
    <w:rsid w:val="0049113D"/>
    <w:rsid w:val="00491140"/>
    <w:rsid w:val="004911A8"/>
    <w:rsid w:val="00491242"/>
    <w:rsid w:val="00491293"/>
    <w:rsid w:val="004912E1"/>
    <w:rsid w:val="00491322"/>
    <w:rsid w:val="00491381"/>
    <w:rsid w:val="004913F8"/>
    <w:rsid w:val="00491468"/>
    <w:rsid w:val="00491480"/>
    <w:rsid w:val="004914B1"/>
    <w:rsid w:val="0049159F"/>
    <w:rsid w:val="00491620"/>
    <w:rsid w:val="00491678"/>
    <w:rsid w:val="004916BC"/>
    <w:rsid w:val="004916F6"/>
    <w:rsid w:val="004917A5"/>
    <w:rsid w:val="004917E7"/>
    <w:rsid w:val="004917F3"/>
    <w:rsid w:val="0049180C"/>
    <w:rsid w:val="0049182B"/>
    <w:rsid w:val="00491884"/>
    <w:rsid w:val="004918E4"/>
    <w:rsid w:val="0049193E"/>
    <w:rsid w:val="00491A90"/>
    <w:rsid w:val="00491B40"/>
    <w:rsid w:val="00491C15"/>
    <w:rsid w:val="00491C6E"/>
    <w:rsid w:val="00491CEB"/>
    <w:rsid w:val="00491D0F"/>
    <w:rsid w:val="00491D86"/>
    <w:rsid w:val="00491DA2"/>
    <w:rsid w:val="00491DDB"/>
    <w:rsid w:val="00491DF5"/>
    <w:rsid w:val="00491EBC"/>
    <w:rsid w:val="00491EC1"/>
    <w:rsid w:val="00491F7D"/>
    <w:rsid w:val="00491FE3"/>
    <w:rsid w:val="00492045"/>
    <w:rsid w:val="00492084"/>
    <w:rsid w:val="0049209B"/>
    <w:rsid w:val="004920AF"/>
    <w:rsid w:val="004920B8"/>
    <w:rsid w:val="0049213B"/>
    <w:rsid w:val="0049214A"/>
    <w:rsid w:val="0049215A"/>
    <w:rsid w:val="0049219D"/>
    <w:rsid w:val="004921E5"/>
    <w:rsid w:val="0049232E"/>
    <w:rsid w:val="0049245D"/>
    <w:rsid w:val="004924EF"/>
    <w:rsid w:val="004925F9"/>
    <w:rsid w:val="00492608"/>
    <w:rsid w:val="00492621"/>
    <w:rsid w:val="00492741"/>
    <w:rsid w:val="0049274B"/>
    <w:rsid w:val="00492806"/>
    <w:rsid w:val="0049281A"/>
    <w:rsid w:val="00492859"/>
    <w:rsid w:val="004928A1"/>
    <w:rsid w:val="004928CC"/>
    <w:rsid w:val="004929A3"/>
    <w:rsid w:val="00492A12"/>
    <w:rsid w:val="00492A3F"/>
    <w:rsid w:val="00492B44"/>
    <w:rsid w:val="00492B69"/>
    <w:rsid w:val="00492B91"/>
    <w:rsid w:val="00492C9B"/>
    <w:rsid w:val="00492CC7"/>
    <w:rsid w:val="00492CC9"/>
    <w:rsid w:val="00492D02"/>
    <w:rsid w:val="00492EE9"/>
    <w:rsid w:val="00492EF7"/>
    <w:rsid w:val="00492F9D"/>
    <w:rsid w:val="00493038"/>
    <w:rsid w:val="00493095"/>
    <w:rsid w:val="004930E5"/>
    <w:rsid w:val="00493106"/>
    <w:rsid w:val="00493145"/>
    <w:rsid w:val="00493159"/>
    <w:rsid w:val="004931D4"/>
    <w:rsid w:val="004931D6"/>
    <w:rsid w:val="00493236"/>
    <w:rsid w:val="004932DB"/>
    <w:rsid w:val="0049335F"/>
    <w:rsid w:val="004933FA"/>
    <w:rsid w:val="0049346C"/>
    <w:rsid w:val="004934AC"/>
    <w:rsid w:val="00493529"/>
    <w:rsid w:val="0049363D"/>
    <w:rsid w:val="00493685"/>
    <w:rsid w:val="00493692"/>
    <w:rsid w:val="004936C9"/>
    <w:rsid w:val="00493766"/>
    <w:rsid w:val="004938C4"/>
    <w:rsid w:val="00493936"/>
    <w:rsid w:val="00493951"/>
    <w:rsid w:val="0049396B"/>
    <w:rsid w:val="00493975"/>
    <w:rsid w:val="0049397C"/>
    <w:rsid w:val="004939D1"/>
    <w:rsid w:val="00493A38"/>
    <w:rsid w:val="00493A7D"/>
    <w:rsid w:val="00493A8F"/>
    <w:rsid w:val="00493ABB"/>
    <w:rsid w:val="00493AC9"/>
    <w:rsid w:val="00493AD1"/>
    <w:rsid w:val="00493B31"/>
    <w:rsid w:val="00493B51"/>
    <w:rsid w:val="00493CAF"/>
    <w:rsid w:val="00493CFA"/>
    <w:rsid w:val="00493D98"/>
    <w:rsid w:val="00493DB3"/>
    <w:rsid w:val="00493E25"/>
    <w:rsid w:val="00493E35"/>
    <w:rsid w:val="00493F7A"/>
    <w:rsid w:val="00493FAD"/>
    <w:rsid w:val="00493FD4"/>
    <w:rsid w:val="004940B1"/>
    <w:rsid w:val="004940DE"/>
    <w:rsid w:val="004941E8"/>
    <w:rsid w:val="00494255"/>
    <w:rsid w:val="0049428E"/>
    <w:rsid w:val="004942BA"/>
    <w:rsid w:val="004942BC"/>
    <w:rsid w:val="0049433C"/>
    <w:rsid w:val="004944BB"/>
    <w:rsid w:val="0049462B"/>
    <w:rsid w:val="0049462D"/>
    <w:rsid w:val="0049465B"/>
    <w:rsid w:val="0049474E"/>
    <w:rsid w:val="00494758"/>
    <w:rsid w:val="004947AB"/>
    <w:rsid w:val="004947B8"/>
    <w:rsid w:val="004947D5"/>
    <w:rsid w:val="004947DF"/>
    <w:rsid w:val="00494860"/>
    <w:rsid w:val="004948A7"/>
    <w:rsid w:val="00494920"/>
    <w:rsid w:val="00494A85"/>
    <w:rsid w:val="00494B5A"/>
    <w:rsid w:val="00494BDE"/>
    <w:rsid w:val="00494CC0"/>
    <w:rsid w:val="00494EA4"/>
    <w:rsid w:val="00494F7A"/>
    <w:rsid w:val="00495057"/>
    <w:rsid w:val="004950C5"/>
    <w:rsid w:val="00495160"/>
    <w:rsid w:val="00495161"/>
    <w:rsid w:val="00495180"/>
    <w:rsid w:val="00495187"/>
    <w:rsid w:val="004951B2"/>
    <w:rsid w:val="00495244"/>
    <w:rsid w:val="00495280"/>
    <w:rsid w:val="004952E2"/>
    <w:rsid w:val="0049539D"/>
    <w:rsid w:val="004954BD"/>
    <w:rsid w:val="004954ED"/>
    <w:rsid w:val="00495517"/>
    <w:rsid w:val="004955A3"/>
    <w:rsid w:val="004955D6"/>
    <w:rsid w:val="00495801"/>
    <w:rsid w:val="0049582B"/>
    <w:rsid w:val="004958D7"/>
    <w:rsid w:val="004958EF"/>
    <w:rsid w:val="00495928"/>
    <w:rsid w:val="00495969"/>
    <w:rsid w:val="004959EC"/>
    <w:rsid w:val="00495AE5"/>
    <w:rsid w:val="00495B4B"/>
    <w:rsid w:val="00495BD0"/>
    <w:rsid w:val="00495BE8"/>
    <w:rsid w:val="00495C44"/>
    <w:rsid w:val="00495C6B"/>
    <w:rsid w:val="00495D09"/>
    <w:rsid w:val="00495D41"/>
    <w:rsid w:val="00495E57"/>
    <w:rsid w:val="00495E59"/>
    <w:rsid w:val="00495EAF"/>
    <w:rsid w:val="00495EE1"/>
    <w:rsid w:val="004960B9"/>
    <w:rsid w:val="004960E3"/>
    <w:rsid w:val="00496102"/>
    <w:rsid w:val="0049611C"/>
    <w:rsid w:val="004961D2"/>
    <w:rsid w:val="00496324"/>
    <w:rsid w:val="00496364"/>
    <w:rsid w:val="00496431"/>
    <w:rsid w:val="00496461"/>
    <w:rsid w:val="0049652F"/>
    <w:rsid w:val="004965E5"/>
    <w:rsid w:val="004965ED"/>
    <w:rsid w:val="00496613"/>
    <w:rsid w:val="0049670C"/>
    <w:rsid w:val="00496798"/>
    <w:rsid w:val="004967BE"/>
    <w:rsid w:val="004967F7"/>
    <w:rsid w:val="004967F9"/>
    <w:rsid w:val="00496824"/>
    <w:rsid w:val="0049687F"/>
    <w:rsid w:val="004968D4"/>
    <w:rsid w:val="004968F4"/>
    <w:rsid w:val="00496935"/>
    <w:rsid w:val="0049695A"/>
    <w:rsid w:val="0049697A"/>
    <w:rsid w:val="004969E5"/>
    <w:rsid w:val="00496AE7"/>
    <w:rsid w:val="00496B60"/>
    <w:rsid w:val="00496B63"/>
    <w:rsid w:val="00496B8A"/>
    <w:rsid w:val="00496B97"/>
    <w:rsid w:val="00496BF6"/>
    <w:rsid w:val="00496C80"/>
    <w:rsid w:val="00496CCE"/>
    <w:rsid w:val="00496CD0"/>
    <w:rsid w:val="00496D20"/>
    <w:rsid w:val="00496D2D"/>
    <w:rsid w:val="00496DC3"/>
    <w:rsid w:val="00496DD1"/>
    <w:rsid w:val="00496DF4"/>
    <w:rsid w:val="00496E86"/>
    <w:rsid w:val="00496EAF"/>
    <w:rsid w:val="00496F3C"/>
    <w:rsid w:val="00496F48"/>
    <w:rsid w:val="00496FD5"/>
    <w:rsid w:val="00496FDC"/>
    <w:rsid w:val="00497006"/>
    <w:rsid w:val="0049703F"/>
    <w:rsid w:val="004970D8"/>
    <w:rsid w:val="004971B8"/>
    <w:rsid w:val="004971F2"/>
    <w:rsid w:val="004971FE"/>
    <w:rsid w:val="00497230"/>
    <w:rsid w:val="00497262"/>
    <w:rsid w:val="004973E6"/>
    <w:rsid w:val="00497433"/>
    <w:rsid w:val="0049755E"/>
    <w:rsid w:val="004975D9"/>
    <w:rsid w:val="004975F7"/>
    <w:rsid w:val="00497682"/>
    <w:rsid w:val="004976F1"/>
    <w:rsid w:val="0049775D"/>
    <w:rsid w:val="00497763"/>
    <w:rsid w:val="004977C7"/>
    <w:rsid w:val="0049787F"/>
    <w:rsid w:val="0049788C"/>
    <w:rsid w:val="004978C9"/>
    <w:rsid w:val="0049790E"/>
    <w:rsid w:val="004979B7"/>
    <w:rsid w:val="004979BA"/>
    <w:rsid w:val="004979D0"/>
    <w:rsid w:val="00497A34"/>
    <w:rsid w:val="00497ACD"/>
    <w:rsid w:val="00497B2E"/>
    <w:rsid w:val="00497C01"/>
    <w:rsid w:val="00497C61"/>
    <w:rsid w:val="00497CEB"/>
    <w:rsid w:val="00497CFA"/>
    <w:rsid w:val="00497D20"/>
    <w:rsid w:val="00497D4B"/>
    <w:rsid w:val="00497DD5"/>
    <w:rsid w:val="00497DD6"/>
    <w:rsid w:val="00497E16"/>
    <w:rsid w:val="00497E95"/>
    <w:rsid w:val="00497E9C"/>
    <w:rsid w:val="00497EEF"/>
    <w:rsid w:val="00497FD4"/>
    <w:rsid w:val="00497FD8"/>
    <w:rsid w:val="004A002E"/>
    <w:rsid w:val="004A00AA"/>
    <w:rsid w:val="004A00CA"/>
    <w:rsid w:val="004A00D6"/>
    <w:rsid w:val="004A00D8"/>
    <w:rsid w:val="004A00E9"/>
    <w:rsid w:val="004A01B3"/>
    <w:rsid w:val="004A01BC"/>
    <w:rsid w:val="004A01F0"/>
    <w:rsid w:val="004A0321"/>
    <w:rsid w:val="004A0397"/>
    <w:rsid w:val="004A03E1"/>
    <w:rsid w:val="004A040E"/>
    <w:rsid w:val="004A0490"/>
    <w:rsid w:val="004A05B5"/>
    <w:rsid w:val="004A0668"/>
    <w:rsid w:val="004A0676"/>
    <w:rsid w:val="004A06EA"/>
    <w:rsid w:val="004A072E"/>
    <w:rsid w:val="004A07E1"/>
    <w:rsid w:val="004A07F6"/>
    <w:rsid w:val="004A0AD2"/>
    <w:rsid w:val="004A0AD4"/>
    <w:rsid w:val="004A0B35"/>
    <w:rsid w:val="004A0B36"/>
    <w:rsid w:val="004A0C16"/>
    <w:rsid w:val="004A0D89"/>
    <w:rsid w:val="004A0D9D"/>
    <w:rsid w:val="004A0DBA"/>
    <w:rsid w:val="004A0E07"/>
    <w:rsid w:val="004A0E2F"/>
    <w:rsid w:val="004A0E67"/>
    <w:rsid w:val="004A0EBA"/>
    <w:rsid w:val="004A0F15"/>
    <w:rsid w:val="004A0F27"/>
    <w:rsid w:val="004A0F6B"/>
    <w:rsid w:val="004A0F84"/>
    <w:rsid w:val="004A0FCF"/>
    <w:rsid w:val="004A1003"/>
    <w:rsid w:val="004A1037"/>
    <w:rsid w:val="004A112A"/>
    <w:rsid w:val="004A125C"/>
    <w:rsid w:val="004A12F3"/>
    <w:rsid w:val="004A1471"/>
    <w:rsid w:val="004A14C6"/>
    <w:rsid w:val="004A156A"/>
    <w:rsid w:val="004A15D2"/>
    <w:rsid w:val="004A1633"/>
    <w:rsid w:val="004A16CF"/>
    <w:rsid w:val="004A176E"/>
    <w:rsid w:val="004A177A"/>
    <w:rsid w:val="004A17E4"/>
    <w:rsid w:val="004A17F2"/>
    <w:rsid w:val="004A1883"/>
    <w:rsid w:val="004A1885"/>
    <w:rsid w:val="004A18B3"/>
    <w:rsid w:val="004A18E7"/>
    <w:rsid w:val="004A19F2"/>
    <w:rsid w:val="004A1A28"/>
    <w:rsid w:val="004A1B20"/>
    <w:rsid w:val="004A1B5C"/>
    <w:rsid w:val="004A1C01"/>
    <w:rsid w:val="004A1C85"/>
    <w:rsid w:val="004A1CA6"/>
    <w:rsid w:val="004A1CD8"/>
    <w:rsid w:val="004A1D28"/>
    <w:rsid w:val="004A1D29"/>
    <w:rsid w:val="004A1D99"/>
    <w:rsid w:val="004A1E97"/>
    <w:rsid w:val="004A1ED2"/>
    <w:rsid w:val="004A1F33"/>
    <w:rsid w:val="004A1F49"/>
    <w:rsid w:val="004A1F5F"/>
    <w:rsid w:val="004A2056"/>
    <w:rsid w:val="004A2059"/>
    <w:rsid w:val="004A205A"/>
    <w:rsid w:val="004A2134"/>
    <w:rsid w:val="004A219B"/>
    <w:rsid w:val="004A21E8"/>
    <w:rsid w:val="004A225F"/>
    <w:rsid w:val="004A227A"/>
    <w:rsid w:val="004A238B"/>
    <w:rsid w:val="004A23CB"/>
    <w:rsid w:val="004A23EC"/>
    <w:rsid w:val="004A25B5"/>
    <w:rsid w:val="004A26E3"/>
    <w:rsid w:val="004A27F0"/>
    <w:rsid w:val="004A28D6"/>
    <w:rsid w:val="004A2A0C"/>
    <w:rsid w:val="004A2A22"/>
    <w:rsid w:val="004A2A45"/>
    <w:rsid w:val="004A2AA0"/>
    <w:rsid w:val="004A2AE1"/>
    <w:rsid w:val="004A2B60"/>
    <w:rsid w:val="004A2D33"/>
    <w:rsid w:val="004A2D43"/>
    <w:rsid w:val="004A2D80"/>
    <w:rsid w:val="004A2D8C"/>
    <w:rsid w:val="004A2DCA"/>
    <w:rsid w:val="004A2E09"/>
    <w:rsid w:val="004A2E2C"/>
    <w:rsid w:val="004A30BA"/>
    <w:rsid w:val="004A30EC"/>
    <w:rsid w:val="004A3111"/>
    <w:rsid w:val="004A31E6"/>
    <w:rsid w:val="004A3200"/>
    <w:rsid w:val="004A334F"/>
    <w:rsid w:val="004A33FE"/>
    <w:rsid w:val="004A343A"/>
    <w:rsid w:val="004A34B2"/>
    <w:rsid w:val="004A34B4"/>
    <w:rsid w:val="004A352C"/>
    <w:rsid w:val="004A3556"/>
    <w:rsid w:val="004A3566"/>
    <w:rsid w:val="004A356B"/>
    <w:rsid w:val="004A3586"/>
    <w:rsid w:val="004A35A4"/>
    <w:rsid w:val="004A3639"/>
    <w:rsid w:val="004A3654"/>
    <w:rsid w:val="004A370D"/>
    <w:rsid w:val="004A3750"/>
    <w:rsid w:val="004A375C"/>
    <w:rsid w:val="004A377E"/>
    <w:rsid w:val="004A380F"/>
    <w:rsid w:val="004A3845"/>
    <w:rsid w:val="004A39F8"/>
    <w:rsid w:val="004A3A82"/>
    <w:rsid w:val="004A3AA9"/>
    <w:rsid w:val="004A3AB2"/>
    <w:rsid w:val="004A3BA5"/>
    <w:rsid w:val="004A3BF6"/>
    <w:rsid w:val="004A3C75"/>
    <w:rsid w:val="004A3C8F"/>
    <w:rsid w:val="004A3E58"/>
    <w:rsid w:val="004A3F4B"/>
    <w:rsid w:val="004A3F74"/>
    <w:rsid w:val="004A409E"/>
    <w:rsid w:val="004A40C8"/>
    <w:rsid w:val="004A4130"/>
    <w:rsid w:val="004A41DE"/>
    <w:rsid w:val="004A4269"/>
    <w:rsid w:val="004A4326"/>
    <w:rsid w:val="004A4364"/>
    <w:rsid w:val="004A4370"/>
    <w:rsid w:val="004A43EB"/>
    <w:rsid w:val="004A4583"/>
    <w:rsid w:val="004A45FE"/>
    <w:rsid w:val="004A4632"/>
    <w:rsid w:val="004A468F"/>
    <w:rsid w:val="004A46D3"/>
    <w:rsid w:val="004A4716"/>
    <w:rsid w:val="004A4742"/>
    <w:rsid w:val="004A47C8"/>
    <w:rsid w:val="004A47F2"/>
    <w:rsid w:val="004A488C"/>
    <w:rsid w:val="004A48AC"/>
    <w:rsid w:val="004A48C2"/>
    <w:rsid w:val="004A493B"/>
    <w:rsid w:val="004A4976"/>
    <w:rsid w:val="004A49A7"/>
    <w:rsid w:val="004A49D4"/>
    <w:rsid w:val="004A49FD"/>
    <w:rsid w:val="004A4A2E"/>
    <w:rsid w:val="004A4A3A"/>
    <w:rsid w:val="004A4A3F"/>
    <w:rsid w:val="004A4A7A"/>
    <w:rsid w:val="004A4A96"/>
    <w:rsid w:val="004A4AEC"/>
    <w:rsid w:val="004A4B0B"/>
    <w:rsid w:val="004A4B0F"/>
    <w:rsid w:val="004A4C16"/>
    <w:rsid w:val="004A4CA4"/>
    <w:rsid w:val="004A4CBD"/>
    <w:rsid w:val="004A4D00"/>
    <w:rsid w:val="004A4D0C"/>
    <w:rsid w:val="004A4D18"/>
    <w:rsid w:val="004A4D6E"/>
    <w:rsid w:val="004A4E95"/>
    <w:rsid w:val="004A4EB5"/>
    <w:rsid w:val="004A4F89"/>
    <w:rsid w:val="004A4FD5"/>
    <w:rsid w:val="004A5072"/>
    <w:rsid w:val="004A5088"/>
    <w:rsid w:val="004A50AC"/>
    <w:rsid w:val="004A5102"/>
    <w:rsid w:val="004A5277"/>
    <w:rsid w:val="004A52F6"/>
    <w:rsid w:val="004A52FA"/>
    <w:rsid w:val="004A5412"/>
    <w:rsid w:val="004A5418"/>
    <w:rsid w:val="004A5477"/>
    <w:rsid w:val="004A547B"/>
    <w:rsid w:val="004A555B"/>
    <w:rsid w:val="004A55B1"/>
    <w:rsid w:val="004A55FB"/>
    <w:rsid w:val="004A5700"/>
    <w:rsid w:val="004A5707"/>
    <w:rsid w:val="004A57A3"/>
    <w:rsid w:val="004A57AE"/>
    <w:rsid w:val="004A57DA"/>
    <w:rsid w:val="004A5855"/>
    <w:rsid w:val="004A58BB"/>
    <w:rsid w:val="004A5B05"/>
    <w:rsid w:val="004A5B8C"/>
    <w:rsid w:val="004A5BB2"/>
    <w:rsid w:val="004A5C0E"/>
    <w:rsid w:val="004A5C38"/>
    <w:rsid w:val="004A5C58"/>
    <w:rsid w:val="004A5C72"/>
    <w:rsid w:val="004A5D07"/>
    <w:rsid w:val="004A5D78"/>
    <w:rsid w:val="004A5D83"/>
    <w:rsid w:val="004A5DE2"/>
    <w:rsid w:val="004A5E8A"/>
    <w:rsid w:val="004A5FB9"/>
    <w:rsid w:val="004A5FBD"/>
    <w:rsid w:val="004A6000"/>
    <w:rsid w:val="004A6164"/>
    <w:rsid w:val="004A62C1"/>
    <w:rsid w:val="004A62ED"/>
    <w:rsid w:val="004A63D7"/>
    <w:rsid w:val="004A63E8"/>
    <w:rsid w:val="004A6476"/>
    <w:rsid w:val="004A64E3"/>
    <w:rsid w:val="004A6552"/>
    <w:rsid w:val="004A6598"/>
    <w:rsid w:val="004A65B4"/>
    <w:rsid w:val="004A660F"/>
    <w:rsid w:val="004A6655"/>
    <w:rsid w:val="004A66EC"/>
    <w:rsid w:val="004A6723"/>
    <w:rsid w:val="004A675D"/>
    <w:rsid w:val="004A6788"/>
    <w:rsid w:val="004A6798"/>
    <w:rsid w:val="004A6804"/>
    <w:rsid w:val="004A6811"/>
    <w:rsid w:val="004A6842"/>
    <w:rsid w:val="004A6846"/>
    <w:rsid w:val="004A68AB"/>
    <w:rsid w:val="004A68E8"/>
    <w:rsid w:val="004A6968"/>
    <w:rsid w:val="004A6973"/>
    <w:rsid w:val="004A6A11"/>
    <w:rsid w:val="004A6A30"/>
    <w:rsid w:val="004A6B12"/>
    <w:rsid w:val="004A6B33"/>
    <w:rsid w:val="004A6B58"/>
    <w:rsid w:val="004A6B76"/>
    <w:rsid w:val="004A6BA2"/>
    <w:rsid w:val="004A6C01"/>
    <w:rsid w:val="004A6C25"/>
    <w:rsid w:val="004A6C2A"/>
    <w:rsid w:val="004A6CE3"/>
    <w:rsid w:val="004A6D6F"/>
    <w:rsid w:val="004A6DA9"/>
    <w:rsid w:val="004A6E31"/>
    <w:rsid w:val="004A6F23"/>
    <w:rsid w:val="004A6F7E"/>
    <w:rsid w:val="004A7055"/>
    <w:rsid w:val="004A7083"/>
    <w:rsid w:val="004A712E"/>
    <w:rsid w:val="004A71AE"/>
    <w:rsid w:val="004A71D3"/>
    <w:rsid w:val="004A71F3"/>
    <w:rsid w:val="004A7202"/>
    <w:rsid w:val="004A7211"/>
    <w:rsid w:val="004A7226"/>
    <w:rsid w:val="004A723C"/>
    <w:rsid w:val="004A725D"/>
    <w:rsid w:val="004A7260"/>
    <w:rsid w:val="004A72BF"/>
    <w:rsid w:val="004A7315"/>
    <w:rsid w:val="004A731B"/>
    <w:rsid w:val="004A7418"/>
    <w:rsid w:val="004A741C"/>
    <w:rsid w:val="004A7438"/>
    <w:rsid w:val="004A7475"/>
    <w:rsid w:val="004A74B2"/>
    <w:rsid w:val="004A750D"/>
    <w:rsid w:val="004A751C"/>
    <w:rsid w:val="004A756D"/>
    <w:rsid w:val="004A7630"/>
    <w:rsid w:val="004A7662"/>
    <w:rsid w:val="004A76B9"/>
    <w:rsid w:val="004A7713"/>
    <w:rsid w:val="004A773F"/>
    <w:rsid w:val="004A7749"/>
    <w:rsid w:val="004A7752"/>
    <w:rsid w:val="004A777D"/>
    <w:rsid w:val="004A7869"/>
    <w:rsid w:val="004A787A"/>
    <w:rsid w:val="004A7891"/>
    <w:rsid w:val="004A78E6"/>
    <w:rsid w:val="004A792C"/>
    <w:rsid w:val="004A7939"/>
    <w:rsid w:val="004A7953"/>
    <w:rsid w:val="004A796A"/>
    <w:rsid w:val="004A7B2A"/>
    <w:rsid w:val="004A7B46"/>
    <w:rsid w:val="004A7B77"/>
    <w:rsid w:val="004A7BD6"/>
    <w:rsid w:val="004A7BDE"/>
    <w:rsid w:val="004A7C03"/>
    <w:rsid w:val="004A7C1B"/>
    <w:rsid w:val="004A7D60"/>
    <w:rsid w:val="004A7DAD"/>
    <w:rsid w:val="004A7DF8"/>
    <w:rsid w:val="004A7F06"/>
    <w:rsid w:val="004A7F7F"/>
    <w:rsid w:val="004A7F9D"/>
    <w:rsid w:val="004A7FE5"/>
    <w:rsid w:val="004B0075"/>
    <w:rsid w:val="004B00F2"/>
    <w:rsid w:val="004B016C"/>
    <w:rsid w:val="004B0176"/>
    <w:rsid w:val="004B01AB"/>
    <w:rsid w:val="004B02D0"/>
    <w:rsid w:val="004B02D4"/>
    <w:rsid w:val="004B02E5"/>
    <w:rsid w:val="004B02F4"/>
    <w:rsid w:val="004B0307"/>
    <w:rsid w:val="004B0359"/>
    <w:rsid w:val="004B037C"/>
    <w:rsid w:val="004B03D6"/>
    <w:rsid w:val="004B0456"/>
    <w:rsid w:val="004B049E"/>
    <w:rsid w:val="004B04E6"/>
    <w:rsid w:val="004B0532"/>
    <w:rsid w:val="004B055C"/>
    <w:rsid w:val="004B0670"/>
    <w:rsid w:val="004B0763"/>
    <w:rsid w:val="004B07CD"/>
    <w:rsid w:val="004B085F"/>
    <w:rsid w:val="004B08AD"/>
    <w:rsid w:val="004B09C5"/>
    <w:rsid w:val="004B09D8"/>
    <w:rsid w:val="004B0A2F"/>
    <w:rsid w:val="004B0AC2"/>
    <w:rsid w:val="004B0B05"/>
    <w:rsid w:val="004B0B2B"/>
    <w:rsid w:val="004B0BAE"/>
    <w:rsid w:val="004B0C0B"/>
    <w:rsid w:val="004B0CC4"/>
    <w:rsid w:val="004B0D16"/>
    <w:rsid w:val="004B0D89"/>
    <w:rsid w:val="004B0DDE"/>
    <w:rsid w:val="004B0DDF"/>
    <w:rsid w:val="004B0E05"/>
    <w:rsid w:val="004B0E8C"/>
    <w:rsid w:val="004B0F26"/>
    <w:rsid w:val="004B0F2C"/>
    <w:rsid w:val="004B0F4B"/>
    <w:rsid w:val="004B0FE5"/>
    <w:rsid w:val="004B0FEF"/>
    <w:rsid w:val="004B104B"/>
    <w:rsid w:val="004B1088"/>
    <w:rsid w:val="004B10A1"/>
    <w:rsid w:val="004B11C5"/>
    <w:rsid w:val="004B120F"/>
    <w:rsid w:val="004B1247"/>
    <w:rsid w:val="004B1282"/>
    <w:rsid w:val="004B129E"/>
    <w:rsid w:val="004B12BB"/>
    <w:rsid w:val="004B12C3"/>
    <w:rsid w:val="004B12F7"/>
    <w:rsid w:val="004B13FD"/>
    <w:rsid w:val="004B149F"/>
    <w:rsid w:val="004B151E"/>
    <w:rsid w:val="004B1574"/>
    <w:rsid w:val="004B1580"/>
    <w:rsid w:val="004B162E"/>
    <w:rsid w:val="004B16BC"/>
    <w:rsid w:val="004B17E5"/>
    <w:rsid w:val="004B182B"/>
    <w:rsid w:val="004B1846"/>
    <w:rsid w:val="004B1861"/>
    <w:rsid w:val="004B193C"/>
    <w:rsid w:val="004B1990"/>
    <w:rsid w:val="004B1A8A"/>
    <w:rsid w:val="004B1C5F"/>
    <w:rsid w:val="004B1C90"/>
    <w:rsid w:val="004B1CAA"/>
    <w:rsid w:val="004B1E7C"/>
    <w:rsid w:val="004B1ED3"/>
    <w:rsid w:val="004B1F4D"/>
    <w:rsid w:val="004B1F59"/>
    <w:rsid w:val="004B207D"/>
    <w:rsid w:val="004B20B5"/>
    <w:rsid w:val="004B21CA"/>
    <w:rsid w:val="004B21EE"/>
    <w:rsid w:val="004B2280"/>
    <w:rsid w:val="004B22ED"/>
    <w:rsid w:val="004B231A"/>
    <w:rsid w:val="004B2339"/>
    <w:rsid w:val="004B23C6"/>
    <w:rsid w:val="004B242B"/>
    <w:rsid w:val="004B25AA"/>
    <w:rsid w:val="004B25E7"/>
    <w:rsid w:val="004B261E"/>
    <w:rsid w:val="004B26DA"/>
    <w:rsid w:val="004B277A"/>
    <w:rsid w:val="004B279C"/>
    <w:rsid w:val="004B2878"/>
    <w:rsid w:val="004B28C9"/>
    <w:rsid w:val="004B292A"/>
    <w:rsid w:val="004B2945"/>
    <w:rsid w:val="004B2950"/>
    <w:rsid w:val="004B2966"/>
    <w:rsid w:val="004B29ED"/>
    <w:rsid w:val="004B2A57"/>
    <w:rsid w:val="004B2B0A"/>
    <w:rsid w:val="004B2B26"/>
    <w:rsid w:val="004B2BEF"/>
    <w:rsid w:val="004B2C3D"/>
    <w:rsid w:val="004B2CA8"/>
    <w:rsid w:val="004B2CC2"/>
    <w:rsid w:val="004B2CF4"/>
    <w:rsid w:val="004B2CF9"/>
    <w:rsid w:val="004B2D44"/>
    <w:rsid w:val="004B2DA6"/>
    <w:rsid w:val="004B2E07"/>
    <w:rsid w:val="004B2E29"/>
    <w:rsid w:val="004B2E3E"/>
    <w:rsid w:val="004B2E60"/>
    <w:rsid w:val="004B2EE9"/>
    <w:rsid w:val="004B2FA4"/>
    <w:rsid w:val="004B3105"/>
    <w:rsid w:val="004B3166"/>
    <w:rsid w:val="004B318C"/>
    <w:rsid w:val="004B3231"/>
    <w:rsid w:val="004B3239"/>
    <w:rsid w:val="004B3243"/>
    <w:rsid w:val="004B325F"/>
    <w:rsid w:val="004B33C6"/>
    <w:rsid w:val="004B34A9"/>
    <w:rsid w:val="004B3533"/>
    <w:rsid w:val="004B35C9"/>
    <w:rsid w:val="004B35F9"/>
    <w:rsid w:val="004B362A"/>
    <w:rsid w:val="004B3693"/>
    <w:rsid w:val="004B36A2"/>
    <w:rsid w:val="004B36A6"/>
    <w:rsid w:val="004B36AE"/>
    <w:rsid w:val="004B3724"/>
    <w:rsid w:val="004B3764"/>
    <w:rsid w:val="004B388B"/>
    <w:rsid w:val="004B38F4"/>
    <w:rsid w:val="004B3933"/>
    <w:rsid w:val="004B39E3"/>
    <w:rsid w:val="004B3B48"/>
    <w:rsid w:val="004B3B80"/>
    <w:rsid w:val="004B3BAA"/>
    <w:rsid w:val="004B3C30"/>
    <w:rsid w:val="004B3C6B"/>
    <w:rsid w:val="004B3C77"/>
    <w:rsid w:val="004B3CE7"/>
    <w:rsid w:val="004B3DEC"/>
    <w:rsid w:val="004B3E09"/>
    <w:rsid w:val="004B3E24"/>
    <w:rsid w:val="004B3E48"/>
    <w:rsid w:val="004B3E50"/>
    <w:rsid w:val="004B3EBD"/>
    <w:rsid w:val="004B3F10"/>
    <w:rsid w:val="004B4125"/>
    <w:rsid w:val="004B4128"/>
    <w:rsid w:val="004B417E"/>
    <w:rsid w:val="004B4192"/>
    <w:rsid w:val="004B4234"/>
    <w:rsid w:val="004B428C"/>
    <w:rsid w:val="004B429B"/>
    <w:rsid w:val="004B42C9"/>
    <w:rsid w:val="004B4330"/>
    <w:rsid w:val="004B43BA"/>
    <w:rsid w:val="004B43E3"/>
    <w:rsid w:val="004B444E"/>
    <w:rsid w:val="004B449B"/>
    <w:rsid w:val="004B44C0"/>
    <w:rsid w:val="004B452E"/>
    <w:rsid w:val="004B45D2"/>
    <w:rsid w:val="004B45E8"/>
    <w:rsid w:val="004B460F"/>
    <w:rsid w:val="004B463D"/>
    <w:rsid w:val="004B4685"/>
    <w:rsid w:val="004B46BD"/>
    <w:rsid w:val="004B470C"/>
    <w:rsid w:val="004B4741"/>
    <w:rsid w:val="004B4786"/>
    <w:rsid w:val="004B47A5"/>
    <w:rsid w:val="004B4808"/>
    <w:rsid w:val="004B4811"/>
    <w:rsid w:val="004B486F"/>
    <w:rsid w:val="004B4937"/>
    <w:rsid w:val="004B4968"/>
    <w:rsid w:val="004B496F"/>
    <w:rsid w:val="004B497B"/>
    <w:rsid w:val="004B499D"/>
    <w:rsid w:val="004B49BB"/>
    <w:rsid w:val="004B4B9C"/>
    <w:rsid w:val="004B4C0D"/>
    <w:rsid w:val="004B4C4D"/>
    <w:rsid w:val="004B4C6C"/>
    <w:rsid w:val="004B4C76"/>
    <w:rsid w:val="004B4C7B"/>
    <w:rsid w:val="004B4CC9"/>
    <w:rsid w:val="004B4D02"/>
    <w:rsid w:val="004B4D6F"/>
    <w:rsid w:val="004B4DA7"/>
    <w:rsid w:val="004B4DC3"/>
    <w:rsid w:val="004B4DF0"/>
    <w:rsid w:val="004B4E30"/>
    <w:rsid w:val="004B4E32"/>
    <w:rsid w:val="004B4E3C"/>
    <w:rsid w:val="004B4EE4"/>
    <w:rsid w:val="004B4F16"/>
    <w:rsid w:val="004B503D"/>
    <w:rsid w:val="004B505E"/>
    <w:rsid w:val="004B509D"/>
    <w:rsid w:val="004B5170"/>
    <w:rsid w:val="004B51FE"/>
    <w:rsid w:val="004B521B"/>
    <w:rsid w:val="004B525F"/>
    <w:rsid w:val="004B5266"/>
    <w:rsid w:val="004B536F"/>
    <w:rsid w:val="004B5384"/>
    <w:rsid w:val="004B5488"/>
    <w:rsid w:val="004B548A"/>
    <w:rsid w:val="004B54BB"/>
    <w:rsid w:val="004B54BE"/>
    <w:rsid w:val="004B54CA"/>
    <w:rsid w:val="004B54CB"/>
    <w:rsid w:val="004B54FD"/>
    <w:rsid w:val="004B552A"/>
    <w:rsid w:val="004B55AC"/>
    <w:rsid w:val="004B5615"/>
    <w:rsid w:val="004B5650"/>
    <w:rsid w:val="004B5696"/>
    <w:rsid w:val="004B573C"/>
    <w:rsid w:val="004B5745"/>
    <w:rsid w:val="004B574D"/>
    <w:rsid w:val="004B57DC"/>
    <w:rsid w:val="004B57FA"/>
    <w:rsid w:val="004B5818"/>
    <w:rsid w:val="004B583A"/>
    <w:rsid w:val="004B588F"/>
    <w:rsid w:val="004B58A9"/>
    <w:rsid w:val="004B5952"/>
    <w:rsid w:val="004B5971"/>
    <w:rsid w:val="004B5992"/>
    <w:rsid w:val="004B59E0"/>
    <w:rsid w:val="004B5A7D"/>
    <w:rsid w:val="004B5B12"/>
    <w:rsid w:val="004B5B36"/>
    <w:rsid w:val="004B5B53"/>
    <w:rsid w:val="004B5CB4"/>
    <w:rsid w:val="004B5CD7"/>
    <w:rsid w:val="004B5D05"/>
    <w:rsid w:val="004B5D08"/>
    <w:rsid w:val="004B5D4A"/>
    <w:rsid w:val="004B5D82"/>
    <w:rsid w:val="004B5DB7"/>
    <w:rsid w:val="004B5E68"/>
    <w:rsid w:val="004B5ECF"/>
    <w:rsid w:val="004B5F5B"/>
    <w:rsid w:val="004B5FCC"/>
    <w:rsid w:val="004B6030"/>
    <w:rsid w:val="004B60DB"/>
    <w:rsid w:val="004B60EB"/>
    <w:rsid w:val="004B6102"/>
    <w:rsid w:val="004B61C0"/>
    <w:rsid w:val="004B6239"/>
    <w:rsid w:val="004B6259"/>
    <w:rsid w:val="004B627F"/>
    <w:rsid w:val="004B63AF"/>
    <w:rsid w:val="004B63C2"/>
    <w:rsid w:val="004B63E9"/>
    <w:rsid w:val="004B641A"/>
    <w:rsid w:val="004B64C4"/>
    <w:rsid w:val="004B6533"/>
    <w:rsid w:val="004B6577"/>
    <w:rsid w:val="004B6580"/>
    <w:rsid w:val="004B6596"/>
    <w:rsid w:val="004B662D"/>
    <w:rsid w:val="004B6690"/>
    <w:rsid w:val="004B676F"/>
    <w:rsid w:val="004B68EA"/>
    <w:rsid w:val="004B68EB"/>
    <w:rsid w:val="004B6945"/>
    <w:rsid w:val="004B69BA"/>
    <w:rsid w:val="004B69CE"/>
    <w:rsid w:val="004B69D2"/>
    <w:rsid w:val="004B6A02"/>
    <w:rsid w:val="004B6A6E"/>
    <w:rsid w:val="004B6ACA"/>
    <w:rsid w:val="004B6AEF"/>
    <w:rsid w:val="004B6B2D"/>
    <w:rsid w:val="004B6B53"/>
    <w:rsid w:val="004B6BEC"/>
    <w:rsid w:val="004B6C06"/>
    <w:rsid w:val="004B6C54"/>
    <w:rsid w:val="004B6CA9"/>
    <w:rsid w:val="004B6CBE"/>
    <w:rsid w:val="004B6CCD"/>
    <w:rsid w:val="004B6D83"/>
    <w:rsid w:val="004B6DBD"/>
    <w:rsid w:val="004B6EEF"/>
    <w:rsid w:val="004B6F39"/>
    <w:rsid w:val="004B6F54"/>
    <w:rsid w:val="004B70F8"/>
    <w:rsid w:val="004B7185"/>
    <w:rsid w:val="004B71F2"/>
    <w:rsid w:val="004B7240"/>
    <w:rsid w:val="004B7284"/>
    <w:rsid w:val="004B72DA"/>
    <w:rsid w:val="004B72E2"/>
    <w:rsid w:val="004B7358"/>
    <w:rsid w:val="004B736B"/>
    <w:rsid w:val="004B73E8"/>
    <w:rsid w:val="004B73FF"/>
    <w:rsid w:val="004B7486"/>
    <w:rsid w:val="004B75BE"/>
    <w:rsid w:val="004B763E"/>
    <w:rsid w:val="004B7649"/>
    <w:rsid w:val="004B7694"/>
    <w:rsid w:val="004B76B8"/>
    <w:rsid w:val="004B773C"/>
    <w:rsid w:val="004B7821"/>
    <w:rsid w:val="004B783D"/>
    <w:rsid w:val="004B7855"/>
    <w:rsid w:val="004B78A7"/>
    <w:rsid w:val="004B79DF"/>
    <w:rsid w:val="004B7A1C"/>
    <w:rsid w:val="004B7A2E"/>
    <w:rsid w:val="004B7A72"/>
    <w:rsid w:val="004B7AF7"/>
    <w:rsid w:val="004B7B10"/>
    <w:rsid w:val="004B7B3C"/>
    <w:rsid w:val="004B7B7B"/>
    <w:rsid w:val="004B7BEE"/>
    <w:rsid w:val="004B7C34"/>
    <w:rsid w:val="004B7D48"/>
    <w:rsid w:val="004B7E0B"/>
    <w:rsid w:val="004B7E7D"/>
    <w:rsid w:val="004B7F23"/>
    <w:rsid w:val="004B7FC8"/>
    <w:rsid w:val="004C000D"/>
    <w:rsid w:val="004C00A3"/>
    <w:rsid w:val="004C0258"/>
    <w:rsid w:val="004C02EA"/>
    <w:rsid w:val="004C0343"/>
    <w:rsid w:val="004C034A"/>
    <w:rsid w:val="004C0387"/>
    <w:rsid w:val="004C03AF"/>
    <w:rsid w:val="004C042D"/>
    <w:rsid w:val="004C047B"/>
    <w:rsid w:val="004C04C6"/>
    <w:rsid w:val="004C0512"/>
    <w:rsid w:val="004C0563"/>
    <w:rsid w:val="004C063F"/>
    <w:rsid w:val="004C0657"/>
    <w:rsid w:val="004C06AD"/>
    <w:rsid w:val="004C06CE"/>
    <w:rsid w:val="004C06E6"/>
    <w:rsid w:val="004C07D3"/>
    <w:rsid w:val="004C0862"/>
    <w:rsid w:val="004C0864"/>
    <w:rsid w:val="004C08AD"/>
    <w:rsid w:val="004C0914"/>
    <w:rsid w:val="004C092C"/>
    <w:rsid w:val="004C0952"/>
    <w:rsid w:val="004C098A"/>
    <w:rsid w:val="004C0A4A"/>
    <w:rsid w:val="004C0AD9"/>
    <w:rsid w:val="004C0B24"/>
    <w:rsid w:val="004C0BC4"/>
    <w:rsid w:val="004C0C22"/>
    <w:rsid w:val="004C0C31"/>
    <w:rsid w:val="004C0C43"/>
    <w:rsid w:val="004C0C6A"/>
    <w:rsid w:val="004C0CC0"/>
    <w:rsid w:val="004C0CE9"/>
    <w:rsid w:val="004C0D57"/>
    <w:rsid w:val="004C0D6E"/>
    <w:rsid w:val="004C0D79"/>
    <w:rsid w:val="004C0DCB"/>
    <w:rsid w:val="004C0E4F"/>
    <w:rsid w:val="004C0EB8"/>
    <w:rsid w:val="004C0EE6"/>
    <w:rsid w:val="004C0F7F"/>
    <w:rsid w:val="004C0F8E"/>
    <w:rsid w:val="004C1054"/>
    <w:rsid w:val="004C1055"/>
    <w:rsid w:val="004C1081"/>
    <w:rsid w:val="004C113C"/>
    <w:rsid w:val="004C113F"/>
    <w:rsid w:val="004C1168"/>
    <w:rsid w:val="004C116B"/>
    <w:rsid w:val="004C118B"/>
    <w:rsid w:val="004C11EB"/>
    <w:rsid w:val="004C1220"/>
    <w:rsid w:val="004C1245"/>
    <w:rsid w:val="004C126B"/>
    <w:rsid w:val="004C138B"/>
    <w:rsid w:val="004C13AA"/>
    <w:rsid w:val="004C1470"/>
    <w:rsid w:val="004C14A0"/>
    <w:rsid w:val="004C14C4"/>
    <w:rsid w:val="004C14CC"/>
    <w:rsid w:val="004C14DB"/>
    <w:rsid w:val="004C1649"/>
    <w:rsid w:val="004C1696"/>
    <w:rsid w:val="004C16BD"/>
    <w:rsid w:val="004C16D3"/>
    <w:rsid w:val="004C16E2"/>
    <w:rsid w:val="004C1745"/>
    <w:rsid w:val="004C1864"/>
    <w:rsid w:val="004C1949"/>
    <w:rsid w:val="004C19F5"/>
    <w:rsid w:val="004C1A22"/>
    <w:rsid w:val="004C1A28"/>
    <w:rsid w:val="004C1A2E"/>
    <w:rsid w:val="004C1A4A"/>
    <w:rsid w:val="004C1A53"/>
    <w:rsid w:val="004C1AD2"/>
    <w:rsid w:val="004C1ADE"/>
    <w:rsid w:val="004C1B6C"/>
    <w:rsid w:val="004C1B8A"/>
    <w:rsid w:val="004C1B98"/>
    <w:rsid w:val="004C1C43"/>
    <w:rsid w:val="004C1C55"/>
    <w:rsid w:val="004C1CF5"/>
    <w:rsid w:val="004C1D11"/>
    <w:rsid w:val="004C1D47"/>
    <w:rsid w:val="004C1E3F"/>
    <w:rsid w:val="004C1E5F"/>
    <w:rsid w:val="004C1F31"/>
    <w:rsid w:val="004C1F49"/>
    <w:rsid w:val="004C1FBD"/>
    <w:rsid w:val="004C2049"/>
    <w:rsid w:val="004C2055"/>
    <w:rsid w:val="004C2165"/>
    <w:rsid w:val="004C223B"/>
    <w:rsid w:val="004C2243"/>
    <w:rsid w:val="004C2298"/>
    <w:rsid w:val="004C2385"/>
    <w:rsid w:val="004C23F2"/>
    <w:rsid w:val="004C2414"/>
    <w:rsid w:val="004C2432"/>
    <w:rsid w:val="004C24EF"/>
    <w:rsid w:val="004C2507"/>
    <w:rsid w:val="004C2592"/>
    <w:rsid w:val="004C259C"/>
    <w:rsid w:val="004C25E3"/>
    <w:rsid w:val="004C25FF"/>
    <w:rsid w:val="004C2691"/>
    <w:rsid w:val="004C2702"/>
    <w:rsid w:val="004C2737"/>
    <w:rsid w:val="004C2757"/>
    <w:rsid w:val="004C27D8"/>
    <w:rsid w:val="004C2825"/>
    <w:rsid w:val="004C2957"/>
    <w:rsid w:val="004C296E"/>
    <w:rsid w:val="004C2B1E"/>
    <w:rsid w:val="004C2BDE"/>
    <w:rsid w:val="004C2C98"/>
    <w:rsid w:val="004C2CAD"/>
    <w:rsid w:val="004C2D6B"/>
    <w:rsid w:val="004C2DEE"/>
    <w:rsid w:val="004C2E0F"/>
    <w:rsid w:val="004C2E1C"/>
    <w:rsid w:val="004C2E22"/>
    <w:rsid w:val="004C2EC0"/>
    <w:rsid w:val="004C2ECE"/>
    <w:rsid w:val="004C2FF2"/>
    <w:rsid w:val="004C301B"/>
    <w:rsid w:val="004C3076"/>
    <w:rsid w:val="004C30B1"/>
    <w:rsid w:val="004C30CB"/>
    <w:rsid w:val="004C3183"/>
    <w:rsid w:val="004C320C"/>
    <w:rsid w:val="004C3214"/>
    <w:rsid w:val="004C323E"/>
    <w:rsid w:val="004C3247"/>
    <w:rsid w:val="004C325E"/>
    <w:rsid w:val="004C327E"/>
    <w:rsid w:val="004C32B1"/>
    <w:rsid w:val="004C32B5"/>
    <w:rsid w:val="004C3440"/>
    <w:rsid w:val="004C3466"/>
    <w:rsid w:val="004C35AD"/>
    <w:rsid w:val="004C35E1"/>
    <w:rsid w:val="004C35F2"/>
    <w:rsid w:val="004C368A"/>
    <w:rsid w:val="004C380D"/>
    <w:rsid w:val="004C3934"/>
    <w:rsid w:val="004C393B"/>
    <w:rsid w:val="004C393F"/>
    <w:rsid w:val="004C39F0"/>
    <w:rsid w:val="004C3AB9"/>
    <w:rsid w:val="004C3ADF"/>
    <w:rsid w:val="004C3B1E"/>
    <w:rsid w:val="004C3BF1"/>
    <w:rsid w:val="004C3C7D"/>
    <w:rsid w:val="004C3D51"/>
    <w:rsid w:val="004C3D7D"/>
    <w:rsid w:val="004C3DDE"/>
    <w:rsid w:val="004C3E36"/>
    <w:rsid w:val="004C3EF3"/>
    <w:rsid w:val="004C3F0C"/>
    <w:rsid w:val="004C3F24"/>
    <w:rsid w:val="004C3F63"/>
    <w:rsid w:val="004C3F7F"/>
    <w:rsid w:val="004C4041"/>
    <w:rsid w:val="004C408D"/>
    <w:rsid w:val="004C4116"/>
    <w:rsid w:val="004C4183"/>
    <w:rsid w:val="004C419F"/>
    <w:rsid w:val="004C41AD"/>
    <w:rsid w:val="004C41DD"/>
    <w:rsid w:val="004C4284"/>
    <w:rsid w:val="004C4292"/>
    <w:rsid w:val="004C4303"/>
    <w:rsid w:val="004C4311"/>
    <w:rsid w:val="004C4404"/>
    <w:rsid w:val="004C4450"/>
    <w:rsid w:val="004C447E"/>
    <w:rsid w:val="004C449C"/>
    <w:rsid w:val="004C4588"/>
    <w:rsid w:val="004C460F"/>
    <w:rsid w:val="004C4629"/>
    <w:rsid w:val="004C4646"/>
    <w:rsid w:val="004C46FE"/>
    <w:rsid w:val="004C4701"/>
    <w:rsid w:val="004C4821"/>
    <w:rsid w:val="004C49E2"/>
    <w:rsid w:val="004C4A64"/>
    <w:rsid w:val="004C4A9F"/>
    <w:rsid w:val="004C4AF3"/>
    <w:rsid w:val="004C4AF5"/>
    <w:rsid w:val="004C4B6A"/>
    <w:rsid w:val="004C4B6D"/>
    <w:rsid w:val="004C4C14"/>
    <w:rsid w:val="004C4C26"/>
    <w:rsid w:val="004C4CA4"/>
    <w:rsid w:val="004C4DE5"/>
    <w:rsid w:val="004C4DEE"/>
    <w:rsid w:val="004C4E43"/>
    <w:rsid w:val="004C4EB4"/>
    <w:rsid w:val="004C4EEE"/>
    <w:rsid w:val="004C4EF3"/>
    <w:rsid w:val="004C4F5F"/>
    <w:rsid w:val="004C4F84"/>
    <w:rsid w:val="004C4F94"/>
    <w:rsid w:val="004C5072"/>
    <w:rsid w:val="004C508F"/>
    <w:rsid w:val="004C5124"/>
    <w:rsid w:val="004C51BA"/>
    <w:rsid w:val="004C51F9"/>
    <w:rsid w:val="004C525F"/>
    <w:rsid w:val="004C5261"/>
    <w:rsid w:val="004C52A0"/>
    <w:rsid w:val="004C5356"/>
    <w:rsid w:val="004C5357"/>
    <w:rsid w:val="004C53B9"/>
    <w:rsid w:val="004C53C5"/>
    <w:rsid w:val="004C547B"/>
    <w:rsid w:val="004C55AC"/>
    <w:rsid w:val="004C55F0"/>
    <w:rsid w:val="004C560E"/>
    <w:rsid w:val="004C562C"/>
    <w:rsid w:val="004C5653"/>
    <w:rsid w:val="004C56A0"/>
    <w:rsid w:val="004C56FC"/>
    <w:rsid w:val="004C5798"/>
    <w:rsid w:val="004C58A9"/>
    <w:rsid w:val="004C58BD"/>
    <w:rsid w:val="004C5918"/>
    <w:rsid w:val="004C5935"/>
    <w:rsid w:val="004C5955"/>
    <w:rsid w:val="004C59B3"/>
    <w:rsid w:val="004C5A0F"/>
    <w:rsid w:val="004C5A27"/>
    <w:rsid w:val="004C5A7C"/>
    <w:rsid w:val="004C5B20"/>
    <w:rsid w:val="004C5B97"/>
    <w:rsid w:val="004C5D34"/>
    <w:rsid w:val="004C5D49"/>
    <w:rsid w:val="004C5D9B"/>
    <w:rsid w:val="004C5DA4"/>
    <w:rsid w:val="004C5DE5"/>
    <w:rsid w:val="004C5E17"/>
    <w:rsid w:val="004C5E53"/>
    <w:rsid w:val="004C5E56"/>
    <w:rsid w:val="004C5EDE"/>
    <w:rsid w:val="004C5F0A"/>
    <w:rsid w:val="004C5FAD"/>
    <w:rsid w:val="004C605E"/>
    <w:rsid w:val="004C6084"/>
    <w:rsid w:val="004C613B"/>
    <w:rsid w:val="004C615C"/>
    <w:rsid w:val="004C61CC"/>
    <w:rsid w:val="004C61FE"/>
    <w:rsid w:val="004C6225"/>
    <w:rsid w:val="004C6342"/>
    <w:rsid w:val="004C63CC"/>
    <w:rsid w:val="004C64CC"/>
    <w:rsid w:val="004C652E"/>
    <w:rsid w:val="004C658D"/>
    <w:rsid w:val="004C65B7"/>
    <w:rsid w:val="004C6637"/>
    <w:rsid w:val="004C6672"/>
    <w:rsid w:val="004C6739"/>
    <w:rsid w:val="004C679F"/>
    <w:rsid w:val="004C681F"/>
    <w:rsid w:val="004C6823"/>
    <w:rsid w:val="004C6871"/>
    <w:rsid w:val="004C6895"/>
    <w:rsid w:val="004C6990"/>
    <w:rsid w:val="004C69AD"/>
    <w:rsid w:val="004C69C5"/>
    <w:rsid w:val="004C6A25"/>
    <w:rsid w:val="004C6A5B"/>
    <w:rsid w:val="004C6A63"/>
    <w:rsid w:val="004C6A66"/>
    <w:rsid w:val="004C6A69"/>
    <w:rsid w:val="004C6ABE"/>
    <w:rsid w:val="004C6B0F"/>
    <w:rsid w:val="004C6B83"/>
    <w:rsid w:val="004C6B92"/>
    <w:rsid w:val="004C6BED"/>
    <w:rsid w:val="004C6C9D"/>
    <w:rsid w:val="004C6CBC"/>
    <w:rsid w:val="004C6CF6"/>
    <w:rsid w:val="004C6D0E"/>
    <w:rsid w:val="004C6D1B"/>
    <w:rsid w:val="004C6DFC"/>
    <w:rsid w:val="004C6E0B"/>
    <w:rsid w:val="004C6E68"/>
    <w:rsid w:val="004C6EC2"/>
    <w:rsid w:val="004C6EF7"/>
    <w:rsid w:val="004C6F3C"/>
    <w:rsid w:val="004C6F68"/>
    <w:rsid w:val="004C7035"/>
    <w:rsid w:val="004C7089"/>
    <w:rsid w:val="004C70E7"/>
    <w:rsid w:val="004C7104"/>
    <w:rsid w:val="004C7144"/>
    <w:rsid w:val="004C7154"/>
    <w:rsid w:val="004C7223"/>
    <w:rsid w:val="004C72A6"/>
    <w:rsid w:val="004C72C8"/>
    <w:rsid w:val="004C72E6"/>
    <w:rsid w:val="004C7370"/>
    <w:rsid w:val="004C7373"/>
    <w:rsid w:val="004C737B"/>
    <w:rsid w:val="004C73A0"/>
    <w:rsid w:val="004C73B5"/>
    <w:rsid w:val="004C73DC"/>
    <w:rsid w:val="004C73F2"/>
    <w:rsid w:val="004C7419"/>
    <w:rsid w:val="004C74E7"/>
    <w:rsid w:val="004C760C"/>
    <w:rsid w:val="004C7670"/>
    <w:rsid w:val="004C7704"/>
    <w:rsid w:val="004C7809"/>
    <w:rsid w:val="004C780A"/>
    <w:rsid w:val="004C781C"/>
    <w:rsid w:val="004C785E"/>
    <w:rsid w:val="004C785F"/>
    <w:rsid w:val="004C789E"/>
    <w:rsid w:val="004C78D9"/>
    <w:rsid w:val="004C7A00"/>
    <w:rsid w:val="004C7A94"/>
    <w:rsid w:val="004C7AA0"/>
    <w:rsid w:val="004C7AFF"/>
    <w:rsid w:val="004C7B0D"/>
    <w:rsid w:val="004C7B1F"/>
    <w:rsid w:val="004C7B72"/>
    <w:rsid w:val="004C7C29"/>
    <w:rsid w:val="004C7C7A"/>
    <w:rsid w:val="004C7CE8"/>
    <w:rsid w:val="004C7CE9"/>
    <w:rsid w:val="004C7D8B"/>
    <w:rsid w:val="004C7D8C"/>
    <w:rsid w:val="004C7E9F"/>
    <w:rsid w:val="004C7F17"/>
    <w:rsid w:val="004C7F2A"/>
    <w:rsid w:val="004C7F91"/>
    <w:rsid w:val="004D0022"/>
    <w:rsid w:val="004D003E"/>
    <w:rsid w:val="004D0174"/>
    <w:rsid w:val="004D01D8"/>
    <w:rsid w:val="004D027C"/>
    <w:rsid w:val="004D0283"/>
    <w:rsid w:val="004D0290"/>
    <w:rsid w:val="004D02F8"/>
    <w:rsid w:val="004D03F3"/>
    <w:rsid w:val="004D043D"/>
    <w:rsid w:val="004D0470"/>
    <w:rsid w:val="004D04D5"/>
    <w:rsid w:val="004D04E7"/>
    <w:rsid w:val="004D0551"/>
    <w:rsid w:val="004D0598"/>
    <w:rsid w:val="004D062B"/>
    <w:rsid w:val="004D0638"/>
    <w:rsid w:val="004D066B"/>
    <w:rsid w:val="004D07A5"/>
    <w:rsid w:val="004D07B2"/>
    <w:rsid w:val="004D082B"/>
    <w:rsid w:val="004D08F2"/>
    <w:rsid w:val="004D091E"/>
    <w:rsid w:val="004D0A23"/>
    <w:rsid w:val="004D0AEC"/>
    <w:rsid w:val="004D0B68"/>
    <w:rsid w:val="004D0BA1"/>
    <w:rsid w:val="004D0BED"/>
    <w:rsid w:val="004D0BFB"/>
    <w:rsid w:val="004D0CBA"/>
    <w:rsid w:val="004D0D5E"/>
    <w:rsid w:val="004D0F0A"/>
    <w:rsid w:val="004D0FBB"/>
    <w:rsid w:val="004D0FDD"/>
    <w:rsid w:val="004D1075"/>
    <w:rsid w:val="004D109F"/>
    <w:rsid w:val="004D112E"/>
    <w:rsid w:val="004D1139"/>
    <w:rsid w:val="004D11D5"/>
    <w:rsid w:val="004D123C"/>
    <w:rsid w:val="004D12B2"/>
    <w:rsid w:val="004D130B"/>
    <w:rsid w:val="004D1359"/>
    <w:rsid w:val="004D137C"/>
    <w:rsid w:val="004D138E"/>
    <w:rsid w:val="004D13A6"/>
    <w:rsid w:val="004D13B4"/>
    <w:rsid w:val="004D1469"/>
    <w:rsid w:val="004D1491"/>
    <w:rsid w:val="004D151B"/>
    <w:rsid w:val="004D153D"/>
    <w:rsid w:val="004D1583"/>
    <w:rsid w:val="004D1597"/>
    <w:rsid w:val="004D15C3"/>
    <w:rsid w:val="004D162C"/>
    <w:rsid w:val="004D1653"/>
    <w:rsid w:val="004D16D7"/>
    <w:rsid w:val="004D16F3"/>
    <w:rsid w:val="004D17E5"/>
    <w:rsid w:val="004D180C"/>
    <w:rsid w:val="004D1900"/>
    <w:rsid w:val="004D197C"/>
    <w:rsid w:val="004D1998"/>
    <w:rsid w:val="004D19A7"/>
    <w:rsid w:val="004D1A08"/>
    <w:rsid w:val="004D1A30"/>
    <w:rsid w:val="004D1B00"/>
    <w:rsid w:val="004D1B16"/>
    <w:rsid w:val="004D1C35"/>
    <w:rsid w:val="004D1C39"/>
    <w:rsid w:val="004D1C3D"/>
    <w:rsid w:val="004D1C4D"/>
    <w:rsid w:val="004D1C93"/>
    <w:rsid w:val="004D1C96"/>
    <w:rsid w:val="004D1CC2"/>
    <w:rsid w:val="004D1E9E"/>
    <w:rsid w:val="004D1EA1"/>
    <w:rsid w:val="004D1FE8"/>
    <w:rsid w:val="004D2047"/>
    <w:rsid w:val="004D20A9"/>
    <w:rsid w:val="004D20D8"/>
    <w:rsid w:val="004D2141"/>
    <w:rsid w:val="004D214C"/>
    <w:rsid w:val="004D2162"/>
    <w:rsid w:val="004D2188"/>
    <w:rsid w:val="004D218B"/>
    <w:rsid w:val="004D21AB"/>
    <w:rsid w:val="004D221C"/>
    <w:rsid w:val="004D2240"/>
    <w:rsid w:val="004D22B8"/>
    <w:rsid w:val="004D2307"/>
    <w:rsid w:val="004D23A8"/>
    <w:rsid w:val="004D24AE"/>
    <w:rsid w:val="004D24F8"/>
    <w:rsid w:val="004D250A"/>
    <w:rsid w:val="004D253C"/>
    <w:rsid w:val="004D258D"/>
    <w:rsid w:val="004D259F"/>
    <w:rsid w:val="004D25EC"/>
    <w:rsid w:val="004D2624"/>
    <w:rsid w:val="004D26CC"/>
    <w:rsid w:val="004D2702"/>
    <w:rsid w:val="004D2791"/>
    <w:rsid w:val="004D28B1"/>
    <w:rsid w:val="004D28F7"/>
    <w:rsid w:val="004D29C9"/>
    <w:rsid w:val="004D2A25"/>
    <w:rsid w:val="004D2AA3"/>
    <w:rsid w:val="004D2B97"/>
    <w:rsid w:val="004D2DD5"/>
    <w:rsid w:val="004D2E3F"/>
    <w:rsid w:val="004D2E60"/>
    <w:rsid w:val="004D2E80"/>
    <w:rsid w:val="004D2EF3"/>
    <w:rsid w:val="004D2F7D"/>
    <w:rsid w:val="004D3009"/>
    <w:rsid w:val="004D306D"/>
    <w:rsid w:val="004D30A2"/>
    <w:rsid w:val="004D30AE"/>
    <w:rsid w:val="004D30FC"/>
    <w:rsid w:val="004D3114"/>
    <w:rsid w:val="004D3159"/>
    <w:rsid w:val="004D317B"/>
    <w:rsid w:val="004D31A5"/>
    <w:rsid w:val="004D3280"/>
    <w:rsid w:val="004D3342"/>
    <w:rsid w:val="004D341F"/>
    <w:rsid w:val="004D34F4"/>
    <w:rsid w:val="004D359E"/>
    <w:rsid w:val="004D35E2"/>
    <w:rsid w:val="004D35E4"/>
    <w:rsid w:val="004D36B3"/>
    <w:rsid w:val="004D370C"/>
    <w:rsid w:val="004D3724"/>
    <w:rsid w:val="004D378F"/>
    <w:rsid w:val="004D379E"/>
    <w:rsid w:val="004D383A"/>
    <w:rsid w:val="004D3895"/>
    <w:rsid w:val="004D38C3"/>
    <w:rsid w:val="004D38DB"/>
    <w:rsid w:val="004D3987"/>
    <w:rsid w:val="004D399B"/>
    <w:rsid w:val="004D39C5"/>
    <w:rsid w:val="004D39DB"/>
    <w:rsid w:val="004D3A15"/>
    <w:rsid w:val="004D3AA0"/>
    <w:rsid w:val="004D3AB8"/>
    <w:rsid w:val="004D3ACB"/>
    <w:rsid w:val="004D3B0A"/>
    <w:rsid w:val="004D3B18"/>
    <w:rsid w:val="004D3B1A"/>
    <w:rsid w:val="004D3B6F"/>
    <w:rsid w:val="004D3BBF"/>
    <w:rsid w:val="004D3CC9"/>
    <w:rsid w:val="004D3D0F"/>
    <w:rsid w:val="004D3D18"/>
    <w:rsid w:val="004D3E2A"/>
    <w:rsid w:val="004D3E42"/>
    <w:rsid w:val="004D3E9C"/>
    <w:rsid w:val="004D3F0C"/>
    <w:rsid w:val="004D3F21"/>
    <w:rsid w:val="004D3F5D"/>
    <w:rsid w:val="004D3F64"/>
    <w:rsid w:val="004D4007"/>
    <w:rsid w:val="004D4054"/>
    <w:rsid w:val="004D4096"/>
    <w:rsid w:val="004D40CC"/>
    <w:rsid w:val="004D41AA"/>
    <w:rsid w:val="004D4276"/>
    <w:rsid w:val="004D4359"/>
    <w:rsid w:val="004D436C"/>
    <w:rsid w:val="004D439F"/>
    <w:rsid w:val="004D43DA"/>
    <w:rsid w:val="004D442D"/>
    <w:rsid w:val="004D4495"/>
    <w:rsid w:val="004D4496"/>
    <w:rsid w:val="004D449C"/>
    <w:rsid w:val="004D44F9"/>
    <w:rsid w:val="004D451A"/>
    <w:rsid w:val="004D452A"/>
    <w:rsid w:val="004D45A1"/>
    <w:rsid w:val="004D45C3"/>
    <w:rsid w:val="004D46BE"/>
    <w:rsid w:val="004D46DD"/>
    <w:rsid w:val="004D4716"/>
    <w:rsid w:val="004D4720"/>
    <w:rsid w:val="004D4733"/>
    <w:rsid w:val="004D482B"/>
    <w:rsid w:val="004D4843"/>
    <w:rsid w:val="004D48A4"/>
    <w:rsid w:val="004D48F9"/>
    <w:rsid w:val="004D4931"/>
    <w:rsid w:val="004D4A46"/>
    <w:rsid w:val="004D4AAF"/>
    <w:rsid w:val="004D4AEA"/>
    <w:rsid w:val="004D4AFF"/>
    <w:rsid w:val="004D4B68"/>
    <w:rsid w:val="004D4BB4"/>
    <w:rsid w:val="004D4BCC"/>
    <w:rsid w:val="004D4BF4"/>
    <w:rsid w:val="004D4CBC"/>
    <w:rsid w:val="004D4CCD"/>
    <w:rsid w:val="004D4CDD"/>
    <w:rsid w:val="004D4CF6"/>
    <w:rsid w:val="004D4D8E"/>
    <w:rsid w:val="004D4E52"/>
    <w:rsid w:val="004D4E89"/>
    <w:rsid w:val="004D4EEF"/>
    <w:rsid w:val="004D4F2A"/>
    <w:rsid w:val="004D4F87"/>
    <w:rsid w:val="004D4FAE"/>
    <w:rsid w:val="004D5090"/>
    <w:rsid w:val="004D514A"/>
    <w:rsid w:val="004D51EB"/>
    <w:rsid w:val="004D520E"/>
    <w:rsid w:val="004D5220"/>
    <w:rsid w:val="004D5253"/>
    <w:rsid w:val="004D52CE"/>
    <w:rsid w:val="004D5309"/>
    <w:rsid w:val="004D5310"/>
    <w:rsid w:val="004D5390"/>
    <w:rsid w:val="004D53C6"/>
    <w:rsid w:val="004D53E2"/>
    <w:rsid w:val="004D53EE"/>
    <w:rsid w:val="004D55A2"/>
    <w:rsid w:val="004D5676"/>
    <w:rsid w:val="004D57BC"/>
    <w:rsid w:val="004D57ED"/>
    <w:rsid w:val="004D5825"/>
    <w:rsid w:val="004D5862"/>
    <w:rsid w:val="004D5894"/>
    <w:rsid w:val="004D5930"/>
    <w:rsid w:val="004D5935"/>
    <w:rsid w:val="004D5937"/>
    <w:rsid w:val="004D5959"/>
    <w:rsid w:val="004D596F"/>
    <w:rsid w:val="004D59C9"/>
    <w:rsid w:val="004D5AC9"/>
    <w:rsid w:val="004D5ADD"/>
    <w:rsid w:val="004D5AE1"/>
    <w:rsid w:val="004D5B68"/>
    <w:rsid w:val="004D5BC6"/>
    <w:rsid w:val="004D5C25"/>
    <w:rsid w:val="004D5C31"/>
    <w:rsid w:val="004D5C4D"/>
    <w:rsid w:val="004D5C7E"/>
    <w:rsid w:val="004D5C87"/>
    <w:rsid w:val="004D5CAF"/>
    <w:rsid w:val="004D5D71"/>
    <w:rsid w:val="004D5D96"/>
    <w:rsid w:val="004D5DEE"/>
    <w:rsid w:val="004D5E2D"/>
    <w:rsid w:val="004D5F60"/>
    <w:rsid w:val="004D5F6B"/>
    <w:rsid w:val="004D5FB9"/>
    <w:rsid w:val="004D609B"/>
    <w:rsid w:val="004D609D"/>
    <w:rsid w:val="004D60ED"/>
    <w:rsid w:val="004D6263"/>
    <w:rsid w:val="004D62BC"/>
    <w:rsid w:val="004D63EC"/>
    <w:rsid w:val="004D6431"/>
    <w:rsid w:val="004D65AD"/>
    <w:rsid w:val="004D664B"/>
    <w:rsid w:val="004D66AD"/>
    <w:rsid w:val="004D66E3"/>
    <w:rsid w:val="004D66FF"/>
    <w:rsid w:val="004D6747"/>
    <w:rsid w:val="004D6855"/>
    <w:rsid w:val="004D68EC"/>
    <w:rsid w:val="004D6A5D"/>
    <w:rsid w:val="004D6A5F"/>
    <w:rsid w:val="004D6AB6"/>
    <w:rsid w:val="004D6AD5"/>
    <w:rsid w:val="004D6B08"/>
    <w:rsid w:val="004D6B18"/>
    <w:rsid w:val="004D6B59"/>
    <w:rsid w:val="004D6B6D"/>
    <w:rsid w:val="004D6B8D"/>
    <w:rsid w:val="004D6BD0"/>
    <w:rsid w:val="004D6CD1"/>
    <w:rsid w:val="004D6CE8"/>
    <w:rsid w:val="004D6D75"/>
    <w:rsid w:val="004D6ECE"/>
    <w:rsid w:val="004D7000"/>
    <w:rsid w:val="004D704C"/>
    <w:rsid w:val="004D712E"/>
    <w:rsid w:val="004D7166"/>
    <w:rsid w:val="004D71AB"/>
    <w:rsid w:val="004D71EC"/>
    <w:rsid w:val="004D7221"/>
    <w:rsid w:val="004D7245"/>
    <w:rsid w:val="004D726F"/>
    <w:rsid w:val="004D7280"/>
    <w:rsid w:val="004D7290"/>
    <w:rsid w:val="004D731E"/>
    <w:rsid w:val="004D73B9"/>
    <w:rsid w:val="004D73F3"/>
    <w:rsid w:val="004D744C"/>
    <w:rsid w:val="004D7481"/>
    <w:rsid w:val="004D7495"/>
    <w:rsid w:val="004D7522"/>
    <w:rsid w:val="004D7617"/>
    <w:rsid w:val="004D762E"/>
    <w:rsid w:val="004D768E"/>
    <w:rsid w:val="004D76CB"/>
    <w:rsid w:val="004D771A"/>
    <w:rsid w:val="004D7722"/>
    <w:rsid w:val="004D775A"/>
    <w:rsid w:val="004D7856"/>
    <w:rsid w:val="004D786F"/>
    <w:rsid w:val="004D7875"/>
    <w:rsid w:val="004D78E8"/>
    <w:rsid w:val="004D7949"/>
    <w:rsid w:val="004D79D4"/>
    <w:rsid w:val="004D79FB"/>
    <w:rsid w:val="004D7B25"/>
    <w:rsid w:val="004D7B30"/>
    <w:rsid w:val="004D7C8A"/>
    <w:rsid w:val="004D7D6D"/>
    <w:rsid w:val="004D7DC4"/>
    <w:rsid w:val="004D7DE7"/>
    <w:rsid w:val="004D7E15"/>
    <w:rsid w:val="004D7E9D"/>
    <w:rsid w:val="004D7ED0"/>
    <w:rsid w:val="004D7F35"/>
    <w:rsid w:val="004D7F8D"/>
    <w:rsid w:val="004E0014"/>
    <w:rsid w:val="004E0090"/>
    <w:rsid w:val="004E00BB"/>
    <w:rsid w:val="004E0124"/>
    <w:rsid w:val="004E0282"/>
    <w:rsid w:val="004E028B"/>
    <w:rsid w:val="004E03AD"/>
    <w:rsid w:val="004E03BC"/>
    <w:rsid w:val="004E03CC"/>
    <w:rsid w:val="004E04F0"/>
    <w:rsid w:val="004E0556"/>
    <w:rsid w:val="004E05A4"/>
    <w:rsid w:val="004E05BA"/>
    <w:rsid w:val="004E05D5"/>
    <w:rsid w:val="004E05F0"/>
    <w:rsid w:val="004E060A"/>
    <w:rsid w:val="004E063B"/>
    <w:rsid w:val="004E0659"/>
    <w:rsid w:val="004E06CF"/>
    <w:rsid w:val="004E0738"/>
    <w:rsid w:val="004E0741"/>
    <w:rsid w:val="004E07DE"/>
    <w:rsid w:val="004E080D"/>
    <w:rsid w:val="004E0908"/>
    <w:rsid w:val="004E0929"/>
    <w:rsid w:val="004E09D1"/>
    <w:rsid w:val="004E09DA"/>
    <w:rsid w:val="004E09E2"/>
    <w:rsid w:val="004E0A56"/>
    <w:rsid w:val="004E0A77"/>
    <w:rsid w:val="004E0A9F"/>
    <w:rsid w:val="004E0B3C"/>
    <w:rsid w:val="004E0B78"/>
    <w:rsid w:val="004E0BDF"/>
    <w:rsid w:val="004E0C4D"/>
    <w:rsid w:val="004E0CB7"/>
    <w:rsid w:val="004E0D03"/>
    <w:rsid w:val="004E0D0D"/>
    <w:rsid w:val="004E0D2E"/>
    <w:rsid w:val="004E0D76"/>
    <w:rsid w:val="004E0DAB"/>
    <w:rsid w:val="004E0EB7"/>
    <w:rsid w:val="004E0EC2"/>
    <w:rsid w:val="004E0EC6"/>
    <w:rsid w:val="004E0EE5"/>
    <w:rsid w:val="004E0F07"/>
    <w:rsid w:val="004E0F2F"/>
    <w:rsid w:val="004E10CD"/>
    <w:rsid w:val="004E11A7"/>
    <w:rsid w:val="004E1279"/>
    <w:rsid w:val="004E1281"/>
    <w:rsid w:val="004E1287"/>
    <w:rsid w:val="004E1347"/>
    <w:rsid w:val="004E1354"/>
    <w:rsid w:val="004E13B3"/>
    <w:rsid w:val="004E143A"/>
    <w:rsid w:val="004E147C"/>
    <w:rsid w:val="004E14D7"/>
    <w:rsid w:val="004E1519"/>
    <w:rsid w:val="004E15D3"/>
    <w:rsid w:val="004E15F5"/>
    <w:rsid w:val="004E1615"/>
    <w:rsid w:val="004E1627"/>
    <w:rsid w:val="004E16D6"/>
    <w:rsid w:val="004E172C"/>
    <w:rsid w:val="004E1801"/>
    <w:rsid w:val="004E18A5"/>
    <w:rsid w:val="004E18D5"/>
    <w:rsid w:val="004E18E7"/>
    <w:rsid w:val="004E1974"/>
    <w:rsid w:val="004E197A"/>
    <w:rsid w:val="004E198A"/>
    <w:rsid w:val="004E19CC"/>
    <w:rsid w:val="004E1A17"/>
    <w:rsid w:val="004E1A60"/>
    <w:rsid w:val="004E1ACC"/>
    <w:rsid w:val="004E1B0B"/>
    <w:rsid w:val="004E1B61"/>
    <w:rsid w:val="004E1BD9"/>
    <w:rsid w:val="004E1BFA"/>
    <w:rsid w:val="004E1C6F"/>
    <w:rsid w:val="004E1D26"/>
    <w:rsid w:val="004E1D32"/>
    <w:rsid w:val="004E1DCA"/>
    <w:rsid w:val="004E1E13"/>
    <w:rsid w:val="004E1E7E"/>
    <w:rsid w:val="004E1ECF"/>
    <w:rsid w:val="004E1EF1"/>
    <w:rsid w:val="004E1EF6"/>
    <w:rsid w:val="004E1EFD"/>
    <w:rsid w:val="004E1FB9"/>
    <w:rsid w:val="004E2023"/>
    <w:rsid w:val="004E215B"/>
    <w:rsid w:val="004E2223"/>
    <w:rsid w:val="004E22E6"/>
    <w:rsid w:val="004E2341"/>
    <w:rsid w:val="004E23C5"/>
    <w:rsid w:val="004E23EF"/>
    <w:rsid w:val="004E246E"/>
    <w:rsid w:val="004E252D"/>
    <w:rsid w:val="004E25CA"/>
    <w:rsid w:val="004E25E1"/>
    <w:rsid w:val="004E2684"/>
    <w:rsid w:val="004E2714"/>
    <w:rsid w:val="004E27A7"/>
    <w:rsid w:val="004E28A7"/>
    <w:rsid w:val="004E28B6"/>
    <w:rsid w:val="004E2A69"/>
    <w:rsid w:val="004E2AC1"/>
    <w:rsid w:val="004E2AC7"/>
    <w:rsid w:val="004E2AD2"/>
    <w:rsid w:val="004E2AF8"/>
    <w:rsid w:val="004E2B1F"/>
    <w:rsid w:val="004E2B4B"/>
    <w:rsid w:val="004E2BAD"/>
    <w:rsid w:val="004E2BB0"/>
    <w:rsid w:val="004E2BCF"/>
    <w:rsid w:val="004E2C93"/>
    <w:rsid w:val="004E2CA3"/>
    <w:rsid w:val="004E2CD2"/>
    <w:rsid w:val="004E2D31"/>
    <w:rsid w:val="004E2D4B"/>
    <w:rsid w:val="004E2D62"/>
    <w:rsid w:val="004E2D85"/>
    <w:rsid w:val="004E2E4B"/>
    <w:rsid w:val="004E2EDB"/>
    <w:rsid w:val="004E3043"/>
    <w:rsid w:val="004E304E"/>
    <w:rsid w:val="004E3142"/>
    <w:rsid w:val="004E3265"/>
    <w:rsid w:val="004E32B5"/>
    <w:rsid w:val="004E32DF"/>
    <w:rsid w:val="004E32F9"/>
    <w:rsid w:val="004E3360"/>
    <w:rsid w:val="004E33C8"/>
    <w:rsid w:val="004E33F0"/>
    <w:rsid w:val="004E34BE"/>
    <w:rsid w:val="004E34C1"/>
    <w:rsid w:val="004E3503"/>
    <w:rsid w:val="004E359F"/>
    <w:rsid w:val="004E35BB"/>
    <w:rsid w:val="004E35EE"/>
    <w:rsid w:val="004E36FA"/>
    <w:rsid w:val="004E37D2"/>
    <w:rsid w:val="004E3919"/>
    <w:rsid w:val="004E3A5B"/>
    <w:rsid w:val="004E3A89"/>
    <w:rsid w:val="004E3B5D"/>
    <w:rsid w:val="004E3BB7"/>
    <w:rsid w:val="004E3BF9"/>
    <w:rsid w:val="004E3C25"/>
    <w:rsid w:val="004E3D27"/>
    <w:rsid w:val="004E3D93"/>
    <w:rsid w:val="004E3DC2"/>
    <w:rsid w:val="004E3DDA"/>
    <w:rsid w:val="004E3E05"/>
    <w:rsid w:val="004E3E9B"/>
    <w:rsid w:val="004E3EC5"/>
    <w:rsid w:val="004E3F2D"/>
    <w:rsid w:val="004E3F61"/>
    <w:rsid w:val="004E40F7"/>
    <w:rsid w:val="004E40FF"/>
    <w:rsid w:val="004E4216"/>
    <w:rsid w:val="004E42FB"/>
    <w:rsid w:val="004E4344"/>
    <w:rsid w:val="004E4390"/>
    <w:rsid w:val="004E4393"/>
    <w:rsid w:val="004E4432"/>
    <w:rsid w:val="004E443C"/>
    <w:rsid w:val="004E4487"/>
    <w:rsid w:val="004E4497"/>
    <w:rsid w:val="004E4552"/>
    <w:rsid w:val="004E4580"/>
    <w:rsid w:val="004E4594"/>
    <w:rsid w:val="004E4656"/>
    <w:rsid w:val="004E465E"/>
    <w:rsid w:val="004E4695"/>
    <w:rsid w:val="004E473D"/>
    <w:rsid w:val="004E478C"/>
    <w:rsid w:val="004E487E"/>
    <w:rsid w:val="004E4A42"/>
    <w:rsid w:val="004E4AAF"/>
    <w:rsid w:val="004E4B1B"/>
    <w:rsid w:val="004E4B2B"/>
    <w:rsid w:val="004E4B50"/>
    <w:rsid w:val="004E4B72"/>
    <w:rsid w:val="004E4BA0"/>
    <w:rsid w:val="004E4BC5"/>
    <w:rsid w:val="004E4C6B"/>
    <w:rsid w:val="004E4D30"/>
    <w:rsid w:val="004E4E03"/>
    <w:rsid w:val="004E4E41"/>
    <w:rsid w:val="004E4E6C"/>
    <w:rsid w:val="004E4FB3"/>
    <w:rsid w:val="004E4FBE"/>
    <w:rsid w:val="004E5002"/>
    <w:rsid w:val="004E5019"/>
    <w:rsid w:val="004E5098"/>
    <w:rsid w:val="004E511C"/>
    <w:rsid w:val="004E513A"/>
    <w:rsid w:val="004E52AE"/>
    <w:rsid w:val="004E52D3"/>
    <w:rsid w:val="004E5320"/>
    <w:rsid w:val="004E5329"/>
    <w:rsid w:val="004E53EF"/>
    <w:rsid w:val="004E543E"/>
    <w:rsid w:val="004E5450"/>
    <w:rsid w:val="004E5452"/>
    <w:rsid w:val="004E54A4"/>
    <w:rsid w:val="004E54F7"/>
    <w:rsid w:val="004E5507"/>
    <w:rsid w:val="004E5553"/>
    <w:rsid w:val="004E5630"/>
    <w:rsid w:val="004E570A"/>
    <w:rsid w:val="004E5710"/>
    <w:rsid w:val="004E5748"/>
    <w:rsid w:val="004E5753"/>
    <w:rsid w:val="004E5774"/>
    <w:rsid w:val="004E585C"/>
    <w:rsid w:val="004E5873"/>
    <w:rsid w:val="004E5880"/>
    <w:rsid w:val="004E5994"/>
    <w:rsid w:val="004E599D"/>
    <w:rsid w:val="004E59D7"/>
    <w:rsid w:val="004E5A4E"/>
    <w:rsid w:val="004E5AC3"/>
    <w:rsid w:val="004E5B53"/>
    <w:rsid w:val="004E5C1B"/>
    <w:rsid w:val="004E5CA7"/>
    <w:rsid w:val="004E5CCA"/>
    <w:rsid w:val="004E5D36"/>
    <w:rsid w:val="004E5D99"/>
    <w:rsid w:val="004E5D9C"/>
    <w:rsid w:val="004E5E92"/>
    <w:rsid w:val="004E5E93"/>
    <w:rsid w:val="004E5F2F"/>
    <w:rsid w:val="004E5FE1"/>
    <w:rsid w:val="004E619C"/>
    <w:rsid w:val="004E61CF"/>
    <w:rsid w:val="004E6231"/>
    <w:rsid w:val="004E62C4"/>
    <w:rsid w:val="004E62EF"/>
    <w:rsid w:val="004E6320"/>
    <w:rsid w:val="004E6324"/>
    <w:rsid w:val="004E6329"/>
    <w:rsid w:val="004E63DC"/>
    <w:rsid w:val="004E64CF"/>
    <w:rsid w:val="004E6524"/>
    <w:rsid w:val="004E654F"/>
    <w:rsid w:val="004E65B9"/>
    <w:rsid w:val="004E65EA"/>
    <w:rsid w:val="004E6643"/>
    <w:rsid w:val="004E6650"/>
    <w:rsid w:val="004E668A"/>
    <w:rsid w:val="004E66F7"/>
    <w:rsid w:val="004E67B5"/>
    <w:rsid w:val="004E67D2"/>
    <w:rsid w:val="004E67ED"/>
    <w:rsid w:val="004E68DA"/>
    <w:rsid w:val="004E6980"/>
    <w:rsid w:val="004E6A44"/>
    <w:rsid w:val="004E6AEB"/>
    <w:rsid w:val="004E6B65"/>
    <w:rsid w:val="004E6B7E"/>
    <w:rsid w:val="004E6BAC"/>
    <w:rsid w:val="004E6CEC"/>
    <w:rsid w:val="004E6D50"/>
    <w:rsid w:val="004E6D84"/>
    <w:rsid w:val="004E6DA6"/>
    <w:rsid w:val="004E6EAF"/>
    <w:rsid w:val="004E6F56"/>
    <w:rsid w:val="004E7016"/>
    <w:rsid w:val="004E7058"/>
    <w:rsid w:val="004E705C"/>
    <w:rsid w:val="004E71EE"/>
    <w:rsid w:val="004E7207"/>
    <w:rsid w:val="004E7213"/>
    <w:rsid w:val="004E7237"/>
    <w:rsid w:val="004E7361"/>
    <w:rsid w:val="004E744F"/>
    <w:rsid w:val="004E7451"/>
    <w:rsid w:val="004E74CB"/>
    <w:rsid w:val="004E74CC"/>
    <w:rsid w:val="004E74DA"/>
    <w:rsid w:val="004E765D"/>
    <w:rsid w:val="004E7691"/>
    <w:rsid w:val="004E76E3"/>
    <w:rsid w:val="004E7811"/>
    <w:rsid w:val="004E78D6"/>
    <w:rsid w:val="004E78F6"/>
    <w:rsid w:val="004E790B"/>
    <w:rsid w:val="004E7955"/>
    <w:rsid w:val="004E79E2"/>
    <w:rsid w:val="004E7AF0"/>
    <w:rsid w:val="004E7B7B"/>
    <w:rsid w:val="004E7C35"/>
    <w:rsid w:val="004E7C65"/>
    <w:rsid w:val="004E7C9F"/>
    <w:rsid w:val="004E7CA0"/>
    <w:rsid w:val="004E7CBD"/>
    <w:rsid w:val="004E7D64"/>
    <w:rsid w:val="004E7E65"/>
    <w:rsid w:val="004E7ECA"/>
    <w:rsid w:val="004E7F71"/>
    <w:rsid w:val="004E7FC4"/>
    <w:rsid w:val="004F0007"/>
    <w:rsid w:val="004F0117"/>
    <w:rsid w:val="004F0151"/>
    <w:rsid w:val="004F01BF"/>
    <w:rsid w:val="004F01F8"/>
    <w:rsid w:val="004F01FD"/>
    <w:rsid w:val="004F021D"/>
    <w:rsid w:val="004F027F"/>
    <w:rsid w:val="004F029A"/>
    <w:rsid w:val="004F0300"/>
    <w:rsid w:val="004F0387"/>
    <w:rsid w:val="004F0435"/>
    <w:rsid w:val="004F04D9"/>
    <w:rsid w:val="004F05AC"/>
    <w:rsid w:val="004F05BB"/>
    <w:rsid w:val="004F06E5"/>
    <w:rsid w:val="004F0709"/>
    <w:rsid w:val="004F0795"/>
    <w:rsid w:val="004F080B"/>
    <w:rsid w:val="004F086E"/>
    <w:rsid w:val="004F08ED"/>
    <w:rsid w:val="004F0A10"/>
    <w:rsid w:val="004F0B75"/>
    <w:rsid w:val="004F0BF3"/>
    <w:rsid w:val="004F0C2B"/>
    <w:rsid w:val="004F0CA5"/>
    <w:rsid w:val="004F0D67"/>
    <w:rsid w:val="004F0D86"/>
    <w:rsid w:val="004F0DBE"/>
    <w:rsid w:val="004F0E2A"/>
    <w:rsid w:val="004F0EC8"/>
    <w:rsid w:val="004F0EFB"/>
    <w:rsid w:val="004F0FD6"/>
    <w:rsid w:val="004F0FF9"/>
    <w:rsid w:val="004F0FFE"/>
    <w:rsid w:val="004F1092"/>
    <w:rsid w:val="004F10C3"/>
    <w:rsid w:val="004F11AE"/>
    <w:rsid w:val="004F1218"/>
    <w:rsid w:val="004F1244"/>
    <w:rsid w:val="004F12DD"/>
    <w:rsid w:val="004F135D"/>
    <w:rsid w:val="004F1360"/>
    <w:rsid w:val="004F13B3"/>
    <w:rsid w:val="004F1434"/>
    <w:rsid w:val="004F143D"/>
    <w:rsid w:val="004F1540"/>
    <w:rsid w:val="004F156D"/>
    <w:rsid w:val="004F16FC"/>
    <w:rsid w:val="004F1703"/>
    <w:rsid w:val="004F17E0"/>
    <w:rsid w:val="004F193C"/>
    <w:rsid w:val="004F1945"/>
    <w:rsid w:val="004F1A37"/>
    <w:rsid w:val="004F1B23"/>
    <w:rsid w:val="004F1B30"/>
    <w:rsid w:val="004F1BE0"/>
    <w:rsid w:val="004F1C37"/>
    <w:rsid w:val="004F1C4A"/>
    <w:rsid w:val="004F1C88"/>
    <w:rsid w:val="004F1CA3"/>
    <w:rsid w:val="004F1CF2"/>
    <w:rsid w:val="004F1DA9"/>
    <w:rsid w:val="004F1DF1"/>
    <w:rsid w:val="004F1EEA"/>
    <w:rsid w:val="004F1F33"/>
    <w:rsid w:val="004F1F5D"/>
    <w:rsid w:val="004F1F6A"/>
    <w:rsid w:val="004F200F"/>
    <w:rsid w:val="004F2017"/>
    <w:rsid w:val="004F2025"/>
    <w:rsid w:val="004F2026"/>
    <w:rsid w:val="004F2042"/>
    <w:rsid w:val="004F2049"/>
    <w:rsid w:val="004F205E"/>
    <w:rsid w:val="004F2095"/>
    <w:rsid w:val="004F213D"/>
    <w:rsid w:val="004F2281"/>
    <w:rsid w:val="004F229B"/>
    <w:rsid w:val="004F22AE"/>
    <w:rsid w:val="004F22C1"/>
    <w:rsid w:val="004F23F9"/>
    <w:rsid w:val="004F2529"/>
    <w:rsid w:val="004F252F"/>
    <w:rsid w:val="004F256D"/>
    <w:rsid w:val="004F25A0"/>
    <w:rsid w:val="004F25E8"/>
    <w:rsid w:val="004F2637"/>
    <w:rsid w:val="004F263B"/>
    <w:rsid w:val="004F2739"/>
    <w:rsid w:val="004F276A"/>
    <w:rsid w:val="004F27A0"/>
    <w:rsid w:val="004F28BF"/>
    <w:rsid w:val="004F28CC"/>
    <w:rsid w:val="004F29B2"/>
    <w:rsid w:val="004F2AA4"/>
    <w:rsid w:val="004F2AD9"/>
    <w:rsid w:val="004F2AED"/>
    <w:rsid w:val="004F2BB9"/>
    <w:rsid w:val="004F2BF8"/>
    <w:rsid w:val="004F2C66"/>
    <w:rsid w:val="004F2DC6"/>
    <w:rsid w:val="004F2EBF"/>
    <w:rsid w:val="004F2F26"/>
    <w:rsid w:val="004F2F31"/>
    <w:rsid w:val="004F2F39"/>
    <w:rsid w:val="004F2F3A"/>
    <w:rsid w:val="004F2F5D"/>
    <w:rsid w:val="004F2F9D"/>
    <w:rsid w:val="004F301A"/>
    <w:rsid w:val="004F30B4"/>
    <w:rsid w:val="004F30BE"/>
    <w:rsid w:val="004F3116"/>
    <w:rsid w:val="004F3118"/>
    <w:rsid w:val="004F314C"/>
    <w:rsid w:val="004F3156"/>
    <w:rsid w:val="004F315B"/>
    <w:rsid w:val="004F319C"/>
    <w:rsid w:val="004F3283"/>
    <w:rsid w:val="004F3292"/>
    <w:rsid w:val="004F3299"/>
    <w:rsid w:val="004F34BB"/>
    <w:rsid w:val="004F34DB"/>
    <w:rsid w:val="004F34FA"/>
    <w:rsid w:val="004F354E"/>
    <w:rsid w:val="004F3558"/>
    <w:rsid w:val="004F35B1"/>
    <w:rsid w:val="004F35C3"/>
    <w:rsid w:val="004F3694"/>
    <w:rsid w:val="004F3823"/>
    <w:rsid w:val="004F3844"/>
    <w:rsid w:val="004F3911"/>
    <w:rsid w:val="004F395A"/>
    <w:rsid w:val="004F3A73"/>
    <w:rsid w:val="004F3AA5"/>
    <w:rsid w:val="004F3AD9"/>
    <w:rsid w:val="004F3B2C"/>
    <w:rsid w:val="004F3B2E"/>
    <w:rsid w:val="004F3B95"/>
    <w:rsid w:val="004F3C37"/>
    <w:rsid w:val="004F3C66"/>
    <w:rsid w:val="004F3CCA"/>
    <w:rsid w:val="004F3D29"/>
    <w:rsid w:val="004F3D8E"/>
    <w:rsid w:val="004F3DA8"/>
    <w:rsid w:val="004F3DC8"/>
    <w:rsid w:val="004F3DCC"/>
    <w:rsid w:val="004F3DF9"/>
    <w:rsid w:val="004F3E53"/>
    <w:rsid w:val="004F4147"/>
    <w:rsid w:val="004F420A"/>
    <w:rsid w:val="004F4287"/>
    <w:rsid w:val="004F4304"/>
    <w:rsid w:val="004F43AB"/>
    <w:rsid w:val="004F4403"/>
    <w:rsid w:val="004F44EF"/>
    <w:rsid w:val="004F4529"/>
    <w:rsid w:val="004F46C4"/>
    <w:rsid w:val="004F46D4"/>
    <w:rsid w:val="004F4755"/>
    <w:rsid w:val="004F475F"/>
    <w:rsid w:val="004F4797"/>
    <w:rsid w:val="004F47CA"/>
    <w:rsid w:val="004F4812"/>
    <w:rsid w:val="004F4821"/>
    <w:rsid w:val="004F4847"/>
    <w:rsid w:val="004F486E"/>
    <w:rsid w:val="004F48F4"/>
    <w:rsid w:val="004F4906"/>
    <w:rsid w:val="004F49CF"/>
    <w:rsid w:val="004F4B82"/>
    <w:rsid w:val="004F4C63"/>
    <w:rsid w:val="004F4D2A"/>
    <w:rsid w:val="004F4D38"/>
    <w:rsid w:val="004F4D55"/>
    <w:rsid w:val="004F4DD5"/>
    <w:rsid w:val="004F4E07"/>
    <w:rsid w:val="004F4E3D"/>
    <w:rsid w:val="004F4E65"/>
    <w:rsid w:val="004F4E94"/>
    <w:rsid w:val="004F4EEE"/>
    <w:rsid w:val="004F4F56"/>
    <w:rsid w:val="004F4FC9"/>
    <w:rsid w:val="004F4FDC"/>
    <w:rsid w:val="004F4FF0"/>
    <w:rsid w:val="004F5063"/>
    <w:rsid w:val="004F5066"/>
    <w:rsid w:val="004F50D3"/>
    <w:rsid w:val="004F515E"/>
    <w:rsid w:val="004F5161"/>
    <w:rsid w:val="004F51BA"/>
    <w:rsid w:val="004F51FF"/>
    <w:rsid w:val="004F5244"/>
    <w:rsid w:val="004F5298"/>
    <w:rsid w:val="004F52EE"/>
    <w:rsid w:val="004F53C1"/>
    <w:rsid w:val="004F5403"/>
    <w:rsid w:val="004F542B"/>
    <w:rsid w:val="004F54EE"/>
    <w:rsid w:val="004F5505"/>
    <w:rsid w:val="004F5537"/>
    <w:rsid w:val="004F55D2"/>
    <w:rsid w:val="004F55F1"/>
    <w:rsid w:val="004F560A"/>
    <w:rsid w:val="004F5631"/>
    <w:rsid w:val="004F5664"/>
    <w:rsid w:val="004F569D"/>
    <w:rsid w:val="004F5702"/>
    <w:rsid w:val="004F5748"/>
    <w:rsid w:val="004F5759"/>
    <w:rsid w:val="004F578C"/>
    <w:rsid w:val="004F5839"/>
    <w:rsid w:val="004F5847"/>
    <w:rsid w:val="004F58EC"/>
    <w:rsid w:val="004F5B57"/>
    <w:rsid w:val="004F5B64"/>
    <w:rsid w:val="004F5B69"/>
    <w:rsid w:val="004F5BAD"/>
    <w:rsid w:val="004F5C9A"/>
    <w:rsid w:val="004F5CAF"/>
    <w:rsid w:val="004F5CB2"/>
    <w:rsid w:val="004F5CEB"/>
    <w:rsid w:val="004F5E23"/>
    <w:rsid w:val="004F5E28"/>
    <w:rsid w:val="004F5E84"/>
    <w:rsid w:val="004F5EC8"/>
    <w:rsid w:val="004F5EDB"/>
    <w:rsid w:val="004F5EDF"/>
    <w:rsid w:val="004F6104"/>
    <w:rsid w:val="004F6137"/>
    <w:rsid w:val="004F613B"/>
    <w:rsid w:val="004F61A2"/>
    <w:rsid w:val="004F61A9"/>
    <w:rsid w:val="004F61C3"/>
    <w:rsid w:val="004F624B"/>
    <w:rsid w:val="004F6276"/>
    <w:rsid w:val="004F628C"/>
    <w:rsid w:val="004F6305"/>
    <w:rsid w:val="004F6317"/>
    <w:rsid w:val="004F63BF"/>
    <w:rsid w:val="004F65DC"/>
    <w:rsid w:val="004F65FB"/>
    <w:rsid w:val="004F660C"/>
    <w:rsid w:val="004F6640"/>
    <w:rsid w:val="004F6690"/>
    <w:rsid w:val="004F66B6"/>
    <w:rsid w:val="004F66E8"/>
    <w:rsid w:val="004F6727"/>
    <w:rsid w:val="004F6756"/>
    <w:rsid w:val="004F67B4"/>
    <w:rsid w:val="004F693D"/>
    <w:rsid w:val="004F69AF"/>
    <w:rsid w:val="004F6A08"/>
    <w:rsid w:val="004F6A37"/>
    <w:rsid w:val="004F6AD3"/>
    <w:rsid w:val="004F6AF5"/>
    <w:rsid w:val="004F6AFB"/>
    <w:rsid w:val="004F6B09"/>
    <w:rsid w:val="004F6B4B"/>
    <w:rsid w:val="004F6B70"/>
    <w:rsid w:val="004F6C85"/>
    <w:rsid w:val="004F6F12"/>
    <w:rsid w:val="004F6F13"/>
    <w:rsid w:val="004F6FA7"/>
    <w:rsid w:val="004F704F"/>
    <w:rsid w:val="004F7051"/>
    <w:rsid w:val="004F7077"/>
    <w:rsid w:val="004F7083"/>
    <w:rsid w:val="004F7114"/>
    <w:rsid w:val="004F7119"/>
    <w:rsid w:val="004F7139"/>
    <w:rsid w:val="004F7178"/>
    <w:rsid w:val="004F7195"/>
    <w:rsid w:val="004F71EF"/>
    <w:rsid w:val="004F725E"/>
    <w:rsid w:val="004F7281"/>
    <w:rsid w:val="004F7292"/>
    <w:rsid w:val="004F72A5"/>
    <w:rsid w:val="004F72EE"/>
    <w:rsid w:val="004F72F5"/>
    <w:rsid w:val="004F73B1"/>
    <w:rsid w:val="004F744D"/>
    <w:rsid w:val="004F768A"/>
    <w:rsid w:val="004F76CB"/>
    <w:rsid w:val="004F7758"/>
    <w:rsid w:val="004F77F5"/>
    <w:rsid w:val="004F780C"/>
    <w:rsid w:val="004F786F"/>
    <w:rsid w:val="004F78B3"/>
    <w:rsid w:val="004F78D4"/>
    <w:rsid w:val="004F78FF"/>
    <w:rsid w:val="004F7900"/>
    <w:rsid w:val="004F7981"/>
    <w:rsid w:val="004F7A0F"/>
    <w:rsid w:val="004F7A1F"/>
    <w:rsid w:val="004F7AC9"/>
    <w:rsid w:val="004F7B29"/>
    <w:rsid w:val="004F7B44"/>
    <w:rsid w:val="004F7B6F"/>
    <w:rsid w:val="004F7CBE"/>
    <w:rsid w:val="004F7DAD"/>
    <w:rsid w:val="004F7E19"/>
    <w:rsid w:val="004F7E72"/>
    <w:rsid w:val="004F7F5D"/>
    <w:rsid w:val="004F7F77"/>
    <w:rsid w:val="004F7FD3"/>
    <w:rsid w:val="004F7FDB"/>
    <w:rsid w:val="00500006"/>
    <w:rsid w:val="0050011C"/>
    <w:rsid w:val="00500144"/>
    <w:rsid w:val="0050018B"/>
    <w:rsid w:val="00500226"/>
    <w:rsid w:val="00500292"/>
    <w:rsid w:val="005003F6"/>
    <w:rsid w:val="0050042C"/>
    <w:rsid w:val="00500457"/>
    <w:rsid w:val="00500466"/>
    <w:rsid w:val="00500691"/>
    <w:rsid w:val="0050074B"/>
    <w:rsid w:val="0050079A"/>
    <w:rsid w:val="005007A0"/>
    <w:rsid w:val="005007B3"/>
    <w:rsid w:val="005007E7"/>
    <w:rsid w:val="00500973"/>
    <w:rsid w:val="00500983"/>
    <w:rsid w:val="005009AB"/>
    <w:rsid w:val="005009AF"/>
    <w:rsid w:val="00500A9D"/>
    <w:rsid w:val="00500B89"/>
    <w:rsid w:val="00500BE5"/>
    <w:rsid w:val="00500C36"/>
    <w:rsid w:val="00500C8F"/>
    <w:rsid w:val="00500D37"/>
    <w:rsid w:val="00500DF0"/>
    <w:rsid w:val="00500E60"/>
    <w:rsid w:val="00500EB0"/>
    <w:rsid w:val="00500EF3"/>
    <w:rsid w:val="00500F13"/>
    <w:rsid w:val="00501022"/>
    <w:rsid w:val="00501047"/>
    <w:rsid w:val="00501063"/>
    <w:rsid w:val="005010FA"/>
    <w:rsid w:val="00501129"/>
    <w:rsid w:val="0050113C"/>
    <w:rsid w:val="00501152"/>
    <w:rsid w:val="0050125C"/>
    <w:rsid w:val="005012A3"/>
    <w:rsid w:val="005012FA"/>
    <w:rsid w:val="00501317"/>
    <w:rsid w:val="00501368"/>
    <w:rsid w:val="005014BD"/>
    <w:rsid w:val="0050156A"/>
    <w:rsid w:val="00501588"/>
    <w:rsid w:val="005015CD"/>
    <w:rsid w:val="005015D1"/>
    <w:rsid w:val="005015FB"/>
    <w:rsid w:val="00501606"/>
    <w:rsid w:val="005016C4"/>
    <w:rsid w:val="005016D1"/>
    <w:rsid w:val="00501734"/>
    <w:rsid w:val="00501737"/>
    <w:rsid w:val="00501774"/>
    <w:rsid w:val="0050177C"/>
    <w:rsid w:val="005017AB"/>
    <w:rsid w:val="005017CC"/>
    <w:rsid w:val="0050186A"/>
    <w:rsid w:val="00501888"/>
    <w:rsid w:val="005018A7"/>
    <w:rsid w:val="005018DA"/>
    <w:rsid w:val="005019E1"/>
    <w:rsid w:val="005019FC"/>
    <w:rsid w:val="00501A09"/>
    <w:rsid w:val="00501A7D"/>
    <w:rsid w:val="00501AA9"/>
    <w:rsid w:val="00501AD3"/>
    <w:rsid w:val="00501B2A"/>
    <w:rsid w:val="00501CB5"/>
    <w:rsid w:val="00501CBB"/>
    <w:rsid w:val="00501CF7"/>
    <w:rsid w:val="00501EC3"/>
    <w:rsid w:val="0050200D"/>
    <w:rsid w:val="00502043"/>
    <w:rsid w:val="005020A6"/>
    <w:rsid w:val="00502188"/>
    <w:rsid w:val="005021B1"/>
    <w:rsid w:val="0050223A"/>
    <w:rsid w:val="00502294"/>
    <w:rsid w:val="0050229E"/>
    <w:rsid w:val="0050231E"/>
    <w:rsid w:val="00502348"/>
    <w:rsid w:val="0050237E"/>
    <w:rsid w:val="00502384"/>
    <w:rsid w:val="0050238C"/>
    <w:rsid w:val="0050239C"/>
    <w:rsid w:val="005023CA"/>
    <w:rsid w:val="00502486"/>
    <w:rsid w:val="0050248F"/>
    <w:rsid w:val="005024C2"/>
    <w:rsid w:val="005024CD"/>
    <w:rsid w:val="005024F4"/>
    <w:rsid w:val="00502541"/>
    <w:rsid w:val="0050263E"/>
    <w:rsid w:val="0050268C"/>
    <w:rsid w:val="00502696"/>
    <w:rsid w:val="005026AA"/>
    <w:rsid w:val="005026AB"/>
    <w:rsid w:val="00502737"/>
    <w:rsid w:val="00502762"/>
    <w:rsid w:val="00502788"/>
    <w:rsid w:val="0050278F"/>
    <w:rsid w:val="00502887"/>
    <w:rsid w:val="005028AA"/>
    <w:rsid w:val="005028C3"/>
    <w:rsid w:val="005028F0"/>
    <w:rsid w:val="00502947"/>
    <w:rsid w:val="00502978"/>
    <w:rsid w:val="0050298A"/>
    <w:rsid w:val="005029AD"/>
    <w:rsid w:val="00502A11"/>
    <w:rsid w:val="00502A13"/>
    <w:rsid w:val="00502A56"/>
    <w:rsid w:val="00502A5B"/>
    <w:rsid w:val="00502A6F"/>
    <w:rsid w:val="00502AE7"/>
    <w:rsid w:val="00502B2D"/>
    <w:rsid w:val="00502BDA"/>
    <w:rsid w:val="00502C03"/>
    <w:rsid w:val="00502C05"/>
    <w:rsid w:val="00502C41"/>
    <w:rsid w:val="00502C94"/>
    <w:rsid w:val="00502CD8"/>
    <w:rsid w:val="00502DC3"/>
    <w:rsid w:val="00502E0A"/>
    <w:rsid w:val="00502E3D"/>
    <w:rsid w:val="00502EB8"/>
    <w:rsid w:val="00502F38"/>
    <w:rsid w:val="00502FA0"/>
    <w:rsid w:val="00502FB7"/>
    <w:rsid w:val="00502FE5"/>
    <w:rsid w:val="00503028"/>
    <w:rsid w:val="0050305A"/>
    <w:rsid w:val="0050318C"/>
    <w:rsid w:val="00503225"/>
    <w:rsid w:val="00503261"/>
    <w:rsid w:val="00503333"/>
    <w:rsid w:val="0050342C"/>
    <w:rsid w:val="00503467"/>
    <w:rsid w:val="00503554"/>
    <w:rsid w:val="00503659"/>
    <w:rsid w:val="00503670"/>
    <w:rsid w:val="005036B7"/>
    <w:rsid w:val="00503777"/>
    <w:rsid w:val="005037D1"/>
    <w:rsid w:val="00503969"/>
    <w:rsid w:val="00503A34"/>
    <w:rsid w:val="00503AFD"/>
    <w:rsid w:val="00503C8C"/>
    <w:rsid w:val="00503E26"/>
    <w:rsid w:val="00503E32"/>
    <w:rsid w:val="00503E36"/>
    <w:rsid w:val="00503E51"/>
    <w:rsid w:val="00503E9F"/>
    <w:rsid w:val="0050419F"/>
    <w:rsid w:val="005041C0"/>
    <w:rsid w:val="00504230"/>
    <w:rsid w:val="00504287"/>
    <w:rsid w:val="005042D3"/>
    <w:rsid w:val="005042E4"/>
    <w:rsid w:val="00504344"/>
    <w:rsid w:val="00504364"/>
    <w:rsid w:val="00504379"/>
    <w:rsid w:val="0050437A"/>
    <w:rsid w:val="00504439"/>
    <w:rsid w:val="0050443E"/>
    <w:rsid w:val="005044A3"/>
    <w:rsid w:val="00504519"/>
    <w:rsid w:val="0050452A"/>
    <w:rsid w:val="00504567"/>
    <w:rsid w:val="005045E7"/>
    <w:rsid w:val="005046BD"/>
    <w:rsid w:val="00504727"/>
    <w:rsid w:val="005047D6"/>
    <w:rsid w:val="0050487F"/>
    <w:rsid w:val="005048AE"/>
    <w:rsid w:val="005048ED"/>
    <w:rsid w:val="0050498D"/>
    <w:rsid w:val="00504A56"/>
    <w:rsid w:val="00504ACA"/>
    <w:rsid w:val="00504AF3"/>
    <w:rsid w:val="00504B9F"/>
    <w:rsid w:val="00504C15"/>
    <w:rsid w:val="00504CC4"/>
    <w:rsid w:val="00504CDA"/>
    <w:rsid w:val="00504D19"/>
    <w:rsid w:val="00504D7F"/>
    <w:rsid w:val="00504DCA"/>
    <w:rsid w:val="00504E13"/>
    <w:rsid w:val="00504F50"/>
    <w:rsid w:val="00504F91"/>
    <w:rsid w:val="00504FCF"/>
    <w:rsid w:val="00505034"/>
    <w:rsid w:val="005050F1"/>
    <w:rsid w:val="00505106"/>
    <w:rsid w:val="00505163"/>
    <w:rsid w:val="0050516E"/>
    <w:rsid w:val="0050518E"/>
    <w:rsid w:val="005051D0"/>
    <w:rsid w:val="005052DB"/>
    <w:rsid w:val="00505312"/>
    <w:rsid w:val="00505340"/>
    <w:rsid w:val="005054BE"/>
    <w:rsid w:val="00505516"/>
    <w:rsid w:val="00505598"/>
    <w:rsid w:val="00505671"/>
    <w:rsid w:val="0050568E"/>
    <w:rsid w:val="00505721"/>
    <w:rsid w:val="00505723"/>
    <w:rsid w:val="00505792"/>
    <w:rsid w:val="005057FB"/>
    <w:rsid w:val="00505822"/>
    <w:rsid w:val="00505832"/>
    <w:rsid w:val="00505868"/>
    <w:rsid w:val="005058B0"/>
    <w:rsid w:val="0050591A"/>
    <w:rsid w:val="0050592F"/>
    <w:rsid w:val="00505944"/>
    <w:rsid w:val="00505947"/>
    <w:rsid w:val="005059B0"/>
    <w:rsid w:val="005059F2"/>
    <w:rsid w:val="00505A8B"/>
    <w:rsid w:val="00505AE5"/>
    <w:rsid w:val="00505AE7"/>
    <w:rsid w:val="00505AFD"/>
    <w:rsid w:val="00505BB6"/>
    <w:rsid w:val="00505BCE"/>
    <w:rsid w:val="00505D1F"/>
    <w:rsid w:val="00505EEF"/>
    <w:rsid w:val="00505EF2"/>
    <w:rsid w:val="00505F00"/>
    <w:rsid w:val="00505F1D"/>
    <w:rsid w:val="00505F25"/>
    <w:rsid w:val="00505FA4"/>
    <w:rsid w:val="00506026"/>
    <w:rsid w:val="00506141"/>
    <w:rsid w:val="0050614E"/>
    <w:rsid w:val="005061EF"/>
    <w:rsid w:val="005062BD"/>
    <w:rsid w:val="00506326"/>
    <w:rsid w:val="00506341"/>
    <w:rsid w:val="005063C4"/>
    <w:rsid w:val="00506487"/>
    <w:rsid w:val="005064C2"/>
    <w:rsid w:val="005064D4"/>
    <w:rsid w:val="00506532"/>
    <w:rsid w:val="00506579"/>
    <w:rsid w:val="0050663D"/>
    <w:rsid w:val="00506657"/>
    <w:rsid w:val="00506715"/>
    <w:rsid w:val="005067C0"/>
    <w:rsid w:val="005068F0"/>
    <w:rsid w:val="00506919"/>
    <w:rsid w:val="00506A31"/>
    <w:rsid w:val="00506A78"/>
    <w:rsid w:val="00506A9E"/>
    <w:rsid w:val="00506AFA"/>
    <w:rsid w:val="00506B7C"/>
    <w:rsid w:val="00506BF4"/>
    <w:rsid w:val="00506C3A"/>
    <w:rsid w:val="00506C5A"/>
    <w:rsid w:val="00506C6B"/>
    <w:rsid w:val="00506D67"/>
    <w:rsid w:val="00506DDF"/>
    <w:rsid w:val="00506E19"/>
    <w:rsid w:val="00506EBE"/>
    <w:rsid w:val="00506F71"/>
    <w:rsid w:val="00506F72"/>
    <w:rsid w:val="0050702E"/>
    <w:rsid w:val="0050718A"/>
    <w:rsid w:val="005071C6"/>
    <w:rsid w:val="005071E6"/>
    <w:rsid w:val="00507393"/>
    <w:rsid w:val="005073B3"/>
    <w:rsid w:val="00507405"/>
    <w:rsid w:val="00507444"/>
    <w:rsid w:val="0050744C"/>
    <w:rsid w:val="0050746F"/>
    <w:rsid w:val="0050749F"/>
    <w:rsid w:val="00507523"/>
    <w:rsid w:val="00507592"/>
    <w:rsid w:val="0050759B"/>
    <w:rsid w:val="00507605"/>
    <w:rsid w:val="005076B8"/>
    <w:rsid w:val="00507719"/>
    <w:rsid w:val="0050772B"/>
    <w:rsid w:val="00507747"/>
    <w:rsid w:val="00507762"/>
    <w:rsid w:val="00507866"/>
    <w:rsid w:val="005078D6"/>
    <w:rsid w:val="00507A2C"/>
    <w:rsid w:val="00507B6B"/>
    <w:rsid w:val="00507B75"/>
    <w:rsid w:val="00507B83"/>
    <w:rsid w:val="00507C53"/>
    <w:rsid w:val="00507C91"/>
    <w:rsid w:val="00507D0E"/>
    <w:rsid w:val="00507DD7"/>
    <w:rsid w:val="00507E7E"/>
    <w:rsid w:val="00507ECA"/>
    <w:rsid w:val="00507F07"/>
    <w:rsid w:val="00507F9D"/>
    <w:rsid w:val="0051002D"/>
    <w:rsid w:val="0051004B"/>
    <w:rsid w:val="0051012C"/>
    <w:rsid w:val="0051013D"/>
    <w:rsid w:val="00510184"/>
    <w:rsid w:val="005101B2"/>
    <w:rsid w:val="00510211"/>
    <w:rsid w:val="0051028D"/>
    <w:rsid w:val="005102A9"/>
    <w:rsid w:val="00510380"/>
    <w:rsid w:val="00510493"/>
    <w:rsid w:val="00510520"/>
    <w:rsid w:val="005105A2"/>
    <w:rsid w:val="005105C2"/>
    <w:rsid w:val="005105C7"/>
    <w:rsid w:val="00510607"/>
    <w:rsid w:val="005106C6"/>
    <w:rsid w:val="00510758"/>
    <w:rsid w:val="00510820"/>
    <w:rsid w:val="0051088D"/>
    <w:rsid w:val="00510ACE"/>
    <w:rsid w:val="00510AD9"/>
    <w:rsid w:val="00510B11"/>
    <w:rsid w:val="00510B65"/>
    <w:rsid w:val="00510C01"/>
    <w:rsid w:val="00510C03"/>
    <w:rsid w:val="00510C45"/>
    <w:rsid w:val="00510C79"/>
    <w:rsid w:val="00510D71"/>
    <w:rsid w:val="00510D9C"/>
    <w:rsid w:val="00510DA0"/>
    <w:rsid w:val="00510E6A"/>
    <w:rsid w:val="00510EA1"/>
    <w:rsid w:val="00511000"/>
    <w:rsid w:val="0051104F"/>
    <w:rsid w:val="00511055"/>
    <w:rsid w:val="005110BE"/>
    <w:rsid w:val="00511114"/>
    <w:rsid w:val="00511237"/>
    <w:rsid w:val="00511293"/>
    <w:rsid w:val="0051131E"/>
    <w:rsid w:val="00511365"/>
    <w:rsid w:val="00511373"/>
    <w:rsid w:val="005113A8"/>
    <w:rsid w:val="005113B3"/>
    <w:rsid w:val="0051141E"/>
    <w:rsid w:val="00511437"/>
    <w:rsid w:val="0051143C"/>
    <w:rsid w:val="005114B9"/>
    <w:rsid w:val="005114C6"/>
    <w:rsid w:val="005115BB"/>
    <w:rsid w:val="00511639"/>
    <w:rsid w:val="00511675"/>
    <w:rsid w:val="00511676"/>
    <w:rsid w:val="0051169F"/>
    <w:rsid w:val="005117C0"/>
    <w:rsid w:val="005117EA"/>
    <w:rsid w:val="0051185C"/>
    <w:rsid w:val="005118A5"/>
    <w:rsid w:val="005119A7"/>
    <w:rsid w:val="00511A5B"/>
    <w:rsid w:val="00511B85"/>
    <w:rsid w:val="00511B8E"/>
    <w:rsid w:val="00511BCD"/>
    <w:rsid w:val="00511BDF"/>
    <w:rsid w:val="00511C03"/>
    <w:rsid w:val="00511C63"/>
    <w:rsid w:val="00511CB9"/>
    <w:rsid w:val="00511D65"/>
    <w:rsid w:val="00511D71"/>
    <w:rsid w:val="00511E03"/>
    <w:rsid w:val="00511EC4"/>
    <w:rsid w:val="00511EC8"/>
    <w:rsid w:val="00511EE4"/>
    <w:rsid w:val="00511EFC"/>
    <w:rsid w:val="00511F1C"/>
    <w:rsid w:val="00511F53"/>
    <w:rsid w:val="00511FFB"/>
    <w:rsid w:val="00512057"/>
    <w:rsid w:val="00512096"/>
    <w:rsid w:val="005120BF"/>
    <w:rsid w:val="00512103"/>
    <w:rsid w:val="00512121"/>
    <w:rsid w:val="00512153"/>
    <w:rsid w:val="005121B5"/>
    <w:rsid w:val="005121CB"/>
    <w:rsid w:val="0051225B"/>
    <w:rsid w:val="0051231C"/>
    <w:rsid w:val="00512352"/>
    <w:rsid w:val="005123B6"/>
    <w:rsid w:val="00512410"/>
    <w:rsid w:val="0051244C"/>
    <w:rsid w:val="0051245B"/>
    <w:rsid w:val="00512599"/>
    <w:rsid w:val="005126AD"/>
    <w:rsid w:val="005126C5"/>
    <w:rsid w:val="005126C6"/>
    <w:rsid w:val="00512798"/>
    <w:rsid w:val="005127D1"/>
    <w:rsid w:val="005127D3"/>
    <w:rsid w:val="005128C5"/>
    <w:rsid w:val="005128C6"/>
    <w:rsid w:val="00512942"/>
    <w:rsid w:val="00512950"/>
    <w:rsid w:val="00512990"/>
    <w:rsid w:val="00512A99"/>
    <w:rsid w:val="00512AB9"/>
    <w:rsid w:val="00512B7C"/>
    <w:rsid w:val="00512B9D"/>
    <w:rsid w:val="00512BB6"/>
    <w:rsid w:val="00512C69"/>
    <w:rsid w:val="00512D19"/>
    <w:rsid w:val="00512D44"/>
    <w:rsid w:val="00512D6E"/>
    <w:rsid w:val="00512D7E"/>
    <w:rsid w:val="00512DC2"/>
    <w:rsid w:val="00512E3F"/>
    <w:rsid w:val="00512EC9"/>
    <w:rsid w:val="00512ECA"/>
    <w:rsid w:val="005130C9"/>
    <w:rsid w:val="00513125"/>
    <w:rsid w:val="005131A1"/>
    <w:rsid w:val="00513268"/>
    <w:rsid w:val="0051335D"/>
    <w:rsid w:val="005133BF"/>
    <w:rsid w:val="005133EA"/>
    <w:rsid w:val="0051349A"/>
    <w:rsid w:val="005134CF"/>
    <w:rsid w:val="005134DF"/>
    <w:rsid w:val="00513537"/>
    <w:rsid w:val="0051353F"/>
    <w:rsid w:val="005135CF"/>
    <w:rsid w:val="00513602"/>
    <w:rsid w:val="005136BF"/>
    <w:rsid w:val="005138AE"/>
    <w:rsid w:val="00513902"/>
    <w:rsid w:val="005139D7"/>
    <w:rsid w:val="00513B4D"/>
    <w:rsid w:val="00513B53"/>
    <w:rsid w:val="00513C1D"/>
    <w:rsid w:val="00513C2A"/>
    <w:rsid w:val="00513C3B"/>
    <w:rsid w:val="00513CA0"/>
    <w:rsid w:val="00513DC9"/>
    <w:rsid w:val="00513E52"/>
    <w:rsid w:val="00513E89"/>
    <w:rsid w:val="00513E8F"/>
    <w:rsid w:val="00513F09"/>
    <w:rsid w:val="00513F80"/>
    <w:rsid w:val="00513FBC"/>
    <w:rsid w:val="0051401F"/>
    <w:rsid w:val="0051402A"/>
    <w:rsid w:val="00514045"/>
    <w:rsid w:val="005140AC"/>
    <w:rsid w:val="005140B5"/>
    <w:rsid w:val="005140C6"/>
    <w:rsid w:val="005140D7"/>
    <w:rsid w:val="00514116"/>
    <w:rsid w:val="0051413F"/>
    <w:rsid w:val="0051424A"/>
    <w:rsid w:val="005142A1"/>
    <w:rsid w:val="0051435C"/>
    <w:rsid w:val="00514417"/>
    <w:rsid w:val="0051441F"/>
    <w:rsid w:val="005144CC"/>
    <w:rsid w:val="00514511"/>
    <w:rsid w:val="005145DF"/>
    <w:rsid w:val="00514675"/>
    <w:rsid w:val="0051469E"/>
    <w:rsid w:val="00514704"/>
    <w:rsid w:val="0051470E"/>
    <w:rsid w:val="0051472A"/>
    <w:rsid w:val="00514745"/>
    <w:rsid w:val="0051475A"/>
    <w:rsid w:val="0051477F"/>
    <w:rsid w:val="005147BE"/>
    <w:rsid w:val="005148D0"/>
    <w:rsid w:val="005148EE"/>
    <w:rsid w:val="00514947"/>
    <w:rsid w:val="0051494B"/>
    <w:rsid w:val="005149D4"/>
    <w:rsid w:val="005149F5"/>
    <w:rsid w:val="00514AD5"/>
    <w:rsid w:val="00514B32"/>
    <w:rsid w:val="00514BF7"/>
    <w:rsid w:val="00514CBA"/>
    <w:rsid w:val="00514CE5"/>
    <w:rsid w:val="00514D17"/>
    <w:rsid w:val="00514D57"/>
    <w:rsid w:val="00514D58"/>
    <w:rsid w:val="00514D74"/>
    <w:rsid w:val="00514DA7"/>
    <w:rsid w:val="00514DAC"/>
    <w:rsid w:val="00514DAD"/>
    <w:rsid w:val="00514E08"/>
    <w:rsid w:val="00514E51"/>
    <w:rsid w:val="00514E7F"/>
    <w:rsid w:val="00514F07"/>
    <w:rsid w:val="00514F51"/>
    <w:rsid w:val="00514F83"/>
    <w:rsid w:val="00514FD8"/>
    <w:rsid w:val="00515048"/>
    <w:rsid w:val="00515149"/>
    <w:rsid w:val="005151A7"/>
    <w:rsid w:val="0051537D"/>
    <w:rsid w:val="0051540B"/>
    <w:rsid w:val="005154CB"/>
    <w:rsid w:val="00515528"/>
    <w:rsid w:val="00515540"/>
    <w:rsid w:val="00515556"/>
    <w:rsid w:val="00515560"/>
    <w:rsid w:val="00515590"/>
    <w:rsid w:val="005155E1"/>
    <w:rsid w:val="00515618"/>
    <w:rsid w:val="0051571B"/>
    <w:rsid w:val="0051579A"/>
    <w:rsid w:val="0051581A"/>
    <w:rsid w:val="0051581B"/>
    <w:rsid w:val="00515836"/>
    <w:rsid w:val="0051591D"/>
    <w:rsid w:val="00515950"/>
    <w:rsid w:val="005159BB"/>
    <w:rsid w:val="00515AA7"/>
    <w:rsid w:val="00515ACE"/>
    <w:rsid w:val="00515CDD"/>
    <w:rsid w:val="00515EB7"/>
    <w:rsid w:val="00515EE0"/>
    <w:rsid w:val="00515F13"/>
    <w:rsid w:val="00515F87"/>
    <w:rsid w:val="00515FAE"/>
    <w:rsid w:val="00515FD4"/>
    <w:rsid w:val="00516027"/>
    <w:rsid w:val="00516049"/>
    <w:rsid w:val="00516085"/>
    <w:rsid w:val="0051611D"/>
    <w:rsid w:val="005161B4"/>
    <w:rsid w:val="00516303"/>
    <w:rsid w:val="0051639E"/>
    <w:rsid w:val="005163E0"/>
    <w:rsid w:val="005163EE"/>
    <w:rsid w:val="0051645C"/>
    <w:rsid w:val="005164F7"/>
    <w:rsid w:val="0051661D"/>
    <w:rsid w:val="005166C9"/>
    <w:rsid w:val="0051673F"/>
    <w:rsid w:val="005167A6"/>
    <w:rsid w:val="00516869"/>
    <w:rsid w:val="0051699D"/>
    <w:rsid w:val="00516A1D"/>
    <w:rsid w:val="00516A30"/>
    <w:rsid w:val="00516A3A"/>
    <w:rsid w:val="00516A4C"/>
    <w:rsid w:val="00516A50"/>
    <w:rsid w:val="00516A68"/>
    <w:rsid w:val="00516A6B"/>
    <w:rsid w:val="00516AEB"/>
    <w:rsid w:val="00516BA7"/>
    <w:rsid w:val="00516C70"/>
    <w:rsid w:val="00516C8D"/>
    <w:rsid w:val="00516C8E"/>
    <w:rsid w:val="00516CDB"/>
    <w:rsid w:val="00516DBC"/>
    <w:rsid w:val="00516DCD"/>
    <w:rsid w:val="00516E31"/>
    <w:rsid w:val="00516E51"/>
    <w:rsid w:val="00516F08"/>
    <w:rsid w:val="00516F5E"/>
    <w:rsid w:val="00516F73"/>
    <w:rsid w:val="00516FA9"/>
    <w:rsid w:val="00516FF3"/>
    <w:rsid w:val="0051705E"/>
    <w:rsid w:val="00517070"/>
    <w:rsid w:val="005171D8"/>
    <w:rsid w:val="005171DB"/>
    <w:rsid w:val="005171FD"/>
    <w:rsid w:val="0051726C"/>
    <w:rsid w:val="005172C2"/>
    <w:rsid w:val="005172D0"/>
    <w:rsid w:val="00517332"/>
    <w:rsid w:val="005173B5"/>
    <w:rsid w:val="00517433"/>
    <w:rsid w:val="00517448"/>
    <w:rsid w:val="00517450"/>
    <w:rsid w:val="005174A7"/>
    <w:rsid w:val="005174F3"/>
    <w:rsid w:val="0051753F"/>
    <w:rsid w:val="0051760F"/>
    <w:rsid w:val="005176BE"/>
    <w:rsid w:val="00517703"/>
    <w:rsid w:val="0051771B"/>
    <w:rsid w:val="0051772D"/>
    <w:rsid w:val="0051776C"/>
    <w:rsid w:val="005177EA"/>
    <w:rsid w:val="0051790B"/>
    <w:rsid w:val="00517950"/>
    <w:rsid w:val="005179BA"/>
    <w:rsid w:val="00517A28"/>
    <w:rsid w:val="00517AB9"/>
    <w:rsid w:val="00517AD8"/>
    <w:rsid w:val="00517B07"/>
    <w:rsid w:val="00517B10"/>
    <w:rsid w:val="00517B13"/>
    <w:rsid w:val="00517B6F"/>
    <w:rsid w:val="00517B70"/>
    <w:rsid w:val="00517BFE"/>
    <w:rsid w:val="00517C2E"/>
    <w:rsid w:val="00517C69"/>
    <w:rsid w:val="00517C7B"/>
    <w:rsid w:val="00517CFB"/>
    <w:rsid w:val="00517EB2"/>
    <w:rsid w:val="00517EB7"/>
    <w:rsid w:val="00517FB8"/>
    <w:rsid w:val="005200A4"/>
    <w:rsid w:val="00520176"/>
    <w:rsid w:val="00520278"/>
    <w:rsid w:val="005202D5"/>
    <w:rsid w:val="005202D8"/>
    <w:rsid w:val="005202DE"/>
    <w:rsid w:val="005202ED"/>
    <w:rsid w:val="00520306"/>
    <w:rsid w:val="00520337"/>
    <w:rsid w:val="0052034C"/>
    <w:rsid w:val="005204C5"/>
    <w:rsid w:val="005204F2"/>
    <w:rsid w:val="00520578"/>
    <w:rsid w:val="00520589"/>
    <w:rsid w:val="0052059F"/>
    <w:rsid w:val="005205C0"/>
    <w:rsid w:val="005205F0"/>
    <w:rsid w:val="005205FC"/>
    <w:rsid w:val="00520634"/>
    <w:rsid w:val="0052065F"/>
    <w:rsid w:val="00520687"/>
    <w:rsid w:val="005206B7"/>
    <w:rsid w:val="00520726"/>
    <w:rsid w:val="00520733"/>
    <w:rsid w:val="00520748"/>
    <w:rsid w:val="00520791"/>
    <w:rsid w:val="00520793"/>
    <w:rsid w:val="005207D9"/>
    <w:rsid w:val="005207E6"/>
    <w:rsid w:val="00520813"/>
    <w:rsid w:val="0052087C"/>
    <w:rsid w:val="005208CD"/>
    <w:rsid w:val="005208D4"/>
    <w:rsid w:val="00520962"/>
    <w:rsid w:val="00520978"/>
    <w:rsid w:val="005209A2"/>
    <w:rsid w:val="005209B8"/>
    <w:rsid w:val="00520AA9"/>
    <w:rsid w:val="00520AE1"/>
    <w:rsid w:val="00520B0B"/>
    <w:rsid w:val="00520B1F"/>
    <w:rsid w:val="00520B49"/>
    <w:rsid w:val="00520BCF"/>
    <w:rsid w:val="00520CAD"/>
    <w:rsid w:val="00520CC3"/>
    <w:rsid w:val="00520D4F"/>
    <w:rsid w:val="00520D8A"/>
    <w:rsid w:val="00520EAC"/>
    <w:rsid w:val="00520F21"/>
    <w:rsid w:val="00520F5C"/>
    <w:rsid w:val="00520F7D"/>
    <w:rsid w:val="00520FA5"/>
    <w:rsid w:val="00520FC9"/>
    <w:rsid w:val="00521049"/>
    <w:rsid w:val="00521096"/>
    <w:rsid w:val="005210AB"/>
    <w:rsid w:val="00521118"/>
    <w:rsid w:val="0052117E"/>
    <w:rsid w:val="005211C4"/>
    <w:rsid w:val="005211E6"/>
    <w:rsid w:val="00521232"/>
    <w:rsid w:val="0052123B"/>
    <w:rsid w:val="005212C4"/>
    <w:rsid w:val="005212E3"/>
    <w:rsid w:val="0052131F"/>
    <w:rsid w:val="0052134F"/>
    <w:rsid w:val="00521370"/>
    <w:rsid w:val="00521383"/>
    <w:rsid w:val="00521399"/>
    <w:rsid w:val="005213A5"/>
    <w:rsid w:val="00521478"/>
    <w:rsid w:val="00521484"/>
    <w:rsid w:val="0052148F"/>
    <w:rsid w:val="0052149D"/>
    <w:rsid w:val="00521524"/>
    <w:rsid w:val="00521575"/>
    <w:rsid w:val="00521685"/>
    <w:rsid w:val="005216B1"/>
    <w:rsid w:val="005216C0"/>
    <w:rsid w:val="00521728"/>
    <w:rsid w:val="0052177E"/>
    <w:rsid w:val="005217B4"/>
    <w:rsid w:val="005217F4"/>
    <w:rsid w:val="00521907"/>
    <w:rsid w:val="00521A2D"/>
    <w:rsid w:val="00521A9E"/>
    <w:rsid w:val="00521AF0"/>
    <w:rsid w:val="00521AFD"/>
    <w:rsid w:val="00521B24"/>
    <w:rsid w:val="00521B41"/>
    <w:rsid w:val="00521C12"/>
    <w:rsid w:val="00521D50"/>
    <w:rsid w:val="00521D51"/>
    <w:rsid w:val="00521DE1"/>
    <w:rsid w:val="00521E04"/>
    <w:rsid w:val="00521E3E"/>
    <w:rsid w:val="00521ED1"/>
    <w:rsid w:val="00521F19"/>
    <w:rsid w:val="00521F49"/>
    <w:rsid w:val="00521FAA"/>
    <w:rsid w:val="00521FEE"/>
    <w:rsid w:val="00522069"/>
    <w:rsid w:val="0052208A"/>
    <w:rsid w:val="005220EB"/>
    <w:rsid w:val="00522123"/>
    <w:rsid w:val="0052219A"/>
    <w:rsid w:val="005221B0"/>
    <w:rsid w:val="005221CD"/>
    <w:rsid w:val="00522214"/>
    <w:rsid w:val="0052222E"/>
    <w:rsid w:val="00522241"/>
    <w:rsid w:val="0052226A"/>
    <w:rsid w:val="00522287"/>
    <w:rsid w:val="005222D5"/>
    <w:rsid w:val="005222D7"/>
    <w:rsid w:val="00522311"/>
    <w:rsid w:val="0052232B"/>
    <w:rsid w:val="005223EF"/>
    <w:rsid w:val="005224BA"/>
    <w:rsid w:val="00522525"/>
    <w:rsid w:val="005225D9"/>
    <w:rsid w:val="005225E4"/>
    <w:rsid w:val="005225F0"/>
    <w:rsid w:val="00522637"/>
    <w:rsid w:val="0052268A"/>
    <w:rsid w:val="005226A4"/>
    <w:rsid w:val="005226EE"/>
    <w:rsid w:val="00522711"/>
    <w:rsid w:val="00522962"/>
    <w:rsid w:val="00522998"/>
    <w:rsid w:val="00522A5F"/>
    <w:rsid w:val="00522A8C"/>
    <w:rsid w:val="00522ADC"/>
    <w:rsid w:val="00522B0B"/>
    <w:rsid w:val="00522B68"/>
    <w:rsid w:val="00522B6E"/>
    <w:rsid w:val="00522BB5"/>
    <w:rsid w:val="00522C98"/>
    <w:rsid w:val="00522D2B"/>
    <w:rsid w:val="00522DF9"/>
    <w:rsid w:val="00522E0B"/>
    <w:rsid w:val="00522E21"/>
    <w:rsid w:val="00522E90"/>
    <w:rsid w:val="00522EC5"/>
    <w:rsid w:val="00522F81"/>
    <w:rsid w:val="00522FF1"/>
    <w:rsid w:val="00523004"/>
    <w:rsid w:val="00523046"/>
    <w:rsid w:val="005230A2"/>
    <w:rsid w:val="00523188"/>
    <w:rsid w:val="0052319A"/>
    <w:rsid w:val="005232AC"/>
    <w:rsid w:val="005232F6"/>
    <w:rsid w:val="00523307"/>
    <w:rsid w:val="005233C1"/>
    <w:rsid w:val="005233D5"/>
    <w:rsid w:val="00523448"/>
    <w:rsid w:val="005234CE"/>
    <w:rsid w:val="0052358F"/>
    <w:rsid w:val="00523594"/>
    <w:rsid w:val="005235A6"/>
    <w:rsid w:val="00523654"/>
    <w:rsid w:val="0052372A"/>
    <w:rsid w:val="005237B1"/>
    <w:rsid w:val="005238AF"/>
    <w:rsid w:val="00523A1B"/>
    <w:rsid w:val="00523BB4"/>
    <w:rsid w:val="00523C13"/>
    <w:rsid w:val="00523C65"/>
    <w:rsid w:val="00523C6D"/>
    <w:rsid w:val="00523DD9"/>
    <w:rsid w:val="00523E0C"/>
    <w:rsid w:val="00523E63"/>
    <w:rsid w:val="00523F32"/>
    <w:rsid w:val="00523F59"/>
    <w:rsid w:val="00523F85"/>
    <w:rsid w:val="00523FED"/>
    <w:rsid w:val="0052401A"/>
    <w:rsid w:val="00524097"/>
    <w:rsid w:val="005240AD"/>
    <w:rsid w:val="005240F2"/>
    <w:rsid w:val="00524135"/>
    <w:rsid w:val="005242AC"/>
    <w:rsid w:val="0052433A"/>
    <w:rsid w:val="005243C5"/>
    <w:rsid w:val="005243F4"/>
    <w:rsid w:val="005244E2"/>
    <w:rsid w:val="00524542"/>
    <w:rsid w:val="0052457C"/>
    <w:rsid w:val="005245C0"/>
    <w:rsid w:val="005245C8"/>
    <w:rsid w:val="005245CD"/>
    <w:rsid w:val="005245D2"/>
    <w:rsid w:val="00524738"/>
    <w:rsid w:val="00524743"/>
    <w:rsid w:val="00524819"/>
    <w:rsid w:val="00524875"/>
    <w:rsid w:val="0052489D"/>
    <w:rsid w:val="005248E2"/>
    <w:rsid w:val="005248F6"/>
    <w:rsid w:val="00524925"/>
    <w:rsid w:val="00524974"/>
    <w:rsid w:val="005249A1"/>
    <w:rsid w:val="00524A09"/>
    <w:rsid w:val="00524B10"/>
    <w:rsid w:val="00524C4B"/>
    <w:rsid w:val="00524C86"/>
    <w:rsid w:val="00524D12"/>
    <w:rsid w:val="00524EC3"/>
    <w:rsid w:val="00524F33"/>
    <w:rsid w:val="00524F52"/>
    <w:rsid w:val="00524F7A"/>
    <w:rsid w:val="00524FB5"/>
    <w:rsid w:val="00524FEA"/>
    <w:rsid w:val="00525062"/>
    <w:rsid w:val="0052508B"/>
    <w:rsid w:val="0052510D"/>
    <w:rsid w:val="0052515A"/>
    <w:rsid w:val="00525196"/>
    <w:rsid w:val="005251B8"/>
    <w:rsid w:val="005251C1"/>
    <w:rsid w:val="0052529B"/>
    <w:rsid w:val="00525323"/>
    <w:rsid w:val="00525345"/>
    <w:rsid w:val="00525350"/>
    <w:rsid w:val="005253B2"/>
    <w:rsid w:val="005253E5"/>
    <w:rsid w:val="00525423"/>
    <w:rsid w:val="00525427"/>
    <w:rsid w:val="00525503"/>
    <w:rsid w:val="00525563"/>
    <w:rsid w:val="005255B7"/>
    <w:rsid w:val="00525600"/>
    <w:rsid w:val="0052569F"/>
    <w:rsid w:val="005256B4"/>
    <w:rsid w:val="0052576A"/>
    <w:rsid w:val="00525812"/>
    <w:rsid w:val="0052582C"/>
    <w:rsid w:val="0052587B"/>
    <w:rsid w:val="00525892"/>
    <w:rsid w:val="005258ED"/>
    <w:rsid w:val="005258FA"/>
    <w:rsid w:val="0052597D"/>
    <w:rsid w:val="00525997"/>
    <w:rsid w:val="005259CB"/>
    <w:rsid w:val="005259D6"/>
    <w:rsid w:val="00525A2F"/>
    <w:rsid w:val="00525A7B"/>
    <w:rsid w:val="00525AF6"/>
    <w:rsid w:val="00525B3E"/>
    <w:rsid w:val="00525B44"/>
    <w:rsid w:val="00525B54"/>
    <w:rsid w:val="00525C47"/>
    <w:rsid w:val="00525C80"/>
    <w:rsid w:val="00525CA0"/>
    <w:rsid w:val="00525CB7"/>
    <w:rsid w:val="00525D43"/>
    <w:rsid w:val="00525E2E"/>
    <w:rsid w:val="00525E34"/>
    <w:rsid w:val="00525E63"/>
    <w:rsid w:val="00525E7A"/>
    <w:rsid w:val="00525E8A"/>
    <w:rsid w:val="00525F62"/>
    <w:rsid w:val="00525F64"/>
    <w:rsid w:val="00525FC5"/>
    <w:rsid w:val="0052613E"/>
    <w:rsid w:val="005261E0"/>
    <w:rsid w:val="00526243"/>
    <w:rsid w:val="005262A0"/>
    <w:rsid w:val="005262E3"/>
    <w:rsid w:val="0052630F"/>
    <w:rsid w:val="0052640B"/>
    <w:rsid w:val="005264A6"/>
    <w:rsid w:val="005264A8"/>
    <w:rsid w:val="00526504"/>
    <w:rsid w:val="00526516"/>
    <w:rsid w:val="005265CB"/>
    <w:rsid w:val="005265CC"/>
    <w:rsid w:val="005265D4"/>
    <w:rsid w:val="005265E0"/>
    <w:rsid w:val="005266E6"/>
    <w:rsid w:val="005267A3"/>
    <w:rsid w:val="005267AB"/>
    <w:rsid w:val="0052682F"/>
    <w:rsid w:val="00526886"/>
    <w:rsid w:val="00526894"/>
    <w:rsid w:val="00526906"/>
    <w:rsid w:val="00526942"/>
    <w:rsid w:val="00526950"/>
    <w:rsid w:val="00526953"/>
    <w:rsid w:val="0052696C"/>
    <w:rsid w:val="00526A65"/>
    <w:rsid w:val="00526B27"/>
    <w:rsid w:val="00526B3F"/>
    <w:rsid w:val="00526BF8"/>
    <w:rsid w:val="00526C69"/>
    <w:rsid w:val="00526CEB"/>
    <w:rsid w:val="00526E56"/>
    <w:rsid w:val="00526EEB"/>
    <w:rsid w:val="00526EF8"/>
    <w:rsid w:val="00526F18"/>
    <w:rsid w:val="00526F69"/>
    <w:rsid w:val="00526F88"/>
    <w:rsid w:val="00526FDF"/>
    <w:rsid w:val="00527023"/>
    <w:rsid w:val="00527164"/>
    <w:rsid w:val="005271BC"/>
    <w:rsid w:val="00527244"/>
    <w:rsid w:val="005273A6"/>
    <w:rsid w:val="005273BA"/>
    <w:rsid w:val="0052744C"/>
    <w:rsid w:val="00527482"/>
    <w:rsid w:val="005274C2"/>
    <w:rsid w:val="0052751A"/>
    <w:rsid w:val="00527523"/>
    <w:rsid w:val="00527556"/>
    <w:rsid w:val="005275D0"/>
    <w:rsid w:val="0052769F"/>
    <w:rsid w:val="00527725"/>
    <w:rsid w:val="0052772A"/>
    <w:rsid w:val="005277A9"/>
    <w:rsid w:val="00527809"/>
    <w:rsid w:val="0052783F"/>
    <w:rsid w:val="005278E3"/>
    <w:rsid w:val="0052796D"/>
    <w:rsid w:val="005279F2"/>
    <w:rsid w:val="00527A32"/>
    <w:rsid w:val="00527A8E"/>
    <w:rsid w:val="00527A92"/>
    <w:rsid w:val="00527B6A"/>
    <w:rsid w:val="00527B7F"/>
    <w:rsid w:val="00527BC7"/>
    <w:rsid w:val="00527C2E"/>
    <w:rsid w:val="00527C39"/>
    <w:rsid w:val="00527C7F"/>
    <w:rsid w:val="00527C9E"/>
    <w:rsid w:val="00527CDF"/>
    <w:rsid w:val="00527D17"/>
    <w:rsid w:val="00527D8A"/>
    <w:rsid w:val="00527E75"/>
    <w:rsid w:val="00527F2F"/>
    <w:rsid w:val="00527FB1"/>
    <w:rsid w:val="00527FD7"/>
    <w:rsid w:val="0052F7B4"/>
    <w:rsid w:val="00530032"/>
    <w:rsid w:val="00530110"/>
    <w:rsid w:val="0053012F"/>
    <w:rsid w:val="00530132"/>
    <w:rsid w:val="00530139"/>
    <w:rsid w:val="00530153"/>
    <w:rsid w:val="00530185"/>
    <w:rsid w:val="0053019A"/>
    <w:rsid w:val="0053020C"/>
    <w:rsid w:val="00530288"/>
    <w:rsid w:val="00530389"/>
    <w:rsid w:val="0053038F"/>
    <w:rsid w:val="0053048C"/>
    <w:rsid w:val="0053058E"/>
    <w:rsid w:val="005306F7"/>
    <w:rsid w:val="005307D7"/>
    <w:rsid w:val="0053083F"/>
    <w:rsid w:val="00530886"/>
    <w:rsid w:val="005308B2"/>
    <w:rsid w:val="00530948"/>
    <w:rsid w:val="00530966"/>
    <w:rsid w:val="0053098E"/>
    <w:rsid w:val="00530999"/>
    <w:rsid w:val="005309B9"/>
    <w:rsid w:val="00530A8F"/>
    <w:rsid w:val="00530ABB"/>
    <w:rsid w:val="00530B27"/>
    <w:rsid w:val="00530BE6"/>
    <w:rsid w:val="00530CDD"/>
    <w:rsid w:val="00530D2E"/>
    <w:rsid w:val="00530DC1"/>
    <w:rsid w:val="00530EB1"/>
    <w:rsid w:val="00530ED3"/>
    <w:rsid w:val="005310CC"/>
    <w:rsid w:val="005310D6"/>
    <w:rsid w:val="005310E1"/>
    <w:rsid w:val="00531175"/>
    <w:rsid w:val="005311EB"/>
    <w:rsid w:val="00531226"/>
    <w:rsid w:val="005312BC"/>
    <w:rsid w:val="00531312"/>
    <w:rsid w:val="0053137C"/>
    <w:rsid w:val="005313BE"/>
    <w:rsid w:val="005313F8"/>
    <w:rsid w:val="00531487"/>
    <w:rsid w:val="0053149F"/>
    <w:rsid w:val="005314B1"/>
    <w:rsid w:val="005314C0"/>
    <w:rsid w:val="005314C6"/>
    <w:rsid w:val="00531571"/>
    <w:rsid w:val="005315F9"/>
    <w:rsid w:val="005315FB"/>
    <w:rsid w:val="00531616"/>
    <w:rsid w:val="0053169E"/>
    <w:rsid w:val="005316FC"/>
    <w:rsid w:val="005318CF"/>
    <w:rsid w:val="00531924"/>
    <w:rsid w:val="005319F9"/>
    <w:rsid w:val="00531A01"/>
    <w:rsid w:val="00531A30"/>
    <w:rsid w:val="00531A4E"/>
    <w:rsid w:val="00531A9A"/>
    <w:rsid w:val="00531AD0"/>
    <w:rsid w:val="00531B2F"/>
    <w:rsid w:val="00531B3B"/>
    <w:rsid w:val="00531B43"/>
    <w:rsid w:val="00531BD6"/>
    <w:rsid w:val="00531C0C"/>
    <w:rsid w:val="00531C23"/>
    <w:rsid w:val="00531CAF"/>
    <w:rsid w:val="00531D6E"/>
    <w:rsid w:val="00531DEF"/>
    <w:rsid w:val="00531E27"/>
    <w:rsid w:val="00531E3E"/>
    <w:rsid w:val="00531EA6"/>
    <w:rsid w:val="00531EC0"/>
    <w:rsid w:val="00531F0A"/>
    <w:rsid w:val="00531F84"/>
    <w:rsid w:val="00532044"/>
    <w:rsid w:val="005321AA"/>
    <w:rsid w:val="0053220F"/>
    <w:rsid w:val="00532228"/>
    <w:rsid w:val="0053222A"/>
    <w:rsid w:val="005322F2"/>
    <w:rsid w:val="0053235A"/>
    <w:rsid w:val="00532364"/>
    <w:rsid w:val="0053236E"/>
    <w:rsid w:val="005323E0"/>
    <w:rsid w:val="00532407"/>
    <w:rsid w:val="00532412"/>
    <w:rsid w:val="00532478"/>
    <w:rsid w:val="0053265C"/>
    <w:rsid w:val="00532674"/>
    <w:rsid w:val="005326FA"/>
    <w:rsid w:val="00532704"/>
    <w:rsid w:val="0053270C"/>
    <w:rsid w:val="00532758"/>
    <w:rsid w:val="00532899"/>
    <w:rsid w:val="005328F4"/>
    <w:rsid w:val="00532976"/>
    <w:rsid w:val="00532999"/>
    <w:rsid w:val="00532A4F"/>
    <w:rsid w:val="00532AAF"/>
    <w:rsid w:val="00532BCB"/>
    <w:rsid w:val="00532CEE"/>
    <w:rsid w:val="00532CFC"/>
    <w:rsid w:val="00532D29"/>
    <w:rsid w:val="00532D3B"/>
    <w:rsid w:val="00532D58"/>
    <w:rsid w:val="00532D99"/>
    <w:rsid w:val="00532EBF"/>
    <w:rsid w:val="00532F4E"/>
    <w:rsid w:val="00533024"/>
    <w:rsid w:val="00533055"/>
    <w:rsid w:val="0053309D"/>
    <w:rsid w:val="005330FB"/>
    <w:rsid w:val="0053316B"/>
    <w:rsid w:val="0053328F"/>
    <w:rsid w:val="005332A9"/>
    <w:rsid w:val="00533346"/>
    <w:rsid w:val="0053334B"/>
    <w:rsid w:val="005333A3"/>
    <w:rsid w:val="005333B9"/>
    <w:rsid w:val="005333FC"/>
    <w:rsid w:val="00533435"/>
    <w:rsid w:val="0053346B"/>
    <w:rsid w:val="0053359B"/>
    <w:rsid w:val="005335B0"/>
    <w:rsid w:val="0053367A"/>
    <w:rsid w:val="0053382D"/>
    <w:rsid w:val="00533832"/>
    <w:rsid w:val="005338A7"/>
    <w:rsid w:val="0053398A"/>
    <w:rsid w:val="005339BC"/>
    <w:rsid w:val="00533A78"/>
    <w:rsid w:val="00533AC1"/>
    <w:rsid w:val="00533B68"/>
    <w:rsid w:val="00533BAA"/>
    <w:rsid w:val="00533BF6"/>
    <w:rsid w:val="00533C5B"/>
    <w:rsid w:val="00533CF6"/>
    <w:rsid w:val="00533DBA"/>
    <w:rsid w:val="00533E01"/>
    <w:rsid w:val="00533E08"/>
    <w:rsid w:val="00533E18"/>
    <w:rsid w:val="00533E3B"/>
    <w:rsid w:val="00533EC2"/>
    <w:rsid w:val="00533ED0"/>
    <w:rsid w:val="00533EF2"/>
    <w:rsid w:val="00533F4E"/>
    <w:rsid w:val="00533F5E"/>
    <w:rsid w:val="00533FA7"/>
    <w:rsid w:val="00534003"/>
    <w:rsid w:val="0053401D"/>
    <w:rsid w:val="00534069"/>
    <w:rsid w:val="005340D5"/>
    <w:rsid w:val="00534100"/>
    <w:rsid w:val="0053414D"/>
    <w:rsid w:val="0053417A"/>
    <w:rsid w:val="0053419A"/>
    <w:rsid w:val="005341DF"/>
    <w:rsid w:val="0053420A"/>
    <w:rsid w:val="005342CE"/>
    <w:rsid w:val="00534341"/>
    <w:rsid w:val="005343C5"/>
    <w:rsid w:val="005343F9"/>
    <w:rsid w:val="00534458"/>
    <w:rsid w:val="00534516"/>
    <w:rsid w:val="0053457F"/>
    <w:rsid w:val="00534644"/>
    <w:rsid w:val="0053467C"/>
    <w:rsid w:val="005346BD"/>
    <w:rsid w:val="00534706"/>
    <w:rsid w:val="005347E6"/>
    <w:rsid w:val="005347EE"/>
    <w:rsid w:val="00534832"/>
    <w:rsid w:val="00534866"/>
    <w:rsid w:val="00534881"/>
    <w:rsid w:val="0053488D"/>
    <w:rsid w:val="005348A9"/>
    <w:rsid w:val="005348F2"/>
    <w:rsid w:val="00534B36"/>
    <w:rsid w:val="00534BD5"/>
    <w:rsid w:val="00534BD8"/>
    <w:rsid w:val="00534C82"/>
    <w:rsid w:val="00534C8F"/>
    <w:rsid w:val="00534D15"/>
    <w:rsid w:val="00534D56"/>
    <w:rsid w:val="00534D8E"/>
    <w:rsid w:val="00534DB3"/>
    <w:rsid w:val="00534DD2"/>
    <w:rsid w:val="00534DF5"/>
    <w:rsid w:val="00534E24"/>
    <w:rsid w:val="00534E93"/>
    <w:rsid w:val="00534F7C"/>
    <w:rsid w:val="00534F8E"/>
    <w:rsid w:val="00534F9C"/>
    <w:rsid w:val="00534FC9"/>
    <w:rsid w:val="005350DD"/>
    <w:rsid w:val="00535111"/>
    <w:rsid w:val="00535144"/>
    <w:rsid w:val="00535274"/>
    <w:rsid w:val="0053529C"/>
    <w:rsid w:val="005352CA"/>
    <w:rsid w:val="005352E9"/>
    <w:rsid w:val="00535341"/>
    <w:rsid w:val="00535352"/>
    <w:rsid w:val="005353E2"/>
    <w:rsid w:val="0053541C"/>
    <w:rsid w:val="005354E5"/>
    <w:rsid w:val="00535534"/>
    <w:rsid w:val="00535543"/>
    <w:rsid w:val="005355A6"/>
    <w:rsid w:val="00535746"/>
    <w:rsid w:val="00535762"/>
    <w:rsid w:val="005357A5"/>
    <w:rsid w:val="005357B3"/>
    <w:rsid w:val="00535831"/>
    <w:rsid w:val="0053586B"/>
    <w:rsid w:val="005358BF"/>
    <w:rsid w:val="00535962"/>
    <w:rsid w:val="00535971"/>
    <w:rsid w:val="00535982"/>
    <w:rsid w:val="005359EA"/>
    <w:rsid w:val="005359F4"/>
    <w:rsid w:val="00535A0C"/>
    <w:rsid w:val="00535A2C"/>
    <w:rsid w:val="00535ABE"/>
    <w:rsid w:val="00535AF6"/>
    <w:rsid w:val="00535C02"/>
    <w:rsid w:val="00535C81"/>
    <w:rsid w:val="00535DAA"/>
    <w:rsid w:val="00535DDA"/>
    <w:rsid w:val="00535E4A"/>
    <w:rsid w:val="00535EA6"/>
    <w:rsid w:val="00535F04"/>
    <w:rsid w:val="00535F12"/>
    <w:rsid w:val="00535F13"/>
    <w:rsid w:val="00535F96"/>
    <w:rsid w:val="00535FAC"/>
    <w:rsid w:val="00535FCA"/>
    <w:rsid w:val="00535FD9"/>
    <w:rsid w:val="00535FE7"/>
    <w:rsid w:val="005360A2"/>
    <w:rsid w:val="005360D0"/>
    <w:rsid w:val="005360E8"/>
    <w:rsid w:val="005360F7"/>
    <w:rsid w:val="0053611E"/>
    <w:rsid w:val="00536120"/>
    <w:rsid w:val="005361B1"/>
    <w:rsid w:val="005361C1"/>
    <w:rsid w:val="005361F6"/>
    <w:rsid w:val="00536235"/>
    <w:rsid w:val="0053633F"/>
    <w:rsid w:val="0053642A"/>
    <w:rsid w:val="00536455"/>
    <w:rsid w:val="00536497"/>
    <w:rsid w:val="005365D2"/>
    <w:rsid w:val="00536659"/>
    <w:rsid w:val="00536676"/>
    <w:rsid w:val="00536710"/>
    <w:rsid w:val="005367D2"/>
    <w:rsid w:val="005367D5"/>
    <w:rsid w:val="005367E7"/>
    <w:rsid w:val="005367FE"/>
    <w:rsid w:val="0053680A"/>
    <w:rsid w:val="00536894"/>
    <w:rsid w:val="00536900"/>
    <w:rsid w:val="0053692C"/>
    <w:rsid w:val="00536A28"/>
    <w:rsid w:val="00536A4D"/>
    <w:rsid w:val="00536A64"/>
    <w:rsid w:val="00536A6A"/>
    <w:rsid w:val="00536AC5"/>
    <w:rsid w:val="00536C5C"/>
    <w:rsid w:val="00536C8A"/>
    <w:rsid w:val="00536CDF"/>
    <w:rsid w:val="00536D0A"/>
    <w:rsid w:val="00536D6F"/>
    <w:rsid w:val="00536D79"/>
    <w:rsid w:val="00536DD0"/>
    <w:rsid w:val="00536E44"/>
    <w:rsid w:val="00536F18"/>
    <w:rsid w:val="00536FF9"/>
    <w:rsid w:val="00537009"/>
    <w:rsid w:val="00537033"/>
    <w:rsid w:val="00537080"/>
    <w:rsid w:val="005370FC"/>
    <w:rsid w:val="00537140"/>
    <w:rsid w:val="0053716F"/>
    <w:rsid w:val="00537170"/>
    <w:rsid w:val="00537186"/>
    <w:rsid w:val="005371D2"/>
    <w:rsid w:val="005371E5"/>
    <w:rsid w:val="005371E8"/>
    <w:rsid w:val="0053727D"/>
    <w:rsid w:val="005372CA"/>
    <w:rsid w:val="005373CB"/>
    <w:rsid w:val="00537597"/>
    <w:rsid w:val="0053762D"/>
    <w:rsid w:val="00537676"/>
    <w:rsid w:val="00537683"/>
    <w:rsid w:val="005376F9"/>
    <w:rsid w:val="005376FE"/>
    <w:rsid w:val="0053774E"/>
    <w:rsid w:val="00537755"/>
    <w:rsid w:val="00537762"/>
    <w:rsid w:val="005378F4"/>
    <w:rsid w:val="0053797C"/>
    <w:rsid w:val="005379AB"/>
    <w:rsid w:val="005379DB"/>
    <w:rsid w:val="00537A78"/>
    <w:rsid w:val="00537B08"/>
    <w:rsid w:val="00537B82"/>
    <w:rsid w:val="00537C29"/>
    <w:rsid w:val="00537C82"/>
    <w:rsid w:val="00537D46"/>
    <w:rsid w:val="00537D55"/>
    <w:rsid w:val="00537EDF"/>
    <w:rsid w:val="00537F37"/>
    <w:rsid w:val="00537F83"/>
    <w:rsid w:val="00537F9C"/>
    <w:rsid w:val="00537FD1"/>
    <w:rsid w:val="005400B5"/>
    <w:rsid w:val="005400C8"/>
    <w:rsid w:val="005400E5"/>
    <w:rsid w:val="00540103"/>
    <w:rsid w:val="0054012B"/>
    <w:rsid w:val="00540136"/>
    <w:rsid w:val="005401D9"/>
    <w:rsid w:val="005401DB"/>
    <w:rsid w:val="00540237"/>
    <w:rsid w:val="0054024A"/>
    <w:rsid w:val="00540253"/>
    <w:rsid w:val="00540275"/>
    <w:rsid w:val="005402C2"/>
    <w:rsid w:val="005402C8"/>
    <w:rsid w:val="005402CB"/>
    <w:rsid w:val="005402FA"/>
    <w:rsid w:val="0054031D"/>
    <w:rsid w:val="005403C2"/>
    <w:rsid w:val="00540450"/>
    <w:rsid w:val="005404AC"/>
    <w:rsid w:val="005404DA"/>
    <w:rsid w:val="005404DB"/>
    <w:rsid w:val="00540511"/>
    <w:rsid w:val="00540552"/>
    <w:rsid w:val="005406AD"/>
    <w:rsid w:val="0054073D"/>
    <w:rsid w:val="00540783"/>
    <w:rsid w:val="00540785"/>
    <w:rsid w:val="005408A5"/>
    <w:rsid w:val="005408B9"/>
    <w:rsid w:val="005408CE"/>
    <w:rsid w:val="00540934"/>
    <w:rsid w:val="005409B4"/>
    <w:rsid w:val="005409C8"/>
    <w:rsid w:val="00540A0A"/>
    <w:rsid w:val="00540A30"/>
    <w:rsid w:val="00540A43"/>
    <w:rsid w:val="00540A57"/>
    <w:rsid w:val="00540A62"/>
    <w:rsid w:val="00540AD1"/>
    <w:rsid w:val="00540BDF"/>
    <w:rsid w:val="00540BE1"/>
    <w:rsid w:val="00540BE3"/>
    <w:rsid w:val="00540BFA"/>
    <w:rsid w:val="00540C52"/>
    <w:rsid w:val="00540C80"/>
    <w:rsid w:val="00540CAD"/>
    <w:rsid w:val="00540CEF"/>
    <w:rsid w:val="00540DF9"/>
    <w:rsid w:val="00540E98"/>
    <w:rsid w:val="00540F2D"/>
    <w:rsid w:val="00540FFC"/>
    <w:rsid w:val="00541030"/>
    <w:rsid w:val="00541069"/>
    <w:rsid w:val="005410E6"/>
    <w:rsid w:val="0054111B"/>
    <w:rsid w:val="0054119E"/>
    <w:rsid w:val="0054129B"/>
    <w:rsid w:val="005412F3"/>
    <w:rsid w:val="0054130F"/>
    <w:rsid w:val="0054134C"/>
    <w:rsid w:val="0054135F"/>
    <w:rsid w:val="00541381"/>
    <w:rsid w:val="005413C5"/>
    <w:rsid w:val="005413D3"/>
    <w:rsid w:val="00541480"/>
    <w:rsid w:val="0054154A"/>
    <w:rsid w:val="0054157B"/>
    <w:rsid w:val="005415AD"/>
    <w:rsid w:val="005415C7"/>
    <w:rsid w:val="00541625"/>
    <w:rsid w:val="0054164D"/>
    <w:rsid w:val="0054169F"/>
    <w:rsid w:val="005416D7"/>
    <w:rsid w:val="005416EC"/>
    <w:rsid w:val="005418F4"/>
    <w:rsid w:val="00541993"/>
    <w:rsid w:val="00541A31"/>
    <w:rsid w:val="00541A5E"/>
    <w:rsid w:val="00541AF7"/>
    <w:rsid w:val="00541C06"/>
    <w:rsid w:val="00541CD2"/>
    <w:rsid w:val="00541D61"/>
    <w:rsid w:val="00541D6E"/>
    <w:rsid w:val="00541DD6"/>
    <w:rsid w:val="00541DEF"/>
    <w:rsid w:val="00541E01"/>
    <w:rsid w:val="00541F70"/>
    <w:rsid w:val="00541FB2"/>
    <w:rsid w:val="0054201A"/>
    <w:rsid w:val="00542052"/>
    <w:rsid w:val="00542068"/>
    <w:rsid w:val="0054208A"/>
    <w:rsid w:val="0054208E"/>
    <w:rsid w:val="00542113"/>
    <w:rsid w:val="00542134"/>
    <w:rsid w:val="00542137"/>
    <w:rsid w:val="005421BA"/>
    <w:rsid w:val="005421BF"/>
    <w:rsid w:val="005422DE"/>
    <w:rsid w:val="00542319"/>
    <w:rsid w:val="00542349"/>
    <w:rsid w:val="00542360"/>
    <w:rsid w:val="00542390"/>
    <w:rsid w:val="005423DC"/>
    <w:rsid w:val="005423F3"/>
    <w:rsid w:val="0054246E"/>
    <w:rsid w:val="00542584"/>
    <w:rsid w:val="00542665"/>
    <w:rsid w:val="005426E6"/>
    <w:rsid w:val="00542733"/>
    <w:rsid w:val="0054277B"/>
    <w:rsid w:val="00542833"/>
    <w:rsid w:val="00542838"/>
    <w:rsid w:val="0054288B"/>
    <w:rsid w:val="0054289F"/>
    <w:rsid w:val="005428AE"/>
    <w:rsid w:val="00542912"/>
    <w:rsid w:val="00542A1C"/>
    <w:rsid w:val="00542A7C"/>
    <w:rsid w:val="00542AA3"/>
    <w:rsid w:val="00542AEA"/>
    <w:rsid w:val="00542BA0"/>
    <w:rsid w:val="00542BC5"/>
    <w:rsid w:val="00542C3F"/>
    <w:rsid w:val="00542C87"/>
    <w:rsid w:val="00542CA8"/>
    <w:rsid w:val="00542CAE"/>
    <w:rsid w:val="00542CF6"/>
    <w:rsid w:val="00542D1A"/>
    <w:rsid w:val="00542E4F"/>
    <w:rsid w:val="00542E81"/>
    <w:rsid w:val="00542F65"/>
    <w:rsid w:val="00542F75"/>
    <w:rsid w:val="00543136"/>
    <w:rsid w:val="00543232"/>
    <w:rsid w:val="0054326F"/>
    <w:rsid w:val="005432AD"/>
    <w:rsid w:val="005432D0"/>
    <w:rsid w:val="00543330"/>
    <w:rsid w:val="00543338"/>
    <w:rsid w:val="00543352"/>
    <w:rsid w:val="00543408"/>
    <w:rsid w:val="0054340D"/>
    <w:rsid w:val="0054340E"/>
    <w:rsid w:val="00543423"/>
    <w:rsid w:val="00543482"/>
    <w:rsid w:val="005435AC"/>
    <w:rsid w:val="005435FA"/>
    <w:rsid w:val="005436B5"/>
    <w:rsid w:val="00543716"/>
    <w:rsid w:val="00543812"/>
    <w:rsid w:val="00543830"/>
    <w:rsid w:val="00543859"/>
    <w:rsid w:val="00543864"/>
    <w:rsid w:val="005438C6"/>
    <w:rsid w:val="0054395A"/>
    <w:rsid w:val="00543995"/>
    <w:rsid w:val="00543AD2"/>
    <w:rsid w:val="00543B41"/>
    <w:rsid w:val="00543BD7"/>
    <w:rsid w:val="00543C36"/>
    <w:rsid w:val="00543C5A"/>
    <w:rsid w:val="00543C7E"/>
    <w:rsid w:val="00543C86"/>
    <w:rsid w:val="00543CF2"/>
    <w:rsid w:val="00543D06"/>
    <w:rsid w:val="00543D14"/>
    <w:rsid w:val="00543D2B"/>
    <w:rsid w:val="00543D31"/>
    <w:rsid w:val="00543D38"/>
    <w:rsid w:val="00543D64"/>
    <w:rsid w:val="00543DE5"/>
    <w:rsid w:val="00543E30"/>
    <w:rsid w:val="00543E47"/>
    <w:rsid w:val="00543E7C"/>
    <w:rsid w:val="00543E7E"/>
    <w:rsid w:val="00543EF6"/>
    <w:rsid w:val="00543F23"/>
    <w:rsid w:val="00543F6D"/>
    <w:rsid w:val="00543F71"/>
    <w:rsid w:val="00543FA3"/>
    <w:rsid w:val="00544053"/>
    <w:rsid w:val="0054407E"/>
    <w:rsid w:val="005440A4"/>
    <w:rsid w:val="005440BA"/>
    <w:rsid w:val="0054413B"/>
    <w:rsid w:val="00544160"/>
    <w:rsid w:val="00544166"/>
    <w:rsid w:val="00544168"/>
    <w:rsid w:val="00544182"/>
    <w:rsid w:val="00544199"/>
    <w:rsid w:val="005441B5"/>
    <w:rsid w:val="005441FD"/>
    <w:rsid w:val="0054420A"/>
    <w:rsid w:val="0054426A"/>
    <w:rsid w:val="005442E6"/>
    <w:rsid w:val="00544323"/>
    <w:rsid w:val="00544427"/>
    <w:rsid w:val="005444EE"/>
    <w:rsid w:val="005444F3"/>
    <w:rsid w:val="00544563"/>
    <w:rsid w:val="0054458B"/>
    <w:rsid w:val="005445E9"/>
    <w:rsid w:val="0054462B"/>
    <w:rsid w:val="0054467D"/>
    <w:rsid w:val="0054471F"/>
    <w:rsid w:val="0054473B"/>
    <w:rsid w:val="005447C6"/>
    <w:rsid w:val="005447E1"/>
    <w:rsid w:val="0054485E"/>
    <w:rsid w:val="00544868"/>
    <w:rsid w:val="00544928"/>
    <w:rsid w:val="005449AC"/>
    <w:rsid w:val="005449C7"/>
    <w:rsid w:val="00544A2F"/>
    <w:rsid w:val="00544B1B"/>
    <w:rsid w:val="00544B9B"/>
    <w:rsid w:val="00544C42"/>
    <w:rsid w:val="00544C59"/>
    <w:rsid w:val="00544D55"/>
    <w:rsid w:val="00544D5F"/>
    <w:rsid w:val="00544DA4"/>
    <w:rsid w:val="00544DF5"/>
    <w:rsid w:val="00544EC3"/>
    <w:rsid w:val="00544EE9"/>
    <w:rsid w:val="00544F31"/>
    <w:rsid w:val="00544F63"/>
    <w:rsid w:val="00544FB1"/>
    <w:rsid w:val="00544FB9"/>
    <w:rsid w:val="00544FC7"/>
    <w:rsid w:val="00545033"/>
    <w:rsid w:val="00545038"/>
    <w:rsid w:val="0054510E"/>
    <w:rsid w:val="0054511D"/>
    <w:rsid w:val="00545120"/>
    <w:rsid w:val="00545135"/>
    <w:rsid w:val="00545245"/>
    <w:rsid w:val="00545255"/>
    <w:rsid w:val="005452AA"/>
    <w:rsid w:val="005452AD"/>
    <w:rsid w:val="005452FC"/>
    <w:rsid w:val="00545323"/>
    <w:rsid w:val="00545406"/>
    <w:rsid w:val="00545487"/>
    <w:rsid w:val="005454EE"/>
    <w:rsid w:val="00545590"/>
    <w:rsid w:val="00545592"/>
    <w:rsid w:val="005455A5"/>
    <w:rsid w:val="005455FE"/>
    <w:rsid w:val="00545699"/>
    <w:rsid w:val="0054570F"/>
    <w:rsid w:val="00545818"/>
    <w:rsid w:val="00545858"/>
    <w:rsid w:val="00545871"/>
    <w:rsid w:val="00545947"/>
    <w:rsid w:val="00545998"/>
    <w:rsid w:val="005459FE"/>
    <w:rsid w:val="00545A27"/>
    <w:rsid w:val="00545A2C"/>
    <w:rsid w:val="00545B3C"/>
    <w:rsid w:val="00545B9E"/>
    <w:rsid w:val="00545BA5"/>
    <w:rsid w:val="00545C53"/>
    <w:rsid w:val="00545CD0"/>
    <w:rsid w:val="00545D23"/>
    <w:rsid w:val="00545D61"/>
    <w:rsid w:val="00545D66"/>
    <w:rsid w:val="00545E6F"/>
    <w:rsid w:val="00545F05"/>
    <w:rsid w:val="00546130"/>
    <w:rsid w:val="005461FF"/>
    <w:rsid w:val="0054623C"/>
    <w:rsid w:val="0054626C"/>
    <w:rsid w:val="005463EA"/>
    <w:rsid w:val="005464A5"/>
    <w:rsid w:val="005464C4"/>
    <w:rsid w:val="005465A3"/>
    <w:rsid w:val="00546608"/>
    <w:rsid w:val="00546616"/>
    <w:rsid w:val="0054662F"/>
    <w:rsid w:val="0054665C"/>
    <w:rsid w:val="00546672"/>
    <w:rsid w:val="0054683D"/>
    <w:rsid w:val="005468B6"/>
    <w:rsid w:val="00546911"/>
    <w:rsid w:val="00546924"/>
    <w:rsid w:val="0054696A"/>
    <w:rsid w:val="005469C4"/>
    <w:rsid w:val="00546A98"/>
    <w:rsid w:val="00546C96"/>
    <w:rsid w:val="00546CFA"/>
    <w:rsid w:val="00546D2C"/>
    <w:rsid w:val="00546D87"/>
    <w:rsid w:val="00546DC1"/>
    <w:rsid w:val="00546DC7"/>
    <w:rsid w:val="00546EF5"/>
    <w:rsid w:val="00546FDF"/>
    <w:rsid w:val="00547048"/>
    <w:rsid w:val="005470DA"/>
    <w:rsid w:val="005470EB"/>
    <w:rsid w:val="005471A7"/>
    <w:rsid w:val="00547252"/>
    <w:rsid w:val="00547286"/>
    <w:rsid w:val="005472CC"/>
    <w:rsid w:val="005472F7"/>
    <w:rsid w:val="00547359"/>
    <w:rsid w:val="00547382"/>
    <w:rsid w:val="005473B9"/>
    <w:rsid w:val="005473D4"/>
    <w:rsid w:val="00547631"/>
    <w:rsid w:val="00547650"/>
    <w:rsid w:val="00547678"/>
    <w:rsid w:val="00547683"/>
    <w:rsid w:val="005477A8"/>
    <w:rsid w:val="005478F8"/>
    <w:rsid w:val="00547909"/>
    <w:rsid w:val="00547A75"/>
    <w:rsid w:val="00547A99"/>
    <w:rsid w:val="00547B6D"/>
    <w:rsid w:val="00547B95"/>
    <w:rsid w:val="00547BAB"/>
    <w:rsid w:val="00547C73"/>
    <w:rsid w:val="00547C84"/>
    <w:rsid w:val="00547CD7"/>
    <w:rsid w:val="00547D36"/>
    <w:rsid w:val="00547D78"/>
    <w:rsid w:val="00547D80"/>
    <w:rsid w:val="00547DFF"/>
    <w:rsid w:val="00547E1E"/>
    <w:rsid w:val="00547F36"/>
    <w:rsid w:val="00547F54"/>
    <w:rsid w:val="00547FD9"/>
    <w:rsid w:val="00550040"/>
    <w:rsid w:val="0055007D"/>
    <w:rsid w:val="005500FD"/>
    <w:rsid w:val="00550111"/>
    <w:rsid w:val="0055016A"/>
    <w:rsid w:val="0055021F"/>
    <w:rsid w:val="0055027B"/>
    <w:rsid w:val="005502A3"/>
    <w:rsid w:val="00550304"/>
    <w:rsid w:val="00550448"/>
    <w:rsid w:val="0055045F"/>
    <w:rsid w:val="00550595"/>
    <w:rsid w:val="005505C5"/>
    <w:rsid w:val="005505D7"/>
    <w:rsid w:val="005505E7"/>
    <w:rsid w:val="005506B3"/>
    <w:rsid w:val="00550705"/>
    <w:rsid w:val="00550716"/>
    <w:rsid w:val="00550736"/>
    <w:rsid w:val="0055075B"/>
    <w:rsid w:val="005507A4"/>
    <w:rsid w:val="005507CF"/>
    <w:rsid w:val="005507E6"/>
    <w:rsid w:val="005507FA"/>
    <w:rsid w:val="0055083C"/>
    <w:rsid w:val="005508D7"/>
    <w:rsid w:val="0055094E"/>
    <w:rsid w:val="005509B8"/>
    <w:rsid w:val="005509F2"/>
    <w:rsid w:val="00550AD6"/>
    <w:rsid w:val="00550B7B"/>
    <w:rsid w:val="00550B94"/>
    <w:rsid w:val="00550C19"/>
    <w:rsid w:val="00550CBA"/>
    <w:rsid w:val="00550D07"/>
    <w:rsid w:val="00550D24"/>
    <w:rsid w:val="00550D7D"/>
    <w:rsid w:val="00550D84"/>
    <w:rsid w:val="00550DED"/>
    <w:rsid w:val="00550E70"/>
    <w:rsid w:val="00550E90"/>
    <w:rsid w:val="00550E9B"/>
    <w:rsid w:val="00550FBF"/>
    <w:rsid w:val="0055108F"/>
    <w:rsid w:val="005510B1"/>
    <w:rsid w:val="0055112D"/>
    <w:rsid w:val="00551220"/>
    <w:rsid w:val="005513F6"/>
    <w:rsid w:val="005514A5"/>
    <w:rsid w:val="005514D8"/>
    <w:rsid w:val="00551519"/>
    <w:rsid w:val="00551526"/>
    <w:rsid w:val="0055153F"/>
    <w:rsid w:val="00551644"/>
    <w:rsid w:val="005516EB"/>
    <w:rsid w:val="00551709"/>
    <w:rsid w:val="005517A0"/>
    <w:rsid w:val="00551824"/>
    <w:rsid w:val="00551829"/>
    <w:rsid w:val="00551895"/>
    <w:rsid w:val="005518D8"/>
    <w:rsid w:val="005518F8"/>
    <w:rsid w:val="005518FD"/>
    <w:rsid w:val="00551994"/>
    <w:rsid w:val="005519AF"/>
    <w:rsid w:val="00551AB9"/>
    <w:rsid w:val="00551B0E"/>
    <w:rsid w:val="00551B40"/>
    <w:rsid w:val="00551B5B"/>
    <w:rsid w:val="00551B6A"/>
    <w:rsid w:val="00551BBB"/>
    <w:rsid w:val="00551BEE"/>
    <w:rsid w:val="00551BF5"/>
    <w:rsid w:val="00551C32"/>
    <w:rsid w:val="00551C36"/>
    <w:rsid w:val="00551CE7"/>
    <w:rsid w:val="00551CFF"/>
    <w:rsid w:val="00551D8D"/>
    <w:rsid w:val="00551E91"/>
    <w:rsid w:val="00551EE1"/>
    <w:rsid w:val="00551F1B"/>
    <w:rsid w:val="00551F42"/>
    <w:rsid w:val="00551F8C"/>
    <w:rsid w:val="00551FB0"/>
    <w:rsid w:val="0055208D"/>
    <w:rsid w:val="005520C3"/>
    <w:rsid w:val="00552100"/>
    <w:rsid w:val="00552141"/>
    <w:rsid w:val="00552149"/>
    <w:rsid w:val="00552177"/>
    <w:rsid w:val="0055218F"/>
    <w:rsid w:val="00552219"/>
    <w:rsid w:val="005522B5"/>
    <w:rsid w:val="005522CD"/>
    <w:rsid w:val="005523DE"/>
    <w:rsid w:val="00552436"/>
    <w:rsid w:val="005524D7"/>
    <w:rsid w:val="005524DD"/>
    <w:rsid w:val="005524F5"/>
    <w:rsid w:val="00552545"/>
    <w:rsid w:val="00552569"/>
    <w:rsid w:val="0055256A"/>
    <w:rsid w:val="005526B7"/>
    <w:rsid w:val="005526C5"/>
    <w:rsid w:val="0055273A"/>
    <w:rsid w:val="005527BA"/>
    <w:rsid w:val="005527ED"/>
    <w:rsid w:val="005527F3"/>
    <w:rsid w:val="00552834"/>
    <w:rsid w:val="00552880"/>
    <w:rsid w:val="005528E6"/>
    <w:rsid w:val="00552A57"/>
    <w:rsid w:val="00552AAE"/>
    <w:rsid w:val="00552B08"/>
    <w:rsid w:val="00552B29"/>
    <w:rsid w:val="00552B9A"/>
    <w:rsid w:val="00552BCE"/>
    <w:rsid w:val="00552C02"/>
    <w:rsid w:val="00552C83"/>
    <w:rsid w:val="00552CC5"/>
    <w:rsid w:val="00552D67"/>
    <w:rsid w:val="00552DA5"/>
    <w:rsid w:val="00552DAA"/>
    <w:rsid w:val="00552DBD"/>
    <w:rsid w:val="00552E25"/>
    <w:rsid w:val="00552E73"/>
    <w:rsid w:val="00552E74"/>
    <w:rsid w:val="00552EB1"/>
    <w:rsid w:val="00552F2E"/>
    <w:rsid w:val="00552F64"/>
    <w:rsid w:val="00552F9C"/>
    <w:rsid w:val="00553002"/>
    <w:rsid w:val="0055309A"/>
    <w:rsid w:val="005531EC"/>
    <w:rsid w:val="0055322C"/>
    <w:rsid w:val="00553236"/>
    <w:rsid w:val="00553239"/>
    <w:rsid w:val="00553274"/>
    <w:rsid w:val="0055335C"/>
    <w:rsid w:val="00553474"/>
    <w:rsid w:val="00553484"/>
    <w:rsid w:val="0055353A"/>
    <w:rsid w:val="00553591"/>
    <w:rsid w:val="00553614"/>
    <w:rsid w:val="0055362F"/>
    <w:rsid w:val="00553678"/>
    <w:rsid w:val="005536D2"/>
    <w:rsid w:val="00553714"/>
    <w:rsid w:val="00553783"/>
    <w:rsid w:val="005537B2"/>
    <w:rsid w:val="00553861"/>
    <w:rsid w:val="005538B7"/>
    <w:rsid w:val="005538E4"/>
    <w:rsid w:val="005538E5"/>
    <w:rsid w:val="00553908"/>
    <w:rsid w:val="0055399F"/>
    <w:rsid w:val="005539B1"/>
    <w:rsid w:val="00553BAB"/>
    <w:rsid w:val="00553BDD"/>
    <w:rsid w:val="00553BE6"/>
    <w:rsid w:val="00553C01"/>
    <w:rsid w:val="00553C96"/>
    <w:rsid w:val="00553CA4"/>
    <w:rsid w:val="00553CB3"/>
    <w:rsid w:val="00553CE4"/>
    <w:rsid w:val="00553EEE"/>
    <w:rsid w:val="0055408E"/>
    <w:rsid w:val="005540A3"/>
    <w:rsid w:val="00554130"/>
    <w:rsid w:val="00554192"/>
    <w:rsid w:val="0055419A"/>
    <w:rsid w:val="005541E7"/>
    <w:rsid w:val="00554200"/>
    <w:rsid w:val="00554268"/>
    <w:rsid w:val="005542F9"/>
    <w:rsid w:val="00554334"/>
    <w:rsid w:val="005543D3"/>
    <w:rsid w:val="005543FE"/>
    <w:rsid w:val="00554405"/>
    <w:rsid w:val="00554488"/>
    <w:rsid w:val="005545A1"/>
    <w:rsid w:val="005545D9"/>
    <w:rsid w:val="005545E1"/>
    <w:rsid w:val="00554603"/>
    <w:rsid w:val="00554663"/>
    <w:rsid w:val="00554754"/>
    <w:rsid w:val="00554867"/>
    <w:rsid w:val="00554956"/>
    <w:rsid w:val="00554959"/>
    <w:rsid w:val="0055497B"/>
    <w:rsid w:val="00554993"/>
    <w:rsid w:val="005549C6"/>
    <w:rsid w:val="005549F5"/>
    <w:rsid w:val="00554A2E"/>
    <w:rsid w:val="00554AC3"/>
    <w:rsid w:val="00554B56"/>
    <w:rsid w:val="00554BAA"/>
    <w:rsid w:val="00554CD5"/>
    <w:rsid w:val="00554CF2"/>
    <w:rsid w:val="00554D38"/>
    <w:rsid w:val="00554D5E"/>
    <w:rsid w:val="00554D5F"/>
    <w:rsid w:val="00554DB6"/>
    <w:rsid w:val="00554DD9"/>
    <w:rsid w:val="00554E28"/>
    <w:rsid w:val="00554ECC"/>
    <w:rsid w:val="0055505B"/>
    <w:rsid w:val="0055506E"/>
    <w:rsid w:val="0055513C"/>
    <w:rsid w:val="0055515F"/>
    <w:rsid w:val="005551EF"/>
    <w:rsid w:val="00555221"/>
    <w:rsid w:val="0055524A"/>
    <w:rsid w:val="00555292"/>
    <w:rsid w:val="0055529A"/>
    <w:rsid w:val="005552FE"/>
    <w:rsid w:val="00555300"/>
    <w:rsid w:val="00555372"/>
    <w:rsid w:val="00555397"/>
    <w:rsid w:val="005553C3"/>
    <w:rsid w:val="005553CB"/>
    <w:rsid w:val="00555423"/>
    <w:rsid w:val="00555425"/>
    <w:rsid w:val="00555476"/>
    <w:rsid w:val="005554BD"/>
    <w:rsid w:val="005554D4"/>
    <w:rsid w:val="005554F3"/>
    <w:rsid w:val="00555504"/>
    <w:rsid w:val="00555521"/>
    <w:rsid w:val="0055555F"/>
    <w:rsid w:val="00555573"/>
    <w:rsid w:val="00555660"/>
    <w:rsid w:val="0055568D"/>
    <w:rsid w:val="0055570D"/>
    <w:rsid w:val="0055575E"/>
    <w:rsid w:val="00555760"/>
    <w:rsid w:val="005557BC"/>
    <w:rsid w:val="00555817"/>
    <w:rsid w:val="0055581F"/>
    <w:rsid w:val="005558CA"/>
    <w:rsid w:val="00555949"/>
    <w:rsid w:val="0055595D"/>
    <w:rsid w:val="0055599F"/>
    <w:rsid w:val="005559B6"/>
    <w:rsid w:val="005559FE"/>
    <w:rsid w:val="00555A17"/>
    <w:rsid w:val="00555ADC"/>
    <w:rsid w:val="00555ADD"/>
    <w:rsid w:val="00555B07"/>
    <w:rsid w:val="00555C17"/>
    <w:rsid w:val="00555C2A"/>
    <w:rsid w:val="00555C42"/>
    <w:rsid w:val="00555D49"/>
    <w:rsid w:val="00555E81"/>
    <w:rsid w:val="00555F26"/>
    <w:rsid w:val="00555F8D"/>
    <w:rsid w:val="00555FD8"/>
    <w:rsid w:val="00555FE1"/>
    <w:rsid w:val="005560C9"/>
    <w:rsid w:val="00556106"/>
    <w:rsid w:val="0055619C"/>
    <w:rsid w:val="005561B9"/>
    <w:rsid w:val="005561D7"/>
    <w:rsid w:val="005563B5"/>
    <w:rsid w:val="005563D5"/>
    <w:rsid w:val="00556485"/>
    <w:rsid w:val="005564A6"/>
    <w:rsid w:val="005564F6"/>
    <w:rsid w:val="00556563"/>
    <w:rsid w:val="00556694"/>
    <w:rsid w:val="005566BC"/>
    <w:rsid w:val="0055675B"/>
    <w:rsid w:val="005567A9"/>
    <w:rsid w:val="005567DD"/>
    <w:rsid w:val="00556806"/>
    <w:rsid w:val="00556861"/>
    <w:rsid w:val="00556871"/>
    <w:rsid w:val="00556872"/>
    <w:rsid w:val="00556920"/>
    <w:rsid w:val="00556955"/>
    <w:rsid w:val="0055698F"/>
    <w:rsid w:val="005569D7"/>
    <w:rsid w:val="00556A20"/>
    <w:rsid w:val="00556A9B"/>
    <w:rsid w:val="00556AC4"/>
    <w:rsid w:val="00556AD1"/>
    <w:rsid w:val="00556B02"/>
    <w:rsid w:val="00556B4A"/>
    <w:rsid w:val="00556B5E"/>
    <w:rsid w:val="00556BA3"/>
    <w:rsid w:val="00556BB3"/>
    <w:rsid w:val="00556CA8"/>
    <w:rsid w:val="00556CCE"/>
    <w:rsid w:val="00556D0A"/>
    <w:rsid w:val="00556D43"/>
    <w:rsid w:val="00556D62"/>
    <w:rsid w:val="00556D7C"/>
    <w:rsid w:val="00556DC7"/>
    <w:rsid w:val="00556E9F"/>
    <w:rsid w:val="00556F2B"/>
    <w:rsid w:val="00557024"/>
    <w:rsid w:val="00557030"/>
    <w:rsid w:val="0055703E"/>
    <w:rsid w:val="0055706E"/>
    <w:rsid w:val="005570D2"/>
    <w:rsid w:val="00557158"/>
    <w:rsid w:val="00557183"/>
    <w:rsid w:val="005571B2"/>
    <w:rsid w:val="00557252"/>
    <w:rsid w:val="005573F2"/>
    <w:rsid w:val="005573FD"/>
    <w:rsid w:val="00557615"/>
    <w:rsid w:val="00557757"/>
    <w:rsid w:val="0055775A"/>
    <w:rsid w:val="0055788D"/>
    <w:rsid w:val="005578BB"/>
    <w:rsid w:val="005579D8"/>
    <w:rsid w:val="00557A6D"/>
    <w:rsid w:val="00557A8E"/>
    <w:rsid w:val="00557A91"/>
    <w:rsid w:val="00557ABC"/>
    <w:rsid w:val="00557B27"/>
    <w:rsid w:val="00557B97"/>
    <w:rsid w:val="00557D35"/>
    <w:rsid w:val="00557E2E"/>
    <w:rsid w:val="00557E3E"/>
    <w:rsid w:val="00557E73"/>
    <w:rsid w:val="00557E9C"/>
    <w:rsid w:val="00557EBB"/>
    <w:rsid w:val="00557F6E"/>
    <w:rsid w:val="00557FF0"/>
    <w:rsid w:val="0055EA9D"/>
    <w:rsid w:val="0056006A"/>
    <w:rsid w:val="005600A3"/>
    <w:rsid w:val="0056017D"/>
    <w:rsid w:val="0056017E"/>
    <w:rsid w:val="00560205"/>
    <w:rsid w:val="005602A7"/>
    <w:rsid w:val="005602B4"/>
    <w:rsid w:val="00560334"/>
    <w:rsid w:val="005603B2"/>
    <w:rsid w:val="005603B7"/>
    <w:rsid w:val="005603CC"/>
    <w:rsid w:val="00560440"/>
    <w:rsid w:val="0056044F"/>
    <w:rsid w:val="00560472"/>
    <w:rsid w:val="00560476"/>
    <w:rsid w:val="00560512"/>
    <w:rsid w:val="00560518"/>
    <w:rsid w:val="00560557"/>
    <w:rsid w:val="0056058C"/>
    <w:rsid w:val="00560596"/>
    <w:rsid w:val="005605F0"/>
    <w:rsid w:val="005606F7"/>
    <w:rsid w:val="005607AA"/>
    <w:rsid w:val="0056080D"/>
    <w:rsid w:val="00560904"/>
    <w:rsid w:val="00560938"/>
    <w:rsid w:val="0056095B"/>
    <w:rsid w:val="00560AAC"/>
    <w:rsid w:val="00560B50"/>
    <w:rsid w:val="00560BB9"/>
    <w:rsid w:val="00560CB7"/>
    <w:rsid w:val="00560CC8"/>
    <w:rsid w:val="00560D0D"/>
    <w:rsid w:val="00560DCF"/>
    <w:rsid w:val="00560E27"/>
    <w:rsid w:val="00560E44"/>
    <w:rsid w:val="00561044"/>
    <w:rsid w:val="00561066"/>
    <w:rsid w:val="005611C7"/>
    <w:rsid w:val="0056127C"/>
    <w:rsid w:val="0056132F"/>
    <w:rsid w:val="00561344"/>
    <w:rsid w:val="0056146E"/>
    <w:rsid w:val="00561470"/>
    <w:rsid w:val="0056148F"/>
    <w:rsid w:val="005615A6"/>
    <w:rsid w:val="00561718"/>
    <w:rsid w:val="00561722"/>
    <w:rsid w:val="005617B4"/>
    <w:rsid w:val="005617CA"/>
    <w:rsid w:val="00561804"/>
    <w:rsid w:val="0056183B"/>
    <w:rsid w:val="005619FA"/>
    <w:rsid w:val="00561A06"/>
    <w:rsid w:val="00561A3E"/>
    <w:rsid w:val="00561A51"/>
    <w:rsid w:val="00561AD0"/>
    <w:rsid w:val="00561B59"/>
    <w:rsid w:val="00561B8B"/>
    <w:rsid w:val="00561C53"/>
    <w:rsid w:val="00561D7E"/>
    <w:rsid w:val="00561DE5"/>
    <w:rsid w:val="00561E7F"/>
    <w:rsid w:val="00561EA7"/>
    <w:rsid w:val="00561F17"/>
    <w:rsid w:val="00561F34"/>
    <w:rsid w:val="00561F7D"/>
    <w:rsid w:val="00562027"/>
    <w:rsid w:val="00562057"/>
    <w:rsid w:val="005620A2"/>
    <w:rsid w:val="005620D6"/>
    <w:rsid w:val="00562125"/>
    <w:rsid w:val="0056212D"/>
    <w:rsid w:val="005621B9"/>
    <w:rsid w:val="00562244"/>
    <w:rsid w:val="0056226B"/>
    <w:rsid w:val="005622F6"/>
    <w:rsid w:val="00562314"/>
    <w:rsid w:val="0056239D"/>
    <w:rsid w:val="0056245C"/>
    <w:rsid w:val="005624A6"/>
    <w:rsid w:val="00562502"/>
    <w:rsid w:val="005625DA"/>
    <w:rsid w:val="005625ED"/>
    <w:rsid w:val="00562639"/>
    <w:rsid w:val="00562664"/>
    <w:rsid w:val="005626CC"/>
    <w:rsid w:val="005626FF"/>
    <w:rsid w:val="0056276C"/>
    <w:rsid w:val="00562776"/>
    <w:rsid w:val="005627B6"/>
    <w:rsid w:val="005627F8"/>
    <w:rsid w:val="005628AC"/>
    <w:rsid w:val="0056290E"/>
    <w:rsid w:val="00562925"/>
    <w:rsid w:val="00562934"/>
    <w:rsid w:val="00562998"/>
    <w:rsid w:val="00562A1E"/>
    <w:rsid w:val="00562A34"/>
    <w:rsid w:val="00562ADA"/>
    <w:rsid w:val="00562AF2"/>
    <w:rsid w:val="00562B00"/>
    <w:rsid w:val="00562B27"/>
    <w:rsid w:val="00562B46"/>
    <w:rsid w:val="00562BE5"/>
    <w:rsid w:val="00562C09"/>
    <w:rsid w:val="00562C18"/>
    <w:rsid w:val="00562C35"/>
    <w:rsid w:val="00562C3F"/>
    <w:rsid w:val="00562C65"/>
    <w:rsid w:val="00562C6E"/>
    <w:rsid w:val="00562D6D"/>
    <w:rsid w:val="00562D97"/>
    <w:rsid w:val="00562DC5"/>
    <w:rsid w:val="00562F04"/>
    <w:rsid w:val="00563035"/>
    <w:rsid w:val="0056304F"/>
    <w:rsid w:val="005630B0"/>
    <w:rsid w:val="0056311C"/>
    <w:rsid w:val="0056317F"/>
    <w:rsid w:val="00563251"/>
    <w:rsid w:val="00563271"/>
    <w:rsid w:val="00563347"/>
    <w:rsid w:val="00563378"/>
    <w:rsid w:val="0056337F"/>
    <w:rsid w:val="00563409"/>
    <w:rsid w:val="00563465"/>
    <w:rsid w:val="005634AA"/>
    <w:rsid w:val="00563620"/>
    <w:rsid w:val="00563659"/>
    <w:rsid w:val="005636B5"/>
    <w:rsid w:val="00563769"/>
    <w:rsid w:val="00563801"/>
    <w:rsid w:val="00563846"/>
    <w:rsid w:val="00563869"/>
    <w:rsid w:val="005638B9"/>
    <w:rsid w:val="00563915"/>
    <w:rsid w:val="005639DF"/>
    <w:rsid w:val="00563A5D"/>
    <w:rsid w:val="00563A90"/>
    <w:rsid w:val="00563B5C"/>
    <w:rsid w:val="00563CA3"/>
    <w:rsid w:val="00563CB0"/>
    <w:rsid w:val="00563CB7"/>
    <w:rsid w:val="00563D25"/>
    <w:rsid w:val="00563D8E"/>
    <w:rsid w:val="00563E43"/>
    <w:rsid w:val="00563E58"/>
    <w:rsid w:val="00563F38"/>
    <w:rsid w:val="0056403B"/>
    <w:rsid w:val="00564096"/>
    <w:rsid w:val="005640EE"/>
    <w:rsid w:val="0056413F"/>
    <w:rsid w:val="005641C5"/>
    <w:rsid w:val="0056422C"/>
    <w:rsid w:val="0056423B"/>
    <w:rsid w:val="0056426D"/>
    <w:rsid w:val="005642C5"/>
    <w:rsid w:val="005642E8"/>
    <w:rsid w:val="005643E7"/>
    <w:rsid w:val="0056440C"/>
    <w:rsid w:val="0056451C"/>
    <w:rsid w:val="0056454F"/>
    <w:rsid w:val="00564561"/>
    <w:rsid w:val="005645AA"/>
    <w:rsid w:val="005645B8"/>
    <w:rsid w:val="00564610"/>
    <w:rsid w:val="0056463B"/>
    <w:rsid w:val="00564656"/>
    <w:rsid w:val="0056466D"/>
    <w:rsid w:val="005646CD"/>
    <w:rsid w:val="00564792"/>
    <w:rsid w:val="005647A6"/>
    <w:rsid w:val="005647BD"/>
    <w:rsid w:val="00564855"/>
    <w:rsid w:val="00564866"/>
    <w:rsid w:val="005648A4"/>
    <w:rsid w:val="005648CF"/>
    <w:rsid w:val="00564931"/>
    <w:rsid w:val="005649C8"/>
    <w:rsid w:val="00564A40"/>
    <w:rsid w:val="00564AE5"/>
    <w:rsid w:val="00564B1F"/>
    <w:rsid w:val="00564B66"/>
    <w:rsid w:val="00564B90"/>
    <w:rsid w:val="00564C16"/>
    <w:rsid w:val="00564C97"/>
    <w:rsid w:val="00564CBD"/>
    <w:rsid w:val="00564CD1"/>
    <w:rsid w:val="00564CD3"/>
    <w:rsid w:val="00564CEB"/>
    <w:rsid w:val="00564CF0"/>
    <w:rsid w:val="00564D6D"/>
    <w:rsid w:val="00564DD3"/>
    <w:rsid w:val="00564E18"/>
    <w:rsid w:val="00564FD4"/>
    <w:rsid w:val="00564FF4"/>
    <w:rsid w:val="005650B9"/>
    <w:rsid w:val="00565167"/>
    <w:rsid w:val="005651C0"/>
    <w:rsid w:val="00565242"/>
    <w:rsid w:val="00565263"/>
    <w:rsid w:val="0056527C"/>
    <w:rsid w:val="00565295"/>
    <w:rsid w:val="00565299"/>
    <w:rsid w:val="005652C1"/>
    <w:rsid w:val="00565316"/>
    <w:rsid w:val="0056533C"/>
    <w:rsid w:val="00565365"/>
    <w:rsid w:val="00565425"/>
    <w:rsid w:val="005654EA"/>
    <w:rsid w:val="0056555B"/>
    <w:rsid w:val="0056560A"/>
    <w:rsid w:val="00565629"/>
    <w:rsid w:val="0056573A"/>
    <w:rsid w:val="0056575C"/>
    <w:rsid w:val="005657C6"/>
    <w:rsid w:val="005657F6"/>
    <w:rsid w:val="00565800"/>
    <w:rsid w:val="0056589D"/>
    <w:rsid w:val="005658CD"/>
    <w:rsid w:val="005658E3"/>
    <w:rsid w:val="0056594F"/>
    <w:rsid w:val="00565AD5"/>
    <w:rsid w:val="00565AF7"/>
    <w:rsid w:val="00565B40"/>
    <w:rsid w:val="00565B4A"/>
    <w:rsid w:val="00565C0C"/>
    <w:rsid w:val="00565C29"/>
    <w:rsid w:val="00565C9B"/>
    <w:rsid w:val="00565CE1"/>
    <w:rsid w:val="00565DFC"/>
    <w:rsid w:val="00565F60"/>
    <w:rsid w:val="005660D3"/>
    <w:rsid w:val="005660F5"/>
    <w:rsid w:val="00566123"/>
    <w:rsid w:val="0056613D"/>
    <w:rsid w:val="005661B5"/>
    <w:rsid w:val="0056622E"/>
    <w:rsid w:val="00566249"/>
    <w:rsid w:val="005662CB"/>
    <w:rsid w:val="005662DC"/>
    <w:rsid w:val="005662FD"/>
    <w:rsid w:val="00566301"/>
    <w:rsid w:val="0056647C"/>
    <w:rsid w:val="005664FD"/>
    <w:rsid w:val="00566615"/>
    <w:rsid w:val="005666A6"/>
    <w:rsid w:val="00566811"/>
    <w:rsid w:val="0056686C"/>
    <w:rsid w:val="0056695C"/>
    <w:rsid w:val="00566967"/>
    <w:rsid w:val="005669AD"/>
    <w:rsid w:val="005669CD"/>
    <w:rsid w:val="005669FC"/>
    <w:rsid w:val="00566A0D"/>
    <w:rsid w:val="00566A76"/>
    <w:rsid w:val="00566AAC"/>
    <w:rsid w:val="00566B38"/>
    <w:rsid w:val="00566BB9"/>
    <w:rsid w:val="00566DC6"/>
    <w:rsid w:val="00566E1C"/>
    <w:rsid w:val="00566E32"/>
    <w:rsid w:val="00566EA3"/>
    <w:rsid w:val="00566F61"/>
    <w:rsid w:val="00566F6B"/>
    <w:rsid w:val="00566FBE"/>
    <w:rsid w:val="00567005"/>
    <w:rsid w:val="00567076"/>
    <w:rsid w:val="00567120"/>
    <w:rsid w:val="005671A7"/>
    <w:rsid w:val="0056720A"/>
    <w:rsid w:val="00567272"/>
    <w:rsid w:val="00567274"/>
    <w:rsid w:val="0056727E"/>
    <w:rsid w:val="0056728B"/>
    <w:rsid w:val="005672CA"/>
    <w:rsid w:val="00567329"/>
    <w:rsid w:val="00567330"/>
    <w:rsid w:val="0056733E"/>
    <w:rsid w:val="00567477"/>
    <w:rsid w:val="0056749F"/>
    <w:rsid w:val="005674B4"/>
    <w:rsid w:val="00567511"/>
    <w:rsid w:val="00567529"/>
    <w:rsid w:val="00567541"/>
    <w:rsid w:val="0056761A"/>
    <w:rsid w:val="0056762E"/>
    <w:rsid w:val="0056766E"/>
    <w:rsid w:val="005676A0"/>
    <w:rsid w:val="00567819"/>
    <w:rsid w:val="005678BB"/>
    <w:rsid w:val="005678CA"/>
    <w:rsid w:val="005678D0"/>
    <w:rsid w:val="0056795D"/>
    <w:rsid w:val="005679B0"/>
    <w:rsid w:val="005679CA"/>
    <w:rsid w:val="00567A24"/>
    <w:rsid w:val="00567A35"/>
    <w:rsid w:val="00567A84"/>
    <w:rsid w:val="00567AE6"/>
    <w:rsid w:val="00567B72"/>
    <w:rsid w:val="00567B88"/>
    <w:rsid w:val="00567BAE"/>
    <w:rsid w:val="00567BB5"/>
    <w:rsid w:val="00567CB3"/>
    <w:rsid w:val="00567CC4"/>
    <w:rsid w:val="00567CE1"/>
    <w:rsid w:val="00567D25"/>
    <w:rsid w:val="00567D38"/>
    <w:rsid w:val="00567D63"/>
    <w:rsid w:val="00567D8D"/>
    <w:rsid w:val="00567DD2"/>
    <w:rsid w:val="00567E01"/>
    <w:rsid w:val="00567E5F"/>
    <w:rsid w:val="00567EAE"/>
    <w:rsid w:val="00567EB2"/>
    <w:rsid w:val="00567F9A"/>
    <w:rsid w:val="005700D9"/>
    <w:rsid w:val="00570123"/>
    <w:rsid w:val="0057014E"/>
    <w:rsid w:val="00570175"/>
    <w:rsid w:val="005701A9"/>
    <w:rsid w:val="005701BB"/>
    <w:rsid w:val="005701F7"/>
    <w:rsid w:val="00570278"/>
    <w:rsid w:val="00570330"/>
    <w:rsid w:val="00570371"/>
    <w:rsid w:val="0057038C"/>
    <w:rsid w:val="005703A3"/>
    <w:rsid w:val="005703C2"/>
    <w:rsid w:val="0057049D"/>
    <w:rsid w:val="005704E8"/>
    <w:rsid w:val="005705F4"/>
    <w:rsid w:val="0057068A"/>
    <w:rsid w:val="00570729"/>
    <w:rsid w:val="005707A6"/>
    <w:rsid w:val="005707DF"/>
    <w:rsid w:val="00570836"/>
    <w:rsid w:val="0057089E"/>
    <w:rsid w:val="005708D9"/>
    <w:rsid w:val="00570907"/>
    <w:rsid w:val="0057095C"/>
    <w:rsid w:val="00570A01"/>
    <w:rsid w:val="00570A1F"/>
    <w:rsid w:val="00570A20"/>
    <w:rsid w:val="00570A2E"/>
    <w:rsid w:val="00570A3A"/>
    <w:rsid w:val="00570A60"/>
    <w:rsid w:val="00570A70"/>
    <w:rsid w:val="00570BE8"/>
    <w:rsid w:val="00570BEA"/>
    <w:rsid w:val="00570BF0"/>
    <w:rsid w:val="00570C3C"/>
    <w:rsid w:val="00570C58"/>
    <w:rsid w:val="00570C92"/>
    <w:rsid w:val="00570C95"/>
    <w:rsid w:val="00570D02"/>
    <w:rsid w:val="00570D40"/>
    <w:rsid w:val="00570DF9"/>
    <w:rsid w:val="00570E11"/>
    <w:rsid w:val="00570FB5"/>
    <w:rsid w:val="00571030"/>
    <w:rsid w:val="00571045"/>
    <w:rsid w:val="00571046"/>
    <w:rsid w:val="0057104B"/>
    <w:rsid w:val="00571065"/>
    <w:rsid w:val="0057106D"/>
    <w:rsid w:val="0057111E"/>
    <w:rsid w:val="00571125"/>
    <w:rsid w:val="0057118C"/>
    <w:rsid w:val="005711B6"/>
    <w:rsid w:val="005711C5"/>
    <w:rsid w:val="005711EE"/>
    <w:rsid w:val="00571339"/>
    <w:rsid w:val="005713E7"/>
    <w:rsid w:val="0057142B"/>
    <w:rsid w:val="0057145B"/>
    <w:rsid w:val="00571481"/>
    <w:rsid w:val="00571520"/>
    <w:rsid w:val="00571558"/>
    <w:rsid w:val="0057155A"/>
    <w:rsid w:val="00571577"/>
    <w:rsid w:val="00571639"/>
    <w:rsid w:val="005716AC"/>
    <w:rsid w:val="00571723"/>
    <w:rsid w:val="0057173E"/>
    <w:rsid w:val="005717A6"/>
    <w:rsid w:val="005717A9"/>
    <w:rsid w:val="00571891"/>
    <w:rsid w:val="0057199D"/>
    <w:rsid w:val="005719D9"/>
    <w:rsid w:val="00571A5F"/>
    <w:rsid w:val="00571AE8"/>
    <w:rsid w:val="00571B0C"/>
    <w:rsid w:val="00571BA4"/>
    <w:rsid w:val="00571CAB"/>
    <w:rsid w:val="00571D66"/>
    <w:rsid w:val="00571D69"/>
    <w:rsid w:val="00571D8C"/>
    <w:rsid w:val="00571EF3"/>
    <w:rsid w:val="00571EFE"/>
    <w:rsid w:val="00571F00"/>
    <w:rsid w:val="00571F3B"/>
    <w:rsid w:val="00571F5D"/>
    <w:rsid w:val="00571FA3"/>
    <w:rsid w:val="00571FC9"/>
    <w:rsid w:val="00571FE2"/>
    <w:rsid w:val="0057201C"/>
    <w:rsid w:val="0057202E"/>
    <w:rsid w:val="00572040"/>
    <w:rsid w:val="0057207E"/>
    <w:rsid w:val="0057211A"/>
    <w:rsid w:val="0057217A"/>
    <w:rsid w:val="00572183"/>
    <w:rsid w:val="00572239"/>
    <w:rsid w:val="0057224C"/>
    <w:rsid w:val="00572258"/>
    <w:rsid w:val="00572276"/>
    <w:rsid w:val="0057232A"/>
    <w:rsid w:val="0057232D"/>
    <w:rsid w:val="005723E6"/>
    <w:rsid w:val="005723F3"/>
    <w:rsid w:val="0057243E"/>
    <w:rsid w:val="0057244F"/>
    <w:rsid w:val="005724C9"/>
    <w:rsid w:val="0057251F"/>
    <w:rsid w:val="00572567"/>
    <w:rsid w:val="00572569"/>
    <w:rsid w:val="00572585"/>
    <w:rsid w:val="00572615"/>
    <w:rsid w:val="00572683"/>
    <w:rsid w:val="0057278D"/>
    <w:rsid w:val="005727DA"/>
    <w:rsid w:val="005727FD"/>
    <w:rsid w:val="00572880"/>
    <w:rsid w:val="00572895"/>
    <w:rsid w:val="005728C1"/>
    <w:rsid w:val="0057293D"/>
    <w:rsid w:val="00572962"/>
    <w:rsid w:val="00572981"/>
    <w:rsid w:val="005729A1"/>
    <w:rsid w:val="00572A64"/>
    <w:rsid w:val="00572B3C"/>
    <w:rsid w:val="00572B57"/>
    <w:rsid w:val="00572B9B"/>
    <w:rsid w:val="00572BB6"/>
    <w:rsid w:val="00572C30"/>
    <w:rsid w:val="00572D15"/>
    <w:rsid w:val="00572D46"/>
    <w:rsid w:val="00572DEF"/>
    <w:rsid w:val="00572E83"/>
    <w:rsid w:val="00572F8E"/>
    <w:rsid w:val="00572FA3"/>
    <w:rsid w:val="00572FDD"/>
    <w:rsid w:val="00572FF2"/>
    <w:rsid w:val="0057302F"/>
    <w:rsid w:val="00573036"/>
    <w:rsid w:val="00573045"/>
    <w:rsid w:val="005730E5"/>
    <w:rsid w:val="005730F9"/>
    <w:rsid w:val="005730FB"/>
    <w:rsid w:val="0057318A"/>
    <w:rsid w:val="005731D2"/>
    <w:rsid w:val="00573238"/>
    <w:rsid w:val="0057346F"/>
    <w:rsid w:val="005734FC"/>
    <w:rsid w:val="00573550"/>
    <w:rsid w:val="005735D5"/>
    <w:rsid w:val="005735ED"/>
    <w:rsid w:val="00573668"/>
    <w:rsid w:val="00573730"/>
    <w:rsid w:val="0057374A"/>
    <w:rsid w:val="005737AD"/>
    <w:rsid w:val="0057382A"/>
    <w:rsid w:val="005738A8"/>
    <w:rsid w:val="0057399D"/>
    <w:rsid w:val="00573A09"/>
    <w:rsid w:val="00573A61"/>
    <w:rsid w:val="00573B89"/>
    <w:rsid w:val="00573B95"/>
    <w:rsid w:val="00573C5A"/>
    <w:rsid w:val="00573CBF"/>
    <w:rsid w:val="00573CE3"/>
    <w:rsid w:val="00573D8F"/>
    <w:rsid w:val="00573EFF"/>
    <w:rsid w:val="00573F3B"/>
    <w:rsid w:val="00573F52"/>
    <w:rsid w:val="00573F7C"/>
    <w:rsid w:val="00573FC3"/>
    <w:rsid w:val="00573FD8"/>
    <w:rsid w:val="00573FDE"/>
    <w:rsid w:val="00574021"/>
    <w:rsid w:val="005740CD"/>
    <w:rsid w:val="005741F7"/>
    <w:rsid w:val="00574247"/>
    <w:rsid w:val="0057426C"/>
    <w:rsid w:val="00574415"/>
    <w:rsid w:val="00574443"/>
    <w:rsid w:val="00574466"/>
    <w:rsid w:val="0057458D"/>
    <w:rsid w:val="005745C9"/>
    <w:rsid w:val="005745CE"/>
    <w:rsid w:val="0057464D"/>
    <w:rsid w:val="0057467A"/>
    <w:rsid w:val="005746CF"/>
    <w:rsid w:val="0057470F"/>
    <w:rsid w:val="00574795"/>
    <w:rsid w:val="00574849"/>
    <w:rsid w:val="005748D0"/>
    <w:rsid w:val="005749F5"/>
    <w:rsid w:val="00574A19"/>
    <w:rsid w:val="00574A4D"/>
    <w:rsid w:val="00574A76"/>
    <w:rsid w:val="00574B64"/>
    <w:rsid w:val="00574C13"/>
    <w:rsid w:val="00574CAB"/>
    <w:rsid w:val="00574CE2"/>
    <w:rsid w:val="00574D16"/>
    <w:rsid w:val="00574D2B"/>
    <w:rsid w:val="00574D43"/>
    <w:rsid w:val="00574D94"/>
    <w:rsid w:val="00574EC8"/>
    <w:rsid w:val="00574F9D"/>
    <w:rsid w:val="00575056"/>
    <w:rsid w:val="005750B6"/>
    <w:rsid w:val="0057511C"/>
    <w:rsid w:val="0057517D"/>
    <w:rsid w:val="005751B2"/>
    <w:rsid w:val="00575229"/>
    <w:rsid w:val="00575244"/>
    <w:rsid w:val="00575249"/>
    <w:rsid w:val="00575270"/>
    <w:rsid w:val="005752B0"/>
    <w:rsid w:val="00575303"/>
    <w:rsid w:val="00575361"/>
    <w:rsid w:val="00575459"/>
    <w:rsid w:val="005754BE"/>
    <w:rsid w:val="005754BF"/>
    <w:rsid w:val="00575614"/>
    <w:rsid w:val="0057567A"/>
    <w:rsid w:val="00575700"/>
    <w:rsid w:val="00575711"/>
    <w:rsid w:val="00575803"/>
    <w:rsid w:val="005758D1"/>
    <w:rsid w:val="00575931"/>
    <w:rsid w:val="00575990"/>
    <w:rsid w:val="00575A12"/>
    <w:rsid w:val="00575A27"/>
    <w:rsid w:val="00575A71"/>
    <w:rsid w:val="00575CDB"/>
    <w:rsid w:val="00575D4F"/>
    <w:rsid w:val="00575D68"/>
    <w:rsid w:val="00575ED6"/>
    <w:rsid w:val="00576004"/>
    <w:rsid w:val="00576057"/>
    <w:rsid w:val="00576085"/>
    <w:rsid w:val="005760A2"/>
    <w:rsid w:val="00576109"/>
    <w:rsid w:val="00576158"/>
    <w:rsid w:val="0057617B"/>
    <w:rsid w:val="005761A3"/>
    <w:rsid w:val="00576316"/>
    <w:rsid w:val="00576338"/>
    <w:rsid w:val="0057636D"/>
    <w:rsid w:val="00576376"/>
    <w:rsid w:val="005763B6"/>
    <w:rsid w:val="0057643E"/>
    <w:rsid w:val="0057647C"/>
    <w:rsid w:val="005764F5"/>
    <w:rsid w:val="0057655E"/>
    <w:rsid w:val="00576561"/>
    <w:rsid w:val="00576587"/>
    <w:rsid w:val="005765E2"/>
    <w:rsid w:val="0057667F"/>
    <w:rsid w:val="005766CA"/>
    <w:rsid w:val="005766FC"/>
    <w:rsid w:val="00576734"/>
    <w:rsid w:val="0057677C"/>
    <w:rsid w:val="00576812"/>
    <w:rsid w:val="0057681F"/>
    <w:rsid w:val="005768AA"/>
    <w:rsid w:val="005768BB"/>
    <w:rsid w:val="00576919"/>
    <w:rsid w:val="00576940"/>
    <w:rsid w:val="00576999"/>
    <w:rsid w:val="00576A28"/>
    <w:rsid w:val="00576A5C"/>
    <w:rsid w:val="00576A74"/>
    <w:rsid w:val="00576B37"/>
    <w:rsid w:val="00576B88"/>
    <w:rsid w:val="00576B8D"/>
    <w:rsid w:val="00576B9C"/>
    <w:rsid w:val="00576C04"/>
    <w:rsid w:val="00576C1D"/>
    <w:rsid w:val="00576C1E"/>
    <w:rsid w:val="00576CEA"/>
    <w:rsid w:val="00576CFB"/>
    <w:rsid w:val="00576D41"/>
    <w:rsid w:val="00576E07"/>
    <w:rsid w:val="00576E09"/>
    <w:rsid w:val="00576E1F"/>
    <w:rsid w:val="00576F24"/>
    <w:rsid w:val="005770BE"/>
    <w:rsid w:val="00577224"/>
    <w:rsid w:val="00577242"/>
    <w:rsid w:val="00577317"/>
    <w:rsid w:val="00577326"/>
    <w:rsid w:val="005773E6"/>
    <w:rsid w:val="00577436"/>
    <w:rsid w:val="00577437"/>
    <w:rsid w:val="0057744F"/>
    <w:rsid w:val="005774F5"/>
    <w:rsid w:val="0057754E"/>
    <w:rsid w:val="00577690"/>
    <w:rsid w:val="0057770B"/>
    <w:rsid w:val="005777B7"/>
    <w:rsid w:val="00577885"/>
    <w:rsid w:val="0057789E"/>
    <w:rsid w:val="005778A7"/>
    <w:rsid w:val="005778A8"/>
    <w:rsid w:val="005778AE"/>
    <w:rsid w:val="005778CF"/>
    <w:rsid w:val="005779BE"/>
    <w:rsid w:val="00577A03"/>
    <w:rsid w:val="00577A0D"/>
    <w:rsid w:val="00577A6E"/>
    <w:rsid w:val="00577AFE"/>
    <w:rsid w:val="00577C43"/>
    <w:rsid w:val="00577CD7"/>
    <w:rsid w:val="00577CED"/>
    <w:rsid w:val="00577D2A"/>
    <w:rsid w:val="00577D63"/>
    <w:rsid w:val="00577D76"/>
    <w:rsid w:val="00577D79"/>
    <w:rsid w:val="00577D9B"/>
    <w:rsid w:val="00577E05"/>
    <w:rsid w:val="00577E46"/>
    <w:rsid w:val="00577E6E"/>
    <w:rsid w:val="00577E96"/>
    <w:rsid w:val="00577EB3"/>
    <w:rsid w:val="00577EC3"/>
    <w:rsid w:val="00577F20"/>
    <w:rsid w:val="00577F3E"/>
    <w:rsid w:val="00577F7A"/>
    <w:rsid w:val="00577F8A"/>
    <w:rsid w:val="00580088"/>
    <w:rsid w:val="00580093"/>
    <w:rsid w:val="00580124"/>
    <w:rsid w:val="00580149"/>
    <w:rsid w:val="005801B8"/>
    <w:rsid w:val="005801C0"/>
    <w:rsid w:val="005801E6"/>
    <w:rsid w:val="00580309"/>
    <w:rsid w:val="00580314"/>
    <w:rsid w:val="00580367"/>
    <w:rsid w:val="00580375"/>
    <w:rsid w:val="00580394"/>
    <w:rsid w:val="0058047C"/>
    <w:rsid w:val="00580484"/>
    <w:rsid w:val="0058056F"/>
    <w:rsid w:val="00580573"/>
    <w:rsid w:val="005805CF"/>
    <w:rsid w:val="005806CA"/>
    <w:rsid w:val="00580769"/>
    <w:rsid w:val="005808A2"/>
    <w:rsid w:val="00580913"/>
    <w:rsid w:val="0058096C"/>
    <w:rsid w:val="00580A1D"/>
    <w:rsid w:val="00580A7B"/>
    <w:rsid w:val="00580AD9"/>
    <w:rsid w:val="00580ADF"/>
    <w:rsid w:val="00580AE2"/>
    <w:rsid w:val="00580C43"/>
    <w:rsid w:val="00580CC2"/>
    <w:rsid w:val="00580CC4"/>
    <w:rsid w:val="00580D27"/>
    <w:rsid w:val="00580D90"/>
    <w:rsid w:val="00580DDA"/>
    <w:rsid w:val="00580DF0"/>
    <w:rsid w:val="00580E0E"/>
    <w:rsid w:val="00580EA3"/>
    <w:rsid w:val="00580F13"/>
    <w:rsid w:val="00580F1F"/>
    <w:rsid w:val="00580F33"/>
    <w:rsid w:val="00580F59"/>
    <w:rsid w:val="00580F79"/>
    <w:rsid w:val="00581001"/>
    <w:rsid w:val="00581008"/>
    <w:rsid w:val="0058108D"/>
    <w:rsid w:val="005810A7"/>
    <w:rsid w:val="005810AC"/>
    <w:rsid w:val="00581133"/>
    <w:rsid w:val="00581248"/>
    <w:rsid w:val="0058129F"/>
    <w:rsid w:val="005812C5"/>
    <w:rsid w:val="00581396"/>
    <w:rsid w:val="005813E5"/>
    <w:rsid w:val="00581425"/>
    <w:rsid w:val="00581437"/>
    <w:rsid w:val="0058148A"/>
    <w:rsid w:val="0058149E"/>
    <w:rsid w:val="005814D8"/>
    <w:rsid w:val="0058150C"/>
    <w:rsid w:val="00581528"/>
    <w:rsid w:val="00581558"/>
    <w:rsid w:val="0058158D"/>
    <w:rsid w:val="00581602"/>
    <w:rsid w:val="0058166A"/>
    <w:rsid w:val="0058169B"/>
    <w:rsid w:val="00581703"/>
    <w:rsid w:val="00581710"/>
    <w:rsid w:val="00581745"/>
    <w:rsid w:val="0058175F"/>
    <w:rsid w:val="005817AC"/>
    <w:rsid w:val="005817D3"/>
    <w:rsid w:val="0058184B"/>
    <w:rsid w:val="00581958"/>
    <w:rsid w:val="00581A4E"/>
    <w:rsid w:val="00581A5F"/>
    <w:rsid w:val="00581A6A"/>
    <w:rsid w:val="00581A6D"/>
    <w:rsid w:val="00581A8B"/>
    <w:rsid w:val="00581AA3"/>
    <w:rsid w:val="00581AD1"/>
    <w:rsid w:val="00581B73"/>
    <w:rsid w:val="00581BB6"/>
    <w:rsid w:val="00581C22"/>
    <w:rsid w:val="00581C53"/>
    <w:rsid w:val="00581D1B"/>
    <w:rsid w:val="00581D23"/>
    <w:rsid w:val="00581D90"/>
    <w:rsid w:val="00581E61"/>
    <w:rsid w:val="00581E69"/>
    <w:rsid w:val="00581E7C"/>
    <w:rsid w:val="00581EA1"/>
    <w:rsid w:val="00581ED5"/>
    <w:rsid w:val="00581F6E"/>
    <w:rsid w:val="00581F95"/>
    <w:rsid w:val="00582039"/>
    <w:rsid w:val="005820C6"/>
    <w:rsid w:val="00582128"/>
    <w:rsid w:val="00582163"/>
    <w:rsid w:val="005821D5"/>
    <w:rsid w:val="005821E2"/>
    <w:rsid w:val="00582244"/>
    <w:rsid w:val="005822A3"/>
    <w:rsid w:val="00582365"/>
    <w:rsid w:val="00582391"/>
    <w:rsid w:val="005823B2"/>
    <w:rsid w:val="005823FF"/>
    <w:rsid w:val="0058248B"/>
    <w:rsid w:val="00582496"/>
    <w:rsid w:val="005824C9"/>
    <w:rsid w:val="0058252D"/>
    <w:rsid w:val="0058260C"/>
    <w:rsid w:val="0058263D"/>
    <w:rsid w:val="005826B3"/>
    <w:rsid w:val="005826B9"/>
    <w:rsid w:val="00582750"/>
    <w:rsid w:val="00582758"/>
    <w:rsid w:val="0058278B"/>
    <w:rsid w:val="00582847"/>
    <w:rsid w:val="0058289F"/>
    <w:rsid w:val="005828F7"/>
    <w:rsid w:val="00582919"/>
    <w:rsid w:val="005829AD"/>
    <w:rsid w:val="005829BA"/>
    <w:rsid w:val="00582A31"/>
    <w:rsid w:val="00582A54"/>
    <w:rsid w:val="00582AF9"/>
    <w:rsid w:val="00582B76"/>
    <w:rsid w:val="00582BA4"/>
    <w:rsid w:val="00582BE4"/>
    <w:rsid w:val="00582C23"/>
    <w:rsid w:val="00582C91"/>
    <w:rsid w:val="00582CA9"/>
    <w:rsid w:val="00582DEA"/>
    <w:rsid w:val="00582F16"/>
    <w:rsid w:val="00582F22"/>
    <w:rsid w:val="00582F33"/>
    <w:rsid w:val="00582F37"/>
    <w:rsid w:val="00582F5A"/>
    <w:rsid w:val="00582F5B"/>
    <w:rsid w:val="00582FC4"/>
    <w:rsid w:val="00582FE4"/>
    <w:rsid w:val="00582FF8"/>
    <w:rsid w:val="00583123"/>
    <w:rsid w:val="00583144"/>
    <w:rsid w:val="0058316D"/>
    <w:rsid w:val="0058322C"/>
    <w:rsid w:val="00583289"/>
    <w:rsid w:val="00583299"/>
    <w:rsid w:val="005832F5"/>
    <w:rsid w:val="00583381"/>
    <w:rsid w:val="005833F2"/>
    <w:rsid w:val="00583451"/>
    <w:rsid w:val="0058349F"/>
    <w:rsid w:val="0058351F"/>
    <w:rsid w:val="00583619"/>
    <w:rsid w:val="0058364C"/>
    <w:rsid w:val="005836A1"/>
    <w:rsid w:val="005836DC"/>
    <w:rsid w:val="005836EC"/>
    <w:rsid w:val="0058376D"/>
    <w:rsid w:val="00583778"/>
    <w:rsid w:val="0058379A"/>
    <w:rsid w:val="005837E1"/>
    <w:rsid w:val="0058384B"/>
    <w:rsid w:val="0058389A"/>
    <w:rsid w:val="005838A4"/>
    <w:rsid w:val="005838D2"/>
    <w:rsid w:val="00583A1F"/>
    <w:rsid w:val="00583A9A"/>
    <w:rsid w:val="00583B73"/>
    <w:rsid w:val="00583B81"/>
    <w:rsid w:val="00583BA7"/>
    <w:rsid w:val="00583C87"/>
    <w:rsid w:val="00583CC7"/>
    <w:rsid w:val="00583CF2"/>
    <w:rsid w:val="00583E02"/>
    <w:rsid w:val="00583E3F"/>
    <w:rsid w:val="00583E64"/>
    <w:rsid w:val="00583E72"/>
    <w:rsid w:val="00583E96"/>
    <w:rsid w:val="00583EA2"/>
    <w:rsid w:val="00583F17"/>
    <w:rsid w:val="00583F2B"/>
    <w:rsid w:val="00583F92"/>
    <w:rsid w:val="00583FBA"/>
    <w:rsid w:val="0058401C"/>
    <w:rsid w:val="0058402B"/>
    <w:rsid w:val="00584043"/>
    <w:rsid w:val="00584078"/>
    <w:rsid w:val="0058415D"/>
    <w:rsid w:val="0058417A"/>
    <w:rsid w:val="0058421F"/>
    <w:rsid w:val="0058424F"/>
    <w:rsid w:val="00584261"/>
    <w:rsid w:val="00584273"/>
    <w:rsid w:val="00584310"/>
    <w:rsid w:val="0058434D"/>
    <w:rsid w:val="0058445A"/>
    <w:rsid w:val="0058445C"/>
    <w:rsid w:val="00584484"/>
    <w:rsid w:val="005845A2"/>
    <w:rsid w:val="005845BB"/>
    <w:rsid w:val="0058460C"/>
    <w:rsid w:val="0058472B"/>
    <w:rsid w:val="00584738"/>
    <w:rsid w:val="005847A5"/>
    <w:rsid w:val="00584965"/>
    <w:rsid w:val="00584981"/>
    <w:rsid w:val="005849D5"/>
    <w:rsid w:val="00584A55"/>
    <w:rsid w:val="00584A72"/>
    <w:rsid w:val="00584AB1"/>
    <w:rsid w:val="00584AE8"/>
    <w:rsid w:val="00584AFD"/>
    <w:rsid w:val="00584B2C"/>
    <w:rsid w:val="00584B39"/>
    <w:rsid w:val="00584B8A"/>
    <w:rsid w:val="00584BEC"/>
    <w:rsid w:val="00584C35"/>
    <w:rsid w:val="00584C55"/>
    <w:rsid w:val="00584C56"/>
    <w:rsid w:val="00584C71"/>
    <w:rsid w:val="00584DA2"/>
    <w:rsid w:val="00584DE6"/>
    <w:rsid w:val="00584E01"/>
    <w:rsid w:val="00584E2D"/>
    <w:rsid w:val="00584E3B"/>
    <w:rsid w:val="00584E58"/>
    <w:rsid w:val="00584E69"/>
    <w:rsid w:val="00584EA2"/>
    <w:rsid w:val="00584F12"/>
    <w:rsid w:val="00584F13"/>
    <w:rsid w:val="00584F39"/>
    <w:rsid w:val="0058500D"/>
    <w:rsid w:val="0058502A"/>
    <w:rsid w:val="0058504E"/>
    <w:rsid w:val="00585078"/>
    <w:rsid w:val="0058508D"/>
    <w:rsid w:val="0058508F"/>
    <w:rsid w:val="005850AB"/>
    <w:rsid w:val="005851F2"/>
    <w:rsid w:val="00585281"/>
    <w:rsid w:val="0058528C"/>
    <w:rsid w:val="0058539A"/>
    <w:rsid w:val="005853A4"/>
    <w:rsid w:val="005853C7"/>
    <w:rsid w:val="00585400"/>
    <w:rsid w:val="00585409"/>
    <w:rsid w:val="0058548C"/>
    <w:rsid w:val="00585493"/>
    <w:rsid w:val="0058549C"/>
    <w:rsid w:val="00585500"/>
    <w:rsid w:val="00585509"/>
    <w:rsid w:val="005855BB"/>
    <w:rsid w:val="00585677"/>
    <w:rsid w:val="00585697"/>
    <w:rsid w:val="005856D2"/>
    <w:rsid w:val="005856FF"/>
    <w:rsid w:val="005857CF"/>
    <w:rsid w:val="0058581E"/>
    <w:rsid w:val="0058588C"/>
    <w:rsid w:val="005858A5"/>
    <w:rsid w:val="00585936"/>
    <w:rsid w:val="005859BF"/>
    <w:rsid w:val="005859F2"/>
    <w:rsid w:val="00585A02"/>
    <w:rsid w:val="00585B5C"/>
    <w:rsid w:val="00585BA7"/>
    <w:rsid w:val="00585C3F"/>
    <w:rsid w:val="00585CDB"/>
    <w:rsid w:val="00585D91"/>
    <w:rsid w:val="00585DA2"/>
    <w:rsid w:val="00585E53"/>
    <w:rsid w:val="00585E82"/>
    <w:rsid w:val="00585E8C"/>
    <w:rsid w:val="00585EC2"/>
    <w:rsid w:val="00585F50"/>
    <w:rsid w:val="00585F99"/>
    <w:rsid w:val="00585FCB"/>
    <w:rsid w:val="00586002"/>
    <w:rsid w:val="0058603F"/>
    <w:rsid w:val="005860B8"/>
    <w:rsid w:val="00586107"/>
    <w:rsid w:val="00586132"/>
    <w:rsid w:val="005861CC"/>
    <w:rsid w:val="005861DE"/>
    <w:rsid w:val="005862AD"/>
    <w:rsid w:val="005862EA"/>
    <w:rsid w:val="00586393"/>
    <w:rsid w:val="00586470"/>
    <w:rsid w:val="00586484"/>
    <w:rsid w:val="005864CD"/>
    <w:rsid w:val="005864F9"/>
    <w:rsid w:val="00586554"/>
    <w:rsid w:val="005865E7"/>
    <w:rsid w:val="005867F8"/>
    <w:rsid w:val="00586818"/>
    <w:rsid w:val="0058686F"/>
    <w:rsid w:val="00586915"/>
    <w:rsid w:val="00586926"/>
    <w:rsid w:val="00586953"/>
    <w:rsid w:val="0058699D"/>
    <w:rsid w:val="005869F2"/>
    <w:rsid w:val="00586A75"/>
    <w:rsid w:val="00586A85"/>
    <w:rsid w:val="00586AC5"/>
    <w:rsid w:val="00586BC7"/>
    <w:rsid w:val="00586C59"/>
    <w:rsid w:val="00586D37"/>
    <w:rsid w:val="00586DF7"/>
    <w:rsid w:val="00586E7E"/>
    <w:rsid w:val="00586F34"/>
    <w:rsid w:val="00587041"/>
    <w:rsid w:val="005870B5"/>
    <w:rsid w:val="005870C9"/>
    <w:rsid w:val="005870CB"/>
    <w:rsid w:val="005870D3"/>
    <w:rsid w:val="00587102"/>
    <w:rsid w:val="00587134"/>
    <w:rsid w:val="0058714A"/>
    <w:rsid w:val="00587196"/>
    <w:rsid w:val="005871D0"/>
    <w:rsid w:val="00587209"/>
    <w:rsid w:val="00587237"/>
    <w:rsid w:val="00587281"/>
    <w:rsid w:val="005872CA"/>
    <w:rsid w:val="00587313"/>
    <w:rsid w:val="00587423"/>
    <w:rsid w:val="0058742E"/>
    <w:rsid w:val="00587432"/>
    <w:rsid w:val="00587484"/>
    <w:rsid w:val="00587585"/>
    <w:rsid w:val="00587644"/>
    <w:rsid w:val="005876F4"/>
    <w:rsid w:val="005878EB"/>
    <w:rsid w:val="0058798C"/>
    <w:rsid w:val="005879D4"/>
    <w:rsid w:val="00587A6D"/>
    <w:rsid w:val="00587AD2"/>
    <w:rsid w:val="00587AEF"/>
    <w:rsid w:val="00587B90"/>
    <w:rsid w:val="00587BFC"/>
    <w:rsid w:val="00587D1D"/>
    <w:rsid w:val="00587D58"/>
    <w:rsid w:val="00587E18"/>
    <w:rsid w:val="00587E32"/>
    <w:rsid w:val="00587E35"/>
    <w:rsid w:val="00587E49"/>
    <w:rsid w:val="00587E61"/>
    <w:rsid w:val="00587E7B"/>
    <w:rsid w:val="00587E92"/>
    <w:rsid w:val="00587F75"/>
    <w:rsid w:val="00587FBA"/>
    <w:rsid w:val="005900DE"/>
    <w:rsid w:val="005900F0"/>
    <w:rsid w:val="0059010A"/>
    <w:rsid w:val="005901BF"/>
    <w:rsid w:val="00590297"/>
    <w:rsid w:val="005902B0"/>
    <w:rsid w:val="005902D6"/>
    <w:rsid w:val="005902EB"/>
    <w:rsid w:val="0059034C"/>
    <w:rsid w:val="005903F3"/>
    <w:rsid w:val="00590404"/>
    <w:rsid w:val="0059049B"/>
    <w:rsid w:val="005905A3"/>
    <w:rsid w:val="005905E2"/>
    <w:rsid w:val="0059064D"/>
    <w:rsid w:val="0059067E"/>
    <w:rsid w:val="005906A2"/>
    <w:rsid w:val="00590748"/>
    <w:rsid w:val="0059074F"/>
    <w:rsid w:val="00590757"/>
    <w:rsid w:val="00590761"/>
    <w:rsid w:val="005907C7"/>
    <w:rsid w:val="005907F2"/>
    <w:rsid w:val="00590834"/>
    <w:rsid w:val="0059084F"/>
    <w:rsid w:val="00590850"/>
    <w:rsid w:val="00590861"/>
    <w:rsid w:val="005908D5"/>
    <w:rsid w:val="005909ED"/>
    <w:rsid w:val="005909EF"/>
    <w:rsid w:val="005909F1"/>
    <w:rsid w:val="00590A75"/>
    <w:rsid w:val="00590A79"/>
    <w:rsid w:val="00590AA9"/>
    <w:rsid w:val="00590AEE"/>
    <w:rsid w:val="00590AF1"/>
    <w:rsid w:val="00590B20"/>
    <w:rsid w:val="00590B4C"/>
    <w:rsid w:val="00590B4E"/>
    <w:rsid w:val="00590BBC"/>
    <w:rsid w:val="00590CB5"/>
    <w:rsid w:val="00590D39"/>
    <w:rsid w:val="00590D81"/>
    <w:rsid w:val="00590D82"/>
    <w:rsid w:val="00590E4D"/>
    <w:rsid w:val="00591060"/>
    <w:rsid w:val="005910BC"/>
    <w:rsid w:val="005911A6"/>
    <w:rsid w:val="0059124D"/>
    <w:rsid w:val="00591262"/>
    <w:rsid w:val="005912AE"/>
    <w:rsid w:val="00591310"/>
    <w:rsid w:val="00591335"/>
    <w:rsid w:val="005913CD"/>
    <w:rsid w:val="00591432"/>
    <w:rsid w:val="00591494"/>
    <w:rsid w:val="00591546"/>
    <w:rsid w:val="005915DF"/>
    <w:rsid w:val="00591620"/>
    <w:rsid w:val="00591654"/>
    <w:rsid w:val="00591658"/>
    <w:rsid w:val="00591696"/>
    <w:rsid w:val="005916B0"/>
    <w:rsid w:val="00591708"/>
    <w:rsid w:val="00591729"/>
    <w:rsid w:val="00591734"/>
    <w:rsid w:val="005917E9"/>
    <w:rsid w:val="00591808"/>
    <w:rsid w:val="00591845"/>
    <w:rsid w:val="0059188B"/>
    <w:rsid w:val="005918B5"/>
    <w:rsid w:val="00591909"/>
    <w:rsid w:val="005919D0"/>
    <w:rsid w:val="00591A2F"/>
    <w:rsid w:val="00591A30"/>
    <w:rsid w:val="00591AA7"/>
    <w:rsid w:val="00591AA8"/>
    <w:rsid w:val="00591AB7"/>
    <w:rsid w:val="00591B17"/>
    <w:rsid w:val="00591B21"/>
    <w:rsid w:val="00591CD5"/>
    <w:rsid w:val="00591D0D"/>
    <w:rsid w:val="00591DB7"/>
    <w:rsid w:val="00591DC4"/>
    <w:rsid w:val="00591DE1"/>
    <w:rsid w:val="00591EDB"/>
    <w:rsid w:val="00591EE2"/>
    <w:rsid w:val="00592032"/>
    <w:rsid w:val="0059204B"/>
    <w:rsid w:val="00592068"/>
    <w:rsid w:val="00592108"/>
    <w:rsid w:val="00592180"/>
    <w:rsid w:val="005921F7"/>
    <w:rsid w:val="00592223"/>
    <w:rsid w:val="00592224"/>
    <w:rsid w:val="00592238"/>
    <w:rsid w:val="00592251"/>
    <w:rsid w:val="005922D5"/>
    <w:rsid w:val="005922FF"/>
    <w:rsid w:val="005923C5"/>
    <w:rsid w:val="005924FA"/>
    <w:rsid w:val="00592532"/>
    <w:rsid w:val="0059253F"/>
    <w:rsid w:val="00592549"/>
    <w:rsid w:val="00592594"/>
    <w:rsid w:val="005925C2"/>
    <w:rsid w:val="00592653"/>
    <w:rsid w:val="005926A5"/>
    <w:rsid w:val="005926C9"/>
    <w:rsid w:val="005926D4"/>
    <w:rsid w:val="005926EB"/>
    <w:rsid w:val="005926EE"/>
    <w:rsid w:val="005926FF"/>
    <w:rsid w:val="005927BB"/>
    <w:rsid w:val="005927C1"/>
    <w:rsid w:val="00592912"/>
    <w:rsid w:val="00592987"/>
    <w:rsid w:val="00592B70"/>
    <w:rsid w:val="00592BE9"/>
    <w:rsid w:val="00592C05"/>
    <w:rsid w:val="00592C6C"/>
    <w:rsid w:val="00592C7F"/>
    <w:rsid w:val="00592D62"/>
    <w:rsid w:val="00592D90"/>
    <w:rsid w:val="00592DA8"/>
    <w:rsid w:val="00592E75"/>
    <w:rsid w:val="00592F91"/>
    <w:rsid w:val="00592FFB"/>
    <w:rsid w:val="00593082"/>
    <w:rsid w:val="005930CC"/>
    <w:rsid w:val="00593350"/>
    <w:rsid w:val="0059336A"/>
    <w:rsid w:val="00593375"/>
    <w:rsid w:val="005933F2"/>
    <w:rsid w:val="0059341E"/>
    <w:rsid w:val="00593461"/>
    <w:rsid w:val="005935C7"/>
    <w:rsid w:val="0059366E"/>
    <w:rsid w:val="0059368A"/>
    <w:rsid w:val="005936E7"/>
    <w:rsid w:val="005936F6"/>
    <w:rsid w:val="0059371B"/>
    <w:rsid w:val="005937F1"/>
    <w:rsid w:val="0059380C"/>
    <w:rsid w:val="005938D5"/>
    <w:rsid w:val="00593979"/>
    <w:rsid w:val="00593AA0"/>
    <w:rsid w:val="00593ACF"/>
    <w:rsid w:val="00593AED"/>
    <w:rsid w:val="00593B76"/>
    <w:rsid w:val="00593C05"/>
    <w:rsid w:val="00593C12"/>
    <w:rsid w:val="00593CE0"/>
    <w:rsid w:val="00593DC9"/>
    <w:rsid w:val="00593E58"/>
    <w:rsid w:val="00593E76"/>
    <w:rsid w:val="00593EBD"/>
    <w:rsid w:val="00593ECE"/>
    <w:rsid w:val="00593FAA"/>
    <w:rsid w:val="00594097"/>
    <w:rsid w:val="00594106"/>
    <w:rsid w:val="00594120"/>
    <w:rsid w:val="0059420F"/>
    <w:rsid w:val="0059427D"/>
    <w:rsid w:val="00594326"/>
    <w:rsid w:val="00594355"/>
    <w:rsid w:val="00594358"/>
    <w:rsid w:val="00594400"/>
    <w:rsid w:val="00594443"/>
    <w:rsid w:val="00594445"/>
    <w:rsid w:val="005945F5"/>
    <w:rsid w:val="00594635"/>
    <w:rsid w:val="005946B5"/>
    <w:rsid w:val="00594744"/>
    <w:rsid w:val="0059476F"/>
    <w:rsid w:val="0059477A"/>
    <w:rsid w:val="005947BB"/>
    <w:rsid w:val="00594858"/>
    <w:rsid w:val="00594887"/>
    <w:rsid w:val="005948A2"/>
    <w:rsid w:val="00594949"/>
    <w:rsid w:val="005949FC"/>
    <w:rsid w:val="00594A90"/>
    <w:rsid w:val="00594B4B"/>
    <w:rsid w:val="00594BC3"/>
    <w:rsid w:val="00594BE2"/>
    <w:rsid w:val="00594C3F"/>
    <w:rsid w:val="00594D7D"/>
    <w:rsid w:val="00594E0A"/>
    <w:rsid w:val="00594E45"/>
    <w:rsid w:val="00594FB2"/>
    <w:rsid w:val="00594FC0"/>
    <w:rsid w:val="00595064"/>
    <w:rsid w:val="005950B8"/>
    <w:rsid w:val="005950DD"/>
    <w:rsid w:val="005951C6"/>
    <w:rsid w:val="00595253"/>
    <w:rsid w:val="0059531E"/>
    <w:rsid w:val="00595345"/>
    <w:rsid w:val="005953C9"/>
    <w:rsid w:val="00595463"/>
    <w:rsid w:val="00595476"/>
    <w:rsid w:val="005954C9"/>
    <w:rsid w:val="005954EB"/>
    <w:rsid w:val="005954F0"/>
    <w:rsid w:val="005955DF"/>
    <w:rsid w:val="0059563B"/>
    <w:rsid w:val="005956DC"/>
    <w:rsid w:val="005957DF"/>
    <w:rsid w:val="00595871"/>
    <w:rsid w:val="005958E1"/>
    <w:rsid w:val="005958E7"/>
    <w:rsid w:val="0059592D"/>
    <w:rsid w:val="005959F7"/>
    <w:rsid w:val="00595A04"/>
    <w:rsid w:val="00595A3C"/>
    <w:rsid w:val="00595A48"/>
    <w:rsid w:val="00595A49"/>
    <w:rsid w:val="00595A7C"/>
    <w:rsid w:val="00595A82"/>
    <w:rsid w:val="00595AB7"/>
    <w:rsid w:val="00595AD8"/>
    <w:rsid w:val="00595B09"/>
    <w:rsid w:val="00595CEB"/>
    <w:rsid w:val="00595CEC"/>
    <w:rsid w:val="00595DB7"/>
    <w:rsid w:val="00595E15"/>
    <w:rsid w:val="00595E8B"/>
    <w:rsid w:val="00595E93"/>
    <w:rsid w:val="00595F80"/>
    <w:rsid w:val="00595F8A"/>
    <w:rsid w:val="00596012"/>
    <w:rsid w:val="00596088"/>
    <w:rsid w:val="00596096"/>
    <w:rsid w:val="0059609A"/>
    <w:rsid w:val="005960DD"/>
    <w:rsid w:val="0059611E"/>
    <w:rsid w:val="00596144"/>
    <w:rsid w:val="00596169"/>
    <w:rsid w:val="005961FA"/>
    <w:rsid w:val="00596209"/>
    <w:rsid w:val="00596216"/>
    <w:rsid w:val="0059628D"/>
    <w:rsid w:val="0059639E"/>
    <w:rsid w:val="005963BB"/>
    <w:rsid w:val="005963E9"/>
    <w:rsid w:val="00596480"/>
    <w:rsid w:val="005964DB"/>
    <w:rsid w:val="005964F7"/>
    <w:rsid w:val="00596514"/>
    <w:rsid w:val="0059651F"/>
    <w:rsid w:val="005965B4"/>
    <w:rsid w:val="00596624"/>
    <w:rsid w:val="005966B3"/>
    <w:rsid w:val="005966CA"/>
    <w:rsid w:val="005966FA"/>
    <w:rsid w:val="005967F1"/>
    <w:rsid w:val="00596801"/>
    <w:rsid w:val="00596868"/>
    <w:rsid w:val="0059686A"/>
    <w:rsid w:val="0059692E"/>
    <w:rsid w:val="00596931"/>
    <w:rsid w:val="00596956"/>
    <w:rsid w:val="0059696D"/>
    <w:rsid w:val="0059697B"/>
    <w:rsid w:val="00596981"/>
    <w:rsid w:val="0059698C"/>
    <w:rsid w:val="00596ACA"/>
    <w:rsid w:val="00596B3A"/>
    <w:rsid w:val="00596B6C"/>
    <w:rsid w:val="00596C8A"/>
    <w:rsid w:val="00596CED"/>
    <w:rsid w:val="00596CF0"/>
    <w:rsid w:val="00596D29"/>
    <w:rsid w:val="00596D74"/>
    <w:rsid w:val="00596DC0"/>
    <w:rsid w:val="00596F15"/>
    <w:rsid w:val="00596F3C"/>
    <w:rsid w:val="0059705D"/>
    <w:rsid w:val="005970C2"/>
    <w:rsid w:val="005970CA"/>
    <w:rsid w:val="00597126"/>
    <w:rsid w:val="00597164"/>
    <w:rsid w:val="00597231"/>
    <w:rsid w:val="0059726E"/>
    <w:rsid w:val="005972C4"/>
    <w:rsid w:val="005972C5"/>
    <w:rsid w:val="005972CF"/>
    <w:rsid w:val="00597316"/>
    <w:rsid w:val="005973C4"/>
    <w:rsid w:val="005973D9"/>
    <w:rsid w:val="0059740F"/>
    <w:rsid w:val="00597416"/>
    <w:rsid w:val="005974BE"/>
    <w:rsid w:val="00597596"/>
    <w:rsid w:val="005975BB"/>
    <w:rsid w:val="005975E3"/>
    <w:rsid w:val="00597600"/>
    <w:rsid w:val="00597683"/>
    <w:rsid w:val="005976A8"/>
    <w:rsid w:val="005976E1"/>
    <w:rsid w:val="005978F2"/>
    <w:rsid w:val="0059795F"/>
    <w:rsid w:val="00597A43"/>
    <w:rsid w:val="00597A65"/>
    <w:rsid w:val="00597AB7"/>
    <w:rsid w:val="00597ACB"/>
    <w:rsid w:val="00597AE0"/>
    <w:rsid w:val="00597B44"/>
    <w:rsid w:val="00597B5F"/>
    <w:rsid w:val="00597B6C"/>
    <w:rsid w:val="00597BE6"/>
    <w:rsid w:val="00597C6D"/>
    <w:rsid w:val="00597CD5"/>
    <w:rsid w:val="00597D09"/>
    <w:rsid w:val="00597D5C"/>
    <w:rsid w:val="00597DD6"/>
    <w:rsid w:val="00597E91"/>
    <w:rsid w:val="00597ECA"/>
    <w:rsid w:val="00597EF2"/>
    <w:rsid w:val="00597F05"/>
    <w:rsid w:val="00597F2B"/>
    <w:rsid w:val="00597F2E"/>
    <w:rsid w:val="00597F60"/>
    <w:rsid w:val="005A0018"/>
    <w:rsid w:val="005A001C"/>
    <w:rsid w:val="005A00B9"/>
    <w:rsid w:val="005A0153"/>
    <w:rsid w:val="005A0214"/>
    <w:rsid w:val="005A02EA"/>
    <w:rsid w:val="005A02F7"/>
    <w:rsid w:val="005A038A"/>
    <w:rsid w:val="005A03B1"/>
    <w:rsid w:val="005A0416"/>
    <w:rsid w:val="005A047E"/>
    <w:rsid w:val="005A04D8"/>
    <w:rsid w:val="005A056A"/>
    <w:rsid w:val="005A056D"/>
    <w:rsid w:val="005A058C"/>
    <w:rsid w:val="005A05DA"/>
    <w:rsid w:val="005A060C"/>
    <w:rsid w:val="005A061E"/>
    <w:rsid w:val="005A0625"/>
    <w:rsid w:val="005A0719"/>
    <w:rsid w:val="005A0720"/>
    <w:rsid w:val="005A07A8"/>
    <w:rsid w:val="005A07D7"/>
    <w:rsid w:val="005A085F"/>
    <w:rsid w:val="005A0864"/>
    <w:rsid w:val="005A0972"/>
    <w:rsid w:val="005A098B"/>
    <w:rsid w:val="005A09AD"/>
    <w:rsid w:val="005A09EE"/>
    <w:rsid w:val="005A0A49"/>
    <w:rsid w:val="005A0A9A"/>
    <w:rsid w:val="005A0ABB"/>
    <w:rsid w:val="005A0BB6"/>
    <w:rsid w:val="005A0BBC"/>
    <w:rsid w:val="005A0C48"/>
    <w:rsid w:val="005A0CE0"/>
    <w:rsid w:val="005A0D68"/>
    <w:rsid w:val="005A0DBB"/>
    <w:rsid w:val="005A0EA5"/>
    <w:rsid w:val="005A0EEA"/>
    <w:rsid w:val="005A0FC5"/>
    <w:rsid w:val="005A1052"/>
    <w:rsid w:val="005A1068"/>
    <w:rsid w:val="005A10FF"/>
    <w:rsid w:val="005A1181"/>
    <w:rsid w:val="005A123F"/>
    <w:rsid w:val="005A12DF"/>
    <w:rsid w:val="005A1346"/>
    <w:rsid w:val="005A135E"/>
    <w:rsid w:val="005A138B"/>
    <w:rsid w:val="005A13CE"/>
    <w:rsid w:val="005A1421"/>
    <w:rsid w:val="005A1454"/>
    <w:rsid w:val="005A152E"/>
    <w:rsid w:val="005A15CF"/>
    <w:rsid w:val="005A1607"/>
    <w:rsid w:val="005A1665"/>
    <w:rsid w:val="005A16C8"/>
    <w:rsid w:val="005A17AE"/>
    <w:rsid w:val="005A17DF"/>
    <w:rsid w:val="005A1837"/>
    <w:rsid w:val="005A1863"/>
    <w:rsid w:val="005A1885"/>
    <w:rsid w:val="005A1892"/>
    <w:rsid w:val="005A18BC"/>
    <w:rsid w:val="005A1A1B"/>
    <w:rsid w:val="005A1C60"/>
    <w:rsid w:val="005A1CB7"/>
    <w:rsid w:val="005A1CC9"/>
    <w:rsid w:val="005A1DC4"/>
    <w:rsid w:val="005A1DD2"/>
    <w:rsid w:val="005A1DF5"/>
    <w:rsid w:val="005A1E38"/>
    <w:rsid w:val="005A1E3B"/>
    <w:rsid w:val="005A1EA2"/>
    <w:rsid w:val="005A1F4E"/>
    <w:rsid w:val="005A207E"/>
    <w:rsid w:val="005A21A0"/>
    <w:rsid w:val="005A2212"/>
    <w:rsid w:val="005A2225"/>
    <w:rsid w:val="005A2351"/>
    <w:rsid w:val="005A2395"/>
    <w:rsid w:val="005A23E1"/>
    <w:rsid w:val="005A2473"/>
    <w:rsid w:val="005A2492"/>
    <w:rsid w:val="005A24BF"/>
    <w:rsid w:val="005A24F9"/>
    <w:rsid w:val="005A250B"/>
    <w:rsid w:val="005A251E"/>
    <w:rsid w:val="005A259E"/>
    <w:rsid w:val="005A25C2"/>
    <w:rsid w:val="005A2605"/>
    <w:rsid w:val="005A260F"/>
    <w:rsid w:val="005A2701"/>
    <w:rsid w:val="005A276A"/>
    <w:rsid w:val="005A2780"/>
    <w:rsid w:val="005A27AC"/>
    <w:rsid w:val="005A289D"/>
    <w:rsid w:val="005A28B6"/>
    <w:rsid w:val="005A28E3"/>
    <w:rsid w:val="005A292F"/>
    <w:rsid w:val="005A2937"/>
    <w:rsid w:val="005A29CF"/>
    <w:rsid w:val="005A29F6"/>
    <w:rsid w:val="005A2A1A"/>
    <w:rsid w:val="005A2A77"/>
    <w:rsid w:val="005A2B12"/>
    <w:rsid w:val="005A2B77"/>
    <w:rsid w:val="005A2BA1"/>
    <w:rsid w:val="005A2BEB"/>
    <w:rsid w:val="005A2CC0"/>
    <w:rsid w:val="005A2CDC"/>
    <w:rsid w:val="005A2DC0"/>
    <w:rsid w:val="005A2E61"/>
    <w:rsid w:val="005A2E9D"/>
    <w:rsid w:val="005A2FFC"/>
    <w:rsid w:val="005A3061"/>
    <w:rsid w:val="005A30D5"/>
    <w:rsid w:val="005A30DE"/>
    <w:rsid w:val="005A3112"/>
    <w:rsid w:val="005A319F"/>
    <w:rsid w:val="005A31F3"/>
    <w:rsid w:val="005A3202"/>
    <w:rsid w:val="005A3291"/>
    <w:rsid w:val="005A32D0"/>
    <w:rsid w:val="005A3414"/>
    <w:rsid w:val="005A3442"/>
    <w:rsid w:val="005A3477"/>
    <w:rsid w:val="005A34B9"/>
    <w:rsid w:val="005A34F4"/>
    <w:rsid w:val="005A355B"/>
    <w:rsid w:val="005A35B6"/>
    <w:rsid w:val="005A366E"/>
    <w:rsid w:val="005A36A5"/>
    <w:rsid w:val="005A375C"/>
    <w:rsid w:val="005A3769"/>
    <w:rsid w:val="005A3804"/>
    <w:rsid w:val="005A388A"/>
    <w:rsid w:val="005A38B2"/>
    <w:rsid w:val="005A38F9"/>
    <w:rsid w:val="005A392C"/>
    <w:rsid w:val="005A3993"/>
    <w:rsid w:val="005A3998"/>
    <w:rsid w:val="005A3A95"/>
    <w:rsid w:val="005A3B5E"/>
    <w:rsid w:val="005A3BD9"/>
    <w:rsid w:val="005A3C94"/>
    <w:rsid w:val="005A3D13"/>
    <w:rsid w:val="005A3D33"/>
    <w:rsid w:val="005A3D3C"/>
    <w:rsid w:val="005A3ECF"/>
    <w:rsid w:val="005A3F61"/>
    <w:rsid w:val="005A3F79"/>
    <w:rsid w:val="005A3FEB"/>
    <w:rsid w:val="005A4166"/>
    <w:rsid w:val="005A4223"/>
    <w:rsid w:val="005A439B"/>
    <w:rsid w:val="005A4477"/>
    <w:rsid w:val="005A44F0"/>
    <w:rsid w:val="005A4530"/>
    <w:rsid w:val="005A45B2"/>
    <w:rsid w:val="005A45BE"/>
    <w:rsid w:val="005A45CC"/>
    <w:rsid w:val="005A45D3"/>
    <w:rsid w:val="005A45D4"/>
    <w:rsid w:val="005A4628"/>
    <w:rsid w:val="005A46C3"/>
    <w:rsid w:val="005A4735"/>
    <w:rsid w:val="005A475D"/>
    <w:rsid w:val="005A4777"/>
    <w:rsid w:val="005A477C"/>
    <w:rsid w:val="005A47F6"/>
    <w:rsid w:val="005A4805"/>
    <w:rsid w:val="005A482D"/>
    <w:rsid w:val="005A48A2"/>
    <w:rsid w:val="005A4968"/>
    <w:rsid w:val="005A496E"/>
    <w:rsid w:val="005A49D1"/>
    <w:rsid w:val="005A4A20"/>
    <w:rsid w:val="005A4BF9"/>
    <w:rsid w:val="005A4C02"/>
    <w:rsid w:val="005A4C19"/>
    <w:rsid w:val="005A4C88"/>
    <w:rsid w:val="005A4CA6"/>
    <w:rsid w:val="005A4CC4"/>
    <w:rsid w:val="005A4CD9"/>
    <w:rsid w:val="005A4D53"/>
    <w:rsid w:val="005A4D97"/>
    <w:rsid w:val="005A4E65"/>
    <w:rsid w:val="005A4ED7"/>
    <w:rsid w:val="005A4EE5"/>
    <w:rsid w:val="005A4F5B"/>
    <w:rsid w:val="005A4F5C"/>
    <w:rsid w:val="005A4F7E"/>
    <w:rsid w:val="005A4F8D"/>
    <w:rsid w:val="005A4FD0"/>
    <w:rsid w:val="005A5033"/>
    <w:rsid w:val="005A508C"/>
    <w:rsid w:val="005A5117"/>
    <w:rsid w:val="005A512B"/>
    <w:rsid w:val="005A515B"/>
    <w:rsid w:val="005A516D"/>
    <w:rsid w:val="005A5194"/>
    <w:rsid w:val="005A519C"/>
    <w:rsid w:val="005A51CB"/>
    <w:rsid w:val="005A51CE"/>
    <w:rsid w:val="005A51D0"/>
    <w:rsid w:val="005A5350"/>
    <w:rsid w:val="005A53AD"/>
    <w:rsid w:val="005A5425"/>
    <w:rsid w:val="005A54A6"/>
    <w:rsid w:val="005A54C5"/>
    <w:rsid w:val="005A54CE"/>
    <w:rsid w:val="005A54D5"/>
    <w:rsid w:val="005A556E"/>
    <w:rsid w:val="005A55C9"/>
    <w:rsid w:val="005A56F3"/>
    <w:rsid w:val="005A5703"/>
    <w:rsid w:val="005A571E"/>
    <w:rsid w:val="005A5784"/>
    <w:rsid w:val="005A57EA"/>
    <w:rsid w:val="005A57F2"/>
    <w:rsid w:val="005A584F"/>
    <w:rsid w:val="005A58A8"/>
    <w:rsid w:val="005A58A9"/>
    <w:rsid w:val="005A58AC"/>
    <w:rsid w:val="005A5936"/>
    <w:rsid w:val="005A595E"/>
    <w:rsid w:val="005A5973"/>
    <w:rsid w:val="005A59B0"/>
    <w:rsid w:val="005A5A11"/>
    <w:rsid w:val="005A5A36"/>
    <w:rsid w:val="005A5A84"/>
    <w:rsid w:val="005A5AFF"/>
    <w:rsid w:val="005A5B10"/>
    <w:rsid w:val="005A5B25"/>
    <w:rsid w:val="005A5B81"/>
    <w:rsid w:val="005A5BEF"/>
    <w:rsid w:val="005A5C2D"/>
    <w:rsid w:val="005A5D98"/>
    <w:rsid w:val="005A5E7F"/>
    <w:rsid w:val="005A5ECA"/>
    <w:rsid w:val="005A5EDA"/>
    <w:rsid w:val="005A5EE1"/>
    <w:rsid w:val="005A5F27"/>
    <w:rsid w:val="005A5F57"/>
    <w:rsid w:val="005A5FA3"/>
    <w:rsid w:val="005A5FED"/>
    <w:rsid w:val="005A60C0"/>
    <w:rsid w:val="005A60DF"/>
    <w:rsid w:val="005A60FF"/>
    <w:rsid w:val="005A62D0"/>
    <w:rsid w:val="005A630F"/>
    <w:rsid w:val="005A6435"/>
    <w:rsid w:val="005A647B"/>
    <w:rsid w:val="005A65AF"/>
    <w:rsid w:val="005A6628"/>
    <w:rsid w:val="005A666E"/>
    <w:rsid w:val="005A6713"/>
    <w:rsid w:val="005A6786"/>
    <w:rsid w:val="005A67D1"/>
    <w:rsid w:val="005A686A"/>
    <w:rsid w:val="005A688D"/>
    <w:rsid w:val="005A68BB"/>
    <w:rsid w:val="005A6975"/>
    <w:rsid w:val="005A69CA"/>
    <w:rsid w:val="005A69E9"/>
    <w:rsid w:val="005A69F5"/>
    <w:rsid w:val="005A6A30"/>
    <w:rsid w:val="005A6A90"/>
    <w:rsid w:val="005A6AAD"/>
    <w:rsid w:val="005A6AC6"/>
    <w:rsid w:val="005A6B60"/>
    <w:rsid w:val="005A6C01"/>
    <w:rsid w:val="005A6CB9"/>
    <w:rsid w:val="005A6CC5"/>
    <w:rsid w:val="005A6CF3"/>
    <w:rsid w:val="005A6D87"/>
    <w:rsid w:val="005A6E21"/>
    <w:rsid w:val="005A6EA5"/>
    <w:rsid w:val="005A7088"/>
    <w:rsid w:val="005A7162"/>
    <w:rsid w:val="005A72AB"/>
    <w:rsid w:val="005A7353"/>
    <w:rsid w:val="005A73C9"/>
    <w:rsid w:val="005A7435"/>
    <w:rsid w:val="005A746B"/>
    <w:rsid w:val="005A74E7"/>
    <w:rsid w:val="005A750A"/>
    <w:rsid w:val="005A754B"/>
    <w:rsid w:val="005A762A"/>
    <w:rsid w:val="005A76AA"/>
    <w:rsid w:val="005A7810"/>
    <w:rsid w:val="005A7955"/>
    <w:rsid w:val="005A7990"/>
    <w:rsid w:val="005A7C38"/>
    <w:rsid w:val="005A7C7A"/>
    <w:rsid w:val="005A7CD9"/>
    <w:rsid w:val="005A7D04"/>
    <w:rsid w:val="005A7D91"/>
    <w:rsid w:val="005A7E5B"/>
    <w:rsid w:val="005B0009"/>
    <w:rsid w:val="005B006E"/>
    <w:rsid w:val="005B0081"/>
    <w:rsid w:val="005B01B5"/>
    <w:rsid w:val="005B01B8"/>
    <w:rsid w:val="005B0222"/>
    <w:rsid w:val="005B031B"/>
    <w:rsid w:val="005B0325"/>
    <w:rsid w:val="005B0397"/>
    <w:rsid w:val="005B0456"/>
    <w:rsid w:val="005B0462"/>
    <w:rsid w:val="005B04DC"/>
    <w:rsid w:val="005B04EB"/>
    <w:rsid w:val="005B0535"/>
    <w:rsid w:val="005B05CE"/>
    <w:rsid w:val="005B061A"/>
    <w:rsid w:val="005B062E"/>
    <w:rsid w:val="005B0693"/>
    <w:rsid w:val="005B06BC"/>
    <w:rsid w:val="005B06EB"/>
    <w:rsid w:val="005B0742"/>
    <w:rsid w:val="005B07D4"/>
    <w:rsid w:val="005B0866"/>
    <w:rsid w:val="005B0880"/>
    <w:rsid w:val="005B08B0"/>
    <w:rsid w:val="005B08E1"/>
    <w:rsid w:val="005B0977"/>
    <w:rsid w:val="005B0A6D"/>
    <w:rsid w:val="005B0AD8"/>
    <w:rsid w:val="005B0B57"/>
    <w:rsid w:val="005B0B93"/>
    <w:rsid w:val="005B0C46"/>
    <w:rsid w:val="005B0C4E"/>
    <w:rsid w:val="005B0C81"/>
    <w:rsid w:val="005B0C93"/>
    <w:rsid w:val="005B0DA4"/>
    <w:rsid w:val="005B0E13"/>
    <w:rsid w:val="005B0E60"/>
    <w:rsid w:val="005B0E74"/>
    <w:rsid w:val="005B0F4D"/>
    <w:rsid w:val="005B0F77"/>
    <w:rsid w:val="005B0FB3"/>
    <w:rsid w:val="005B10D5"/>
    <w:rsid w:val="005B10FE"/>
    <w:rsid w:val="005B1106"/>
    <w:rsid w:val="005B1186"/>
    <w:rsid w:val="005B11A9"/>
    <w:rsid w:val="005B123C"/>
    <w:rsid w:val="005B126D"/>
    <w:rsid w:val="005B12BD"/>
    <w:rsid w:val="005B135A"/>
    <w:rsid w:val="005B1367"/>
    <w:rsid w:val="005B13DF"/>
    <w:rsid w:val="005B144B"/>
    <w:rsid w:val="005B1510"/>
    <w:rsid w:val="005B154C"/>
    <w:rsid w:val="005B15C3"/>
    <w:rsid w:val="005B1667"/>
    <w:rsid w:val="005B16F4"/>
    <w:rsid w:val="005B1780"/>
    <w:rsid w:val="005B179B"/>
    <w:rsid w:val="005B17D2"/>
    <w:rsid w:val="005B1858"/>
    <w:rsid w:val="005B187C"/>
    <w:rsid w:val="005B18B1"/>
    <w:rsid w:val="005B190E"/>
    <w:rsid w:val="005B1990"/>
    <w:rsid w:val="005B1A10"/>
    <w:rsid w:val="005B1A18"/>
    <w:rsid w:val="005B1AF9"/>
    <w:rsid w:val="005B1B25"/>
    <w:rsid w:val="005B1B43"/>
    <w:rsid w:val="005B1B70"/>
    <w:rsid w:val="005B1BFE"/>
    <w:rsid w:val="005B1C24"/>
    <w:rsid w:val="005B1C2E"/>
    <w:rsid w:val="005B1CAB"/>
    <w:rsid w:val="005B1D0B"/>
    <w:rsid w:val="005B1D6E"/>
    <w:rsid w:val="005B1D87"/>
    <w:rsid w:val="005B1DB9"/>
    <w:rsid w:val="005B1E4F"/>
    <w:rsid w:val="005B1FA8"/>
    <w:rsid w:val="005B2056"/>
    <w:rsid w:val="005B2064"/>
    <w:rsid w:val="005B21BF"/>
    <w:rsid w:val="005B2255"/>
    <w:rsid w:val="005B22A5"/>
    <w:rsid w:val="005B2312"/>
    <w:rsid w:val="005B2393"/>
    <w:rsid w:val="005B23E0"/>
    <w:rsid w:val="005B2415"/>
    <w:rsid w:val="005B252B"/>
    <w:rsid w:val="005B258B"/>
    <w:rsid w:val="005B25E4"/>
    <w:rsid w:val="005B25E9"/>
    <w:rsid w:val="005B2655"/>
    <w:rsid w:val="005B265B"/>
    <w:rsid w:val="005B2686"/>
    <w:rsid w:val="005B26A1"/>
    <w:rsid w:val="005B26B9"/>
    <w:rsid w:val="005B2756"/>
    <w:rsid w:val="005B276C"/>
    <w:rsid w:val="005B2788"/>
    <w:rsid w:val="005B2793"/>
    <w:rsid w:val="005B27AE"/>
    <w:rsid w:val="005B27BA"/>
    <w:rsid w:val="005B2809"/>
    <w:rsid w:val="005B2830"/>
    <w:rsid w:val="005B2862"/>
    <w:rsid w:val="005B28EB"/>
    <w:rsid w:val="005B291C"/>
    <w:rsid w:val="005B2985"/>
    <w:rsid w:val="005B29EE"/>
    <w:rsid w:val="005B2A57"/>
    <w:rsid w:val="005B2A65"/>
    <w:rsid w:val="005B2BFD"/>
    <w:rsid w:val="005B2C4E"/>
    <w:rsid w:val="005B2D34"/>
    <w:rsid w:val="005B2D40"/>
    <w:rsid w:val="005B2D91"/>
    <w:rsid w:val="005B2E78"/>
    <w:rsid w:val="005B3025"/>
    <w:rsid w:val="005B3042"/>
    <w:rsid w:val="005B30F6"/>
    <w:rsid w:val="005B3188"/>
    <w:rsid w:val="005B31A4"/>
    <w:rsid w:val="005B326D"/>
    <w:rsid w:val="005B3408"/>
    <w:rsid w:val="005B3447"/>
    <w:rsid w:val="005B3466"/>
    <w:rsid w:val="005B349E"/>
    <w:rsid w:val="005B34A5"/>
    <w:rsid w:val="005B34CB"/>
    <w:rsid w:val="005B3526"/>
    <w:rsid w:val="005B355B"/>
    <w:rsid w:val="005B35BE"/>
    <w:rsid w:val="005B3602"/>
    <w:rsid w:val="005B363B"/>
    <w:rsid w:val="005B3641"/>
    <w:rsid w:val="005B365B"/>
    <w:rsid w:val="005B3680"/>
    <w:rsid w:val="005B36B6"/>
    <w:rsid w:val="005B370B"/>
    <w:rsid w:val="005B3722"/>
    <w:rsid w:val="005B372F"/>
    <w:rsid w:val="005B37DD"/>
    <w:rsid w:val="005B3809"/>
    <w:rsid w:val="005B3818"/>
    <w:rsid w:val="005B384E"/>
    <w:rsid w:val="005B3852"/>
    <w:rsid w:val="005B3892"/>
    <w:rsid w:val="005B38BB"/>
    <w:rsid w:val="005B3908"/>
    <w:rsid w:val="005B3967"/>
    <w:rsid w:val="005B397C"/>
    <w:rsid w:val="005B39CF"/>
    <w:rsid w:val="005B3A2E"/>
    <w:rsid w:val="005B3A65"/>
    <w:rsid w:val="005B3AB6"/>
    <w:rsid w:val="005B3B54"/>
    <w:rsid w:val="005B3BB8"/>
    <w:rsid w:val="005B3BDA"/>
    <w:rsid w:val="005B3C16"/>
    <w:rsid w:val="005B3C51"/>
    <w:rsid w:val="005B3CA8"/>
    <w:rsid w:val="005B3CAF"/>
    <w:rsid w:val="005B3CB4"/>
    <w:rsid w:val="005B3D19"/>
    <w:rsid w:val="005B3D4A"/>
    <w:rsid w:val="005B3D6B"/>
    <w:rsid w:val="005B3D81"/>
    <w:rsid w:val="005B3DF7"/>
    <w:rsid w:val="005B3E1E"/>
    <w:rsid w:val="005B3E47"/>
    <w:rsid w:val="005B3E77"/>
    <w:rsid w:val="005B3EB1"/>
    <w:rsid w:val="005B3EED"/>
    <w:rsid w:val="005B3FFB"/>
    <w:rsid w:val="005B4133"/>
    <w:rsid w:val="005B4154"/>
    <w:rsid w:val="005B41BE"/>
    <w:rsid w:val="005B427B"/>
    <w:rsid w:val="005B42E6"/>
    <w:rsid w:val="005B42F8"/>
    <w:rsid w:val="005B431F"/>
    <w:rsid w:val="005B4346"/>
    <w:rsid w:val="005B43CE"/>
    <w:rsid w:val="005B43ED"/>
    <w:rsid w:val="005B4439"/>
    <w:rsid w:val="005B4517"/>
    <w:rsid w:val="005B4533"/>
    <w:rsid w:val="005B45A8"/>
    <w:rsid w:val="005B4666"/>
    <w:rsid w:val="005B4822"/>
    <w:rsid w:val="005B4844"/>
    <w:rsid w:val="005B48A9"/>
    <w:rsid w:val="005B48E7"/>
    <w:rsid w:val="005B4998"/>
    <w:rsid w:val="005B49E9"/>
    <w:rsid w:val="005B4A66"/>
    <w:rsid w:val="005B4B3D"/>
    <w:rsid w:val="005B4BE3"/>
    <w:rsid w:val="005B4C01"/>
    <w:rsid w:val="005B4C21"/>
    <w:rsid w:val="005B4D64"/>
    <w:rsid w:val="005B4DAC"/>
    <w:rsid w:val="005B4DCA"/>
    <w:rsid w:val="005B4DEB"/>
    <w:rsid w:val="005B4E10"/>
    <w:rsid w:val="005B4F01"/>
    <w:rsid w:val="005B4F5B"/>
    <w:rsid w:val="005B4F8C"/>
    <w:rsid w:val="005B4F9B"/>
    <w:rsid w:val="005B4FD9"/>
    <w:rsid w:val="005B5047"/>
    <w:rsid w:val="005B5160"/>
    <w:rsid w:val="005B52C9"/>
    <w:rsid w:val="005B52FA"/>
    <w:rsid w:val="005B53AC"/>
    <w:rsid w:val="005B53E3"/>
    <w:rsid w:val="005B540A"/>
    <w:rsid w:val="005B548D"/>
    <w:rsid w:val="005B557B"/>
    <w:rsid w:val="005B55AB"/>
    <w:rsid w:val="005B55B1"/>
    <w:rsid w:val="005B5624"/>
    <w:rsid w:val="005B56A8"/>
    <w:rsid w:val="005B57A0"/>
    <w:rsid w:val="005B5816"/>
    <w:rsid w:val="005B5820"/>
    <w:rsid w:val="005B5895"/>
    <w:rsid w:val="005B5A8C"/>
    <w:rsid w:val="005B5AA5"/>
    <w:rsid w:val="005B5B07"/>
    <w:rsid w:val="005B5B0B"/>
    <w:rsid w:val="005B5B58"/>
    <w:rsid w:val="005B5C03"/>
    <w:rsid w:val="005B5CA4"/>
    <w:rsid w:val="005B5DCC"/>
    <w:rsid w:val="005B5DE1"/>
    <w:rsid w:val="005B5EE5"/>
    <w:rsid w:val="005B5EF8"/>
    <w:rsid w:val="005B5F45"/>
    <w:rsid w:val="005B5F85"/>
    <w:rsid w:val="005B5FA9"/>
    <w:rsid w:val="005B5FEB"/>
    <w:rsid w:val="005B600D"/>
    <w:rsid w:val="005B607A"/>
    <w:rsid w:val="005B60E4"/>
    <w:rsid w:val="005B6199"/>
    <w:rsid w:val="005B61F9"/>
    <w:rsid w:val="005B6259"/>
    <w:rsid w:val="005B6334"/>
    <w:rsid w:val="005B633B"/>
    <w:rsid w:val="005B638C"/>
    <w:rsid w:val="005B6391"/>
    <w:rsid w:val="005B63B6"/>
    <w:rsid w:val="005B63D1"/>
    <w:rsid w:val="005B6416"/>
    <w:rsid w:val="005B644B"/>
    <w:rsid w:val="005B6548"/>
    <w:rsid w:val="005B6580"/>
    <w:rsid w:val="005B65D6"/>
    <w:rsid w:val="005B66BD"/>
    <w:rsid w:val="005B66D3"/>
    <w:rsid w:val="005B66D6"/>
    <w:rsid w:val="005B66F2"/>
    <w:rsid w:val="005B6735"/>
    <w:rsid w:val="005B67D1"/>
    <w:rsid w:val="005B6813"/>
    <w:rsid w:val="005B6823"/>
    <w:rsid w:val="005B6835"/>
    <w:rsid w:val="005B688E"/>
    <w:rsid w:val="005B6900"/>
    <w:rsid w:val="005B6978"/>
    <w:rsid w:val="005B69B2"/>
    <w:rsid w:val="005B6A7A"/>
    <w:rsid w:val="005B6A97"/>
    <w:rsid w:val="005B6AB3"/>
    <w:rsid w:val="005B6B24"/>
    <w:rsid w:val="005B6B5A"/>
    <w:rsid w:val="005B6B81"/>
    <w:rsid w:val="005B6BC6"/>
    <w:rsid w:val="005B6BE9"/>
    <w:rsid w:val="005B6C3F"/>
    <w:rsid w:val="005B6C96"/>
    <w:rsid w:val="005B6CD8"/>
    <w:rsid w:val="005B6CE8"/>
    <w:rsid w:val="005B6D66"/>
    <w:rsid w:val="005B6DEA"/>
    <w:rsid w:val="005B6E0C"/>
    <w:rsid w:val="005B6E31"/>
    <w:rsid w:val="005B6E44"/>
    <w:rsid w:val="005B701E"/>
    <w:rsid w:val="005B7049"/>
    <w:rsid w:val="005B704D"/>
    <w:rsid w:val="005B705F"/>
    <w:rsid w:val="005B70C8"/>
    <w:rsid w:val="005B70F0"/>
    <w:rsid w:val="005B7120"/>
    <w:rsid w:val="005B7136"/>
    <w:rsid w:val="005B7146"/>
    <w:rsid w:val="005B720D"/>
    <w:rsid w:val="005B7277"/>
    <w:rsid w:val="005B72C2"/>
    <w:rsid w:val="005B72DB"/>
    <w:rsid w:val="005B7324"/>
    <w:rsid w:val="005B73FE"/>
    <w:rsid w:val="005B7436"/>
    <w:rsid w:val="005B7478"/>
    <w:rsid w:val="005B7492"/>
    <w:rsid w:val="005B753B"/>
    <w:rsid w:val="005B75D8"/>
    <w:rsid w:val="005B764F"/>
    <w:rsid w:val="005B76C1"/>
    <w:rsid w:val="005B774B"/>
    <w:rsid w:val="005B779D"/>
    <w:rsid w:val="005B77DC"/>
    <w:rsid w:val="005B77FB"/>
    <w:rsid w:val="005B7809"/>
    <w:rsid w:val="005B784E"/>
    <w:rsid w:val="005B78D3"/>
    <w:rsid w:val="005B7A0D"/>
    <w:rsid w:val="005B7A57"/>
    <w:rsid w:val="005B7A7B"/>
    <w:rsid w:val="005B7AA0"/>
    <w:rsid w:val="005B7ABE"/>
    <w:rsid w:val="005B7BA5"/>
    <w:rsid w:val="005B7BF6"/>
    <w:rsid w:val="005B7C76"/>
    <w:rsid w:val="005B7C8E"/>
    <w:rsid w:val="005B7CB8"/>
    <w:rsid w:val="005B7DEF"/>
    <w:rsid w:val="005B7E3B"/>
    <w:rsid w:val="005B7E59"/>
    <w:rsid w:val="005B7EAD"/>
    <w:rsid w:val="005B7F8E"/>
    <w:rsid w:val="005B7FAF"/>
    <w:rsid w:val="005B7FC4"/>
    <w:rsid w:val="005C0003"/>
    <w:rsid w:val="005C0075"/>
    <w:rsid w:val="005C007D"/>
    <w:rsid w:val="005C012D"/>
    <w:rsid w:val="005C0156"/>
    <w:rsid w:val="005C0209"/>
    <w:rsid w:val="005C0212"/>
    <w:rsid w:val="005C02AA"/>
    <w:rsid w:val="005C034C"/>
    <w:rsid w:val="005C035E"/>
    <w:rsid w:val="005C0409"/>
    <w:rsid w:val="005C044E"/>
    <w:rsid w:val="005C0489"/>
    <w:rsid w:val="005C0562"/>
    <w:rsid w:val="005C0691"/>
    <w:rsid w:val="005C06D7"/>
    <w:rsid w:val="005C0709"/>
    <w:rsid w:val="005C071F"/>
    <w:rsid w:val="005C074C"/>
    <w:rsid w:val="005C0790"/>
    <w:rsid w:val="005C07B8"/>
    <w:rsid w:val="005C0872"/>
    <w:rsid w:val="005C08A5"/>
    <w:rsid w:val="005C0903"/>
    <w:rsid w:val="005C0966"/>
    <w:rsid w:val="005C09FB"/>
    <w:rsid w:val="005C0A6C"/>
    <w:rsid w:val="005C0AC5"/>
    <w:rsid w:val="005C0AF5"/>
    <w:rsid w:val="005C0B27"/>
    <w:rsid w:val="005C0BCD"/>
    <w:rsid w:val="005C0BEC"/>
    <w:rsid w:val="005C0BF5"/>
    <w:rsid w:val="005C0C98"/>
    <w:rsid w:val="005C0C9A"/>
    <w:rsid w:val="005C0D43"/>
    <w:rsid w:val="005C0D53"/>
    <w:rsid w:val="005C0D61"/>
    <w:rsid w:val="005C0D67"/>
    <w:rsid w:val="005C0E6F"/>
    <w:rsid w:val="005C0ECC"/>
    <w:rsid w:val="005C0F02"/>
    <w:rsid w:val="005C0F36"/>
    <w:rsid w:val="005C0F37"/>
    <w:rsid w:val="005C0F45"/>
    <w:rsid w:val="005C0FEA"/>
    <w:rsid w:val="005C105A"/>
    <w:rsid w:val="005C1084"/>
    <w:rsid w:val="005C10AB"/>
    <w:rsid w:val="005C1112"/>
    <w:rsid w:val="005C113F"/>
    <w:rsid w:val="005C1148"/>
    <w:rsid w:val="005C1174"/>
    <w:rsid w:val="005C1182"/>
    <w:rsid w:val="005C1195"/>
    <w:rsid w:val="005C11C6"/>
    <w:rsid w:val="005C11C9"/>
    <w:rsid w:val="005C1276"/>
    <w:rsid w:val="005C1346"/>
    <w:rsid w:val="005C135B"/>
    <w:rsid w:val="005C1391"/>
    <w:rsid w:val="005C1567"/>
    <w:rsid w:val="005C1641"/>
    <w:rsid w:val="005C1642"/>
    <w:rsid w:val="005C164C"/>
    <w:rsid w:val="005C16F1"/>
    <w:rsid w:val="005C1830"/>
    <w:rsid w:val="005C18C8"/>
    <w:rsid w:val="005C1919"/>
    <w:rsid w:val="005C1932"/>
    <w:rsid w:val="005C1935"/>
    <w:rsid w:val="005C196B"/>
    <w:rsid w:val="005C1A3E"/>
    <w:rsid w:val="005C1A3F"/>
    <w:rsid w:val="005C1A5F"/>
    <w:rsid w:val="005C1B57"/>
    <w:rsid w:val="005C1B74"/>
    <w:rsid w:val="005C1BBF"/>
    <w:rsid w:val="005C1BCB"/>
    <w:rsid w:val="005C1C41"/>
    <w:rsid w:val="005C1CC3"/>
    <w:rsid w:val="005C1CCD"/>
    <w:rsid w:val="005C1D7D"/>
    <w:rsid w:val="005C1D90"/>
    <w:rsid w:val="005C1E5A"/>
    <w:rsid w:val="005C1ED7"/>
    <w:rsid w:val="005C1EF1"/>
    <w:rsid w:val="005C1EF8"/>
    <w:rsid w:val="005C1F12"/>
    <w:rsid w:val="005C1F7E"/>
    <w:rsid w:val="005C1F7F"/>
    <w:rsid w:val="005C1FAE"/>
    <w:rsid w:val="005C1FDF"/>
    <w:rsid w:val="005C1FE1"/>
    <w:rsid w:val="005C1FFF"/>
    <w:rsid w:val="005C2031"/>
    <w:rsid w:val="005C2085"/>
    <w:rsid w:val="005C21CE"/>
    <w:rsid w:val="005C21D3"/>
    <w:rsid w:val="005C21DB"/>
    <w:rsid w:val="005C21EE"/>
    <w:rsid w:val="005C222D"/>
    <w:rsid w:val="005C22FE"/>
    <w:rsid w:val="005C2306"/>
    <w:rsid w:val="005C2328"/>
    <w:rsid w:val="005C2345"/>
    <w:rsid w:val="005C2405"/>
    <w:rsid w:val="005C240C"/>
    <w:rsid w:val="005C246A"/>
    <w:rsid w:val="005C24FD"/>
    <w:rsid w:val="005C2513"/>
    <w:rsid w:val="005C2575"/>
    <w:rsid w:val="005C259E"/>
    <w:rsid w:val="005C2664"/>
    <w:rsid w:val="005C27B5"/>
    <w:rsid w:val="005C2810"/>
    <w:rsid w:val="005C2813"/>
    <w:rsid w:val="005C286D"/>
    <w:rsid w:val="005C2917"/>
    <w:rsid w:val="005C2931"/>
    <w:rsid w:val="005C295C"/>
    <w:rsid w:val="005C2970"/>
    <w:rsid w:val="005C2A47"/>
    <w:rsid w:val="005C2A9D"/>
    <w:rsid w:val="005C2AA7"/>
    <w:rsid w:val="005C2AE9"/>
    <w:rsid w:val="005C2AEE"/>
    <w:rsid w:val="005C2B2F"/>
    <w:rsid w:val="005C2B4F"/>
    <w:rsid w:val="005C2B5E"/>
    <w:rsid w:val="005C2B7E"/>
    <w:rsid w:val="005C2C48"/>
    <w:rsid w:val="005C2C96"/>
    <w:rsid w:val="005C2D54"/>
    <w:rsid w:val="005C2DE4"/>
    <w:rsid w:val="005C2E3B"/>
    <w:rsid w:val="005C2E75"/>
    <w:rsid w:val="005C2E88"/>
    <w:rsid w:val="005C2FD4"/>
    <w:rsid w:val="005C3003"/>
    <w:rsid w:val="005C300F"/>
    <w:rsid w:val="005C3018"/>
    <w:rsid w:val="005C3055"/>
    <w:rsid w:val="005C305E"/>
    <w:rsid w:val="005C307B"/>
    <w:rsid w:val="005C3096"/>
    <w:rsid w:val="005C3129"/>
    <w:rsid w:val="005C3244"/>
    <w:rsid w:val="005C32F2"/>
    <w:rsid w:val="005C339B"/>
    <w:rsid w:val="005C3440"/>
    <w:rsid w:val="005C3443"/>
    <w:rsid w:val="005C34AA"/>
    <w:rsid w:val="005C34E7"/>
    <w:rsid w:val="005C34F7"/>
    <w:rsid w:val="005C3522"/>
    <w:rsid w:val="005C35A6"/>
    <w:rsid w:val="005C3662"/>
    <w:rsid w:val="005C36C9"/>
    <w:rsid w:val="005C3796"/>
    <w:rsid w:val="005C37EA"/>
    <w:rsid w:val="005C38CA"/>
    <w:rsid w:val="005C38D7"/>
    <w:rsid w:val="005C398B"/>
    <w:rsid w:val="005C39D0"/>
    <w:rsid w:val="005C3A09"/>
    <w:rsid w:val="005C3A77"/>
    <w:rsid w:val="005C3A89"/>
    <w:rsid w:val="005C3ACD"/>
    <w:rsid w:val="005C3B2A"/>
    <w:rsid w:val="005C3BC5"/>
    <w:rsid w:val="005C3BDB"/>
    <w:rsid w:val="005C3BE0"/>
    <w:rsid w:val="005C3CD0"/>
    <w:rsid w:val="005C3CFA"/>
    <w:rsid w:val="005C3D2F"/>
    <w:rsid w:val="005C3D3A"/>
    <w:rsid w:val="005C3D9E"/>
    <w:rsid w:val="005C3E03"/>
    <w:rsid w:val="005C3E43"/>
    <w:rsid w:val="005C3ECD"/>
    <w:rsid w:val="005C3F28"/>
    <w:rsid w:val="005C3F37"/>
    <w:rsid w:val="005C3F9A"/>
    <w:rsid w:val="005C3FAF"/>
    <w:rsid w:val="005C3FC9"/>
    <w:rsid w:val="005C4080"/>
    <w:rsid w:val="005C40A1"/>
    <w:rsid w:val="005C40BF"/>
    <w:rsid w:val="005C411A"/>
    <w:rsid w:val="005C4138"/>
    <w:rsid w:val="005C415D"/>
    <w:rsid w:val="005C42C0"/>
    <w:rsid w:val="005C4321"/>
    <w:rsid w:val="005C43D7"/>
    <w:rsid w:val="005C43F4"/>
    <w:rsid w:val="005C4447"/>
    <w:rsid w:val="005C4502"/>
    <w:rsid w:val="005C4566"/>
    <w:rsid w:val="005C4708"/>
    <w:rsid w:val="005C47C2"/>
    <w:rsid w:val="005C4887"/>
    <w:rsid w:val="005C488F"/>
    <w:rsid w:val="005C4951"/>
    <w:rsid w:val="005C49E0"/>
    <w:rsid w:val="005C4B07"/>
    <w:rsid w:val="005C4B27"/>
    <w:rsid w:val="005C4C8A"/>
    <w:rsid w:val="005C4CA8"/>
    <w:rsid w:val="005C4D6C"/>
    <w:rsid w:val="005C4E79"/>
    <w:rsid w:val="005C4F2E"/>
    <w:rsid w:val="005C4F34"/>
    <w:rsid w:val="005C4F53"/>
    <w:rsid w:val="005C5047"/>
    <w:rsid w:val="005C505B"/>
    <w:rsid w:val="005C509D"/>
    <w:rsid w:val="005C50B0"/>
    <w:rsid w:val="005C511B"/>
    <w:rsid w:val="005C5136"/>
    <w:rsid w:val="005C5162"/>
    <w:rsid w:val="005C518D"/>
    <w:rsid w:val="005C51D3"/>
    <w:rsid w:val="005C5266"/>
    <w:rsid w:val="005C52FB"/>
    <w:rsid w:val="005C5339"/>
    <w:rsid w:val="005C5361"/>
    <w:rsid w:val="005C5384"/>
    <w:rsid w:val="005C53AD"/>
    <w:rsid w:val="005C53B6"/>
    <w:rsid w:val="005C546E"/>
    <w:rsid w:val="005C54C4"/>
    <w:rsid w:val="005C54F4"/>
    <w:rsid w:val="005C5540"/>
    <w:rsid w:val="005C5638"/>
    <w:rsid w:val="005C5650"/>
    <w:rsid w:val="005C56AA"/>
    <w:rsid w:val="005C56E7"/>
    <w:rsid w:val="005C5733"/>
    <w:rsid w:val="005C580C"/>
    <w:rsid w:val="005C581D"/>
    <w:rsid w:val="005C58CD"/>
    <w:rsid w:val="005C590A"/>
    <w:rsid w:val="005C5943"/>
    <w:rsid w:val="005C5951"/>
    <w:rsid w:val="005C59B2"/>
    <w:rsid w:val="005C5A01"/>
    <w:rsid w:val="005C5A34"/>
    <w:rsid w:val="005C5A4A"/>
    <w:rsid w:val="005C5A86"/>
    <w:rsid w:val="005C5AD8"/>
    <w:rsid w:val="005C5B12"/>
    <w:rsid w:val="005C5B23"/>
    <w:rsid w:val="005C5B87"/>
    <w:rsid w:val="005C5BDE"/>
    <w:rsid w:val="005C5BEE"/>
    <w:rsid w:val="005C5CD9"/>
    <w:rsid w:val="005C5CFF"/>
    <w:rsid w:val="005C5D48"/>
    <w:rsid w:val="005C5D4A"/>
    <w:rsid w:val="005C5E39"/>
    <w:rsid w:val="005C5F45"/>
    <w:rsid w:val="005C6094"/>
    <w:rsid w:val="005C60F1"/>
    <w:rsid w:val="005C6107"/>
    <w:rsid w:val="005C625C"/>
    <w:rsid w:val="005C62E2"/>
    <w:rsid w:val="005C6469"/>
    <w:rsid w:val="005C6484"/>
    <w:rsid w:val="005C6506"/>
    <w:rsid w:val="005C6522"/>
    <w:rsid w:val="005C6542"/>
    <w:rsid w:val="005C6586"/>
    <w:rsid w:val="005C660F"/>
    <w:rsid w:val="005C6659"/>
    <w:rsid w:val="005C66A3"/>
    <w:rsid w:val="005C679A"/>
    <w:rsid w:val="005C67E5"/>
    <w:rsid w:val="005C67E9"/>
    <w:rsid w:val="005C67FE"/>
    <w:rsid w:val="005C6887"/>
    <w:rsid w:val="005C68AF"/>
    <w:rsid w:val="005C68B7"/>
    <w:rsid w:val="005C691E"/>
    <w:rsid w:val="005C692A"/>
    <w:rsid w:val="005C696D"/>
    <w:rsid w:val="005C6A03"/>
    <w:rsid w:val="005C6AC3"/>
    <w:rsid w:val="005C6B0E"/>
    <w:rsid w:val="005C6B4C"/>
    <w:rsid w:val="005C6B5D"/>
    <w:rsid w:val="005C6C18"/>
    <w:rsid w:val="005C6C84"/>
    <w:rsid w:val="005C6D7D"/>
    <w:rsid w:val="005C6DD4"/>
    <w:rsid w:val="005C6DD7"/>
    <w:rsid w:val="005C6DDA"/>
    <w:rsid w:val="005C6E64"/>
    <w:rsid w:val="005C6F40"/>
    <w:rsid w:val="005C703B"/>
    <w:rsid w:val="005C707B"/>
    <w:rsid w:val="005C70E5"/>
    <w:rsid w:val="005C7136"/>
    <w:rsid w:val="005C71D6"/>
    <w:rsid w:val="005C72A6"/>
    <w:rsid w:val="005C73F9"/>
    <w:rsid w:val="005C7408"/>
    <w:rsid w:val="005C743E"/>
    <w:rsid w:val="005C74AF"/>
    <w:rsid w:val="005C7506"/>
    <w:rsid w:val="005C751F"/>
    <w:rsid w:val="005C7521"/>
    <w:rsid w:val="005C7529"/>
    <w:rsid w:val="005C7569"/>
    <w:rsid w:val="005C7582"/>
    <w:rsid w:val="005C75CC"/>
    <w:rsid w:val="005C7624"/>
    <w:rsid w:val="005C7655"/>
    <w:rsid w:val="005C76A4"/>
    <w:rsid w:val="005C76A6"/>
    <w:rsid w:val="005C76CA"/>
    <w:rsid w:val="005C770F"/>
    <w:rsid w:val="005C7724"/>
    <w:rsid w:val="005C7765"/>
    <w:rsid w:val="005C77C0"/>
    <w:rsid w:val="005C77D3"/>
    <w:rsid w:val="005C77EC"/>
    <w:rsid w:val="005C7832"/>
    <w:rsid w:val="005C7849"/>
    <w:rsid w:val="005C795A"/>
    <w:rsid w:val="005C79DD"/>
    <w:rsid w:val="005C7AA3"/>
    <w:rsid w:val="005C7AF9"/>
    <w:rsid w:val="005C7B07"/>
    <w:rsid w:val="005C7C87"/>
    <w:rsid w:val="005C7D22"/>
    <w:rsid w:val="005C7D31"/>
    <w:rsid w:val="005C7E66"/>
    <w:rsid w:val="005C7EFF"/>
    <w:rsid w:val="005C7F5A"/>
    <w:rsid w:val="005C7F6D"/>
    <w:rsid w:val="005C7F6F"/>
    <w:rsid w:val="005C7F9A"/>
    <w:rsid w:val="005C7FC8"/>
    <w:rsid w:val="005D0034"/>
    <w:rsid w:val="005D0043"/>
    <w:rsid w:val="005D0055"/>
    <w:rsid w:val="005D0140"/>
    <w:rsid w:val="005D0162"/>
    <w:rsid w:val="005D018F"/>
    <w:rsid w:val="005D0218"/>
    <w:rsid w:val="005D0295"/>
    <w:rsid w:val="005D02AE"/>
    <w:rsid w:val="005D0331"/>
    <w:rsid w:val="005D0398"/>
    <w:rsid w:val="005D03A9"/>
    <w:rsid w:val="005D04B8"/>
    <w:rsid w:val="005D04E2"/>
    <w:rsid w:val="005D0501"/>
    <w:rsid w:val="005D0504"/>
    <w:rsid w:val="005D0554"/>
    <w:rsid w:val="005D0581"/>
    <w:rsid w:val="005D05DA"/>
    <w:rsid w:val="005D0628"/>
    <w:rsid w:val="005D065C"/>
    <w:rsid w:val="005D06C6"/>
    <w:rsid w:val="005D0719"/>
    <w:rsid w:val="005D0775"/>
    <w:rsid w:val="005D07BA"/>
    <w:rsid w:val="005D08B4"/>
    <w:rsid w:val="005D092B"/>
    <w:rsid w:val="005D09D0"/>
    <w:rsid w:val="005D09E1"/>
    <w:rsid w:val="005D0A01"/>
    <w:rsid w:val="005D0A09"/>
    <w:rsid w:val="005D0A27"/>
    <w:rsid w:val="005D0ABF"/>
    <w:rsid w:val="005D0BA7"/>
    <w:rsid w:val="005D0C9E"/>
    <w:rsid w:val="005D0D37"/>
    <w:rsid w:val="005D0D54"/>
    <w:rsid w:val="005D0D68"/>
    <w:rsid w:val="005D0DDA"/>
    <w:rsid w:val="005D0E19"/>
    <w:rsid w:val="005D0F26"/>
    <w:rsid w:val="005D0F2B"/>
    <w:rsid w:val="005D0F32"/>
    <w:rsid w:val="005D0F52"/>
    <w:rsid w:val="005D0FA3"/>
    <w:rsid w:val="005D0FC4"/>
    <w:rsid w:val="005D0FEE"/>
    <w:rsid w:val="005D11B7"/>
    <w:rsid w:val="005D1290"/>
    <w:rsid w:val="005D1295"/>
    <w:rsid w:val="005D1333"/>
    <w:rsid w:val="005D13C7"/>
    <w:rsid w:val="005D1419"/>
    <w:rsid w:val="005D145C"/>
    <w:rsid w:val="005D14F8"/>
    <w:rsid w:val="005D151D"/>
    <w:rsid w:val="005D15E5"/>
    <w:rsid w:val="005D16CC"/>
    <w:rsid w:val="005D173C"/>
    <w:rsid w:val="005D1750"/>
    <w:rsid w:val="005D17CD"/>
    <w:rsid w:val="005D17D4"/>
    <w:rsid w:val="005D17E7"/>
    <w:rsid w:val="005D186A"/>
    <w:rsid w:val="005D1890"/>
    <w:rsid w:val="005D18DC"/>
    <w:rsid w:val="005D193A"/>
    <w:rsid w:val="005D197F"/>
    <w:rsid w:val="005D19E7"/>
    <w:rsid w:val="005D1B5C"/>
    <w:rsid w:val="005D1BBF"/>
    <w:rsid w:val="005D1EE1"/>
    <w:rsid w:val="005D1F9F"/>
    <w:rsid w:val="005D1FCA"/>
    <w:rsid w:val="005D20E5"/>
    <w:rsid w:val="005D20EC"/>
    <w:rsid w:val="005D2149"/>
    <w:rsid w:val="005D2167"/>
    <w:rsid w:val="005D21C4"/>
    <w:rsid w:val="005D21DF"/>
    <w:rsid w:val="005D2215"/>
    <w:rsid w:val="005D233A"/>
    <w:rsid w:val="005D23E0"/>
    <w:rsid w:val="005D244B"/>
    <w:rsid w:val="005D2492"/>
    <w:rsid w:val="005D24F1"/>
    <w:rsid w:val="005D262C"/>
    <w:rsid w:val="005D2640"/>
    <w:rsid w:val="005D2642"/>
    <w:rsid w:val="005D2681"/>
    <w:rsid w:val="005D27D0"/>
    <w:rsid w:val="005D27D4"/>
    <w:rsid w:val="005D2957"/>
    <w:rsid w:val="005D2967"/>
    <w:rsid w:val="005D299B"/>
    <w:rsid w:val="005D29FB"/>
    <w:rsid w:val="005D2A7D"/>
    <w:rsid w:val="005D2B98"/>
    <w:rsid w:val="005D2BA7"/>
    <w:rsid w:val="005D2C66"/>
    <w:rsid w:val="005D2C6E"/>
    <w:rsid w:val="005D2CB1"/>
    <w:rsid w:val="005D2CE8"/>
    <w:rsid w:val="005D2D0E"/>
    <w:rsid w:val="005D2D78"/>
    <w:rsid w:val="005D2DD9"/>
    <w:rsid w:val="005D2E2D"/>
    <w:rsid w:val="005D2E64"/>
    <w:rsid w:val="005D2E86"/>
    <w:rsid w:val="005D2EB0"/>
    <w:rsid w:val="005D2F04"/>
    <w:rsid w:val="005D2F30"/>
    <w:rsid w:val="005D2F43"/>
    <w:rsid w:val="005D2F6C"/>
    <w:rsid w:val="005D2F99"/>
    <w:rsid w:val="005D3083"/>
    <w:rsid w:val="005D30B9"/>
    <w:rsid w:val="005D30F3"/>
    <w:rsid w:val="005D316A"/>
    <w:rsid w:val="005D3198"/>
    <w:rsid w:val="005D31C7"/>
    <w:rsid w:val="005D31DC"/>
    <w:rsid w:val="005D3239"/>
    <w:rsid w:val="005D326B"/>
    <w:rsid w:val="005D327B"/>
    <w:rsid w:val="005D3289"/>
    <w:rsid w:val="005D3295"/>
    <w:rsid w:val="005D32D7"/>
    <w:rsid w:val="005D330D"/>
    <w:rsid w:val="005D33A3"/>
    <w:rsid w:val="005D33B0"/>
    <w:rsid w:val="005D3482"/>
    <w:rsid w:val="005D348F"/>
    <w:rsid w:val="005D350A"/>
    <w:rsid w:val="005D355B"/>
    <w:rsid w:val="005D3593"/>
    <w:rsid w:val="005D35AF"/>
    <w:rsid w:val="005D35DF"/>
    <w:rsid w:val="005D35EB"/>
    <w:rsid w:val="005D360E"/>
    <w:rsid w:val="005D361F"/>
    <w:rsid w:val="005D3681"/>
    <w:rsid w:val="005D36DB"/>
    <w:rsid w:val="005D36ED"/>
    <w:rsid w:val="005D36FA"/>
    <w:rsid w:val="005D3727"/>
    <w:rsid w:val="005D380B"/>
    <w:rsid w:val="005D384C"/>
    <w:rsid w:val="005D3857"/>
    <w:rsid w:val="005D3872"/>
    <w:rsid w:val="005D3895"/>
    <w:rsid w:val="005D38A3"/>
    <w:rsid w:val="005D38CD"/>
    <w:rsid w:val="005D38D0"/>
    <w:rsid w:val="005D394E"/>
    <w:rsid w:val="005D39EA"/>
    <w:rsid w:val="005D39F1"/>
    <w:rsid w:val="005D39FE"/>
    <w:rsid w:val="005D3B08"/>
    <w:rsid w:val="005D3B36"/>
    <w:rsid w:val="005D3B63"/>
    <w:rsid w:val="005D3B88"/>
    <w:rsid w:val="005D3BE4"/>
    <w:rsid w:val="005D3C10"/>
    <w:rsid w:val="005D3C65"/>
    <w:rsid w:val="005D3CAF"/>
    <w:rsid w:val="005D3CF2"/>
    <w:rsid w:val="005D3DD2"/>
    <w:rsid w:val="005D3E0B"/>
    <w:rsid w:val="005D3EBD"/>
    <w:rsid w:val="005D3F61"/>
    <w:rsid w:val="005D3FAA"/>
    <w:rsid w:val="005D4023"/>
    <w:rsid w:val="005D4032"/>
    <w:rsid w:val="005D4053"/>
    <w:rsid w:val="005D407F"/>
    <w:rsid w:val="005D410A"/>
    <w:rsid w:val="005D415F"/>
    <w:rsid w:val="005D42FF"/>
    <w:rsid w:val="005D437D"/>
    <w:rsid w:val="005D43C6"/>
    <w:rsid w:val="005D4475"/>
    <w:rsid w:val="005D449A"/>
    <w:rsid w:val="005D44A5"/>
    <w:rsid w:val="005D44B3"/>
    <w:rsid w:val="005D44C8"/>
    <w:rsid w:val="005D45C6"/>
    <w:rsid w:val="005D4685"/>
    <w:rsid w:val="005D469B"/>
    <w:rsid w:val="005D46D6"/>
    <w:rsid w:val="005D46E9"/>
    <w:rsid w:val="005D46F2"/>
    <w:rsid w:val="005D4710"/>
    <w:rsid w:val="005D47C9"/>
    <w:rsid w:val="005D47D0"/>
    <w:rsid w:val="005D4848"/>
    <w:rsid w:val="005D487E"/>
    <w:rsid w:val="005D4898"/>
    <w:rsid w:val="005D48D0"/>
    <w:rsid w:val="005D48D6"/>
    <w:rsid w:val="005D48EA"/>
    <w:rsid w:val="005D48F3"/>
    <w:rsid w:val="005D49A2"/>
    <w:rsid w:val="005D49E6"/>
    <w:rsid w:val="005D4A3E"/>
    <w:rsid w:val="005D4A5E"/>
    <w:rsid w:val="005D4ADC"/>
    <w:rsid w:val="005D4B72"/>
    <w:rsid w:val="005D4BAF"/>
    <w:rsid w:val="005D4BBC"/>
    <w:rsid w:val="005D4C40"/>
    <w:rsid w:val="005D4C4D"/>
    <w:rsid w:val="005D4C65"/>
    <w:rsid w:val="005D4C7E"/>
    <w:rsid w:val="005D4CF1"/>
    <w:rsid w:val="005D4D19"/>
    <w:rsid w:val="005D4D5E"/>
    <w:rsid w:val="005D4DB6"/>
    <w:rsid w:val="005D4DE3"/>
    <w:rsid w:val="005D4E44"/>
    <w:rsid w:val="005D4E79"/>
    <w:rsid w:val="005D4E8C"/>
    <w:rsid w:val="005D4ECF"/>
    <w:rsid w:val="005D5006"/>
    <w:rsid w:val="005D501B"/>
    <w:rsid w:val="005D502C"/>
    <w:rsid w:val="005D50C3"/>
    <w:rsid w:val="005D5135"/>
    <w:rsid w:val="005D5170"/>
    <w:rsid w:val="005D51B3"/>
    <w:rsid w:val="005D5242"/>
    <w:rsid w:val="005D53A2"/>
    <w:rsid w:val="005D53A4"/>
    <w:rsid w:val="005D55F0"/>
    <w:rsid w:val="005D56ED"/>
    <w:rsid w:val="005D56FB"/>
    <w:rsid w:val="005D57F0"/>
    <w:rsid w:val="005D5846"/>
    <w:rsid w:val="005D58C7"/>
    <w:rsid w:val="005D58DF"/>
    <w:rsid w:val="005D5933"/>
    <w:rsid w:val="005D5996"/>
    <w:rsid w:val="005D59C5"/>
    <w:rsid w:val="005D5B21"/>
    <w:rsid w:val="005D5BE9"/>
    <w:rsid w:val="005D5BF4"/>
    <w:rsid w:val="005D5C13"/>
    <w:rsid w:val="005D5CDA"/>
    <w:rsid w:val="005D5CE0"/>
    <w:rsid w:val="005D5D03"/>
    <w:rsid w:val="005D5D0B"/>
    <w:rsid w:val="005D5D5D"/>
    <w:rsid w:val="005D5DC2"/>
    <w:rsid w:val="005D5E33"/>
    <w:rsid w:val="005D5E35"/>
    <w:rsid w:val="005D5E80"/>
    <w:rsid w:val="005D5E92"/>
    <w:rsid w:val="005D5F2B"/>
    <w:rsid w:val="005D6064"/>
    <w:rsid w:val="005D606E"/>
    <w:rsid w:val="005D6070"/>
    <w:rsid w:val="005D60A7"/>
    <w:rsid w:val="005D60C9"/>
    <w:rsid w:val="005D60CA"/>
    <w:rsid w:val="005D6153"/>
    <w:rsid w:val="005D6199"/>
    <w:rsid w:val="005D623B"/>
    <w:rsid w:val="005D6265"/>
    <w:rsid w:val="005D6277"/>
    <w:rsid w:val="005D6413"/>
    <w:rsid w:val="005D6418"/>
    <w:rsid w:val="005D6428"/>
    <w:rsid w:val="005D64B7"/>
    <w:rsid w:val="005D65B0"/>
    <w:rsid w:val="005D65D1"/>
    <w:rsid w:val="005D65E2"/>
    <w:rsid w:val="005D6664"/>
    <w:rsid w:val="005D6679"/>
    <w:rsid w:val="005D67B5"/>
    <w:rsid w:val="005D67E8"/>
    <w:rsid w:val="005D6808"/>
    <w:rsid w:val="005D6917"/>
    <w:rsid w:val="005D6999"/>
    <w:rsid w:val="005D69A5"/>
    <w:rsid w:val="005D6A0C"/>
    <w:rsid w:val="005D6A16"/>
    <w:rsid w:val="005D6A62"/>
    <w:rsid w:val="005D6A7E"/>
    <w:rsid w:val="005D6B72"/>
    <w:rsid w:val="005D6B89"/>
    <w:rsid w:val="005D6B99"/>
    <w:rsid w:val="005D6BBD"/>
    <w:rsid w:val="005D6C1A"/>
    <w:rsid w:val="005D6C34"/>
    <w:rsid w:val="005D6C6E"/>
    <w:rsid w:val="005D6CB7"/>
    <w:rsid w:val="005D6CFD"/>
    <w:rsid w:val="005D6D76"/>
    <w:rsid w:val="005D6DE6"/>
    <w:rsid w:val="005D6E25"/>
    <w:rsid w:val="005D6E8A"/>
    <w:rsid w:val="005D6EEA"/>
    <w:rsid w:val="005D6F14"/>
    <w:rsid w:val="005D6F36"/>
    <w:rsid w:val="005D7012"/>
    <w:rsid w:val="005D7073"/>
    <w:rsid w:val="005D7134"/>
    <w:rsid w:val="005D7147"/>
    <w:rsid w:val="005D719F"/>
    <w:rsid w:val="005D71E7"/>
    <w:rsid w:val="005D72B1"/>
    <w:rsid w:val="005D7424"/>
    <w:rsid w:val="005D7494"/>
    <w:rsid w:val="005D7501"/>
    <w:rsid w:val="005D7519"/>
    <w:rsid w:val="005D7556"/>
    <w:rsid w:val="005D75E7"/>
    <w:rsid w:val="005D7627"/>
    <w:rsid w:val="005D7674"/>
    <w:rsid w:val="005D76CC"/>
    <w:rsid w:val="005D770A"/>
    <w:rsid w:val="005D7729"/>
    <w:rsid w:val="005D7731"/>
    <w:rsid w:val="005D7798"/>
    <w:rsid w:val="005D77CA"/>
    <w:rsid w:val="005D7859"/>
    <w:rsid w:val="005D786A"/>
    <w:rsid w:val="005D78A9"/>
    <w:rsid w:val="005D78C2"/>
    <w:rsid w:val="005D7904"/>
    <w:rsid w:val="005D7910"/>
    <w:rsid w:val="005D793F"/>
    <w:rsid w:val="005D798B"/>
    <w:rsid w:val="005D79DE"/>
    <w:rsid w:val="005D7A09"/>
    <w:rsid w:val="005D7A33"/>
    <w:rsid w:val="005D7A67"/>
    <w:rsid w:val="005D7A91"/>
    <w:rsid w:val="005D7A9B"/>
    <w:rsid w:val="005D7AD4"/>
    <w:rsid w:val="005D7ADB"/>
    <w:rsid w:val="005D7AF0"/>
    <w:rsid w:val="005D7B0C"/>
    <w:rsid w:val="005D7B35"/>
    <w:rsid w:val="005D7B36"/>
    <w:rsid w:val="005D7BAB"/>
    <w:rsid w:val="005D7BE4"/>
    <w:rsid w:val="005D7C8E"/>
    <w:rsid w:val="005D7CEB"/>
    <w:rsid w:val="005D7D3B"/>
    <w:rsid w:val="005D7D61"/>
    <w:rsid w:val="005D7EBC"/>
    <w:rsid w:val="005D7EC1"/>
    <w:rsid w:val="005D7EE3"/>
    <w:rsid w:val="005D7F79"/>
    <w:rsid w:val="005D7FC2"/>
    <w:rsid w:val="005D7FDE"/>
    <w:rsid w:val="005E0061"/>
    <w:rsid w:val="005E008E"/>
    <w:rsid w:val="005E00EE"/>
    <w:rsid w:val="005E010E"/>
    <w:rsid w:val="005E0110"/>
    <w:rsid w:val="005E013D"/>
    <w:rsid w:val="005E01A0"/>
    <w:rsid w:val="005E01E7"/>
    <w:rsid w:val="005E02C0"/>
    <w:rsid w:val="005E043C"/>
    <w:rsid w:val="005E0447"/>
    <w:rsid w:val="005E0503"/>
    <w:rsid w:val="005E0554"/>
    <w:rsid w:val="005E055B"/>
    <w:rsid w:val="005E0575"/>
    <w:rsid w:val="005E0579"/>
    <w:rsid w:val="005E057E"/>
    <w:rsid w:val="005E05F4"/>
    <w:rsid w:val="005E0610"/>
    <w:rsid w:val="005E0690"/>
    <w:rsid w:val="005E0719"/>
    <w:rsid w:val="005E075F"/>
    <w:rsid w:val="005E0779"/>
    <w:rsid w:val="005E0869"/>
    <w:rsid w:val="005E0906"/>
    <w:rsid w:val="005E0933"/>
    <w:rsid w:val="005E09D3"/>
    <w:rsid w:val="005E09DE"/>
    <w:rsid w:val="005E09E0"/>
    <w:rsid w:val="005E09F8"/>
    <w:rsid w:val="005E0ADE"/>
    <w:rsid w:val="005E0C3B"/>
    <w:rsid w:val="005E0C8B"/>
    <w:rsid w:val="005E0CCA"/>
    <w:rsid w:val="005E0D57"/>
    <w:rsid w:val="005E0F0E"/>
    <w:rsid w:val="005E0F6F"/>
    <w:rsid w:val="005E0F7A"/>
    <w:rsid w:val="005E1003"/>
    <w:rsid w:val="005E1074"/>
    <w:rsid w:val="005E10E2"/>
    <w:rsid w:val="005E10E3"/>
    <w:rsid w:val="005E117F"/>
    <w:rsid w:val="005E11FA"/>
    <w:rsid w:val="005E1310"/>
    <w:rsid w:val="005E132E"/>
    <w:rsid w:val="005E1333"/>
    <w:rsid w:val="005E13E4"/>
    <w:rsid w:val="005E141B"/>
    <w:rsid w:val="005E1496"/>
    <w:rsid w:val="005E14E8"/>
    <w:rsid w:val="005E1531"/>
    <w:rsid w:val="005E155A"/>
    <w:rsid w:val="005E1577"/>
    <w:rsid w:val="005E15C7"/>
    <w:rsid w:val="005E15D8"/>
    <w:rsid w:val="005E1630"/>
    <w:rsid w:val="005E168E"/>
    <w:rsid w:val="005E16BB"/>
    <w:rsid w:val="005E16BD"/>
    <w:rsid w:val="005E1727"/>
    <w:rsid w:val="005E1790"/>
    <w:rsid w:val="005E185F"/>
    <w:rsid w:val="005E1861"/>
    <w:rsid w:val="005E1946"/>
    <w:rsid w:val="005E1967"/>
    <w:rsid w:val="005E1A34"/>
    <w:rsid w:val="005E1B10"/>
    <w:rsid w:val="005E1BC5"/>
    <w:rsid w:val="005E1C00"/>
    <w:rsid w:val="005E1C09"/>
    <w:rsid w:val="005E1C28"/>
    <w:rsid w:val="005E1C2A"/>
    <w:rsid w:val="005E1C4A"/>
    <w:rsid w:val="005E1C62"/>
    <w:rsid w:val="005E1CCD"/>
    <w:rsid w:val="005E1D26"/>
    <w:rsid w:val="005E1D64"/>
    <w:rsid w:val="005E1E03"/>
    <w:rsid w:val="005E1F09"/>
    <w:rsid w:val="005E1F0F"/>
    <w:rsid w:val="005E202F"/>
    <w:rsid w:val="005E204C"/>
    <w:rsid w:val="005E20A1"/>
    <w:rsid w:val="005E20D4"/>
    <w:rsid w:val="005E210C"/>
    <w:rsid w:val="005E2110"/>
    <w:rsid w:val="005E212D"/>
    <w:rsid w:val="005E2159"/>
    <w:rsid w:val="005E218C"/>
    <w:rsid w:val="005E2191"/>
    <w:rsid w:val="005E21AD"/>
    <w:rsid w:val="005E2268"/>
    <w:rsid w:val="005E2286"/>
    <w:rsid w:val="005E2305"/>
    <w:rsid w:val="005E234D"/>
    <w:rsid w:val="005E23DA"/>
    <w:rsid w:val="005E23E3"/>
    <w:rsid w:val="005E23FD"/>
    <w:rsid w:val="005E2418"/>
    <w:rsid w:val="005E2425"/>
    <w:rsid w:val="005E24BE"/>
    <w:rsid w:val="005E2580"/>
    <w:rsid w:val="005E25A0"/>
    <w:rsid w:val="005E25BE"/>
    <w:rsid w:val="005E261B"/>
    <w:rsid w:val="005E264C"/>
    <w:rsid w:val="005E2666"/>
    <w:rsid w:val="005E26B8"/>
    <w:rsid w:val="005E2723"/>
    <w:rsid w:val="005E27C4"/>
    <w:rsid w:val="005E27CC"/>
    <w:rsid w:val="005E27F5"/>
    <w:rsid w:val="005E280D"/>
    <w:rsid w:val="005E281D"/>
    <w:rsid w:val="005E282E"/>
    <w:rsid w:val="005E28D0"/>
    <w:rsid w:val="005E296E"/>
    <w:rsid w:val="005E29BB"/>
    <w:rsid w:val="005E29CE"/>
    <w:rsid w:val="005E2A37"/>
    <w:rsid w:val="005E2A86"/>
    <w:rsid w:val="005E2B80"/>
    <w:rsid w:val="005E2C1F"/>
    <w:rsid w:val="005E2D04"/>
    <w:rsid w:val="005E2D49"/>
    <w:rsid w:val="005E2D54"/>
    <w:rsid w:val="005E2DD9"/>
    <w:rsid w:val="005E2E44"/>
    <w:rsid w:val="005E2E71"/>
    <w:rsid w:val="005E2E9E"/>
    <w:rsid w:val="005E2EA0"/>
    <w:rsid w:val="005E2EA4"/>
    <w:rsid w:val="005E2F54"/>
    <w:rsid w:val="005E301C"/>
    <w:rsid w:val="005E313D"/>
    <w:rsid w:val="005E3168"/>
    <w:rsid w:val="005E31EF"/>
    <w:rsid w:val="005E3202"/>
    <w:rsid w:val="005E3283"/>
    <w:rsid w:val="005E3287"/>
    <w:rsid w:val="005E329F"/>
    <w:rsid w:val="005E33D1"/>
    <w:rsid w:val="005E33E5"/>
    <w:rsid w:val="005E34B4"/>
    <w:rsid w:val="005E3517"/>
    <w:rsid w:val="005E354C"/>
    <w:rsid w:val="005E35E8"/>
    <w:rsid w:val="005E3634"/>
    <w:rsid w:val="005E379B"/>
    <w:rsid w:val="005E38B9"/>
    <w:rsid w:val="005E38F2"/>
    <w:rsid w:val="005E393C"/>
    <w:rsid w:val="005E3960"/>
    <w:rsid w:val="005E3974"/>
    <w:rsid w:val="005E39D1"/>
    <w:rsid w:val="005E39E2"/>
    <w:rsid w:val="005E3AFF"/>
    <w:rsid w:val="005E3B37"/>
    <w:rsid w:val="005E3B7F"/>
    <w:rsid w:val="005E3BC7"/>
    <w:rsid w:val="005E3CE6"/>
    <w:rsid w:val="005E3CFB"/>
    <w:rsid w:val="005E3D9B"/>
    <w:rsid w:val="005E3DB4"/>
    <w:rsid w:val="005E3E24"/>
    <w:rsid w:val="005E3E62"/>
    <w:rsid w:val="005E3EAC"/>
    <w:rsid w:val="005E3F2E"/>
    <w:rsid w:val="005E3F91"/>
    <w:rsid w:val="005E3FB9"/>
    <w:rsid w:val="005E400A"/>
    <w:rsid w:val="005E404D"/>
    <w:rsid w:val="005E4075"/>
    <w:rsid w:val="005E4080"/>
    <w:rsid w:val="005E409B"/>
    <w:rsid w:val="005E40E7"/>
    <w:rsid w:val="005E413E"/>
    <w:rsid w:val="005E415F"/>
    <w:rsid w:val="005E4198"/>
    <w:rsid w:val="005E4199"/>
    <w:rsid w:val="005E41AF"/>
    <w:rsid w:val="005E41BF"/>
    <w:rsid w:val="005E427C"/>
    <w:rsid w:val="005E42E5"/>
    <w:rsid w:val="005E4359"/>
    <w:rsid w:val="005E43D7"/>
    <w:rsid w:val="005E4449"/>
    <w:rsid w:val="005E447A"/>
    <w:rsid w:val="005E44A2"/>
    <w:rsid w:val="005E44C3"/>
    <w:rsid w:val="005E44C9"/>
    <w:rsid w:val="005E45CD"/>
    <w:rsid w:val="005E4623"/>
    <w:rsid w:val="005E4645"/>
    <w:rsid w:val="005E4719"/>
    <w:rsid w:val="005E4778"/>
    <w:rsid w:val="005E47B8"/>
    <w:rsid w:val="005E47FA"/>
    <w:rsid w:val="005E4837"/>
    <w:rsid w:val="005E489A"/>
    <w:rsid w:val="005E48A7"/>
    <w:rsid w:val="005E48AA"/>
    <w:rsid w:val="005E48C1"/>
    <w:rsid w:val="005E48D1"/>
    <w:rsid w:val="005E499A"/>
    <w:rsid w:val="005E4A24"/>
    <w:rsid w:val="005E4A4D"/>
    <w:rsid w:val="005E4AB3"/>
    <w:rsid w:val="005E4B0D"/>
    <w:rsid w:val="005E4B58"/>
    <w:rsid w:val="005E4B82"/>
    <w:rsid w:val="005E4B8D"/>
    <w:rsid w:val="005E4B91"/>
    <w:rsid w:val="005E4BBF"/>
    <w:rsid w:val="005E4C40"/>
    <w:rsid w:val="005E4C76"/>
    <w:rsid w:val="005E4CBE"/>
    <w:rsid w:val="005E4E43"/>
    <w:rsid w:val="005E4E74"/>
    <w:rsid w:val="005E4E75"/>
    <w:rsid w:val="005E4F40"/>
    <w:rsid w:val="005E4F70"/>
    <w:rsid w:val="005E4F92"/>
    <w:rsid w:val="005E509E"/>
    <w:rsid w:val="005E50C3"/>
    <w:rsid w:val="005E50D9"/>
    <w:rsid w:val="005E50F0"/>
    <w:rsid w:val="005E5114"/>
    <w:rsid w:val="005E5116"/>
    <w:rsid w:val="005E5119"/>
    <w:rsid w:val="005E5154"/>
    <w:rsid w:val="005E523F"/>
    <w:rsid w:val="005E52F7"/>
    <w:rsid w:val="005E556F"/>
    <w:rsid w:val="005E55E5"/>
    <w:rsid w:val="005E5642"/>
    <w:rsid w:val="005E5671"/>
    <w:rsid w:val="005E568E"/>
    <w:rsid w:val="005E56BD"/>
    <w:rsid w:val="005E56DC"/>
    <w:rsid w:val="005E5762"/>
    <w:rsid w:val="005E5795"/>
    <w:rsid w:val="005E582E"/>
    <w:rsid w:val="005E5881"/>
    <w:rsid w:val="005E58BB"/>
    <w:rsid w:val="005E58EA"/>
    <w:rsid w:val="005E5932"/>
    <w:rsid w:val="005E5963"/>
    <w:rsid w:val="005E59F9"/>
    <w:rsid w:val="005E5A2E"/>
    <w:rsid w:val="005E5AB2"/>
    <w:rsid w:val="005E5ABF"/>
    <w:rsid w:val="005E5AE3"/>
    <w:rsid w:val="005E5AF4"/>
    <w:rsid w:val="005E5B1C"/>
    <w:rsid w:val="005E5C66"/>
    <w:rsid w:val="005E5CF2"/>
    <w:rsid w:val="005E5D32"/>
    <w:rsid w:val="005E5D96"/>
    <w:rsid w:val="005E5E05"/>
    <w:rsid w:val="005E5F57"/>
    <w:rsid w:val="005E60E1"/>
    <w:rsid w:val="005E6135"/>
    <w:rsid w:val="005E61F3"/>
    <w:rsid w:val="005E61F8"/>
    <w:rsid w:val="005E6219"/>
    <w:rsid w:val="005E62C3"/>
    <w:rsid w:val="005E62D0"/>
    <w:rsid w:val="005E6443"/>
    <w:rsid w:val="005E6484"/>
    <w:rsid w:val="005E64AB"/>
    <w:rsid w:val="005E661A"/>
    <w:rsid w:val="005E666D"/>
    <w:rsid w:val="005E6689"/>
    <w:rsid w:val="005E66B1"/>
    <w:rsid w:val="005E672E"/>
    <w:rsid w:val="005E6733"/>
    <w:rsid w:val="005E676A"/>
    <w:rsid w:val="005E678F"/>
    <w:rsid w:val="005E68B2"/>
    <w:rsid w:val="005E68B4"/>
    <w:rsid w:val="005E691E"/>
    <w:rsid w:val="005E6974"/>
    <w:rsid w:val="005E6A1B"/>
    <w:rsid w:val="005E6A39"/>
    <w:rsid w:val="005E6B47"/>
    <w:rsid w:val="005E6B53"/>
    <w:rsid w:val="005E6BA7"/>
    <w:rsid w:val="005E6C89"/>
    <w:rsid w:val="005E6D21"/>
    <w:rsid w:val="005E6D26"/>
    <w:rsid w:val="005E6D4F"/>
    <w:rsid w:val="005E6D5D"/>
    <w:rsid w:val="005E6DC7"/>
    <w:rsid w:val="005E6E31"/>
    <w:rsid w:val="005E6EF0"/>
    <w:rsid w:val="005E6F43"/>
    <w:rsid w:val="005E6F78"/>
    <w:rsid w:val="005E6F99"/>
    <w:rsid w:val="005E6FCD"/>
    <w:rsid w:val="005E6FF2"/>
    <w:rsid w:val="005E708F"/>
    <w:rsid w:val="005E70F8"/>
    <w:rsid w:val="005E717C"/>
    <w:rsid w:val="005E71BA"/>
    <w:rsid w:val="005E71BD"/>
    <w:rsid w:val="005E7235"/>
    <w:rsid w:val="005E7374"/>
    <w:rsid w:val="005E73CD"/>
    <w:rsid w:val="005E73D2"/>
    <w:rsid w:val="005E73D8"/>
    <w:rsid w:val="005E745B"/>
    <w:rsid w:val="005E74C4"/>
    <w:rsid w:val="005E74C9"/>
    <w:rsid w:val="005E7502"/>
    <w:rsid w:val="005E7524"/>
    <w:rsid w:val="005E7542"/>
    <w:rsid w:val="005E7562"/>
    <w:rsid w:val="005E7611"/>
    <w:rsid w:val="005E7647"/>
    <w:rsid w:val="005E7673"/>
    <w:rsid w:val="005E7674"/>
    <w:rsid w:val="005E7682"/>
    <w:rsid w:val="005E7793"/>
    <w:rsid w:val="005E7845"/>
    <w:rsid w:val="005E7852"/>
    <w:rsid w:val="005E790D"/>
    <w:rsid w:val="005E792B"/>
    <w:rsid w:val="005E7960"/>
    <w:rsid w:val="005E79D4"/>
    <w:rsid w:val="005E7A0C"/>
    <w:rsid w:val="005E7AAB"/>
    <w:rsid w:val="005E7AD1"/>
    <w:rsid w:val="005E7B30"/>
    <w:rsid w:val="005E7BB1"/>
    <w:rsid w:val="005E7C5A"/>
    <w:rsid w:val="005E7CCE"/>
    <w:rsid w:val="005E7D3F"/>
    <w:rsid w:val="005E7D9E"/>
    <w:rsid w:val="005E7E00"/>
    <w:rsid w:val="005E7F26"/>
    <w:rsid w:val="005E7F65"/>
    <w:rsid w:val="005F0065"/>
    <w:rsid w:val="005F0135"/>
    <w:rsid w:val="005F0140"/>
    <w:rsid w:val="005F01AC"/>
    <w:rsid w:val="005F01CA"/>
    <w:rsid w:val="005F01FF"/>
    <w:rsid w:val="005F021E"/>
    <w:rsid w:val="005F0273"/>
    <w:rsid w:val="005F02A8"/>
    <w:rsid w:val="005F02C3"/>
    <w:rsid w:val="005F03E4"/>
    <w:rsid w:val="005F0415"/>
    <w:rsid w:val="005F0489"/>
    <w:rsid w:val="005F04D6"/>
    <w:rsid w:val="005F051E"/>
    <w:rsid w:val="005F0555"/>
    <w:rsid w:val="005F0643"/>
    <w:rsid w:val="005F0648"/>
    <w:rsid w:val="005F06D1"/>
    <w:rsid w:val="005F0700"/>
    <w:rsid w:val="005F071A"/>
    <w:rsid w:val="005F0729"/>
    <w:rsid w:val="005F0783"/>
    <w:rsid w:val="005F07E4"/>
    <w:rsid w:val="005F07EE"/>
    <w:rsid w:val="005F0802"/>
    <w:rsid w:val="005F08A1"/>
    <w:rsid w:val="005F08DC"/>
    <w:rsid w:val="005F09A8"/>
    <w:rsid w:val="005F09BE"/>
    <w:rsid w:val="005F09C0"/>
    <w:rsid w:val="005F09CD"/>
    <w:rsid w:val="005F0A85"/>
    <w:rsid w:val="005F0AC3"/>
    <w:rsid w:val="005F0B64"/>
    <w:rsid w:val="005F0B65"/>
    <w:rsid w:val="005F0CB8"/>
    <w:rsid w:val="005F0D6F"/>
    <w:rsid w:val="005F0D8F"/>
    <w:rsid w:val="005F0D96"/>
    <w:rsid w:val="005F0DAD"/>
    <w:rsid w:val="005F0E45"/>
    <w:rsid w:val="005F0E7A"/>
    <w:rsid w:val="005F0F56"/>
    <w:rsid w:val="005F0F7B"/>
    <w:rsid w:val="005F1025"/>
    <w:rsid w:val="005F1074"/>
    <w:rsid w:val="005F10A5"/>
    <w:rsid w:val="005F10F1"/>
    <w:rsid w:val="005F10F4"/>
    <w:rsid w:val="005F113A"/>
    <w:rsid w:val="005F1176"/>
    <w:rsid w:val="005F1182"/>
    <w:rsid w:val="005F1191"/>
    <w:rsid w:val="005F11F5"/>
    <w:rsid w:val="005F12AF"/>
    <w:rsid w:val="005F12CB"/>
    <w:rsid w:val="005F12FF"/>
    <w:rsid w:val="005F1353"/>
    <w:rsid w:val="005F138E"/>
    <w:rsid w:val="005F1440"/>
    <w:rsid w:val="005F14E9"/>
    <w:rsid w:val="005F1528"/>
    <w:rsid w:val="005F1550"/>
    <w:rsid w:val="005F15F6"/>
    <w:rsid w:val="005F165C"/>
    <w:rsid w:val="005F16E9"/>
    <w:rsid w:val="005F17CD"/>
    <w:rsid w:val="005F1906"/>
    <w:rsid w:val="005F1908"/>
    <w:rsid w:val="005F190F"/>
    <w:rsid w:val="005F1918"/>
    <w:rsid w:val="005F1932"/>
    <w:rsid w:val="005F1950"/>
    <w:rsid w:val="005F198C"/>
    <w:rsid w:val="005F1A0B"/>
    <w:rsid w:val="005F1A12"/>
    <w:rsid w:val="005F1ADD"/>
    <w:rsid w:val="005F1B16"/>
    <w:rsid w:val="005F1BA6"/>
    <w:rsid w:val="005F1C95"/>
    <w:rsid w:val="005F1CE2"/>
    <w:rsid w:val="005F1D04"/>
    <w:rsid w:val="005F1D59"/>
    <w:rsid w:val="005F1D76"/>
    <w:rsid w:val="005F1EC5"/>
    <w:rsid w:val="005F1EDD"/>
    <w:rsid w:val="005F1EED"/>
    <w:rsid w:val="005F1F0D"/>
    <w:rsid w:val="005F1F5E"/>
    <w:rsid w:val="005F200D"/>
    <w:rsid w:val="005F2018"/>
    <w:rsid w:val="005F2113"/>
    <w:rsid w:val="005F21DF"/>
    <w:rsid w:val="005F220B"/>
    <w:rsid w:val="005F224B"/>
    <w:rsid w:val="005F2280"/>
    <w:rsid w:val="005F22E5"/>
    <w:rsid w:val="005F2432"/>
    <w:rsid w:val="005F2484"/>
    <w:rsid w:val="005F24BF"/>
    <w:rsid w:val="005F253A"/>
    <w:rsid w:val="005F2547"/>
    <w:rsid w:val="005F269A"/>
    <w:rsid w:val="005F26EA"/>
    <w:rsid w:val="005F2714"/>
    <w:rsid w:val="005F2721"/>
    <w:rsid w:val="005F278D"/>
    <w:rsid w:val="005F27CA"/>
    <w:rsid w:val="005F27E7"/>
    <w:rsid w:val="005F287C"/>
    <w:rsid w:val="005F28E0"/>
    <w:rsid w:val="005F28E9"/>
    <w:rsid w:val="005F28F4"/>
    <w:rsid w:val="005F29C3"/>
    <w:rsid w:val="005F29DC"/>
    <w:rsid w:val="005F29F8"/>
    <w:rsid w:val="005F2B03"/>
    <w:rsid w:val="005F2B20"/>
    <w:rsid w:val="005F2B29"/>
    <w:rsid w:val="005F2B61"/>
    <w:rsid w:val="005F2BDC"/>
    <w:rsid w:val="005F2CFD"/>
    <w:rsid w:val="005F2D06"/>
    <w:rsid w:val="005F2DFF"/>
    <w:rsid w:val="005F2E0F"/>
    <w:rsid w:val="005F2F23"/>
    <w:rsid w:val="005F2F29"/>
    <w:rsid w:val="005F2F78"/>
    <w:rsid w:val="005F2FE4"/>
    <w:rsid w:val="005F302A"/>
    <w:rsid w:val="005F30F1"/>
    <w:rsid w:val="005F312C"/>
    <w:rsid w:val="005F31A5"/>
    <w:rsid w:val="005F320B"/>
    <w:rsid w:val="005F336A"/>
    <w:rsid w:val="005F347B"/>
    <w:rsid w:val="005F34FB"/>
    <w:rsid w:val="005F3539"/>
    <w:rsid w:val="005F3547"/>
    <w:rsid w:val="005F3557"/>
    <w:rsid w:val="005F3605"/>
    <w:rsid w:val="005F3627"/>
    <w:rsid w:val="005F3698"/>
    <w:rsid w:val="005F369C"/>
    <w:rsid w:val="005F37B7"/>
    <w:rsid w:val="005F3804"/>
    <w:rsid w:val="005F38C8"/>
    <w:rsid w:val="005F3993"/>
    <w:rsid w:val="005F3A41"/>
    <w:rsid w:val="005F3A44"/>
    <w:rsid w:val="005F3AAA"/>
    <w:rsid w:val="005F3ADD"/>
    <w:rsid w:val="005F3B27"/>
    <w:rsid w:val="005F3C0E"/>
    <w:rsid w:val="005F3C41"/>
    <w:rsid w:val="005F3D4F"/>
    <w:rsid w:val="005F3DD9"/>
    <w:rsid w:val="005F3DDF"/>
    <w:rsid w:val="005F3DEF"/>
    <w:rsid w:val="005F3F3D"/>
    <w:rsid w:val="005F3F44"/>
    <w:rsid w:val="005F3F45"/>
    <w:rsid w:val="005F3F92"/>
    <w:rsid w:val="005F3FED"/>
    <w:rsid w:val="005F40E8"/>
    <w:rsid w:val="005F40FD"/>
    <w:rsid w:val="005F410A"/>
    <w:rsid w:val="005F4194"/>
    <w:rsid w:val="005F41BE"/>
    <w:rsid w:val="005F4276"/>
    <w:rsid w:val="005F428A"/>
    <w:rsid w:val="005F42D5"/>
    <w:rsid w:val="005F43ED"/>
    <w:rsid w:val="005F445A"/>
    <w:rsid w:val="005F4474"/>
    <w:rsid w:val="005F454F"/>
    <w:rsid w:val="005F4560"/>
    <w:rsid w:val="005F4582"/>
    <w:rsid w:val="005F458A"/>
    <w:rsid w:val="005F45A2"/>
    <w:rsid w:val="005F4602"/>
    <w:rsid w:val="005F4634"/>
    <w:rsid w:val="005F4697"/>
    <w:rsid w:val="005F4863"/>
    <w:rsid w:val="005F48AE"/>
    <w:rsid w:val="005F4919"/>
    <w:rsid w:val="005F49C9"/>
    <w:rsid w:val="005F49FF"/>
    <w:rsid w:val="005F4A14"/>
    <w:rsid w:val="005F4AB7"/>
    <w:rsid w:val="005F4ABE"/>
    <w:rsid w:val="005F4AC7"/>
    <w:rsid w:val="005F4B43"/>
    <w:rsid w:val="005F4C15"/>
    <w:rsid w:val="005F4C67"/>
    <w:rsid w:val="005F4C73"/>
    <w:rsid w:val="005F4CF3"/>
    <w:rsid w:val="005F4D00"/>
    <w:rsid w:val="005F4D11"/>
    <w:rsid w:val="005F4D55"/>
    <w:rsid w:val="005F4D6F"/>
    <w:rsid w:val="005F4E11"/>
    <w:rsid w:val="005F4E19"/>
    <w:rsid w:val="005F4EF1"/>
    <w:rsid w:val="005F4F20"/>
    <w:rsid w:val="005F4F55"/>
    <w:rsid w:val="005F4F98"/>
    <w:rsid w:val="005F4FB0"/>
    <w:rsid w:val="005F5021"/>
    <w:rsid w:val="005F50B4"/>
    <w:rsid w:val="005F50D3"/>
    <w:rsid w:val="005F5146"/>
    <w:rsid w:val="005F51BD"/>
    <w:rsid w:val="005F520A"/>
    <w:rsid w:val="005F525B"/>
    <w:rsid w:val="005F52C2"/>
    <w:rsid w:val="005F5317"/>
    <w:rsid w:val="005F5323"/>
    <w:rsid w:val="005F533E"/>
    <w:rsid w:val="005F533F"/>
    <w:rsid w:val="005F53F3"/>
    <w:rsid w:val="005F544B"/>
    <w:rsid w:val="005F5460"/>
    <w:rsid w:val="005F54F1"/>
    <w:rsid w:val="005F5569"/>
    <w:rsid w:val="005F55BA"/>
    <w:rsid w:val="005F55E0"/>
    <w:rsid w:val="005F55E4"/>
    <w:rsid w:val="005F5601"/>
    <w:rsid w:val="005F5668"/>
    <w:rsid w:val="005F56B6"/>
    <w:rsid w:val="005F577F"/>
    <w:rsid w:val="005F5792"/>
    <w:rsid w:val="005F57AC"/>
    <w:rsid w:val="005F5861"/>
    <w:rsid w:val="005F586A"/>
    <w:rsid w:val="005F58EC"/>
    <w:rsid w:val="005F5A09"/>
    <w:rsid w:val="005F5A44"/>
    <w:rsid w:val="005F5A89"/>
    <w:rsid w:val="005F5AEF"/>
    <w:rsid w:val="005F5B5E"/>
    <w:rsid w:val="005F5B86"/>
    <w:rsid w:val="005F5BAE"/>
    <w:rsid w:val="005F5BC2"/>
    <w:rsid w:val="005F5CCD"/>
    <w:rsid w:val="005F5CD4"/>
    <w:rsid w:val="005F5CF0"/>
    <w:rsid w:val="005F5D5B"/>
    <w:rsid w:val="005F5D93"/>
    <w:rsid w:val="005F5DD7"/>
    <w:rsid w:val="005F5DFE"/>
    <w:rsid w:val="005F5E18"/>
    <w:rsid w:val="005F5EA1"/>
    <w:rsid w:val="005F5ED6"/>
    <w:rsid w:val="005F5F55"/>
    <w:rsid w:val="005F5F59"/>
    <w:rsid w:val="005F5F5D"/>
    <w:rsid w:val="005F5F63"/>
    <w:rsid w:val="005F5F8D"/>
    <w:rsid w:val="005F6003"/>
    <w:rsid w:val="005F600C"/>
    <w:rsid w:val="005F6025"/>
    <w:rsid w:val="005F604B"/>
    <w:rsid w:val="005F60BD"/>
    <w:rsid w:val="005F60D6"/>
    <w:rsid w:val="005F6210"/>
    <w:rsid w:val="005F6235"/>
    <w:rsid w:val="005F62EA"/>
    <w:rsid w:val="005F62F6"/>
    <w:rsid w:val="005F633A"/>
    <w:rsid w:val="005F635E"/>
    <w:rsid w:val="005F6362"/>
    <w:rsid w:val="005F6383"/>
    <w:rsid w:val="005F63EB"/>
    <w:rsid w:val="005F6528"/>
    <w:rsid w:val="005F653E"/>
    <w:rsid w:val="005F658C"/>
    <w:rsid w:val="005F6664"/>
    <w:rsid w:val="005F66BA"/>
    <w:rsid w:val="005F66D7"/>
    <w:rsid w:val="005F6705"/>
    <w:rsid w:val="005F6735"/>
    <w:rsid w:val="005F67C6"/>
    <w:rsid w:val="005F681C"/>
    <w:rsid w:val="005F686B"/>
    <w:rsid w:val="005F690F"/>
    <w:rsid w:val="005F6913"/>
    <w:rsid w:val="005F6991"/>
    <w:rsid w:val="005F6A10"/>
    <w:rsid w:val="005F6A1C"/>
    <w:rsid w:val="005F6AB4"/>
    <w:rsid w:val="005F6AB7"/>
    <w:rsid w:val="005F6BCA"/>
    <w:rsid w:val="005F6BD5"/>
    <w:rsid w:val="005F6D2F"/>
    <w:rsid w:val="005F6D32"/>
    <w:rsid w:val="005F6D53"/>
    <w:rsid w:val="005F6D89"/>
    <w:rsid w:val="005F6DBC"/>
    <w:rsid w:val="005F6E46"/>
    <w:rsid w:val="005F6E54"/>
    <w:rsid w:val="005F6E84"/>
    <w:rsid w:val="005F6EE0"/>
    <w:rsid w:val="005F6FD8"/>
    <w:rsid w:val="005F7027"/>
    <w:rsid w:val="005F7044"/>
    <w:rsid w:val="005F7047"/>
    <w:rsid w:val="005F7162"/>
    <w:rsid w:val="005F71A4"/>
    <w:rsid w:val="005F71F8"/>
    <w:rsid w:val="005F7274"/>
    <w:rsid w:val="005F7290"/>
    <w:rsid w:val="005F730A"/>
    <w:rsid w:val="005F7311"/>
    <w:rsid w:val="005F7327"/>
    <w:rsid w:val="005F739B"/>
    <w:rsid w:val="005F7435"/>
    <w:rsid w:val="005F7553"/>
    <w:rsid w:val="005F759E"/>
    <w:rsid w:val="005F75C3"/>
    <w:rsid w:val="005F76CC"/>
    <w:rsid w:val="005F7761"/>
    <w:rsid w:val="005F77FE"/>
    <w:rsid w:val="005F7808"/>
    <w:rsid w:val="005F789D"/>
    <w:rsid w:val="005F78D7"/>
    <w:rsid w:val="005F7988"/>
    <w:rsid w:val="005F7A12"/>
    <w:rsid w:val="005F7B1B"/>
    <w:rsid w:val="005F7B33"/>
    <w:rsid w:val="005F7BAF"/>
    <w:rsid w:val="005F7BC4"/>
    <w:rsid w:val="005F7BD7"/>
    <w:rsid w:val="005F7BE4"/>
    <w:rsid w:val="005F7BFA"/>
    <w:rsid w:val="005F7C22"/>
    <w:rsid w:val="005F7C65"/>
    <w:rsid w:val="005F7CB3"/>
    <w:rsid w:val="005F7CC0"/>
    <w:rsid w:val="005F7D1D"/>
    <w:rsid w:val="005F7D4C"/>
    <w:rsid w:val="005F7FE3"/>
    <w:rsid w:val="00600002"/>
    <w:rsid w:val="006000A0"/>
    <w:rsid w:val="0060011E"/>
    <w:rsid w:val="00600152"/>
    <w:rsid w:val="00600156"/>
    <w:rsid w:val="006001A0"/>
    <w:rsid w:val="006001E9"/>
    <w:rsid w:val="00600223"/>
    <w:rsid w:val="00600229"/>
    <w:rsid w:val="00600266"/>
    <w:rsid w:val="0060027C"/>
    <w:rsid w:val="00600290"/>
    <w:rsid w:val="006002D0"/>
    <w:rsid w:val="00600313"/>
    <w:rsid w:val="0060033E"/>
    <w:rsid w:val="0060038A"/>
    <w:rsid w:val="006003D7"/>
    <w:rsid w:val="006004CB"/>
    <w:rsid w:val="00600561"/>
    <w:rsid w:val="0060068A"/>
    <w:rsid w:val="006007CF"/>
    <w:rsid w:val="006008C9"/>
    <w:rsid w:val="006008F8"/>
    <w:rsid w:val="0060091D"/>
    <w:rsid w:val="00600956"/>
    <w:rsid w:val="00600983"/>
    <w:rsid w:val="00600A2A"/>
    <w:rsid w:val="00600A4A"/>
    <w:rsid w:val="00600A83"/>
    <w:rsid w:val="00600B98"/>
    <w:rsid w:val="00600BE5"/>
    <w:rsid w:val="00600CC8"/>
    <w:rsid w:val="00600DDD"/>
    <w:rsid w:val="00600E0C"/>
    <w:rsid w:val="00600E0D"/>
    <w:rsid w:val="00600E31"/>
    <w:rsid w:val="00600E74"/>
    <w:rsid w:val="00600EBE"/>
    <w:rsid w:val="00600F6D"/>
    <w:rsid w:val="00600F88"/>
    <w:rsid w:val="00600F99"/>
    <w:rsid w:val="00600FBE"/>
    <w:rsid w:val="00600FD2"/>
    <w:rsid w:val="00600FD3"/>
    <w:rsid w:val="0060107F"/>
    <w:rsid w:val="006010E4"/>
    <w:rsid w:val="006011A2"/>
    <w:rsid w:val="006011E9"/>
    <w:rsid w:val="00601309"/>
    <w:rsid w:val="0060134A"/>
    <w:rsid w:val="00601383"/>
    <w:rsid w:val="00601392"/>
    <w:rsid w:val="006013A4"/>
    <w:rsid w:val="006014A7"/>
    <w:rsid w:val="00601618"/>
    <w:rsid w:val="0060167E"/>
    <w:rsid w:val="00601694"/>
    <w:rsid w:val="00601724"/>
    <w:rsid w:val="00601799"/>
    <w:rsid w:val="00601861"/>
    <w:rsid w:val="006018B5"/>
    <w:rsid w:val="006018FF"/>
    <w:rsid w:val="006019F9"/>
    <w:rsid w:val="006019FB"/>
    <w:rsid w:val="00601A07"/>
    <w:rsid w:val="00601A10"/>
    <w:rsid w:val="00601A98"/>
    <w:rsid w:val="00601AF8"/>
    <w:rsid w:val="00601B1C"/>
    <w:rsid w:val="00601B2D"/>
    <w:rsid w:val="00601B40"/>
    <w:rsid w:val="00601C26"/>
    <w:rsid w:val="00601CAE"/>
    <w:rsid w:val="00601D12"/>
    <w:rsid w:val="00601DC7"/>
    <w:rsid w:val="00601DEB"/>
    <w:rsid w:val="00601DF9"/>
    <w:rsid w:val="00601EE0"/>
    <w:rsid w:val="00601F49"/>
    <w:rsid w:val="00601FA4"/>
    <w:rsid w:val="00601FE6"/>
    <w:rsid w:val="00602017"/>
    <w:rsid w:val="0060203E"/>
    <w:rsid w:val="006020BC"/>
    <w:rsid w:val="006021AE"/>
    <w:rsid w:val="00602249"/>
    <w:rsid w:val="006022AA"/>
    <w:rsid w:val="006022D9"/>
    <w:rsid w:val="00602300"/>
    <w:rsid w:val="00602327"/>
    <w:rsid w:val="00602375"/>
    <w:rsid w:val="006023F9"/>
    <w:rsid w:val="00602488"/>
    <w:rsid w:val="0060250A"/>
    <w:rsid w:val="00602534"/>
    <w:rsid w:val="00602622"/>
    <w:rsid w:val="0060267F"/>
    <w:rsid w:val="006026C9"/>
    <w:rsid w:val="00602753"/>
    <w:rsid w:val="0060281B"/>
    <w:rsid w:val="0060287A"/>
    <w:rsid w:val="00602A69"/>
    <w:rsid w:val="00602AAA"/>
    <w:rsid w:val="00602B62"/>
    <w:rsid w:val="00602B68"/>
    <w:rsid w:val="00602B8A"/>
    <w:rsid w:val="00602BB4"/>
    <w:rsid w:val="00602C3D"/>
    <w:rsid w:val="00602C4F"/>
    <w:rsid w:val="00602C59"/>
    <w:rsid w:val="00602D26"/>
    <w:rsid w:val="00602D31"/>
    <w:rsid w:val="00602EDF"/>
    <w:rsid w:val="00602F6C"/>
    <w:rsid w:val="00602FAE"/>
    <w:rsid w:val="00602FD2"/>
    <w:rsid w:val="00603018"/>
    <w:rsid w:val="006030A8"/>
    <w:rsid w:val="0060313A"/>
    <w:rsid w:val="00603164"/>
    <w:rsid w:val="00603177"/>
    <w:rsid w:val="006031CB"/>
    <w:rsid w:val="006032D3"/>
    <w:rsid w:val="00603306"/>
    <w:rsid w:val="00603310"/>
    <w:rsid w:val="00603393"/>
    <w:rsid w:val="006033A9"/>
    <w:rsid w:val="0060342F"/>
    <w:rsid w:val="00603470"/>
    <w:rsid w:val="006034DF"/>
    <w:rsid w:val="00603517"/>
    <w:rsid w:val="006035D3"/>
    <w:rsid w:val="006035D8"/>
    <w:rsid w:val="0060368D"/>
    <w:rsid w:val="00603756"/>
    <w:rsid w:val="006037D7"/>
    <w:rsid w:val="00603858"/>
    <w:rsid w:val="0060389E"/>
    <w:rsid w:val="006038EF"/>
    <w:rsid w:val="0060393C"/>
    <w:rsid w:val="00603987"/>
    <w:rsid w:val="00603A42"/>
    <w:rsid w:val="00603A6E"/>
    <w:rsid w:val="00603A85"/>
    <w:rsid w:val="00603AF4"/>
    <w:rsid w:val="00603B49"/>
    <w:rsid w:val="00603C9F"/>
    <w:rsid w:val="00603D3E"/>
    <w:rsid w:val="00603D9C"/>
    <w:rsid w:val="00603DAC"/>
    <w:rsid w:val="00603DB6"/>
    <w:rsid w:val="00603E15"/>
    <w:rsid w:val="00603ED8"/>
    <w:rsid w:val="00604009"/>
    <w:rsid w:val="0060405A"/>
    <w:rsid w:val="00604070"/>
    <w:rsid w:val="00604207"/>
    <w:rsid w:val="00604213"/>
    <w:rsid w:val="006043F4"/>
    <w:rsid w:val="00604423"/>
    <w:rsid w:val="00604494"/>
    <w:rsid w:val="0060449F"/>
    <w:rsid w:val="0060450B"/>
    <w:rsid w:val="00604596"/>
    <w:rsid w:val="00604604"/>
    <w:rsid w:val="006046A5"/>
    <w:rsid w:val="006046DF"/>
    <w:rsid w:val="006046F5"/>
    <w:rsid w:val="006046FA"/>
    <w:rsid w:val="00604866"/>
    <w:rsid w:val="006048EC"/>
    <w:rsid w:val="006048FF"/>
    <w:rsid w:val="00604913"/>
    <w:rsid w:val="00604931"/>
    <w:rsid w:val="006049A2"/>
    <w:rsid w:val="006049FB"/>
    <w:rsid w:val="00604AEF"/>
    <w:rsid w:val="00604B29"/>
    <w:rsid w:val="00604B5E"/>
    <w:rsid w:val="00604B86"/>
    <w:rsid w:val="00604B8E"/>
    <w:rsid w:val="00604BB2"/>
    <w:rsid w:val="00604BC9"/>
    <w:rsid w:val="00604BF4"/>
    <w:rsid w:val="00604C49"/>
    <w:rsid w:val="00604C90"/>
    <w:rsid w:val="00604DDF"/>
    <w:rsid w:val="00604E1C"/>
    <w:rsid w:val="00604E2B"/>
    <w:rsid w:val="00604EA3"/>
    <w:rsid w:val="00604EB3"/>
    <w:rsid w:val="00604F1F"/>
    <w:rsid w:val="00604F56"/>
    <w:rsid w:val="00604F76"/>
    <w:rsid w:val="00604FDD"/>
    <w:rsid w:val="00605017"/>
    <w:rsid w:val="00605022"/>
    <w:rsid w:val="006050AD"/>
    <w:rsid w:val="006050B1"/>
    <w:rsid w:val="006050D6"/>
    <w:rsid w:val="00605105"/>
    <w:rsid w:val="0060516B"/>
    <w:rsid w:val="00605196"/>
    <w:rsid w:val="006051E8"/>
    <w:rsid w:val="00605251"/>
    <w:rsid w:val="006052EB"/>
    <w:rsid w:val="00605303"/>
    <w:rsid w:val="00605361"/>
    <w:rsid w:val="0060537C"/>
    <w:rsid w:val="006053E8"/>
    <w:rsid w:val="00605412"/>
    <w:rsid w:val="0060541E"/>
    <w:rsid w:val="006054A5"/>
    <w:rsid w:val="006054B6"/>
    <w:rsid w:val="00605613"/>
    <w:rsid w:val="00605650"/>
    <w:rsid w:val="0060570E"/>
    <w:rsid w:val="0060573E"/>
    <w:rsid w:val="0060574B"/>
    <w:rsid w:val="00605823"/>
    <w:rsid w:val="00605845"/>
    <w:rsid w:val="0060592D"/>
    <w:rsid w:val="00605946"/>
    <w:rsid w:val="00605974"/>
    <w:rsid w:val="00605988"/>
    <w:rsid w:val="00605A63"/>
    <w:rsid w:val="00605AEB"/>
    <w:rsid w:val="00605B47"/>
    <w:rsid w:val="00605B52"/>
    <w:rsid w:val="00605B61"/>
    <w:rsid w:val="00605BBE"/>
    <w:rsid w:val="00605BDC"/>
    <w:rsid w:val="00605D91"/>
    <w:rsid w:val="00605DA3"/>
    <w:rsid w:val="00605DEC"/>
    <w:rsid w:val="00605E4C"/>
    <w:rsid w:val="00605E9D"/>
    <w:rsid w:val="00605EAB"/>
    <w:rsid w:val="00605EB1"/>
    <w:rsid w:val="00605F84"/>
    <w:rsid w:val="00605FEC"/>
    <w:rsid w:val="00606065"/>
    <w:rsid w:val="0060617A"/>
    <w:rsid w:val="006061A9"/>
    <w:rsid w:val="006062AC"/>
    <w:rsid w:val="006062AF"/>
    <w:rsid w:val="006062B0"/>
    <w:rsid w:val="006062DE"/>
    <w:rsid w:val="006062EC"/>
    <w:rsid w:val="006063AB"/>
    <w:rsid w:val="00606451"/>
    <w:rsid w:val="00606453"/>
    <w:rsid w:val="00606473"/>
    <w:rsid w:val="0060647C"/>
    <w:rsid w:val="006064C6"/>
    <w:rsid w:val="006064EA"/>
    <w:rsid w:val="006064EB"/>
    <w:rsid w:val="00606514"/>
    <w:rsid w:val="00606692"/>
    <w:rsid w:val="0060671B"/>
    <w:rsid w:val="00606724"/>
    <w:rsid w:val="0060674E"/>
    <w:rsid w:val="00606766"/>
    <w:rsid w:val="006067AA"/>
    <w:rsid w:val="00606803"/>
    <w:rsid w:val="0060682A"/>
    <w:rsid w:val="006068A4"/>
    <w:rsid w:val="006068C2"/>
    <w:rsid w:val="0060695A"/>
    <w:rsid w:val="006069F7"/>
    <w:rsid w:val="00606AB1"/>
    <w:rsid w:val="00606AF3"/>
    <w:rsid w:val="00606B01"/>
    <w:rsid w:val="00606B1E"/>
    <w:rsid w:val="00606B36"/>
    <w:rsid w:val="00606B4B"/>
    <w:rsid w:val="00606C0D"/>
    <w:rsid w:val="00606C5C"/>
    <w:rsid w:val="00606D1F"/>
    <w:rsid w:val="00606D54"/>
    <w:rsid w:val="00606E96"/>
    <w:rsid w:val="00606EB9"/>
    <w:rsid w:val="00606EE9"/>
    <w:rsid w:val="00606FB7"/>
    <w:rsid w:val="006070CB"/>
    <w:rsid w:val="006070F4"/>
    <w:rsid w:val="00607329"/>
    <w:rsid w:val="0060734E"/>
    <w:rsid w:val="0060740B"/>
    <w:rsid w:val="006074A5"/>
    <w:rsid w:val="0060752A"/>
    <w:rsid w:val="0060752D"/>
    <w:rsid w:val="0060756B"/>
    <w:rsid w:val="00607588"/>
    <w:rsid w:val="0060767A"/>
    <w:rsid w:val="006076C8"/>
    <w:rsid w:val="00607797"/>
    <w:rsid w:val="006077DC"/>
    <w:rsid w:val="00607806"/>
    <w:rsid w:val="0060788D"/>
    <w:rsid w:val="00607921"/>
    <w:rsid w:val="0060792B"/>
    <w:rsid w:val="0060799C"/>
    <w:rsid w:val="00607A8D"/>
    <w:rsid w:val="00607A99"/>
    <w:rsid w:val="00607AFC"/>
    <w:rsid w:val="00607AFD"/>
    <w:rsid w:val="00607BD9"/>
    <w:rsid w:val="00607BDA"/>
    <w:rsid w:val="00607D1C"/>
    <w:rsid w:val="00607D28"/>
    <w:rsid w:val="00607D58"/>
    <w:rsid w:val="00607DCE"/>
    <w:rsid w:val="00607DD0"/>
    <w:rsid w:val="00607EB9"/>
    <w:rsid w:val="0061003D"/>
    <w:rsid w:val="00610071"/>
    <w:rsid w:val="006100E8"/>
    <w:rsid w:val="00610130"/>
    <w:rsid w:val="00610149"/>
    <w:rsid w:val="00610169"/>
    <w:rsid w:val="00610286"/>
    <w:rsid w:val="006102DC"/>
    <w:rsid w:val="00610306"/>
    <w:rsid w:val="0061031E"/>
    <w:rsid w:val="006103FC"/>
    <w:rsid w:val="006104C6"/>
    <w:rsid w:val="00610521"/>
    <w:rsid w:val="006105B5"/>
    <w:rsid w:val="006105E2"/>
    <w:rsid w:val="006105F6"/>
    <w:rsid w:val="0061060A"/>
    <w:rsid w:val="00610795"/>
    <w:rsid w:val="006107C3"/>
    <w:rsid w:val="006107D1"/>
    <w:rsid w:val="006107F5"/>
    <w:rsid w:val="00610874"/>
    <w:rsid w:val="006108DA"/>
    <w:rsid w:val="00610908"/>
    <w:rsid w:val="00610955"/>
    <w:rsid w:val="006109FB"/>
    <w:rsid w:val="00610A0F"/>
    <w:rsid w:val="00610ADD"/>
    <w:rsid w:val="00610AF0"/>
    <w:rsid w:val="00610BAF"/>
    <w:rsid w:val="00610C89"/>
    <w:rsid w:val="00610E16"/>
    <w:rsid w:val="00610E71"/>
    <w:rsid w:val="00610F85"/>
    <w:rsid w:val="006110CE"/>
    <w:rsid w:val="00611193"/>
    <w:rsid w:val="006111CD"/>
    <w:rsid w:val="006111CE"/>
    <w:rsid w:val="0061126D"/>
    <w:rsid w:val="00611313"/>
    <w:rsid w:val="0061140D"/>
    <w:rsid w:val="00611452"/>
    <w:rsid w:val="0061146C"/>
    <w:rsid w:val="00611530"/>
    <w:rsid w:val="0061157D"/>
    <w:rsid w:val="00611592"/>
    <w:rsid w:val="006115D6"/>
    <w:rsid w:val="006115F3"/>
    <w:rsid w:val="00611712"/>
    <w:rsid w:val="006118C9"/>
    <w:rsid w:val="006118CD"/>
    <w:rsid w:val="0061197A"/>
    <w:rsid w:val="006119A2"/>
    <w:rsid w:val="006119B5"/>
    <w:rsid w:val="00611A22"/>
    <w:rsid w:val="00611A55"/>
    <w:rsid w:val="00611A80"/>
    <w:rsid w:val="00611A82"/>
    <w:rsid w:val="00611ADF"/>
    <w:rsid w:val="00611B05"/>
    <w:rsid w:val="00611B3C"/>
    <w:rsid w:val="00611B67"/>
    <w:rsid w:val="00611B9C"/>
    <w:rsid w:val="00611BA3"/>
    <w:rsid w:val="00611C38"/>
    <w:rsid w:val="00611C68"/>
    <w:rsid w:val="00611CF2"/>
    <w:rsid w:val="00611D00"/>
    <w:rsid w:val="00611D58"/>
    <w:rsid w:val="00611E08"/>
    <w:rsid w:val="00611EAF"/>
    <w:rsid w:val="00611EB2"/>
    <w:rsid w:val="00611F9E"/>
    <w:rsid w:val="0061205A"/>
    <w:rsid w:val="006120EE"/>
    <w:rsid w:val="00612131"/>
    <w:rsid w:val="0061214A"/>
    <w:rsid w:val="0061215F"/>
    <w:rsid w:val="0061219F"/>
    <w:rsid w:val="006121CA"/>
    <w:rsid w:val="006121D4"/>
    <w:rsid w:val="006121D6"/>
    <w:rsid w:val="0061220F"/>
    <w:rsid w:val="00612269"/>
    <w:rsid w:val="006122D9"/>
    <w:rsid w:val="006122F6"/>
    <w:rsid w:val="00612340"/>
    <w:rsid w:val="0061237A"/>
    <w:rsid w:val="006123B0"/>
    <w:rsid w:val="00612434"/>
    <w:rsid w:val="00612519"/>
    <w:rsid w:val="0061251B"/>
    <w:rsid w:val="0061258B"/>
    <w:rsid w:val="00612643"/>
    <w:rsid w:val="00612755"/>
    <w:rsid w:val="00612760"/>
    <w:rsid w:val="00612797"/>
    <w:rsid w:val="00612880"/>
    <w:rsid w:val="006129B3"/>
    <w:rsid w:val="00612AA4"/>
    <w:rsid w:val="00612B2C"/>
    <w:rsid w:val="00612B39"/>
    <w:rsid w:val="00612B65"/>
    <w:rsid w:val="00612C1E"/>
    <w:rsid w:val="00612C22"/>
    <w:rsid w:val="00612C77"/>
    <w:rsid w:val="00612CBF"/>
    <w:rsid w:val="00612CC0"/>
    <w:rsid w:val="00612D25"/>
    <w:rsid w:val="00612D4C"/>
    <w:rsid w:val="00612D5F"/>
    <w:rsid w:val="00612E48"/>
    <w:rsid w:val="00612E6D"/>
    <w:rsid w:val="00612E9B"/>
    <w:rsid w:val="00612ED5"/>
    <w:rsid w:val="00612EE8"/>
    <w:rsid w:val="00612F4C"/>
    <w:rsid w:val="00612F6C"/>
    <w:rsid w:val="00612F8E"/>
    <w:rsid w:val="0061302D"/>
    <w:rsid w:val="006130DF"/>
    <w:rsid w:val="006131FF"/>
    <w:rsid w:val="006133B0"/>
    <w:rsid w:val="006133B7"/>
    <w:rsid w:val="0061347D"/>
    <w:rsid w:val="00613488"/>
    <w:rsid w:val="006134A9"/>
    <w:rsid w:val="00613512"/>
    <w:rsid w:val="0061352C"/>
    <w:rsid w:val="0061354B"/>
    <w:rsid w:val="00613556"/>
    <w:rsid w:val="00613687"/>
    <w:rsid w:val="006136ED"/>
    <w:rsid w:val="0061383E"/>
    <w:rsid w:val="0061388A"/>
    <w:rsid w:val="0061393A"/>
    <w:rsid w:val="006139A0"/>
    <w:rsid w:val="006139CA"/>
    <w:rsid w:val="00613A93"/>
    <w:rsid w:val="00613B0D"/>
    <w:rsid w:val="00613B41"/>
    <w:rsid w:val="00613B75"/>
    <w:rsid w:val="00613BD2"/>
    <w:rsid w:val="00613C1F"/>
    <w:rsid w:val="00613C2E"/>
    <w:rsid w:val="00613D5A"/>
    <w:rsid w:val="00613DCD"/>
    <w:rsid w:val="00613DF5"/>
    <w:rsid w:val="00613E3E"/>
    <w:rsid w:val="00613E9F"/>
    <w:rsid w:val="00613F28"/>
    <w:rsid w:val="00613F54"/>
    <w:rsid w:val="00613F86"/>
    <w:rsid w:val="00613FBA"/>
    <w:rsid w:val="00613FD8"/>
    <w:rsid w:val="0061419F"/>
    <w:rsid w:val="006141C0"/>
    <w:rsid w:val="00614213"/>
    <w:rsid w:val="00614222"/>
    <w:rsid w:val="006142DC"/>
    <w:rsid w:val="00614304"/>
    <w:rsid w:val="0061438B"/>
    <w:rsid w:val="006143FD"/>
    <w:rsid w:val="00614408"/>
    <w:rsid w:val="00614461"/>
    <w:rsid w:val="006144A3"/>
    <w:rsid w:val="006144D5"/>
    <w:rsid w:val="00614584"/>
    <w:rsid w:val="0061458D"/>
    <w:rsid w:val="006145D1"/>
    <w:rsid w:val="00614666"/>
    <w:rsid w:val="0061467B"/>
    <w:rsid w:val="006146FA"/>
    <w:rsid w:val="00614709"/>
    <w:rsid w:val="0061475E"/>
    <w:rsid w:val="00614803"/>
    <w:rsid w:val="00614818"/>
    <w:rsid w:val="00614838"/>
    <w:rsid w:val="0061487A"/>
    <w:rsid w:val="0061488B"/>
    <w:rsid w:val="0061489A"/>
    <w:rsid w:val="00614903"/>
    <w:rsid w:val="00614912"/>
    <w:rsid w:val="00614951"/>
    <w:rsid w:val="0061497A"/>
    <w:rsid w:val="006149C2"/>
    <w:rsid w:val="00614A1E"/>
    <w:rsid w:val="00614A71"/>
    <w:rsid w:val="00614A7D"/>
    <w:rsid w:val="00614B3B"/>
    <w:rsid w:val="00614B71"/>
    <w:rsid w:val="00614D71"/>
    <w:rsid w:val="00614DD1"/>
    <w:rsid w:val="00614E0F"/>
    <w:rsid w:val="00614EBB"/>
    <w:rsid w:val="00614FB5"/>
    <w:rsid w:val="00614FFF"/>
    <w:rsid w:val="00615135"/>
    <w:rsid w:val="00615145"/>
    <w:rsid w:val="00615190"/>
    <w:rsid w:val="0061524C"/>
    <w:rsid w:val="00615263"/>
    <w:rsid w:val="006152D3"/>
    <w:rsid w:val="006153CB"/>
    <w:rsid w:val="00615661"/>
    <w:rsid w:val="00615731"/>
    <w:rsid w:val="00615739"/>
    <w:rsid w:val="00615741"/>
    <w:rsid w:val="0061575E"/>
    <w:rsid w:val="006157A9"/>
    <w:rsid w:val="00615839"/>
    <w:rsid w:val="00615842"/>
    <w:rsid w:val="00615893"/>
    <w:rsid w:val="006158B6"/>
    <w:rsid w:val="00615922"/>
    <w:rsid w:val="0061593C"/>
    <w:rsid w:val="00615959"/>
    <w:rsid w:val="00615985"/>
    <w:rsid w:val="0061598A"/>
    <w:rsid w:val="006159B4"/>
    <w:rsid w:val="00615A01"/>
    <w:rsid w:val="00615AD2"/>
    <w:rsid w:val="00615B2C"/>
    <w:rsid w:val="00615B5C"/>
    <w:rsid w:val="00615B86"/>
    <w:rsid w:val="00615BA1"/>
    <w:rsid w:val="00615C30"/>
    <w:rsid w:val="00615C92"/>
    <w:rsid w:val="00615E1B"/>
    <w:rsid w:val="00615E54"/>
    <w:rsid w:val="00615E8C"/>
    <w:rsid w:val="00615F1A"/>
    <w:rsid w:val="00616121"/>
    <w:rsid w:val="00616370"/>
    <w:rsid w:val="006164E9"/>
    <w:rsid w:val="00616528"/>
    <w:rsid w:val="0061660F"/>
    <w:rsid w:val="006166B5"/>
    <w:rsid w:val="0061670B"/>
    <w:rsid w:val="006167D2"/>
    <w:rsid w:val="00616854"/>
    <w:rsid w:val="006169BB"/>
    <w:rsid w:val="006169E9"/>
    <w:rsid w:val="00616AED"/>
    <w:rsid w:val="00616AF8"/>
    <w:rsid w:val="00616B02"/>
    <w:rsid w:val="00616B6C"/>
    <w:rsid w:val="00616B9C"/>
    <w:rsid w:val="00616BA6"/>
    <w:rsid w:val="00616C16"/>
    <w:rsid w:val="00616C38"/>
    <w:rsid w:val="00616C3D"/>
    <w:rsid w:val="00616CA6"/>
    <w:rsid w:val="00616CA7"/>
    <w:rsid w:val="00616CD4"/>
    <w:rsid w:val="00616D48"/>
    <w:rsid w:val="00616D5E"/>
    <w:rsid w:val="00616D74"/>
    <w:rsid w:val="00616D9F"/>
    <w:rsid w:val="00616E43"/>
    <w:rsid w:val="00616E51"/>
    <w:rsid w:val="00616EB7"/>
    <w:rsid w:val="00616F07"/>
    <w:rsid w:val="00616F8B"/>
    <w:rsid w:val="00617073"/>
    <w:rsid w:val="00617149"/>
    <w:rsid w:val="006172EB"/>
    <w:rsid w:val="00617320"/>
    <w:rsid w:val="00617410"/>
    <w:rsid w:val="0061744C"/>
    <w:rsid w:val="00617455"/>
    <w:rsid w:val="00617483"/>
    <w:rsid w:val="006174A5"/>
    <w:rsid w:val="006174B0"/>
    <w:rsid w:val="006174B2"/>
    <w:rsid w:val="00617557"/>
    <w:rsid w:val="006176FC"/>
    <w:rsid w:val="0061770F"/>
    <w:rsid w:val="0061778A"/>
    <w:rsid w:val="006177DF"/>
    <w:rsid w:val="0061781B"/>
    <w:rsid w:val="0061783B"/>
    <w:rsid w:val="00617869"/>
    <w:rsid w:val="0061789E"/>
    <w:rsid w:val="006178DF"/>
    <w:rsid w:val="0061798D"/>
    <w:rsid w:val="00617A42"/>
    <w:rsid w:val="00617A93"/>
    <w:rsid w:val="00617AB6"/>
    <w:rsid w:val="00617B27"/>
    <w:rsid w:val="00617BCA"/>
    <w:rsid w:val="00617C4E"/>
    <w:rsid w:val="00617CDA"/>
    <w:rsid w:val="00617CE0"/>
    <w:rsid w:val="00617D16"/>
    <w:rsid w:val="00617D7D"/>
    <w:rsid w:val="00617DE0"/>
    <w:rsid w:val="00617E3E"/>
    <w:rsid w:val="00617E61"/>
    <w:rsid w:val="00617EF3"/>
    <w:rsid w:val="00617F7C"/>
    <w:rsid w:val="00617FFE"/>
    <w:rsid w:val="00620016"/>
    <w:rsid w:val="006200B2"/>
    <w:rsid w:val="006201D9"/>
    <w:rsid w:val="0062023B"/>
    <w:rsid w:val="0062023D"/>
    <w:rsid w:val="00620329"/>
    <w:rsid w:val="006203AD"/>
    <w:rsid w:val="006203D3"/>
    <w:rsid w:val="00620415"/>
    <w:rsid w:val="00620466"/>
    <w:rsid w:val="00620467"/>
    <w:rsid w:val="006204F2"/>
    <w:rsid w:val="00620575"/>
    <w:rsid w:val="006205E1"/>
    <w:rsid w:val="006205F6"/>
    <w:rsid w:val="00620641"/>
    <w:rsid w:val="006206DC"/>
    <w:rsid w:val="00620701"/>
    <w:rsid w:val="0062076A"/>
    <w:rsid w:val="006207DB"/>
    <w:rsid w:val="00620891"/>
    <w:rsid w:val="006208FE"/>
    <w:rsid w:val="00620967"/>
    <w:rsid w:val="00620B91"/>
    <w:rsid w:val="00620BAD"/>
    <w:rsid w:val="00620C86"/>
    <w:rsid w:val="00620CB3"/>
    <w:rsid w:val="00620CD7"/>
    <w:rsid w:val="00620CE7"/>
    <w:rsid w:val="00620D72"/>
    <w:rsid w:val="00620DB9"/>
    <w:rsid w:val="00620DFC"/>
    <w:rsid w:val="00620E25"/>
    <w:rsid w:val="00620E8D"/>
    <w:rsid w:val="00620E90"/>
    <w:rsid w:val="00620EA8"/>
    <w:rsid w:val="00620EEF"/>
    <w:rsid w:val="00621010"/>
    <w:rsid w:val="00621050"/>
    <w:rsid w:val="006210D9"/>
    <w:rsid w:val="00621158"/>
    <w:rsid w:val="0062116B"/>
    <w:rsid w:val="0062118A"/>
    <w:rsid w:val="006211DB"/>
    <w:rsid w:val="0062135C"/>
    <w:rsid w:val="0062138C"/>
    <w:rsid w:val="0062138F"/>
    <w:rsid w:val="006213D8"/>
    <w:rsid w:val="00621518"/>
    <w:rsid w:val="00621598"/>
    <w:rsid w:val="00621623"/>
    <w:rsid w:val="00621699"/>
    <w:rsid w:val="006216AA"/>
    <w:rsid w:val="006217A3"/>
    <w:rsid w:val="006217AD"/>
    <w:rsid w:val="006217DC"/>
    <w:rsid w:val="00621920"/>
    <w:rsid w:val="0062195E"/>
    <w:rsid w:val="0062199B"/>
    <w:rsid w:val="006219D3"/>
    <w:rsid w:val="00621A53"/>
    <w:rsid w:val="00621A60"/>
    <w:rsid w:val="00621A9B"/>
    <w:rsid w:val="00621BB0"/>
    <w:rsid w:val="00621BF7"/>
    <w:rsid w:val="00621D0D"/>
    <w:rsid w:val="00621D6A"/>
    <w:rsid w:val="00621D97"/>
    <w:rsid w:val="00621D9E"/>
    <w:rsid w:val="00621E75"/>
    <w:rsid w:val="0062203D"/>
    <w:rsid w:val="00622084"/>
    <w:rsid w:val="00622113"/>
    <w:rsid w:val="006221FF"/>
    <w:rsid w:val="006222C7"/>
    <w:rsid w:val="0062233D"/>
    <w:rsid w:val="00622369"/>
    <w:rsid w:val="00622402"/>
    <w:rsid w:val="00622482"/>
    <w:rsid w:val="006224DA"/>
    <w:rsid w:val="0062255F"/>
    <w:rsid w:val="006225D7"/>
    <w:rsid w:val="00622602"/>
    <w:rsid w:val="00622667"/>
    <w:rsid w:val="00622718"/>
    <w:rsid w:val="0062277D"/>
    <w:rsid w:val="006227F8"/>
    <w:rsid w:val="00622860"/>
    <w:rsid w:val="00622868"/>
    <w:rsid w:val="006228AD"/>
    <w:rsid w:val="006228D2"/>
    <w:rsid w:val="006229B1"/>
    <w:rsid w:val="00622A00"/>
    <w:rsid w:val="00622A07"/>
    <w:rsid w:val="00622A1F"/>
    <w:rsid w:val="00622A76"/>
    <w:rsid w:val="00622AA5"/>
    <w:rsid w:val="00622ACC"/>
    <w:rsid w:val="00622BAD"/>
    <w:rsid w:val="00622D91"/>
    <w:rsid w:val="00622DBE"/>
    <w:rsid w:val="00622DFB"/>
    <w:rsid w:val="00622E7B"/>
    <w:rsid w:val="00622E87"/>
    <w:rsid w:val="00622F25"/>
    <w:rsid w:val="00622F9D"/>
    <w:rsid w:val="00622FA5"/>
    <w:rsid w:val="00623091"/>
    <w:rsid w:val="006230C4"/>
    <w:rsid w:val="006230CE"/>
    <w:rsid w:val="00623140"/>
    <w:rsid w:val="0062325A"/>
    <w:rsid w:val="006232ED"/>
    <w:rsid w:val="00623308"/>
    <w:rsid w:val="00623319"/>
    <w:rsid w:val="00623320"/>
    <w:rsid w:val="00623375"/>
    <w:rsid w:val="006233F0"/>
    <w:rsid w:val="00623438"/>
    <w:rsid w:val="0062347F"/>
    <w:rsid w:val="00623509"/>
    <w:rsid w:val="00623593"/>
    <w:rsid w:val="006235D0"/>
    <w:rsid w:val="006235E0"/>
    <w:rsid w:val="00623609"/>
    <w:rsid w:val="006236A5"/>
    <w:rsid w:val="00623746"/>
    <w:rsid w:val="006237FA"/>
    <w:rsid w:val="0062382D"/>
    <w:rsid w:val="00623851"/>
    <w:rsid w:val="00623878"/>
    <w:rsid w:val="00623888"/>
    <w:rsid w:val="006238A1"/>
    <w:rsid w:val="0062392B"/>
    <w:rsid w:val="006239F6"/>
    <w:rsid w:val="00623A37"/>
    <w:rsid w:val="00623B76"/>
    <w:rsid w:val="00623B9B"/>
    <w:rsid w:val="00623BE1"/>
    <w:rsid w:val="00623CF6"/>
    <w:rsid w:val="00623DBA"/>
    <w:rsid w:val="00623F1F"/>
    <w:rsid w:val="00623F44"/>
    <w:rsid w:val="00623F60"/>
    <w:rsid w:val="00623F67"/>
    <w:rsid w:val="00623FFB"/>
    <w:rsid w:val="00624043"/>
    <w:rsid w:val="006240BD"/>
    <w:rsid w:val="00624120"/>
    <w:rsid w:val="006241CC"/>
    <w:rsid w:val="006241F0"/>
    <w:rsid w:val="006242A3"/>
    <w:rsid w:val="006242DE"/>
    <w:rsid w:val="006242EC"/>
    <w:rsid w:val="00624323"/>
    <w:rsid w:val="0062440B"/>
    <w:rsid w:val="0062442A"/>
    <w:rsid w:val="0062442F"/>
    <w:rsid w:val="00624434"/>
    <w:rsid w:val="006244AE"/>
    <w:rsid w:val="006244E7"/>
    <w:rsid w:val="006244F2"/>
    <w:rsid w:val="00624574"/>
    <w:rsid w:val="006245DC"/>
    <w:rsid w:val="006245F8"/>
    <w:rsid w:val="0062461E"/>
    <w:rsid w:val="006246D4"/>
    <w:rsid w:val="00624736"/>
    <w:rsid w:val="00624797"/>
    <w:rsid w:val="006248A4"/>
    <w:rsid w:val="0062493C"/>
    <w:rsid w:val="0062494E"/>
    <w:rsid w:val="00624AAE"/>
    <w:rsid w:val="00624B6A"/>
    <w:rsid w:val="00624BEC"/>
    <w:rsid w:val="00624BF4"/>
    <w:rsid w:val="00624D66"/>
    <w:rsid w:val="00624E3A"/>
    <w:rsid w:val="00624ECB"/>
    <w:rsid w:val="00624F17"/>
    <w:rsid w:val="006250BF"/>
    <w:rsid w:val="006250D4"/>
    <w:rsid w:val="00625129"/>
    <w:rsid w:val="00625191"/>
    <w:rsid w:val="006251B8"/>
    <w:rsid w:val="006251D6"/>
    <w:rsid w:val="006251EA"/>
    <w:rsid w:val="006252A3"/>
    <w:rsid w:val="006252D6"/>
    <w:rsid w:val="00625311"/>
    <w:rsid w:val="0062540F"/>
    <w:rsid w:val="0062541A"/>
    <w:rsid w:val="0062541B"/>
    <w:rsid w:val="00625450"/>
    <w:rsid w:val="006254BA"/>
    <w:rsid w:val="006254C3"/>
    <w:rsid w:val="00625553"/>
    <w:rsid w:val="006255FE"/>
    <w:rsid w:val="00625611"/>
    <w:rsid w:val="00625648"/>
    <w:rsid w:val="006256A0"/>
    <w:rsid w:val="006256B4"/>
    <w:rsid w:val="006256D8"/>
    <w:rsid w:val="006256E4"/>
    <w:rsid w:val="0062570C"/>
    <w:rsid w:val="0062579F"/>
    <w:rsid w:val="006257AA"/>
    <w:rsid w:val="006257F2"/>
    <w:rsid w:val="006257FB"/>
    <w:rsid w:val="00625809"/>
    <w:rsid w:val="0062585C"/>
    <w:rsid w:val="006258C7"/>
    <w:rsid w:val="00625953"/>
    <w:rsid w:val="006259E4"/>
    <w:rsid w:val="00625A63"/>
    <w:rsid w:val="00625AE3"/>
    <w:rsid w:val="00625B0D"/>
    <w:rsid w:val="00625B5D"/>
    <w:rsid w:val="00625C15"/>
    <w:rsid w:val="00625C6C"/>
    <w:rsid w:val="00625CA8"/>
    <w:rsid w:val="00625D2A"/>
    <w:rsid w:val="00625E2B"/>
    <w:rsid w:val="00625EC0"/>
    <w:rsid w:val="006260D9"/>
    <w:rsid w:val="006260FB"/>
    <w:rsid w:val="0062610A"/>
    <w:rsid w:val="00626169"/>
    <w:rsid w:val="00626174"/>
    <w:rsid w:val="006261F3"/>
    <w:rsid w:val="0062628B"/>
    <w:rsid w:val="00626318"/>
    <w:rsid w:val="00626393"/>
    <w:rsid w:val="006263B4"/>
    <w:rsid w:val="0062640B"/>
    <w:rsid w:val="00626419"/>
    <w:rsid w:val="00626432"/>
    <w:rsid w:val="0062645A"/>
    <w:rsid w:val="006264A9"/>
    <w:rsid w:val="00626502"/>
    <w:rsid w:val="0062651C"/>
    <w:rsid w:val="0062658A"/>
    <w:rsid w:val="006265CB"/>
    <w:rsid w:val="006266E0"/>
    <w:rsid w:val="0062671D"/>
    <w:rsid w:val="00626739"/>
    <w:rsid w:val="006268B8"/>
    <w:rsid w:val="006268FC"/>
    <w:rsid w:val="0062690D"/>
    <w:rsid w:val="00626922"/>
    <w:rsid w:val="0062694B"/>
    <w:rsid w:val="006269C3"/>
    <w:rsid w:val="006269E7"/>
    <w:rsid w:val="00626A1D"/>
    <w:rsid w:val="00626AC3"/>
    <w:rsid w:val="00626AC6"/>
    <w:rsid w:val="00626AE4"/>
    <w:rsid w:val="00626B57"/>
    <w:rsid w:val="00626B87"/>
    <w:rsid w:val="00626C4C"/>
    <w:rsid w:val="00626C81"/>
    <w:rsid w:val="00626D41"/>
    <w:rsid w:val="00626D42"/>
    <w:rsid w:val="00626D96"/>
    <w:rsid w:val="00626E70"/>
    <w:rsid w:val="00626F31"/>
    <w:rsid w:val="00626F43"/>
    <w:rsid w:val="00626FC0"/>
    <w:rsid w:val="00626FE0"/>
    <w:rsid w:val="00627010"/>
    <w:rsid w:val="006270B8"/>
    <w:rsid w:val="006270CE"/>
    <w:rsid w:val="0062711D"/>
    <w:rsid w:val="0062711E"/>
    <w:rsid w:val="00627125"/>
    <w:rsid w:val="0062718B"/>
    <w:rsid w:val="006271AA"/>
    <w:rsid w:val="006271CF"/>
    <w:rsid w:val="006271E4"/>
    <w:rsid w:val="00627240"/>
    <w:rsid w:val="00627289"/>
    <w:rsid w:val="00627324"/>
    <w:rsid w:val="0062738B"/>
    <w:rsid w:val="006273A5"/>
    <w:rsid w:val="006273AA"/>
    <w:rsid w:val="006274EF"/>
    <w:rsid w:val="00627526"/>
    <w:rsid w:val="00627587"/>
    <w:rsid w:val="006275AC"/>
    <w:rsid w:val="006275FB"/>
    <w:rsid w:val="0062769D"/>
    <w:rsid w:val="00627729"/>
    <w:rsid w:val="00627744"/>
    <w:rsid w:val="00627767"/>
    <w:rsid w:val="0062776B"/>
    <w:rsid w:val="00627778"/>
    <w:rsid w:val="006277AE"/>
    <w:rsid w:val="006277E2"/>
    <w:rsid w:val="0062781F"/>
    <w:rsid w:val="0062789D"/>
    <w:rsid w:val="006278EE"/>
    <w:rsid w:val="0062790A"/>
    <w:rsid w:val="00627961"/>
    <w:rsid w:val="00627967"/>
    <w:rsid w:val="00627987"/>
    <w:rsid w:val="00627998"/>
    <w:rsid w:val="006279FE"/>
    <w:rsid w:val="00627A67"/>
    <w:rsid w:val="00627A9E"/>
    <w:rsid w:val="00627AE9"/>
    <w:rsid w:val="00627B1F"/>
    <w:rsid w:val="00627B6F"/>
    <w:rsid w:val="00627B98"/>
    <w:rsid w:val="00627B9C"/>
    <w:rsid w:val="00627BD1"/>
    <w:rsid w:val="00627C61"/>
    <w:rsid w:val="00627D5B"/>
    <w:rsid w:val="00627DE9"/>
    <w:rsid w:val="00627E3A"/>
    <w:rsid w:val="00627EF4"/>
    <w:rsid w:val="00627F28"/>
    <w:rsid w:val="00627F45"/>
    <w:rsid w:val="00627FA5"/>
    <w:rsid w:val="00627FAF"/>
    <w:rsid w:val="0063003E"/>
    <w:rsid w:val="0063005D"/>
    <w:rsid w:val="00630066"/>
    <w:rsid w:val="006300F5"/>
    <w:rsid w:val="006300FC"/>
    <w:rsid w:val="006301AF"/>
    <w:rsid w:val="006301BF"/>
    <w:rsid w:val="0063033E"/>
    <w:rsid w:val="006303CA"/>
    <w:rsid w:val="00630504"/>
    <w:rsid w:val="00630539"/>
    <w:rsid w:val="00630558"/>
    <w:rsid w:val="0063056D"/>
    <w:rsid w:val="0063057A"/>
    <w:rsid w:val="006305A6"/>
    <w:rsid w:val="006305C2"/>
    <w:rsid w:val="00630687"/>
    <w:rsid w:val="006306C1"/>
    <w:rsid w:val="006306E6"/>
    <w:rsid w:val="006306F2"/>
    <w:rsid w:val="0063076F"/>
    <w:rsid w:val="006307AB"/>
    <w:rsid w:val="006307CD"/>
    <w:rsid w:val="006307E5"/>
    <w:rsid w:val="0063081C"/>
    <w:rsid w:val="00630820"/>
    <w:rsid w:val="006308B8"/>
    <w:rsid w:val="006308C7"/>
    <w:rsid w:val="00630955"/>
    <w:rsid w:val="0063098C"/>
    <w:rsid w:val="0063099E"/>
    <w:rsid w:val="006309D5"/>
    <w:rsid w:val="00630A2C"/>
    <w:rsid w:val="00630A9F"/>
    <w:rsid w:val="00630ABC"/>
    <w:rsid w:val="00630B84"/>
    <w:rsid w:val="00630B89"/>
    <w:rsid w:val="00630BDF"/>
    <w:rsid w:val="00630C0F"/>
    <w:rsid w:val="00630DB1"/>
    <w:rsid w:val="00630DF2"/>
    <w:rsid w:val="00630E2D"/>
    <w:rsid w:val="00630EA3"/>
    <w:rsid w:val="00630F6D"/>
    <w:rsid w:val="00630F86"/>
    <w:rsid w:val="00630FDE"/>
    <w:rsid w:val="0063100E"/>
    <w:rsid w:val="0063106F"/>
    <w:rsid w:val="00631092"/>
    <w:rsid w:val="0063111C"/>
    <w:rsid w:val="0063112A"/>
    <w:rsid w:val="00631154"/>
    <w:rsid w:val="0063116D"/>
    <w:rsid w:val="00631186"/>
    <w:rsid w:val="006311FB"/>
    <w:rsid w:val="00631202"/>
    <w:rsid w:val="006312C4"/>
    <w:rsid w:val="006312CE"/>
    <w:rsid w:val="0063132A"/>
    <w:rsid w:val="0063134D"/>
    <w:rsid w:val="0063139E"/>
    <w:rsid w:val="0063139F"/>
    <w:rsid w:val="00631583"/>
    <w:rsid w:val="006315DD"/>
    <w:rsid w:val="006315E2"/>
    <w:rsid w:val="006316F0"/>
    <w:rsid w:val="00631741"/>
    <w:rsid w:val="0063186F"/>
    <w:rsid w:val="0063194D"/>
    <w:rsid w:val="006319BF"/>
    <w:rsid w:val="00631A3E"/>
    <w:rsid w:val="00631A71"/>
    <w:rsid w:val="00631AAF"/>
    <w:rsid w:val="00631BA0"/>
    <w:rsid w:val="00631C4E"/>
    <w:rsid w:val="00631D2E"/>
    <w:rsid w:val="00631DB8"/>
    <w:rsid w:val="00631DC4"/>
    <w:rsid w:val="00631E5F"/>
    <w:rsid w:val="00631E70"/>
    <w:rsid w:val="00631F23"/>
    <w:rsid w:val="00631FB0"/>
    <w:rsid w:val="00631FD2"/>
    <w:rsid w:val="006320F5"/>
    <w:rsid w:val="006321E3"/>
    <w:rsid w:val="00632204"/>
    <w:rsid w:val="00632215"/>
    <w:rsid w:val="0063232D"/>
    <w:rsid w:val="00632336"/>
    <w:rsid w:val="0063235B"/>
    <w:rsid w:val="006323AB"/>
    <w:rsid w:val="006323EC"/>
    <w:rsid w:val="006323EF"/>
    <w:rsid w:val="006324BD"/>
    <w:rsid w:val="00632509"/>
    <w:rsid w:val="006325F9"/>
    <w:rsid w:val="0063261B"/>
    <w:rsid w:val="0063268B"/>
    <w:rsid w:val="00632699"/>
    <w:rsid w:val="006326A1"/>
    <w:rsid w:val="006326B2"/>
    <w:rsid w:val="00632730"/>
    <w:rsid w:val="00632784"/>
    <w:rsid w:val="0063278D"/>
    <w:rsid w:val="00632821"/>
    <w:rsid w:val="00632835"/>
    <w:rsid w:val="0063288B"/>
    <w:rsid w:val="00632920"/>
    <w:rsid w:val="00632991"/>
    <w:rsid w:val="006329D8"/>
    <w:rsid w:val="00632A00"/>
    <w:rsid w:val="00632AA9"/>
    <w:rsid w:val="00632AF4"/>
    <w:rsid w:val="00632B15"/>
    <w:rsid w:val="00632B22"/>
    <w:rsid w:val="00632BD9"/>
    <w:rsid w:val="00632CC5"/>
    <w:rsid w:val="00632CCB"/>
    <w:rsid w:val="00632D42"/>
    <w:rsid w:val="00632D58"/>
    <w:rsid w:val="00632D8A"/>
    <w:rsid w:val="00632E0D"/>
    <w:rsid w:val="00632E1D"/>
    <w:rsid w:val="00632E90"/>
    <w:rsid w:val="00632EFC"/>
    <w:rsid w:val="0063317A"/>
    <w:rsid w:val="00633190"/>
    <w:rsid w:val="00633251"/>
    <w:rsid w:val="0063325E"/>
    <w:rsid w:val="006332AE"/>
    <w:rsid w:val="00633326"/>
    <w:rsid w:val="00633384"/>
    <w:rsid w:val="006333B0"/>
    <w:rsid w:val="00633414"/>
    <w:rsid w:val="0063342A"/>
    <w:rsid w:val="0063348D"/>
    <w:rsid w:val="00633546"/>
    <w:rsid w:val="00633730"/>
    <w:rsid w:val="00633735"/>
    <w:rsid w:val="0063373D"/>
    <w:rsid w:val="00633791"/>
    <w:rsid w:val="006337C1"/>
    <w:rsid w:val="0063382D"/>
    <w:rsid w:val="00633879"/>
    <w:rsid w:val="00633985"/>
    <w:rsid w:val="00633986"/>
    <w:rsid w:val="006339A1"/>
    <w:rsid w:val="00633A93"/>
    <w:rsid w:val="00633AA0"/>
    <w:rsid w:val="00633AC5"/>
    <w:rsid w:val="00633AD9"/>
    <w:rsid w:val="00633B4D"/>
    <w:rsid w:val="00633BAD"/>
    <w:rsid w:val="00633C7C"/>
    <w:rsid w:val="00633CAE"/>
    <w:rsid w:val="00633D5B"/>
    <w:rsid w:val="00633DC6"/>
    <w:rsid w:val="00633DE6"/>
    <w:rsid w:val="00633E5D"/>
    <w:rsid w:val="00633E9F"/>
    <w:rsid w:val="00633EEE"/>
    <w:rsid w:val="00633F03"/>
    <w:rsid w:val="00633F64"/>
    <w:rsid w:val="00633FAE"/>
    <w:rsid w:val="00633FF7"/>
    <w:rsid w:val="00634014"/>
    <w:rsid w:val="00634099"/>
    <w:rsid w:val="00634136"/>
    <w:rsid w:val="0063437A"/>
    <w:rsid w:val="006343BE"/>
    <w:rsid w:val="0063442A"/>
    <w:rsid w:val="00634454"/>
    <w:rsid w:val="00634482"/>
    <w:rsid w:val="006344A3"/>
    <w:rsid w:val="0063457B"/>
    <w:rsid w:val="006345BC"/>
    <w:rsid w:val="00634620"/>
    <w:rsid w:val="006346CF"/>
    <w:rsid w:val="006348F6"/>
    <w:rsid w:val="00634971"/>
    <w:rsid w:val="00634978"/>
    <w:rsid w:val="006349C8"/>
    <w:rsid w:val="006349DB"/>
    <w:rsid w:val="006349DD"/>
    <w:rsid w:val="00634A63"/>
    <w:rsid w:val="00634B08"/>
    <w:rsid w:val="00634B2E"/>
    <w:rsid w:val="00634B7B"/>
    <w:rsid w:val="00634B99"/>
    <w:rsid w:val="00634BD4"/>
    <w:rsid w:val="00634C88"/>
    <w:rsid w:val="00634CA9"/>
    <w:rsid w:val="00634CE3"/>
    <w:rsid w:val="00634D64"/>
    <w:rsid w:val="00634DB4"/>
    <w:rsid w:val="00634DF7"/>
    <w:rsid w:val="00634E12"/>
    <w:rsid w:val="00634F03"/>
    <w:rsid w:val="00634FBD"/>
    <w:rsid w:val="0063506B"/>
    <w:rsid w:val="00635073"/>
    <w:rsid w:val="00635115"/>
    <w:rsid w:val="0063514A"/>
    <w:rsid w:val="0063516F"/>
    <w:rsid w:val="00635182"/>
    <w:rsid w:val="006351AC"/>
    <w:rsid w:val="00635272"/>
    <w:rsid w:val="0063530D"/>
    <w:rsid w:val="0063545D"/>
    <w:rsid w:val="006354B3"/>
    <w:rsid w:val="006354CE"/>
    <w:rsid w:val="00635514"/>
    <w:rsid w:val="006355AD"/>
    <w:rsid w:val="006355DE"/>
    <w:rsid w:val="00635645"/>
    <w:rsid w:val="00635666"/>
    <w:rsid w:val="006356C2"/>
    <w:rsid w:val="006358D4"/>
    <w:rsid w:val="006358E9"/>
    <w:rsid w:val="00635A0E"/>
    <w:rsid w:val="00635A67"/>
    <w:rsid w:val="00635A7E"/>
    <w:rsid w:val="00635AB0"/>
    <w:rsid w:val="00635AFC"/>
    <w:rsid w:val="00635B52"/>
    <w:rsid w:val="00635BBE"/>
    <w:rsid w:val="00635BEA"/>
    <w:rsid w:val="00635C3C"/>
    <w:rsid w:val="00635CAF"/>
    <w:rsid w:val="00635CDA"/>
    <w:rsid w:val="00635CE7"/>
    <w:rsid w:val="00635DAA"/>
    <w:rsid w:val="00635E4E"/>
    <w:rsid w:val="00635EAA"/>
    <w:rsid w:val="00636006"/>
    <w:rsid w:val="00636050"/>
    <w:rsid w:val="0063607B"/>
    <w:rsid w:val="00636152"/>
    <w:rsid w:val="0063619A"/>
    <w:rsid w:val="006361D6"/>
    <w:rsid w:val="00636220"/>
    <w:rsid w:val="006362B4"/>
    <w:rsid w:val="0063634D"/>
    <w:rsid w:val="006363DF"/>
    <w:rsid w:val="006364E4"/>
    <w:rsid w:val="00636665"/>
    <w:rsid w:val="006366A7"/>
    <w:rsid w:val="0063672D"/>
    <w:rsid w:val="00636734"/>
    <w:rsid w:val="00636763"/>
    <w:rsid w:val="006367BF"/>
    <w:rsid w:val="006367C4"/>
    <w:rsid w:val="006367C5"/>
    <w:rsid w:val="006367D7"/>
    <w:rsid w:val="00636803"/>
    <w:rsid w:val="006369D7"/>
    <w:rsid w:val="00636A01"/>
    <w:rsid w:val="00636A69"/>
    <w:rsid w:val="00636A6F"/>
    <w:rsid w:val="00636B0B"/>
    <w:rsid w:val="00636B0C"/>
    <w:rsid w:val="00636C0A"/>
    <w:rsid w:val="00636C2E"/>
    <w:rsid w:val="00636CC3"/>
    <w:rsid w:val="00636CD5"/>
    <w:rsid w:val="00636CE8"/>
    <w:rsid w:val="00636D04"/>
    <w:rsid w:val="00636D07"/>
    <w:rsid w:val="00636D5A"/>
    <w:rsid w:val="00636DA2"/>
    <w:rsid w:val="00636EB3"/>
    <w:rsid w:val="00636ECC"/>
    <w:rsid w:val="00636F79"/>
    <w:rsid w:val="00636FB5"/>
    <w:rsid w:val="00636FBF"/>
    <w:rsid w:val="00636FDF"/>
    <w:rsid w:val="00637016"/>
    <w:rsid w:val="00637065"/>
    <w:rsid w:val="006370C8"/>
    <w:rsid w:val="006371AB"/>
    <w:rsid w:val="006371B8"/>
    <w:rsid w:val="006371FA"/>
    <w:rsid w:val="00637200"/>
    <w:rsid w:val="00637277"/>
    <w:rsid w:val="0063737E"/>
    <w:rsid w:val="006373EA"/>
    <w:rsid w:val="006373EE"/>
    <w:rsid w:val="00637425"/>
    <w:rsid w:val="0063746E"/>
    <w:rsid w:val="006374BE"/>
    <w:rsid w:val="00637520"/>
    <w:rsid w:val="0063752C"/>
    <w:rsid w:val="0063757E"/>
    <w:rsid w:val="0063759C"/>
    <w:rsid w:val="006375B8"/>
    <w:rsid w:val="00637634"/>
    <w:rsid w:val="00637646"/>
    <w:rsid w:val="00637669"/>
    <w:rsid w:val="00637692"/>
    <w:rsid w:val="006376B1"/>
    <w:rsid w:val="0063772F"/>
    <w:rsid w:val="00637777"/>
    <w:rsid w:val="00637795"/>
    <w:rsid w:val="006377D6"/>
    <w:rsid w:val="0063787B"/>
    <w:rsid w:val="006378A6"/>
    <w:rsid w:val="006378CC"/>
    <w:rsid w:val="00637917"/>
    <w:rsid w:val="00637982"/>
    <w:rsid w:val="00637A2F"/>
    <w:rsid w:val="00637A9F"/>
    <w:rsid w:val="00637AE0"/>
    <w:rsid w:val="00637AEE"/>
    <w:rsid w:val="00637BAD"/>
    <w:rsid w:val="00637C6B"/>
    <w:rsid w:val="00637C81"/>
    <w:rsid w:val="00637CB2"/>
    <w:rsid w:val="00637D6E"/>
    <w:rsid w:val="00637D99"/>
    <w:rsid w:val="00637F0C"/>
    <w:rsid w:val="00637F1E"/>
    <w:rsid w:val="00637F2A"/>
    <w:rsid w:val="00637F75"/>
    <w:rsid w:val="00640014"/>
    <w:rsid w:val="0064004B"/>
    <w:rsid w:val="0064016C"/>
    <w:rsid w:val="0064017A"/>
    <w:rsid w:val="00640195"/>
    <w:rsid w:val="0064023E"/>
    <w:rsid w:val="0064025E"/>
    <w:rsid w:val="006402C3"/>
    <w:rsid w:val="00640304"/>
    <w:rsid w:val="0064040E"/>
    <w:rsid w:val="00640445"/>
    <w:rsid w:val="00640453"/>
    <w:rsid w:val="00640492"/>
    <w:rsid w:val="006404BF"/>
    <w:rsid w:val="0064056F"/>
    <w:rsid w:val="00640581"/>
    <w:rsid w:val="0064060C"/>
    <w:rsid w:val="00640631"/>
    <w:rsid w:val="0064067B"/>
    <w:rsid w:val="006406E4"/>
    <w:rsid w:val="006406F5"/>
    <w:rsid w:val="00640724"/>
    <w:rsid w:val="006407C8"/>
    <w:rsid w:val="00640881"/>
    <w:rsid w:val="0064088B"/>
    <w:rsid w:val="00640930"/>
    <w:rsid w:val="00640983"/>
    <w:rsid w:val="00640987"/>
    <w:rsid w:val="006409B4"/>
    <w:rsid w:val="00640A78"/>
    <w:rsid w:val="00640A7D"/>
    <w:rsid w:val="00640A85"/>
    <w:rsid w:val="00640A93"/>
    <w:rsid w:val="00640A95"/>
    <w:rsid w:val="00640AEA"/>
    <w:rsid w:val="00640B21"/>
    <w:rsid w:val="00640CAB"/>
    <w:rsid w:val="00640E8F"/>
    <w:rsid w:val="00640EDC"/>
    <w:rsid w:val="00641052"/>
    <w:rsid w:val="0064106A"/>
    <w:rsid w:val="006410B2"/>
    <w:rsid w:val="00641124"/>
    <w:rsid w:val="00641377"/>
    <w:rsid w:val="006414BE"/>
    <w:rsid w:val="006414C2"/>
    <w:rsid w:val="00641575"/>
    <w:rsid w:val="00641620"/>
    <w:rsid w:val="006416E5"/>
    <w:rsid w:val="0064178E"/>
    <w:rsid w:val="0064181E"/>
    <w:rsid w:val="00641857"/>
    <w:rsid w:val="0064185C"/>
    <w:rsid w:val="0064185E"/>
    <w:rsid w:val="00641866"/>
    <w:rsid w:val="006419A5"/>
    <w:rsid w:val="00641A4D"/>
    <w:rsid w:val="00641B23"/>
    <w:rsid w:val="00641C40"/>
    <w:rsid w:val="00641C41"/>
    <w:rsid w:val="00641C66"/>
    <w:rsid w:val="00641D02"/>
    <w:rsid w:val="00641D8E"/>
    <w:rsid w:val="00641DF4"/>
    <w:rsid w:val="00641E5B"/>
    <w:rsid w:val="00641EB5"/>
    <w:rsid w:val="00641ED5"/>
    <w:rsid w:val="00642026"/>
    <w:rsid w:val="00642075"/>
    <w:rsid w:val="00642134"/>
    <w:rsid w:val="0064213A"/>
    <w:rsid w:val="00642191"/>
    <w:rsid w:val="006423A2"/>
    <w:rsid w:val="0064240D"/>
    <w:rsid w:val="00642461"/>
    <w:rsid w:val="006424A7"/>
    <w:rsid w:val="006424F8"/>
    <w:rsid w:val="0064251B"/>
    <w:rsid w:val="00642565"/>
    <w:rsid w:val="0064258A"/>
    <w:rsid w:val="00642624"/>
    <w:rsid w:val="00642662"/>
    <w:rsid w:val="0064266A"/>
    <w:rsid w:val="00642770"/>
    <w:rsid w:val="0064277E"/>
    <w:rsid w:val="0064285A"/>
    <w:rsid w:val="00642861"/>
    <w:rsid w:val="006428C5"/>
    <w:rsid w:val="0064293C"/>
    <w:rsid w:val="0064293E"/>
    <w:rsid w:val="00642971"/>
    <w:rsid w:val="0064299E"/>
    <w:rsid w:val="00642A4B"/>
    <w:rsid w:val="00642A68"/>
    <w:rsid w:val="00642AC8"/>
    <w:rsid w:val="00642AE2"/>
    <w:rsid w:val="00642B23"/>
    <w:rsid w:val="00642B50"/>
    <w:rsid w:val="00642B9F"/>
    <w:rsid w:val="00642C9B"/>
    <w:rsid w:val="00642E2C"/>
    <w:rsid w:val="00642E78"/>
    <w:rsid w:val="00642F8C"/>
    <w:rsid w:val="00642FDD"/>
    <w:rsid w:val="00642FEB"/>
    <w:rsid w:val="00642FF1"/>
    <w:rsid w:val="00643005"/>
    <w:rsid w:val="006430B3"/>
    <w:rsid w:val="00643112"/>
    <w:rsid w:val="0064329F"/>
    <w:rsid w:val="006432CE"/>
    <w:rsid w:val="0064337C"/>
    <w:rsid w:val="006433DF"/>
    <w:rsid w:val="0064352D"/>
    <w:rsid w:val="00643550"/>
    <w:rsid w:val="0064358F"/>
    <w:rsid w:val="006435C2"/>
    <w:rsid w:val="006436D7"/>
    <w:rsid w:val="006436DC"/>
    <w:rsid w:val="006436EF"/>
    <w:rsid w:val="0064375B"/>
    <w:rsid w:val="0064387D"/>
    <w:rsid w:val="00643894"/>
    <w:rsid w:val="006438A1"/>
    <w:rsid w:val="00643909"/>
    <w:rsid w:val="0064396C"/>
    <w:rsid w:val="00643999"/>
    <w:rsid w:val="00643A06"/>
    <w:rsid w:val="00643ABC"/>
    <w:rsid w:val="00643AED"/>
    <w:rsid w:val="00643B58"/>
    <w:rsid w:val="00643B91"/>
    <w:rsid w:val="00643C32"/>
    <w:rsid w:val="00643D0D"/>
    <w:rsid w:val="00643D44"/>
    <w:rsid w:val="00643E20"/>
    <w:rsid w:val="00643E3B"/>
    <w:rsid w:val="00643E3E"/>
    <w:rsid w:val="00643E6C"/>
    <w:rsid w:val="00643EF4"/>
    <w:rsid w:val="00643F36"/>
    <w:rsid w:val="00643F3E"/>
    <w:rsid w:val="00643F5D"/>
    <w:rsid w:val="00643F66"/>
    <w:rsid w:val="00644029"/>
    <w:rsid w:val="0064407D"/>
    <w:rsid w:val="006440BE"/>
    <w:rsid w:val="006440CA"/>
    <w:rsid w:val="00644114"/>
    <w:rsid w:val="00644137"/>
    <w:rsid w:val="00644140"/>
    <w:rsid w:val="00644154"/>
    <w:rsid w:val="006441C5"/>
    <w:rsid w:val="006441D7"/>
    <w:rsid w:val="0064421B"/>
    <w:rsid w:val="006443DF"/>
    <w:rsid w:val="00644410"/>
    <w:rsid w:val="00644497"/>
    <w:rsid w:val="00644579"/>
    <w:rsid w:val="00644592"/>
    <w:rsid w:val="006445DC"/>
    <w:rsid w:val="00644601"/>
    <w:rsid w:val="006446D7"/>
    <w:rsid w:val="006446F9"/>
    <w:rsid w:val="00644774"/>
    <w:rsid w:val="006447BF"/>
    <w:rsid w:val="0064484B"/>
    <w:rsid w:val="006448AC"/>
    <w:rsid w:val="00644950"/>
    <w:rsid w:val="006449DA"/>
    <w:rsid w:val="00644AB9"/>
    <w:rsid w:val="00644AFC"/>
    <w:rsid w:val="00644BBB"/>
    <w:rsid w:val="00644BFD"/>
    <w:rsid w:val="00644DB0"/>
    <w:rsid w:val="00644DC7"/>
    <w:rsid w:val="00644DDA"/>
    <w:rsid w:val="00644E8C"/>
    <w:rsid w:val="00645098"/>
    <w:rsid w:val="00645148"/>
    <w:rsid w:val="00645180"/>
    <w:rsid w:val="0064522E"/>
    <w:rsid w:val="00645255"/>
    <w:rsid w:val="00645294"/>
    <w:rsid w:val="006452CF"/>
    <w:rsid w:val="00645304"/>
    <w:rsid w:val="00645309"/>
    <w:rsid w:val="00645311"/>
    <w:rsid w:val="00645391"/>
    <w:rsid w:val="006453C3"/>
    <w:rsid w:val="0064540C"/>
    <w:rsid w:val="00645412"/>
    <w:rsid w:val="00645448"/>
    <w:rsid w:val="00645459"/>
    <w:rsid w:val="0064546E"/>
    <w:rsid w:val="0064552D"/>
    <w:rsid w:val="0064559A"/>
    <w:rsid w:val="00645613"/>
    <w:rsid w:val="00645627"/>
    <w:rsid w:val="006456B6"/>
    <w:rsid w:val="0064570E"/>
    <w:rsid w:val="006457B0"/>
    <w:rsid w:val="0064580B"/>
    <w:rsid w:val="0064581E"/>
    <w:rsid w:val="00645872"/>
    <w:rsid w:val="006458C7"/>
    <w:rsid w:val="006458E0"/>
    <w:rsid w:val="006458F6"/>
    <w:rsid w:val="00645934"/>
    <w:rsid w:val="006459D9"/>
    <w:rsid w:val="006459E2"/>
    <w:rsid w:val="006459ED"/>
    <w:rsid w:val="00645A94"/>
    <w:rsid w:val="00645A9A"/>
    <w:rsid w:val="00645B07"/>
    <w:rsid w:val="00645B3B"/>
    <w:rsid w:val="00645B6A"/>
    <w:rsid w:val="00645BD5"/>
    <w:rsid w:val="00645BE9"/>
    <w:rsid w:val="00645C1D"/>
    <w:rsid w:val="00645C5C"/>
    <w:rsid w:val="00645C8B"/>
    <w:rsid w:val="00645DC8"/>
    <w:rsid w:val="00645E39"/>
    <w:rsid w:val="00645E61"/>
    <w:rsid w:val="00645E95"/>
    <w:rsid w:val="00645F25"/>
    <w:rsid w:val="00645FA4"/>
    <w:rsid w:val="0064602B"/>
    <w:rsid w:val="00646039"/>
    <w:rsid w:val="00646043"/>
    <w:rsid w:val="00646048"/>
    <w:rsid w:val="00646097"/>
    <w:rsid w:val="006460F4"/>
    <w:rsid w:val="006461CE"/>
    <w:rsid w:val="006462E3"/>
    <w:rsid w:val="00646324"/>
    <w:rsid w:val="00646368"/>
    <w:rsid w:val="00646430"/>
    <w:rsid w:val="0064643E"/>
    <w:rsid w:val="00646471"/>
    <w:rsid w:val="00646482"/>
    <w:rsid w:val="006464AD"/>
    <w:rsid w:val="006464E4"/>
    <w:rsid w:val="0064663A"/>
    <w:rsid w:val="00646691"/>
    <w:rsid w:val="006466BB"/>
    <w:rsid w:val="006466BF"/>
    <w:rsid w:val="006466D6"/>
    <w:rsid w:val="00646788"/>
    <w:rsid w:val="006467D5"/>
    <w:rsid w:val="0064681A"/>
    <w:rsid w:val="00646843"/>
    <w:rsid w:val="006468D7"/>
    <w:rsid w:val="00646A9F"/>
    <w:rsid w:val="00646BD7"/>
    <w:rsid w:val="00646C48"/>
    <w:rsid w:val="00646D1F"/>
    <w:rsid w:val="00646DA6"/>
    <w:rsid w:val="00646DE4"/>
    <w:rsid w:val="00646E96"/>
    <w:rsid w:val="00646F45"/>
    <w:rsid w:val="00646F49"/>
    <w:rsid w:val="00646F4F"/>
    <w:rsid w:val="0064700C"/>
    <w:rsid w:val="0064702B"/>
    <w:rsid w:val="00647061"/>
    <w:rsid w:val="006470A3"/>
    <w:rsid w:val="006470B2"/>
    <w:rsid w:val="0064718C"/>
    <w:rsid w:val="0064721C"/>
    <w:rsid w:val="0064730D"/>
    <w:rsid w:val="0064733F"/>
    <w:rsid w:val="006473A8"/>
    <w:rsid w:val="006473B2"/>
    <w:rsid w:val="006475D1"/>
    <w:rsid w:val="006475FE"/>
    <w:rsid w:val="0064777A"/>
    <w:rsid w:val="0064780D"/>
    <w:rsid w:val="0064782B"/>
    <w:rsid w:val="0064787B"/>
    <w:rsid w:val="00647AFC"/>
    <w:rsid w:val="00647B2D"/>
    <w:rsid w:val="00647B66"/>
    <w:rsid w:val="00647BD5"/>
    <w:rsid w:val="00647C93"/>
    <w:rsid w:val="00647CBD"/>
    <w:rsid w:val="00647DC1"/>
    <w:rsid w:val="00647EAB"/>
    <w:rsid w:val="00647F01"/>
    <w:rsid w:val="00647F64"/>
    <w:rsid w:val="0065000D"/>
    <w:rsid w:val="0065004C"/>
    <w:rsid w:val="0065005D"/>
    <w:rsid w:val="00650083"/>
    <w:rsid w:val="00650086"/>
    <w:rsid w:val="00650211"/>
    <w:rsid w:val="0065025D"/>
    <w:rsid w:val="00650287"/>
    <w:rsid w:val="00650339"/>
    <w:rsid w:val="0065036B"/>
    <w:rsid w:val="0065036D"/>
    <w:rsid w:val="00650393"/>
    <w:rsid w:val="0065046C"/>
    <w:rsid w:val="006504FB"/>
    <w:rsid w:val="00650515"/>
    <w:rsid w:val="0065051B"/>
    <w:rsid w:val="00650532"/>
    <w:rsid w:val="00650553"/>
    <w:rsid w:val="00650601"/>
    <w:rsid w:val="0065065D"/>
    <w:rsid w:val="00650667"/>
    <w:rsid w:val="006507FC"/>
    <w:rsid w:val="00650830"/>
    <w:rsid w:val="00650856"/>
    <w:rsid w:val="00650863"/>
    <w:rsid w:val="00650868"/>
    <w:rsid w:val="006508BC"/>
    <w:rsid w:val="006508CB"/>
    <w:rsid w:val="0065090F"/>
    <w:rsid w:val="006509FA"/>
    <w:rsid w:val="00650B4A"/>
    <w:rsid w:val="00650BE7"/>
    <w:rsid w:val="00650C14"/>
    <w:rsid w:val="00650C43"/>
    <w:rsid w:val="00650CDC"/>
    <w:rsid w:val="00650DB8"/>
    <w:rsid w:val="00650DC3"/>
    <w:rsid w:val="00650E60"/>
    <w:rsid w:val="00650E8C"/>
    <w:rsid w:val="00650EAD"/>
    <w:rsid w:val="00650EED"/>
    <w:rsid w:val="00650F15"/>
    <w:rsid w:val="0065107D"/>
    <w:rsid w:val="00651153"/>
    <w:rsid w:val="006511ED"/>
    <w:rsid w:val="0065120C"/>
    <w:rsid w:val="006512AF"/>
    <w:rsid w:val="00651375"/>
    <w:rsid w:val="00651399"/>
    <w:rsid w:val="00651423"/>
    <w:rsid w:val="00651480"/>
    <w:rsid w:val="006515DF"/>
    <w:rsid w:val="00651616"/>
    <w:rsid w:val="0065161A"/>
    <w:rsid w:val="0065165A"/>
    <w:rsid w:val="00651680"/>
    <w:rsid w:val="006516AD"/>
    <w:rsid w:val="006516EF"/>
    <w:rsid w:val="00651730"/>
    <w:rsid w:val="0065173F"/>
    <w:rsid w:val="0065175F"/>
    <w:rsid w:val="00651805"/>
    <w:rsid w:val="0065182F"/>
    <w:rsid w:val="0065184C"/>
    <w:rsid w:val="0065186C"/>
    <w:rsid w:val="006518D5"/>
    <w:rsid w:val="00651985"/>
    <w:rsid w:val="00651A24"/>
    <w:rsid w:val="00651A35"/>
    <w:rsid w:val="00651AA1"/>
    <w:rsid w:val="00651AB5"/>
    <w:rsid w:val="00651AE6"/>
    <w:rsid w:val="00651AFF"/>
    <w:rsid w:val="00651B39"/>
    <w:rsid w:val="00651B77"/>
    <w:rsid w:val="00651BB0"/>
    <w:rsid w:val="00651C37"/>
    <w:rsid w:val="00651C39"/>
    <w:rsid w:val="00651CB3"/>
    <w:rsid w:val="00651CED"/>
    <w:rsid w:val="00651D2B"/>
    <w:rsid w:val="00651D72"/>
    <w:rsid w:val="00651E71"/>
    <w:rsid w:val="00651F01"/>
    <w:rsid w:val="00651F36"/>
    <w:rsid w:val="00651FE3"/>
    <w:rsid w:val="00652100"/>
    <w:rsid w:val="00652132"/>
    <w:rsid w:val="006521F2"/>
    <w:rsid w:val="00652217"/>
    <w:rsid w:val="006522A2"/>
    <w:rsid w:val="006522C4"/>
    <w:rsid w:val="006522D0"/>
    <w:rsid w:val="006523F3"/>
    <w:rsid w:val="0065243F"/>
    <w:rsid w:val="0065244C"/>
    <w:rsid w:val="00652483"/>
    <w:rsid w:val="0065249D"/>
    <w:rsid w:val="006524DD"/>
    <w:rsid w:val="00652555"/>
    <w:rsid w:val="00652597"/>
    <w:rsid w:val="006526BF"/>
    <w:rsid w:val="006526FF"/>
    <w:rsid w:val="00652762"/>
    <w:rsid w:val="00652771"/>
    <w:rsid w:val="006527D6"/>
    <w:rsid w:val="00652826"/>
    <w:rsid w:val="00652836"/>
    <w:rsid w:val="0065283A"/>
    <w:rsid w:val="006528C2"/>
    <w:rsid w:val="00652918"/>
    <w:rsid w:val="006529C2"/>
    <w:rsid w:val="006529FB"/>
    <w:rsid w:val="00652A59"/>
    <w:rsid w:val="00652A9F"/>
    <w:rsid w:val="00652ACD"/>
    <w:rsid w:val="00652C01"/>
    <w:rsid w:val="00652C0F"/>
    <w:rsid w:val="00652C9C"/>
    <w:rsid w:val="00652CBF"/>
    <w:rsid w:val="00652CF7"/>
    <w:rsid w:val="00652D09"/>
    <w:rsid w:val="00652D1C"/>
    <w:rsid w:val="00652E20"/>
    <w:rsid w:val="00652EA4"/>
    <w:rsid w:val="00652ED3"/>
    <w:rsid w:val="00653088"/>
    <w:rsid w:val="006530FF"/>
    <w:rsid w:val="00653128"/>
    <w:rsid w:val="00653130"/>
    <w:rsid w:val="0065317D"/>
    <w:rsid w:val="00653192"/>
    <w:rsid w:val="00653246"/>
    <w:rsid w:val="006532AA"/>
    <w:rsid w:val="00653340"/>
    <w:rsid w:val="006533FC"/>
    <w:rsid w:val="0065340F"/>
    <w:rsid w:val="00653471"/>
    <w:rsid w:val="006534D8"/>
    <w:rsid w:val="00653510"/>
    <w:rsid w:val="006535D3"/>
    <w:rsid w:val="006535F9"/>
    <w:rsid w:val="00653615"/>
    <w:rsid w:val="00653663"/>
    <w:rsid w:val="006537BB"/>
    <w:rsid w:val="006537C4"/>
    <w:rsid w:val="006538AB"/>
    <w:rsid w:val="00653971"/>
    <w:rsid w:val="0065397E"/>
    <w:rsid w:val="00653981"/>
    <w:rsid w:val="0065398E"/>
    <w:rsid w:val="00653A4A"/>
    <w:rsid w:val="00653AB3"/>
    <w:rsid w:val="00653B06"/>
    <w:rsid w:val="00653B1E"/>
    <w:rsid w:val="00653B47"/>
    <w:rsid w:val="00653B4C"/>
    <w:rsid w:val="00653BD2"/>
    <w:rsid w:val="00653C13"/>
    <w:rsid w:val="00653C49"/>
    <w:rsid w:val="00653CB3"/>
    <w:rsid w:val="00653CB6"/>
    <w:rsid w:val="00653D49"/>
    <w:rsid w:val="00653DA3"/>
    <w:rsid w:val="00653DB6"/>
    <w:rsid w:val="00653FBD"/>
    <w:rsid w:val="00653FEF"/>
    <w:rsid w:val="0065408B"/>
    <w:rsid w:val="0065408C"/>
    <w:rsid w:val="00654162"/>
    <w:rsid w:val="00654219"/>
    <w:rsid w:val="006542CC"/>
    <w:rsid w:val="0065431D"/>
    <w:rsid w:val="00654335"/>
    <w:rsid w:val="00654341"/>
    <w:rsid w:val="00654364"/>
    <w:rsid w:val="00654372"/>
    <w:rsid w:val="006543CC"/>
    <w:rsid w:val="006543E5"/>
    <w:rsid w:val="00654409"/>
    <w:rsid w:val="00654499"/>
    <w:rsid w:val="00654529"/>
    <w:rsid w:val="0065452E"/>
    <w:rsid w:val="0065453F"/>
    <w:rsid w:val="00654544"/>
    <w:rsid w:val="006545AA"/>
    <w:rsid w:val="0065470E"/>
    <w:rsid w:val="0065476C"/>
    <w:rsid w:val="00654771"/>
    <w:rsid w:val="00654788"/>
    <w:rsid w:val="006547E9"/>
    <w:rsid w:val="0065483F"/>
    <w:rsid w:val="0065484C"/>
    <w:rsid w:val="00654865"/>
    <w:rsid w:val="006548A0"/>
    <w:rsid w:val="006549F0"/>
    <w:rsid w:val="00654A4C"/>
    <w:rsid w:val="00654ADE"/>
    <w:rsid w:val="00654B03"/>
    <w:rsid w:val="00654B58"/>
    <w:rsid w:val="00654B7B"/>
    <w:rsid w:val="00654C24"/>
    <w:rsid w:val="00654D02"/>
    <w:rsid w:val="00654D0F"/>
    <w:rsid w:val="00654D58"/>
    <w:rsid w:val="00654D8B"/>
    <w:rsid w:val="00654E9A"/>
    <w:rsid w:val="00654F83"/>
    <w:rsid w:val="00654FC1"/>
    <w:rsid w:val="00655000"/>
    <w:rsid w:val="006550A0"/>
    <w:rsid w:val="006550CA"/>
    <w:rsid w:val="006550D5"/>
    <w:rsid w:val="00655104"/>
    <w:rsid w:val="0065515B"/>
    <w:rsid w:val="00655172"/>
    <w:rsid w:val="00655232"/>
    <w:rsid w:val="00655283"/>
    <w:rsid w:val="00655289"/>
    <w:rsid w:val="00655326"/>
    <w:rsid w:val="00655342"/>
    <w:rsid w:val="006553FE"/>
    <w:rsid w:val="00655442"/>
    <w:rsid w:val="00655485"/>
    <w:rsid w:val="00655519"/>
    <w:rsid w:val="00655525"/>
    <w:rsid w:val="006555B7"/>
    <w:rsid w:val="00655660"/>
    <w:rsid w:val="00655668"/>
    <w:rsid w:val="00655671"/>
    <w:rsid w:val="00655675"/>
    <w:rsid w:val="006556D9"/>
    <w:rsid w:val="006556E7"/>
    <w:rsid w:val="00655794"/>
    <w:rsid w:val="0065584F"/>
    <w:rsid w:val="0065589E"/>
    <w:rsid w:val="006558AD"/>
    <w:rsid w:val="006558F1"/>
    <w:rsid w:val="006559B6"/>
    <w:rsid w:val="00655A56"/>
    <w:rsid w:val="00655AAC"/>
    <w:rsid w:val="00655AC4"/>
    <w:rsid w:val="00655B15"/>
    <w:rsid w:val="00655B21"/>
    <w:rsid w:val="00655B78"/>
    <w:rsid w:val="00655B99"/>
    <w:rsid w:val="00655C38"/>
    <w:rsid w:val="00655C3D"/>
    <w:rsid w:val="00655CA8"/>
    <w:rsid w:val="00655D02"/>
    <w:rsid w:val="00655D0E"/>
    <w:rsid w:val="00655D13"/>
    <w:rsid w:val="00655D8A"/>
    <w:rsid w:val="00655DA3"/>
    <w:rsid w:val="00655DB7"/>
    <w:rsid w:val="00655DDA"/>
    <w:rsid w:val="00655F33"/>
    <w:rsid w:val="00655FC3"/>
    <w:rsid w:val="00656008"/>
    <w:rsid w:val="00656023"/>
    <w:rsid w:val="00656074"/>
    <w:rsid w:val="0065625E"/>
    <w:rsid w:val="006562AC"/>
    <w:rsid w:val="006562FC"/>
    <w:rsid w:val="006563D9"/>
    <w:rsid w:val="00656444"/>
    <w:rsid w:val="00656445"/>
    <w:rsid w:val="0065648D"/>
    <w:rsid w:val="0065649A"/>
    <w:rsid w:val="006564DE"/>
    <w:rsid w:val="006565D0"/>
    <w:rsid w:val="006567A2"/>
    <w:rsid w:val="006567C1"/>
    <w:rsid w:val="00656835"/>
    <w:rsid w:val="006568B7"/>
    <w:rsid w:val="006568EB"/>
    <w:rsid w:val="00656978"/>
    <w:rsid w:val="006569FF"/>
    <w:rsid w:val="00656B3F"/>
    <w:rsid w:val="00656BFE"/>
    <w:rsid w:val="00656C09"/>
    <w:rsid w:val="00656C0F"/>
    <w:rsid w:val="00656CEF"/>
    <w:rsid w:val="00656D10"/>
    <w:rsid w:val="00656D56"/>
    <w:rsid w:val="00656DBC"/>
    <w:rsid w:val="00656DD7"/>
    <w:rsid w:val="00656DF2"/>
    <w:rsid w:val="00656ECD"/>
    <w:rsid w:val="00656F0D"/>
    <w:rsid w:val="00656F1F"/>
    <w:rsid w:val="00656F3A"/>
    <w:rsid w:val="00656FC9"/>
    <w:rsid w:val="00656FF7"/>
    <w:rsid w:val="0065708D"/>
    <w:rsid w:val="0065715C"/>
    <w:rsid w:val="0065718A"/>
    <w:rsid w:val="00657287"/>
    <w:rsid w:val="006572F8"/>
    <w:rsid w:val="0065730F"/>
    <w:rsid w:val="00657328"/>
    <w:rsid w:val="00657386"/>
    <w:rsid w:val="00657397"/>
    <w:rsid w:val="006573A0"/>
    <w:rsid w:val="00657481"/>
    <w:rsid w:val="00657484"/>
    <w:rsid w:val="006574C5"/>
    <w:rsid w:val="00657577"/>
    <w:rsid w:val="00657582"/>
    <w:rsid w:val="006575FB"/>
    <w:rsid w:val="00657605"/>
    <w:rsid w:val="00657634"/>
    <w:rsid w:val="006576BB"/>
    <w:rsid w:val="006576EC"/>
    <w:rsid w:val="006577FC"/>
    <w:rsid w:val="00657842"/>
    <w:rsid w:val="00657893"/>
    <w:rsid w:val="00657904"/>
    <w:rsid w:val="00657920"/>
    <w:rsid w:val="00657933"/>
    <w:rsid w:val="006579A0"/>
    <w:rsid w:val="00657A26"/>
    <w:rsid w:val="00657A87"/>
    <w:rsid w:val="00657B07"/>
    <w:rsid w:val="00657B3C"/>
    <w:rsid w:val="00657BDA"/>
    <w:rsid w:val="00657C0F"/>
    <w:rsid w:val="00657CA4"/>
    <w:rsid w:val="00657D00"/>
    <w:rsid w:val="00657D11"/>
    <w:rsid w:val="00657D3C"/>
    <w:rsid w:val="00657D42"/>
    <w:rsid w:val="00657DA0"/>
    <w:rsid w:val="00657E95"/>
    <w:rsid w:val="00657ED1"/>
    <w:rsid w:val="00657F1F"/>
    <w:rsid w:val="00657F45"/>
    <w:rsid w:val="00657F75"/>
    <w:rsid w:val="00657F8A"/>
    <w:rsid w:val="00660037"/>
    <w:rsid w:val="00660062"/>
    <w:rsid w:val="00660087"/>
    <w:rsid w:val="00660104"/>
    <w:rsid w:val="00660165"/>
    <w:rsid w:val="0066018C"/>
    <w:rsid w:val="006601C4"/>
    <w:rsid w:val="006601E4"/>
    <w:rsid w:val="006601E6"/>
    <w:rsid w:val="0066039C"/>
    <w:rsid w:val="006604C1"/>
    <w:rsid w:val="006604E5"/>
    <w:rsid w:val="006605D3"/>
    <w:rsid w:val="0066063D"/>
    <w:rsid w:val="0066067B"/>
    <w:rsid w:val="0066067C"/>
    <w:rsid w:val="006607D5"/>
    <w:rsid w:val="00660833"/>
    <w:rsid w:val="00660881"/>
    <w:rsid w:val="00660907"/>
    <w:rsid w:val="00660912"/>
    <w:rsid w:val="00660931"/>
    <w:rsid w:val="0066094A"/>
    <w:rsid w:val="006609DD"/>
    <w:rsid w:val="006609EC"/>
    <w:rsid w:val="006609F9"/>
    <w:rsid w:val="00660A70"/>
    <w:rsid w:val="00660AAD"/>
    <w:rsid w:val="00660AD2"/>
    <w:rsid w:val="00660AE2"/>
    <w:rsid w:val="00660B87"/>
    <w:rsid w:val="00660BB4"/>
    <w:rsid w:val="00660C2A"/>
    <w:rsid w:val="00660C71"/>
    <w:rsid w:val="00660D4D"/>
    <w:rsid w:val="00660D8B"/>
    <w:rsid w:val="00660D95"/>
    <w:rsid w:val="00660DB8"/>
    <w:rsid w:val="00660E07"/>
    <w:rsid w:val="00660E0B"/>
    <w:rsid w:val="00660E0E"/>
    <w:rsid w:val="00660E8E"/>
    <w:rsid w:val="00660EE7"/>
    <w:rsid w:val="00660F66"/>
    <w:rsid w:val="0066100A"/>
    <w:rsid w:val="0066103F"/>
    <w:rsid w:val="00661073"/>
    <w:rsid w:val="006610E5"/>
    <w:rsid w:val="00661161"/>
    <w:rsid w:val="0066123D"/>
    <w:rsid w:val="006612F6"/>
    <w:rsid w:val="00661304"/>
    <w:rsid w:val="0066132B"/>
    <w:rsid w:val="0066133A"/>
    <w:rsid w:val="006613CF"/>
    <w:rsid w:val="006613F3"/>
    <w:rsid w:val="00661413"/>
    <w:rsid w:val="00661477"/>
    <w:rsid w:val="006614E4"/>
    <w:rsid w:val="00661545"/>
    <w:rsid w:val="00661560"/>
    <w:rsid w:val="00661595"/>
    <w:rsid w:val="00661663"/>
    <w:rsid w:val="00661680"/>
    <w:rsid w:val="006616A5"/>
    <w:rsid w:val="006616C6"/>
    <w:rsid w:val="006616C8"/>
    <w:rsid w:val="006616F5"/>
    <w:rsid w:val="00661705"/>
    <w:rsid w:val="00661745"/>
    <w:rsid w:val="006617B9"/>
    <w:rsid w:val="006617F4"/>
    <w:rsid w:val="00661840"/>
    <w:rsid w:val="006618BA"/>
    <w:rsid w:val="0066197D"/>
    <w:rsid w:val="0066197E"/>
    <w:rsid w:val="00661A98"/>
    <w:rsid w:val="00661B16"/>
    <w:rsid w:val="00661B75"/>
    <w:rsid w:val="00661BB2"/>
    <w:rsid w:val="00661BBC"/>
    <w:rsid w:val="00661C23"/>
    <w:rsid w:val="00661C3D"/>
    <w:rsid w:val="00661C69"/>
    <w:rsid w:val="00661CE8"/>
    <w:rsid w:val="00661D1A"/>
    <w:rsid w:val="00661D1B"/>
    <w:rsid w:val="00661DAA"/>
    <w:rsid w:val="00661E69"/>
    <w:rsid w:val="00661EE2"/>
    <w:rsid w:val="00661F61"/>
    <w:rsid w:val="0066214D"/>
    <w:rsid w:val="00662180"/>
    <w:rsid w:val="006621B9"/>
    <w:rsid w:val="006621C6"/>
    <w:rsid w:val="006621FB"/>
    <w:rsid w:val="0066231B"/>
    <w:rsid w:val="00662327"/>
    <w:rsid w:val="006623A6"/>
    <w:rsid w:val="006623C5"/>
    <w:rsid w:val="0066244B"/>
    <w:rsid w:val="00662475"/>
    <w:rsid w:val="006624AF"/>
    <w:rsid w:val="006626C3"/>
    <w:rsid w:val="006626C7"/>
    <w:rsid w:val="006626EF"/>
    <w:rsid w:val="006626F9"/>
    <w:rsid w:val="00662766"/>
    <w:rsid w:val="006627D9"/>
    <w:rsid w:val="0066284E"/>
    <w:rsid w:val="0066290B"/>
    <w:rsid w:val="00662962"/>
    <w:rsid w:val="00662967"/>
    <w:rsid w:val="00662A0A"/>
    <w:rsid w:val="00662A49"/>
    <w:rsid w:val="00662A95"/>
    <w:rsid w:val="00662B16"/>
    <w:rsid w:val="00662B97"/>
    <w:rsid w:val="00662B99"/>
    <w:rsid w:val="00662C0E"/>
    <w:rsid w:val="00662C4A"/>
    <w:rsid w:val="00662C57"/>
    <w:rsid w:val="00662CF7"/>
    <w:rsid w:val="00662CFA"/>
    <w:rsid w:val="00662D07"/>
    <w:rsid w:val="00662D1D"/>
    <w:rsid w:val="00662D3C"/>
    <w:rsid w:val="00662D99"/>
    <w:rsid w:val="00662D9D"/>
    <w:rsid w:val="00662E24"/>
    <w:rsid w:val="00662E29"/>
    <w:rsid w:val="00662E3C"/>
    <w:rsid w:val="00662F56"/>
    <w:rsid w:val="00663066"/>
    <w:rsid w:val="006630D5"/>
    <w:rsid w:val="006630D6"/>
    <w:rsid w:val="006630E0"/>
    <w:rsid w:val="00663221"/>
    <w:rsid w:val="00663248"/>
    <w:rsid w:val="00663250"/>
    <w:rsid w:val="0066327F"/>
    <w:rsid w:val="006632B1"/>
    <w:rsid w:val="006632DB"/>
    <w:rsid w:val="006633A9"/>
    <w:rsid w:val="00663409"/>
    <w:rsid w:val="00663469"/>
    <w:rsid w:val="006634C9"/>
    <w:rsid w:val="00663562"/>
    <w:rsid w:val="006635C6"/>
    <w:rsid w:val="00663607"/>
    <w:rsid w:val="0066360E"/>
    <w:rsid w:val="00663661"/>
    <w:rsid w:val="0066369A"/>
    <w:rsid w:val="006636F1"/>
    <w:rsid w:val="006637D2"/>
    <w:rsid w:val="00663877"/>
    <w:rsid w:val="00663900"/>
    <w:rsid w:val="00663921"/>
    <w:rsid w:val="006639AB"/>
    <w:rsid w:val="006639DE"/>
    <w:rsid w:val="00663A76"/>
    <w:rsid w:val="00663AD7"/>
    <w:rsid w:val="00663B36"/>
    <w:rsid w:val="00663B5E"/>
    <w:rsid w:val="00663C4A"/>
    <w:rsid w:val="00663C4C"/>
    <w:rsid w:val="00663C67"/>
    <w:rsid w:val="00663C6A"/>
    <w:rsid w:val="00663D27"/>
    <w:rsid w:val="00663D6E"/>
    <w:rsid w:val="00663D7F"/>
    <w:rsid w:val="00663D99"/>
    <w:rsid w:val="00663DE7"/>
    <w:rsid w:val="00663E39"/>
    <w:rsid w:val="00663E80"/>
    <w:rsid w:val="00663F42"/>
    <w:rsid w:val="00663F46"/>
    <w:rsid w:val="00663F87"/>
    <w:rsid w:val="0066401B"/>
    <w:rsid w:val="006641C1"/>
    <w:rsid w:val="00664264"/>
    <w:rsid w:val="00664267"/>
    <w:rsid w:val="006642D9"/>
    <w:rsid w:val="006642DF"/>
    <w:rsid w:val="0066433C"/>
    <w:rsid w:val="006644C2"/>
    <w:rsid w:val="006644C9"/>
    <w:rsid w:val="006644E1"/>
    <w:rsid w:val="00664594"/>
    <w:rsid w:val="006645DB"/>
    <w:rsid w:val="00664875"/>
    <w:rsid w:val="006648B0"/>
    <w:rsid w:val="006648B4"/>
    <w:rsid w:val="006648BF"/>
    <w:rsid w:val="006648FC"/>
    <w:rsid w:val="00664917"/>
    <w:rsid w:val="006649A0"/>
    <w:rsid w:val="006649D0"/>
    <w:rsid w:val="006649F3"/>
    <w:rsid w:val="00664A2C"/>
    <w:rsid w:val="00664A92"/>
    <w:rsid w:val="00664BCC"/>
    <w:rsid w:val="00664BE0"/>
    <w:rsid w:val="00664C47"/>
    <w:rsid w:val="00664C97"/>
    <w:rsid w:val="00664CDD"/>
    <w:rsid w:val="00664D0A"/>
    <w:rsid w:val="00664D0E"/>
    <w:rsid w:val="00664D41"/>
    <w:rsid w:val="00664DA8"/>
    <w:rsid w:val="00664E1A"/>
    <w:rsid w:val="00664EC1"/>
    <w:rsid w:val="00664F3B"/>
    <w:rsid w:val="00664F67"/>
    <w:rsid w:val="00664F68"/>
    <w:rsid w:val="00664FA6"/>
    <w:rsid w:val="0066506F"/>
    <w:rsid w:val="0066522D"/>
    <w:rsid w:val="006652AE"/>
    <w:rsid w:val="006653DD"/>
    <w:rsid w:val="006654AE"/>
    <w:rsid w:val="006655B6"/>
    <w:rsid w:val="006655BC"/>
    <w:rsid w:val="006655F6"/>
    <w:rsid w:val="00665734"/>
    <w:rsid w:val="00665796"/>
    <w:rsid w:val="006657D3"/>
    <w:rsid w:val="006657E0"/>
    <w:rsid w:val="00665859"/>
    <w:rsid w:val="00665884"/>
    <w:rsid w:val="006658EE"/>
    <w:rsid w:val="00665A3D"/>
    <w:rsid w:val="00665A58"/>
    <w:rsid w:val="00665C24"/>
    <w:rsid w:val="00665C46"/>
    <w:rsid w:val="00665C49"/>
    <w:rsid w:val="00665C91"/>
    <w:rsid w:val="00665CD0"/>
    <w:rsid w:val="00665CEF"/>
    <w:rsid w:val="00665D09"/>
    <w:rsid w:val="00665D40"/>
    <w:rsid w:val="00665D8C"/>
    <w:rsid w:val="00665DF6"/>
    <w:rsid w:val="00665E13"/>
    <w:rsid w:val="00665EFA"/>
    <w:rsid w:val="00665F0E"/>
    <w:rsid w:val="00665F1B"/>
    <w:rsid w:val="00665F82"/>
    <w:rsid w:val="00666028"/>
    <w:rsid w:val="0066604B"/>
    <w:rsid w:val="006660BC"/>
    <w:rsid w:val="00666148"/>
    <w:rsid w:val="00666233"/>
    <w:rsid w:val="0066629F"/>
    <w:rsid w:val="006662B9"/>
    <w:rsid w:val="006662BE"/>
    <w:rsid w:val="00666337"/>
    <w:rsid w:val="00666340"/>
    <w:rsid w:val="006664C0"/>
    <w:rsid w:val="006664DE"/>
    <w:rsid w:val="0066654B"/>
    <w:rsid w:val="0066668D"/>
    <w:rsid w:val="006666D5"/>
    <w:rsid w:val="00666714"/>
    <w:rsid w:val="006667EE"/>
    <w:rsid w:val="00666809"/>
    <w:rsid w:val="006668D2"/>
    <w:rsid w:val="006668FC"/>
    <w:rsid w:val="0066696D"/>
    <w:rsid w:val="006669F7"/>
    <w:rsid w:val="00666A74"/>
    <w:rsid w:val="00666B54"/>
    <w:rsid w:val="00666C06"/>
    <w:rsid w:val="00666CF7"/>
    <w:rsid w:val="00666CFC"/>
    <w:rsid w:val="00666D69"/>
    <w:rsid w:val="00666DD2"/>
    <w:rsid w:val="00666E13"/>
    <w:rsid w:val="00666F5A"/>
    <w:rsid w:val="00666FEA"/>
    <w:rsid w:val="00666FF0"/>
    <w:rsid w:val="00667037"/>
    <w:rsid w:val="00667071"/>
    <w:rsid w:val="0066707C"/>
    <w:rsid w:val="006670F3"/>
    <w:rsid w:val="0066716C"/>
    <w:rsid w:val="00667179"/>
    <w:rsid w:val="0066719A"/>
    <w:rsid w:val="006671F1"/>
    <w:rsid w:val="00667281"/>
    <w:rsid w:val="00667314"/>
    <w:rsid w:val="00667336"/>
    <w:rsid w:val="006674B6"/>
    <w:rsid w:val="00667543"/>
    <w:rsid w:val="006675AD"/>
    <w:rsid w:val="006675EF"/>
    <w:rsid w:val="00667627"/>
    <w:rsid w:val="00667766"/>
    <w:rsid w:val="0066778F"/>
    <w:rsid w:val="006677ED"/>
    <w:rsid w:val="0066780D"/>
    <w:rsid w:val="0066781E"/>
    <w:rsid w:val="006678A8"/>
    <w:rsid w:val="00667960"/>
    <w:rsid w:val="006679B8"/>
    <w:rsid w:val="006679E2"/>
    <w:rsid w:val="00667A28"/>
    <w:rsid w:val="00667A83"/>
    <w:rsid w:val="00667A8C"/>
    <w:rsid w:val="00667AC5"/>
    <w:rsid w:val="00667B92"/>
    <w:rsid w:val="00667BA8"/>
    <w:rsid w:val="00667BB3"/>
    <w:rsid w:val="00667BCD"/>
    <w:rsid w:val="00667C77"/>
    <w:rsid w:val="00667CA4"/>
    <w:rsid w:val="00667D64"/>
    <w:rsid w:val="00667DFA"/>
    <w:rsid w:val="00667E01"/>
    <w:rsid w:val="00667E8D"/>
    <w:rsid w:val="00667EAC"/>
    <w:rsid w:val="00667EAD"/>
    <w:rsid w:val="00667F22"/>
    <w:rsid w:val="00670009"/>
    <w:rsid w:val="00670038"/>
    <w:rsid w:val="006701E5"/>
    <w:rsid w:val="0067021E"/>
    <w:rsid w:val="00670243"/>
    <w:rsid w:val="00670264"/>
    <w:rsid w:val="00670288"/>
    <w:rsid w:val="006702A9"/>
    <w:rsid w:val="006702C2"/>
    <w:rsid w:val="006702CC"/>
    <w:rsid w:val="0067031A"/>
    <w:rsid w:val="00670451"/>
    <w:rsid w:val="00670456"/>
    <w:rsid w:val="006704ED"/>
    <w:rsid w:val="0067055D"/>
    <w:rsid w:val="006705AD"/>
    <w:rsid w:val="006705E2"/>
    <w:rsid w:val="006706B0"/>
    <w:rsid w:val="006706DC"/>
    <w:rsid w:val="00670952"/>
    <w:rsid w:val="006709D7"/>
    <w:rsid w:val="00670A48"/>
    <w:rsid w:val="00670AFD"/>
    <w:rsid w:val="00670B91"/>
    <w:rsid w:val="00670C8F"/>
    <w:rsid w:val="00670CD0"/>
    <w:rsid w:val="00670CD9"/>
    <w:rsid w:val="00670D36"/>
    <w:rsid w:val="00670D82"/>
    <w:rsid w:val="00670DF6"/>
    <w:rsid w:val="00670E5A"/>
    <w:rsid w:val="00670E72"/>
    <w:rsid w:val="00670EAB"/>
    <w:rsid w:val="00670F2F"/>
    <w:rsid w:val="00670F30"/>
    <w:rsid w:val="00671052"/>
    <w:rsid w:val="0067106E"/>
    <w:rsid w:val="00671082"/>
    <w:rsid w:val="006710DA"/>
    <w:rsid w:val="00671146"/>
    <w:rsid w:val="00671172"/>
    <w:rsid w:val="006711F7"/>
    <w:rsid w:val="00671224"/>
    <w:rsid w:val="0067125D"/>
    <w:rsid w:val="0067127F"/>
    <w:rsid w:val="0067129D"/>
    <w:rsid w:val="006712D7"/>
    <w:rsid w:val="006712FE"/>
    <w:rsid w:val="0067136F"/>
    <w:rsid w:val="0067138E"/>
    <w:rsid w:val="006713B9"/>
    <w:rsid w:val="006714CE"/>
    <w:rsid w:val="006714E9"/>
    <w:rsid w:val="00671508"/>
    <w:rsid w:val="00671516"/>
    <w:rsid w:val="0067152A"/>
    <w:rsid w:val="00671571"/>
    <w:rsid w:val="00671596"/>
    <w:rsid w:val="00671659"/>
    <w:rsid w:val="00671669"/>
    <w:rsid w:val="00671705"/>
    <w:rsid w:val="00671718"/>
    <w:rsid w:val="006717D3"/>
    <w:rsid w:val="0067180C"/>
    <w:rsid w:val="0067180F"/>
    <w:rsid w:val="00671814"/>
    <w:rsid w:val="0067182D"/>
    <w:rsid w:val="00671835"/>
    <w:rsid w:val="00671903"/>
    <w:rsid w:val="00671904"/>
    <w:rsid w:val="006719E8"/>
    <w:rsid w:val="00671A10"/>
    <w:rsid w:val="00671A38"/>
    <w:rsid w:val="00671A8F"/>
    <w:rsid w:val="00671AAE"/>
    <w:rsid w:val="00671AAF"/>
    <w:rsid w:val="00671AEF"/>
    <w:rsid w:val="00671B3A"/>
    <w:rsid w:val="00671B47"/>
    <w:rsid w:val="00671B5C"/>
    <w:rsid w:val="00671BBE"/>
    <w:rsid w:val="00671BC0"/>
    <w:rsid w:val="00671BD4"/>
    <w:rsid w:val="00671C04"/>
    <w:rsid w:val="00671C64"/>
    <w:rsid w:val="00671D1B"/>
    <w:rsid w:val="00671D2E"/>
    <w:rsid w:val="00671E1A"/>
    <w:rsid w:val="00671E3D"/>
    <w:rsid w:val="00671ED7"/>
    <w:rsid w:val="00671FCA"/>
    <w:rsid w:val="00672016"/>
    <w:rsid w:val="00672042"/>
    <w:rsid w:val="00672094"/>
    <w:rsid w:val="006721AB"/>
    <w:rsid w:val="006721C7"/>
    <w:rsid w:val="006721F5"/>
    <w:rsid w:val="00672241"/>
    <w:rsid w:val="00672278"/>
    <w:rsid w:val="006722B8"/>
    <w:rsid w:val="006722CC"/>
    <w:rsid w:val="00672423"/>
    <w:rsid w:val="0067253E"/>
    <w:rsid w:val="006725AC"/>
    <w:rsid w:val="006725C3"/>
    <w:rsid w:val="006725D9"/>
    <w:rsid w:val="0067273B"/>
    <w:rsid w:val="00672791"/>
    <w:rsid w:val="0067286C"/>
    <w:rsid w:val="0067288E"/>
    <w:rsid w:val="006729B9"/>
    <w:rsid w:val="00672A01"/>
    <w:rsid w:val="00672A5E"/>
    <w:rsid w:val="00672A65"/>
    <w:rsid w:val="00672B13"/>
    <w:rsid w:val="00672B78"/>
    <w:rsid w:val="00672BE3"/>
    <w:rsid w:val="00672C59"/>
    <w:rsid w:val="00672C7E"/>
    <w:rsid w:val="00672C9E"/>
    <w:rsid w:val="00672CBE"/>
    <w:rsid w:val="00672D23"/>
    <w:rsid w:val="00672D2F"/>
    <w:rsid w:val="00672DB6"/>
    <w:rsid w:val="00672DCE"/>
    <w:rsid w:val="00672DD9"/>
    <w:rsid w:val="00672DDA"/>
    <w:rsid w:val="00672DE8"/>
    <w:rsid w:val="00672E1A"/>
    <w:rsid w:val="00672E4D"/>
    <w:rsid w:val="00672E74"/>
    <w:rsid w:val="00672F08"/>
    <w:rsid w:val="00672F1E"/>
    <w:rsid w:val="00672F61"/>
    <w:rsid w:val="00673062"/>
    <w:rsid w:val="00673065"/>
    <w:rsid w:val="00673072"/>
    <w:rsid w:val="006730DE"/>
    <w:rsid w:val="00673210"/>
    <w:rsid w:val="00673243"/>
    <w:rsid w:val="00673250"/>
    <w:rsid w:val="00673307"/>
    <w:rsid w:val="00673430"/>
    <w:rsid w:val="00673480"/>
    <w:rsid w:val="006734D4"/>
    <w:rsid w:val="00673531"/>
    <w:rsid w:val="00673560"/>
    <w:rsid w:val="0067358B"/>
    <w:rsid w:val="006735B8"/>
    <w:rsid w:val="006735CB"/>
    <w:rsid w:val="006735FF"/>
    <w:rsid w:val="006737CB"/>
    <w:rsid w:val="006737EC"/>
    <w:rsid w:val="006737F9"/>
    <w:rsid w:val="00673881"/>
    <w:rsid w:val="0067388D"/>
    <w:rsid w:val="006738D2"/>
    <w:rsid w:val="006738F1"/>
    <w:rsid w:val="0067392B"/>
    <w:rsid w:val="00673969"/>
    <w:rsid w:val="006739C0"/>
    <w:rsid w:val="00673A48"/>
    <w:rsid w:val="00673AA4"/>
    <w:rsid w:val="00673AB1"/>
    <w:rsid w:val="00673B05"/>
    <w:rsid w:val="00673B65"/>
    <w:rsid w:val="00673C26"/>
    <w:rsid w:val="00673CCF"/>
    <w:rsid w:val="00673DA4"/>
    <w:rsid w:val="00673E46"/>
    <w:rsid w:val="00673E50"/>
    <w:rsid w:val="00673EB1"/>
    <w:rsid w:val="00673EC8"/>
    <w:rsid w:val="00673FB6"/>
    <w:rsid w:val="00673FB8"/>
    <w:rsid w:val="00674037"/>
    <w:rsid w:val="00674089"/>
    <w:rsid w:val="0067410F"/>
    <w:rsid w:val="00674185"/>
    <w:rsid w:val="0067419B"/>
    <w:rsid w:val="00674210"/>
    <w:rsid w:val="00674227"/>
    <w:rsid w:val="0067429F"/>
    <w:rsid w:val="00674300"/>
    <w:rsid w:val="0067431A"/>
    <w:rsid w:val="0067432E"/>
    <w:rsid w:val="00674354"/>
    <w:rsid w:val="0067439A"/>
    <w:rsid w:val="0067447E"/>
    <w:rsid w:val="00674578"/>
    <w:rsid w:val="0067457E"/>
    <w:rsid w:val="00674731"/>
    <w:rsid w:val="00674783"/>
    <w:rsid w:val="0067478F"/>
    <w:rsid w:val="006747A2"/>
    <w:rsid w:val="006747A3"/>
    <w:rsid w:val="006747FD"/>
    <w:rsid w:val="00674816"/>
    <w:rsid w:val="006748B5"/>
    <w:rsid w:val="0067494B"/>
    <w:rsid w:val="00674952"/>
    <w:rsid w:val="00674956"/>
    <w:rsid w:val="00674996"/>
    <w:rsid w:val="006749BA"/>
    <w:rsid w:val="006749C6"/>
    <w:rsid w:val="006749F6"/>
    <w:rsid w:val="00674A28"/>
    <w:rsid w:val="00674A9A"/>
    <w:rsid w:val="00674ACB"/>
    <w:rsid w:val="00674B1D"/>
    <w:rsid w:val="00674B5F"/>
    <w:rsid w:val="00674B61"/>
    <w:rsid w:val="00674B84"/>
    <w:rsid w:val="00674BF6"/>
    <w:rsid w:val="00674C70"/>
    <w:rsid w:val="00674CE5"/>
    <w:rsid w:val="00674D3C"/>
    <w:rsid w:val="00674DB4"/>
    <w:rsid w:val="00674DCF"/>
    <w:rsid w:val="00674EA5"/>
    <w:rsid w:val="00674EA9"/>
    <w:rsid w:val="00674EEC"/>
    <w:rsid w:val="00674F55"/>
    <w:rsid w:val="00674F6F"/>
    <w:rsid w:val="00674FAA"/>
    <w:rsid w:val="00675004"/>
    <w:rsid w:val="00675062"/>
    <w:rsid w:val="00675090"/>
    <w:rsid w:val="0067511B"/>
    <w:rsid w:val="00675162"/>
    <w:rsid w:val="006751F5"/>
    <w:rsid w:val="0067524D"/>
    <w:rsid w:val="00675281"/>
    <w:rsid w:val="0067528B"/>
    <w:rsid w:val="00675308"/>
    <w:rsid w:val="00675352"/>
    <w:rsid w:val="0067537A"/>
    <w:rsid w:val="006753AC"/>
    <w:rsid w:val="006753D6"/>
    <w:rsid w:val="00675506"/>
    <w:rsid w:val="00675561"/>
    <w:rsid w:val="0067558B"/>
    <w:rsid w:val="006755B5"/>
    <w:rsid w:val="006755C8"/>
    <w:rsid w:val="00675612"/>
    <w:rsid w:val="00675728"/>
    <w:rsid w:val="00675770"/>
    <w:rsid w:val="006759D1"/>
    <w:rsid w:val="00675A36"/>
    <w:rsid w:val="00675A4F"/>
    <w:rsid w:val="00675AA4"/>
    <w:rsid w:val="00675AB4"/>
    <w:rsid w:val="00675CAA"/>
    <w:rsid w:val="00675CD4"/>
    <w:rsid w:val="00675CDB"/>
    <w:rsid w:val="00675D0E"/>
    <w:rsid w:val="00675D3A"/>
    <w:rsid w:val="00675D5A"/>
    <w:rsid w:val="00675E5C"/>
    <w:rsid w:val="00675E78"/>
    <w:rsid w:val="00675F0A"/>
    <w:rsid w:val="00675F1D"/>
    <w:rsid w:val="00675FBE"/>
    <w:rsid w:val="00675FD7"/>
    <w:rsid w:val="00675FF2"/>
    <w:rsid w:val="0067603A"/>
    <w:rsid w:val="00676071"/>
    <w:rsid w:val="0067608A"/>
    <w:rsid w:val="00676301"/>
    <w:rsid w:val="0067638E"/>
    <w:rsid w:val="0067645B"/>
    <w:rsid w:val="0067646A"/>
    <w:rsid w:val="00676539"/>
    <w:rsid w:val="00676567"/>
    <w:rsid w:val="0067656C"/>
    <w:rsid w:val="00676595"/>
    <w:rsid w:val="006765D6"/>
    <w:rsid w:val="00676669"/>
    <w:rsid w:val="0067667A"/>
    <w:rsid w:val="006766BB"/>
    <w:rsid w:val="006766C1"/>
    <w:rsid w:val="006766D8"/>
    <w:rsid w:val="00676701"/>
    <w:rsid w:val="00676716"/>
    <w:rsid w:val="00676761"/>
    <w:rsid w:val="0067676D"/>
    <w:rsid w:val="00676804"/>
    <w:rsid w:val="0067682E"/>
    <w:rsid w:val="00676860"/>
    <w:rsid w:val="00676869"/>
    <w:rsid w:val="0067693E"/>
    <w:rsid w:val="00676A77"/>
    <w:rsid w:val="00676B4B"/>
    <w:rsid w:val="00676C27"/>
    <w:rsid w:val="00676C46"/>
    <w:rsid w:val="00676CFB"/>
    <w:rsid w:val="00676D55"/>
    <w:rsid w:val="00676DBC"/>
    <w:rsid w:val="00676DC5"/>
    <w:rsid w:val="00676E75"/>
    <w:rsid w:val="00676F50"/>
    <w:rsid w:val="00676F96"/>
    <w:rsid w:val="006770A6"/>
    <w:rsid w:val="006770BA"/>
    <w:rsid w:val="006770C2"/>
    <w:rsid w:val="006770F3"/>
    <w:rsid w:val="0067714A"/>
    <w:rsid w:val="0067715B"/>
    <w:rsid w:val="006771D9"/>
    <w:rsid w:val="0067725D"/>
    <w:rsid w:val="00677288"/>
    <w:rsid w:val="006772FD"/>
    <w:rsid w:val="00677310"/>
    <w:rsid w:val="00677356"/>
    <w:rsid w:val="006774CF"/>
    <w:rsid w:val="006774D8"/>
    <w:rsid w:val="006774E0"/>
    <w:rsid w:val="006774E4"/>
    <w:rsid w:val="006774E6"/>
    <w:rsid w:val="0067750D"/>
    <w:rsid w:val="00677560"/>
    <w:rsid w:val="0067761F"/>
    <w:rsid w:val="00677696"/>
    <w:rsid w:val="006776D0"/>
    <w:rsid w:val="006776E5"/>
    <w:rsid w:val="00677747"/>
    <w:rsid w:val="0067776A"/>
    <w:rsid w:val="0067777A"/>
    <w:rsid w:val="006777F8"/>
    <w:rsid w:val="00677856"/>
    <w:rsid w:val="006779F0"/>
    <w:rsid w:val="00677B38"/>
    <w:rsid w:val="00677C98"/>
    <w:rsid w:val="00677CD4"/>
    <w:rsid w:val="00677D16"/>
    <w:rsid w:val="00677D34"/>
    <w:rsid w:val="00677D5F"/>
    <w:rsid w:val="00677DA0"/>
    <w:rsid w:val="00677E0B"/>
    <w:rsid w:val="00677E20"/>
    <w:rsid w:val="00677ED4"/>
    <w:rsid w:val="00677EE0"/>
    <w:rsid w:val="00677F56"/>
    <w:rsid w:val="00677F72"/>
    <w:rsid w:val="00677FB8"/>
    <w:rsid w:val="00680111"/>
    <w:rsid w:val="00680180"/>
    <w:rsid w:val="006801ED"/>
    <w:rsid w:val="0068024B"/>
    <w:rsid w:val="0068029A"/>
    <w:rsid w:val="006802FF"/>
    <w:rsid w:val="00680306"/>
    <w:rsid w:val="00680352"/>
    <w:rsid w:val="0068037B"/>
    <w:rsid w:val="00680462"/>
    <w:rsid w:val="00680495"/>
    <w:rsid w:val="006804D5"/>
    <w:rsid w:val="00680515"/>
    <w:rsid w:val="0068056C"/>
    <w:rsid w:val="006805B1"/>
    <w:rsid w:val="006805FC"/>
    <w:rsid w:val="0068068A"/>
    <w:rsid w:val="006806D1"/>
    <w:rsid w:val="006806D2"/>
    <w:rsid w:val="00680750"/>
    <w:rsid w:val="00680761"/>
    <w:rsid w:val="00680782"/>
    <w:rsid w:val="0068086C"/>
    <w:rsid w:val="006808CF"/>
    <w:rsid w:val="006808EF"/>
    <w:rsid w:val="00680916"/>
    <w:rsid w:val="00680974"/>
    <w:rsid w:val="006809CC"/>
    <w:rsid w:val="00680A34"/>
    <w:rsid w:val="00680A77"/>
    <w:rsid w:val="00680B71"/>
    <w:rsid w:val="00680BF0"/>
    <w:rsid w:val="00680C47"/>
    <w:rsid w:val="00680C5F"/>
    <w:rsid w:val="00680C7E"/>
    <w:rsid w:val="00680D10"/>
    <w:rsid w:val="00680D43"/>
    <w:rsid w:val="00680DE5"/>
    <w:rsid w:val="00680DFE"/>
    <w:rsid w:val="00680E25"/>
    <w:rsid w:val="00680E3B"/>
    <w:rsid w:val="00680EA0"/>
    <w:rsid w:val="00680EF2"/>
    <w:rsid w:val="00680EFE"/>
    <w:rsid w:val="00680F31"/>
    <w:rsid w:val="00680F85"/>
    <w:rsid w:val="00680FBF"/>
    <w:rsid w:val="00680FFB"/>
    <w:rsid w:val="0068102B"/>
    <w:rsid w:val="00681043"/>
    <w:rsid w:val="0068105F"/>
    <w:rsid w:val="00681067"/>
    <w:rsid w:val="00681088"/>
    <w:rsid w:val="00681095"/>
    <w:rsid w:val="00681096"/>
    <w:rsid w:val="00681177"/>
    <w:rsid w:val="00681204"/>
    <w:rsid w:val="0068128E"/>
    <w:rsid w:val="006812BB"/>
    <w:rsid w:val="006812C6"/>
    <w:rsid w:val="006812CA"/>
    <w:rsid w:val="006812F4"/>
    <w:rsid w:val="00681335"/>
    <w:rsid w:val="006813FA"/>
    <w:rsid w:val="00681543"/>
    <w:rsid w:val="0068154D"/>
    <w:rsid w:val="006815A6"/>
    <w:rsid w:val="00681608"/>
    <w:rsid w:val="00681621"/>
    <w:rsid w:val="006816E3"/>
    <w:rsid w:val="00681746"/>
    <w:rsid w:val="00681774"/>
    <w:rsid w:val="0068177A"/>
    <w:rsid w:val="00681803"/>
    <w:rsid w:val="0068184A"/>
    <w:rsid w:val="00681926"/>
    <w:rsid w:val="00681ACD"/>
    <w:rsid w:val="00681B38"/>
    <w:rsid w:val="00681CAF"/>
    <w:rsid w:val="00681F14"/>
    <w:rsid w:val="00681F88"/>
    <w:rsid w:val="00681FEB"/>
    <w:rsid w:val="0068207C"/>
    <w:rsid w:val="006820B1"/>
    <w:rsid w:val="006820D7"/>
    <w:rsid w:val="006820E2"/>
    <w:rsid w:val="006820F9"/>
    <w:rsid w:val="006820FE"/>
    <w:rsid w:val="00682169"/>
    <w:rsid w:val="00682205"/>
    <w:rsid w:val="0068220D"/>
    <w:rsid w:val="006822B9"/>
    <w:rsid w:val="00682347"/>
    <w:rsid w:val="006823A6"/>
    <w:rsid w:val="006823DB"/>
    <w:rsid w:val="006823F7"/>
    <w:rsid w:val="0068247B"/>
    <w:rsid w:val="00682490"/>
    <w:rsid w:val="0068249C"/>
    <w:rsid w:val="006824A1"/>
    <w:rsid w:val="006824C8"/>
    <w:rsid w:val="006824CA"/>
    <w:rsid w:val="006825E2"/>
    <w:rsid w:val="006825F1"/>
    <w:rsid w:val="0068260C"/>
    <w:rsid w:val="00682692"/>
    <w:rsid w:val="00682710"/>
    <w:rsid w:val="00682774"/>
    <w:rsid w:val="00682792"/>
    <w:rsid w:val="006827E2"/>
    <w:rsid w:val="006828C4"/>
    <w:rsid w:val="006828CE"/>
    <w:rsid w:val="006828DE"/>
    <w:rsid w:val="006829F5"/>
    <w:rsid w:val="006829FD"/>
    <w:rsid w:val="00682AEE"/>
    <w:rsid w:val="00682BDA"/>
    <w:rsid w:val="00682C17"/>
    <w:rsid w:val="00682C20"/>
    <w:rsid w:val="00682CD4"/>
    <w:rsid w:val="00682CFE"/>
    <w:rsid w:val="00682D0C"/>
    <w:rsid w:val="00682E18"/>
    <w:rsid w:val="00682F08"/>
    <w:rsid w:val="00682F70"/>
    <w:rsid w:val="0068315F"/>
    <w:rsid w:val="0068316C"/>
    <w:rsid w:val="00683178"/>
    <w:rsid w:val="006832BE"/>
    <w:rsid w:val="006832E0"/>
    <w:rsid w:val="00683331"/>
    <w:rsid w:val="00683358"/>
    <w:rsid w:val="00683362"/>
    <w:rsid w:val="00683444"/>
    <w:rsid w:val="006834C8"/>
    <w:rsid w:val="0068356E"/>
    <w:rsid w:val="0068363A"/>
    <w:rsid w:val="0068376D"/>
    <w:rsid w:val="0068377C"/>
    <w:rsid w:val="00683843"/>
    <w:rsid w:val="0068387D"/>
    <w:rsid w:val="006838BD"/>
    <w:rsid w:val="006838F8"/>
    <w:rsid w:val="006838FB"/>
    <w:rsid w:val="00683975"/>
    <w:rsid w:val="00683A49"/>
    <w:rsid w:val="00683A5A"/>
    <w:rsid w:val="00683B55"/>
    <w:rsid w:val="00683C30"/>
    <w:rsid w:val="00683D75"/>
    <w:rsid w:val="00683E05"/>
    <w:rsid w:val="00683E09"/>
    <w:rsid w:val="00683E24"/>
    <w:rsid w:val="00683E41"/>
    <w:rsid w:val="00683EC5"/>
    <w:rsid w:val="00683F40"/>
    <w:rsid w:val="00683F63"/>
    <w:rsid w:val="00683F7B"/>
    <w:rsid w:val="00683FD8"/>
    <w:rsid w:val="00684026"/>
    <w:rsid w:val="00684105"/>
    <w:rsid w:val="0068417D"/>
    <w:rsid w:val="006841C0"/>
    <w:rsid w:val="006841EC"/>
    <w:rsid w:val="00684201"/>
    <w:rsid w:val="00684396"/>
    <w:rsid w:val="0068439F"/>
    <w:rsid w:val="006843D4"/>
    <w:rsid w:val="00684675"/>
    <w:rsid w:val="0068467E"/>
    <w:rsid w:val="0068469C"/>
    <w:rsid w:val="00684743"/>
    <w:rsid w:val="00684781"/>
    <w:rsid w:val="006847A2"/>
    <w:rsid w:val="006847D3"/>
    <w:rsid w:val="0068485E"/>
    <w:rsid w:val="0068485F"/>
    <w:rsid w:val="006848BF"/>
    <w:rsid w:val="006848D4"/>
    <w:rsid w:val="006848DF"/>
    <w:rsid w:val="006848F3"/>
    <w:rsid w:val="00684911"/>
    <w:rsid w:val="00684BB0"/>
    <w:rsid w:val="00684BC1"/>
    <w:rsid w:val="00684C1A"/>
    <w:rsid w:val="00684CCD"/>
    <w:rsid w:val="00684CCF"/>
    <w:rsid w:val="00684DF9"/>
    <w:rsid w:val="00684E95"/>
    <w:rsid w:val="00684FB5"/>
    <w:rsid w:val="00684FC0"/>
    <w:rsid w:val="00685039"/>
    <w:rsid w:val="00685129"/>
    <w:rsid w:val="00685218"/>
    <w:rsid w:val="00685280"/>
    <w:rsid w:val="006852A7"/>
    <w:rsid w:val="006852E9"/>
    <w:rsid w:val="0068538B"/>
    <w:rsid w:val="006853BA"/>
    <w:rsid w:val="006853D5"/>
    <w:rsid w:val="00685414"/>
    <w:rsid w:val="00685437"/>
    <w:rsid w:val="006854B3"/>
    <w:rsid w:val="00685532"/>
    <w:rsid w:val="00685575"/>
    <w:rsid w:val="006855A4"/>
    <w:rsid w:val="006855CB"/>
    <w:rsid w:val="00685631"/>
    <w:rsid w:val="0068564F"/>
    <w:rsid w:val="0068566E"/>
    <w:rsid w:val="0068568B"/>
    <w:rsid w:val="00685696"/>
    <w:rsid w:val="0068576A"/>
    <w:rsid w:val="00685776"/>
    <w:rsid w:val="00685789"/>
    <w:rsid w:val="006857BF"/>
    <w:rsid w:val="006858B2"/>
    <w:rsid w:val="006858BF"/>
    <w:rsid w:val="006858C0"/>
    <w:rsid w:val="006858E1"/>
    <w:rsid w:val="006859A6"/>
    <w:rsid w:val="00685A51"/>
    <w:rsid w:val="00685B54"/>
    <w:rsid w:val="00685B72"/>
    <w:rsid w:val="00685B9E"/>
    <w:rsid w:val="00685BA5"/>
    <w:rsid w:val="00685C67"/>
    <w:rsid w:val="00685C84"/>
    <w:rsid w:val="00685CB3"/>
    <w:rsid w:val="00685D40"/>
    <w:rsid w:val="00685E19"/>
    <w:rsid w:val="00685FDD"/>
    <w:rsid w:val="0068600E"/>
    <w:rsid w:val="00686029"/>
    <w:rsid w:val="00686056"/>
    <w:rsid w:val="00686094"/>
    <w:rsid w:val="006860AC"/>
    <w:rsid w:val="0068624F"/>
    <w:rsid w:val="00686329"/>
    <w:rsid w:val="00686352"/>
    <w:rsid w:val="006863A3"/>
    <w:rsid w:val="006863D9"/>
    <w:rsid w:val="006863FB"/>
    <w:rsid w:val="0068648E"/>
    <w:rsid w:val="006864F9"/>
    <w:rsid w:val="0068653A"/>
    <w:rsid w:val="00686570"/>
    <w:rsid w:val="00686572"/>
    <w:rsid w:val="006865A2"/>
    <w:rsid w:val="00686600"/>
    <w:rsid w:val="00686652"/>
    <w:rsid w:val="00686693"/>
    <w:rsid w:val="006866C5"/>
    <w:rsid w:val="00686737"/>
    <w:rsid w:val="0068675F"/>
    <w:rsid w:val="00686849"/>
    <w:rsid w:val="00686876"/>
    <w:rsid w:val="0068687E"/>
    <w:rsid w:val="0068699E"/>
    <w:rsid w:val="006869DC"/>
    <w:rsid w:val="006869DE"/>
    <w:rsid w:val="006869FD"/>
    <w:rsid w:val="00686A59"/>
    <w:rsid w:val="00686AC1"/>
    <w:rsid w:val="00686AE8"/>
    <w:rsid w:val="00686BF8"/>
    <w:rsid w:val="00686CDB"/>
    <w:rsid w:val="00686CE1"/>
    <w:rsid w:val="00686D1A"/>
    <w:rsid w:val="00686D5E"/>
    <w:rsid w:val="00686D6E"/>
    <w:rsid w:val="00686D71"/>
    <w:rsid w:val="00686DE2"/>
    <w:rsid w:val="00686E7C"/>
    <w:rsid w:val="00686EC8"/>
    <w:rsid w:val="00686F73"/>
    <w:rsid w:val="00686F81"/>
    <w:rsid w:val="00686F8E"/>
    <w:rsid w:val="00686FE3"/>
    <w:rsid w:val="006870B2"/>
    <w:rsid w:val="0068710D"/>
    <w:rsid w:val="00687182"/>
    <w:rsid w:val="006871A3"/>
    <w:rsid w:val="006871B9"/>
    <w:rsid w:val="006871E3"/>
    <w:rsid w:val="006871F2"/>
    <w:rsid w:val="00687289"/>
    <w:rsid w:val="006872CE"/>
    <w:rsid w:val="0068734B"/>
    <w:rsid w:val="006873DB"/>
    <w:rsid w:val="00687482"/>
    <w:rsid w:val="006874D7"/>
    <w:rsid w:val="006874FC"/>
    <w:rsid w:val="0068750F"/>
    <w:rsid w:val="0068753F"/>
    <w:rsid w:val="00687542"/>
    <w:rsid w:val="00687570"/>
    <w:rsid w:val="00687647"/>
    <w:rsid w:val="006876B1"/>
    <w:rsid w:val="0068785D"/>
    <w:rsid w:val="006878C1"/>
    <w:rsid w:val="00687986"/>
    <w:rsid w:val="006879A3"/>
    <w:rsid w:val="00687B0E"/>
    <w:rsid w:val="00687BA0"/>
    <w:rsid w:val="00687BE3"/>
    <w:rsid w:val="00687C02"/>
    <w:rsid w:val="00687CE0"/>
    <w:rsid w:val="00687D2D"/>
    <w:rsid w:val="00687D76"/>
    <w:rsid w:val="00687DBC"/>
    <w:rsid w:val="00687E03"/>
    <w:rsid w:val="00687E29"/>
    <w:rsid w:val="00687E51"/>
    <w:rsid w:val="00687FA2"/>
    <w:rsid w:val="0068BED8"/>
    <w:rsid w:val="00690014"/>
    <w:rsid w:val="006900C8"/>
    <w:rsid w:val="006901F6"/>
    <w:rsid w:val="00690220"/>
    <w:rsid w:val="00690223"/>
    <w:rsid w:val="00690258"/>
    <w:rsid w:val="006902C0"/>
    <w:rsid w:val="006902C1"/>
    <w:rsid w:val="006902D9"/>
    <w:rsid w:val="00690322"/>
    <w:rsid w:val="006903A6"/>
    <w:rsid w:val="0069044C"/>
    <w:rsid w:val="0069046A"/>
    <w:rsid w:val="00690574"/>
    <w:rsid w:val="006905CD"/>
    <w:rsid w:val="00690643"/>
    <w:rsid w:val="006906FF"/>
    <w:rsid w:val="00690796"/>
    <w:rsid w:val="006907AE"/>
    <w:rsid w:val="006908FC"/>
    <w:rsid w:val="0069091F"/>
    <w:rsid w:val="0069092B"/>
    <w:rsid w:val="00690A18"/>
    <w:rsid w:val="00690A3D"/>
    <w:rsid w:val="00690A5D"/>
    <w:rsid w:val="00690ABD"/>
    <w:rsid w:val="00690B76"/>
    <w:rsid w:val="00690B8E"/>
    <w:rsid w:val="00690C10"/>
    <w:rsid w:val="00690C49"/>
    <w:rsid w:val="00690CA9"/>
    <w:rsid w:val="00690CBD"/>
    <w:rsid w:val="00690CE7"/>
    <w:rsid w:val="00690D7A"/>
    <w:rsid w:val="00690DC4"/>
    <w:rsid w:val="00690E9D"/>
    <w:rsid w:val="00690EBC"/>
    <w:rsid w:val="00690EF5"/>
    <w:rsid w:val="00690F35"/>
    <w:rsid w:val="00690F5E"/>
    <w:rsid w:val="00690FC6"/>
    <w:rsid w:val="006910DC"/>
    <w:rsid w:val="006910F9"/>
    <w:rsid w:val="0069114D"/>
    <w:rsid w:val="00691180"/>
    <w:rsid w:val="006911D4"/>
    <w:rsid w:val="00691269"/>
    <w:rsid w:val="00691288"/>
    <w:rsid w:val="00691329"/>
    <w:rsid w:val="00691375"/>
    <w:rsid w:val="006913EC"/>
    <w:rsid w:val="0069144A"/>
    <w:rsid w:val="00691578"/>
    <w:rsid w:val="006915E5"/>
    <w:rsid w:val="006915E6"/>
    <w:rsid w:val="0069160C"/>
    <w:rsid w:val="006916CB"/>
    <w:rsid w:val="006916F6"/>
    <w:rsid w:val="00691706"/>
    <w:rsid w:val="00691736"/>
    <w:rsid w:val="006917DF"/>
    <w:rsid w:val="00691804"/>
    <w:rsid w:val="00691859"/>
    <w:rsid w:val="006918F3"/>
    <w:rsid w:val="006919FE"/>
    <w:rsid w:val="00691ABE"/>
    <w:rsid w:val="00691B8B"/>
    <w:rsid w:val="00691B8C"/>
    <w:rsid w:val="00691BA9"/>
    <w:rsid w:val="00691BE4"/>
    <w:rsid w:val="00691C16"/>
    <w:rsid w:val="00691C20"/>
    <w:rsid w:val="00691CB7"/>
    <w:rsid w:val="00691CD1"/>
    <w:rsid w:val="00691D28"/>
    <w:rsid w:val="00691DB7"/>
    <w:rsid w:val="00691E0D"/>
    <w:rsid w:val="00691E66"/>
    <w:rsid w:val="00691EE7"/>
    <w:rsid w:val="00691F32"/>
    <w:rsid w:val="00691F5D"/>
    <w:rsid w:val="00691F5E"/>
    <w:rsid w:val="00692039"/>
    <w:rsid w:val="00692164"/>
    <w:rsid w:val="006921FC"/>
    <w:rsid w:val="006922B7"/>
    <w:rsid w:val="006922B8"/>
    <w:rsid w:val="00692343"/>
    <w:rsid w:val="0069236A"/>
    <w:rsid w:val="00692398"/>
    <w:rsid w:val="006923D3"/>
    <w:rsid w:val="006923E3"/>
    <w:rsid w:val="00692472"/>
    <w:rsid w:val="006924B4"/>
    <w:rsid w:val="00692586"/>
    <w:rsid w:val="00692593"/>
    <w:rsid w:val="006925C7"/>
    <w:rsid w:val="006925CA"/>
    <w:rsid w:val="00692601"/>
    <w:rsid w:val="00692669"/>
    <w:rsid w:val="00692681"/>
    <w:rsid w:val="006926B1"/>
    <w:rsid w:val="006926E0"/>
    <w:rsid w:val="00692711"/>
    <w:rsid w:val="0069272B"/>
    <w:rsid w:val="00692740"/>
    <w:rsid w:val="00692852"/>
    <w:rsid w:val="0069286D"/>
    <w:rsid w:val="0069289A"/>
    <w:rsid w:val="006928DE"/>
    <w:rsid w:val="0069290A"/>
    <w:rsid w:val="00692924"/>
    <w:rsid w:val="00692969"/>
    <w:rsid w:val="00692972"/>
    <w:rsid w:val="006929A9"/>
    <w:rsid w:val="006929EF"/>
    <w:rsid w:val="00692AC8"/>
    <w:rsid w:val="00692AF2"/>
    <w:rsid w:val="00692AFA"/>
    <w:rsid w:val="00692B46"/>
    <w:rsid w:val="00692BFD"/>
    <w:rsid w:val="00692C4D"/>
    <w:rsid w:val="00692D03"/>
    <w:rsid w:val="00692F18"/>
    <w:rsid w:val="00692F1E"/>
    <w:rsid w:val="00692F95"/>
    <w:rsid w:val="00692FDC"/>
    <w:rsid w:val="00693061"/>
    <w:rsid w:val="006930D2"/>
    <w:rsid w:val="0069311E"/>
    <w:rsid w:val="006931B1"/>
    <w:rsid w:val="006931C4"/>
    <w:rsid w:val="00693285"/>
    <w:rsid w:val="0069329D"/>
    <w:rsid w:val="006932A8"/>
    <w:rsid w:val="0069330E"/>
    <w:rsid w:val="0069339C"/>
    <w:rsid w:val="006933BE"/>
    <w:rsid w:val="006933DA"/>
    <w:rsid w:val="00693421"/>
    <w:rsid w:val="0069343A"/>
    <w:rsid w:val="0069347E"/>
    <w:rsid w:val="006934CF"/>
    <w:rsid w:val="006934FF"/>
    <w:rsid w:val="00693573"/>
    <w:rsid w:val="00693577"/>
    <w:rsid w:val="00693608"/>
    <w:rsid w:val="0069360D"/>
    <w:rsid w:val="006936B0"/>
    <w:rsid w:val="006936D8"/>
    <w:rsid w:val="00693718"/>
    <w:rsid w:val="00693763"/>
    <w:rsid w:val="00693770"/>
    <w:rsid w:val="006937CE"/>
    <w:rsid w:val="0069386E"/>
    <w:rsid w:val="006938BB"/>
    <w:rsid w:val="0069399E"/>
    <w:rsid w:val="006939B3"/>
    <w:rsid w:val="006939D3"/>
    <w:rsid w:val="006939F8"/>
    <w:rsid w:val="00693ACC"/>
    <w:rsid w:val="00693AF8"/>
    <w:rsid w:val="00693B04"/>
    <w:rsid w:val="00693B6D"/>
    <w:rsid w:val="00693B95"/>
    <w:rsid w:val="00693BA0"/>
    <w:rsid w:val="00693E8E"/>
    <w:rsid w:val="00693FBA"/>
    <w:rsid w:val="00693FBC"/>
    <w:rsid w:val="0069401C"/>
    <w:rsid w:val="0069402B"/>
    <w:rsid w:val="00694036"/>
    <w:rsid w:val="006940E5"/>
    <w:rsid w:val="00694127"/>
    <w:rsid w:val="00694272"/>
    <w:rsid w:val="00694305"/>
    <w:rsid w:val="006943A3"/>
    <w:rsid w:val="00694403"/>
    <w:rsid w:val="00694414"/>
    <w:rsid w:val="00694418"/>
    <w:rsid w:val="0069449B"/>
    <w:rsid w:val="006944F8"/>
    <w:rsid w:val="0069450B"/>
    <w:rsid w:val="006945B6"/>
    <w:rsid w:val="0069465C"/>
    <w:rsid w:val="006946F5"/>
    <w:rsid w:val="00694738"/>
    <w:rsid w:val="0069474E"/>
    <w:rsid w:val="00694760"/>
    <w:rsid w:val="00694780"/>
    <w:rsid w:val="0069479D"/>
    <w:rsid w:val="006947E7"/>
    <w:rsid w:val="00694818"/>
    <w:rsid w:val="006948BD"/>
    <w:rsid w:val="00694937"/>
    <w:rsid w:val="00694939"/>
    <w:rsid w:val="006949BB"/>
    <w:rsid w:val="00694BF4"/>
    <w:rsid w:val="00694C3A"/>
    <w:rsid w:val="00694D48"/>
    <w:rsid w:val="00694D86"/>
    <w:rsid w:val="00694D91"/>
    <w:rsid w:val="00694DA0"/>
    <w:rsid w:val="00694DA9"/>
    <w:rsid w:val="00694E3F"/>
    <w:rsid w:val="00694E64"/>
    <w:rsid w:val="00694E82"/>
    <w:rsid w:val="00694EAD"/>
    <w:rsid w:val="00694F86"/>
    <w:rsid w:val="00694FD5"/>
    <w:rsid w:val="00694FF8"/>
    <w:rsid w:val="0069502D"/>
    <w:rsid w:val="006950D1"/>
    <w:rsid w:val="0069510B"/>
    <w:rsid w:val="0069512F"/>
    <w:rsid w:val="0069516E"/>
    <w:rsid w:val="00695175"/>
    <w:rsid w:val="006951AB"/>
    <w:rsid w:val="00695212"/>
    <w:rsid w:val="00695214"/>
    <w:rsid w:val="0069521A"/>
    <w:rsid w:val="00695290"/>
    <w:rsid w:val="006952CB"/>
    <w:rsid w:val="0069537B"/>
    <w:rsid w:val="00695392"/>
    <w:rsid w:val="006953B7"/>
    <w:rsid w:val="0069545D"/>
    <w:rsid w:val="006954CA"/>
    <w:rsid w:val="0069551B"/>
    <w:rsid w:val="0069554F"/>
    <w:rsid w:val="006955DF"/>
    <w:rsid w:val="00695739"/>
    <w:rsid w:val="0069573B"/>
    <w:rsid w:val="00695793"/>
    <w:rsid w:val="006957C8"/>
    <w:rsid w:val="006957F3"/>
    <w:rsid w:val="006958A5"/>
    <w:rsid w:val="006958D1"/>
    <w:rsid w:val="00695906"/>
    <w:rsid w:val="006959B8"/>
    <w:rsid w:val="00695A77"/>
    <w:rsid w:val="00695A7F"/>
    <w:rsid w:val="00695AA7"/>
    <w:rsid w:val="00695AF0"/>
    <w:rsid w:val="00695B1B"/>
    <w:rsid w:val="00695B25"/>
    <w:rsid w:val="00695B42"/>
    <w:rsid w:val="00695C5A"/>
    <w:rsid w:val="00695CBF"/>
    <w:rsid w:val="00695D08"/>
    <w:rsid w:val="00695D33"/>
    <w:rsid w:val="00695D8C"/>
    <w:rsid w:val="00695DB0"/>
    <w:rsid w:val="00695E83"/>
    <w:rsid w:val="00695E8B"/>
    <w:rsid w:val="00695F0B"/>
    <w:rsid w:val="00695F25"/>
    <w:rsid w:val="00695FFD"/>
    <w:rsid w:val="00696036"/>
    <w:rsid w:val="0069604B"/>
    <w:rsid w:val="006960E2"/>
    <w:rsid w:val="00696163"/>
    <w:rsid w:val="00696186"/>
    <w:rsid w:val="006961BF"/>
    <w:rsid w:val="006961D1"/>
    <w:rsid w:val="006961EF"/>
    <w:rsid w:val="00696214"/>
    <w:rsid w:val="00696339"/>
    <w:rsid w:val="00696427"/>
    <w:rsid w:val="0069648A"/>
    <w:rsid w:val="006964D9"/>
    <w:rsid w:val="0069650A"/>
    <w:rsid w:val="00696672"/>
    <w:rsid w:val="0069669C"/>
    <w:rsid w:val="006966FA"/>
    <w:rsid w:val="00696775"/>
    <w:rsid w:val="0069679F"/>
    <w:rsid w:val="00696915"/>
    <w:rsid w:val="00696932"/>
    <w:rsid w:val="0069695B"/>
    <w:rsid w:val="006969A5"/>
    <w:rsid w:val="006969CC"/>
    <w:rsid w:val="00696A08"/>
    <w:rsid w:val="00696A3F"/>
    <w:rsid w:val="00696A7F"/>
    <w:rsid w:val="00696A82"/>
    <w:rsid w:val="00696B4D"/>
    <w:rsid w:val="00696B5A"/>
    <w:rsid w:val="00696BB5"/>
    <w:rsid w:val="00696C0B"/>
    <w:rsid w:val="00696C4B"/>
    <w:rsid w:val="00696C50"/>
    <w:rsid w:val="00696C70"/>
    <w:rsid w:val="00696CA8"/>
    <w:rsid w:val="00696E6E"/>
    <w:rsid w:val="00696EEF"/>
    <w:rsid w:val="00696FB8"/>
    <w:rsid w:val="00697089"/>
    <w:rsid w:val="00697217"/>
    <w:rsid w:val="00697251"/>
    <w:rsid w:val="0069728F"/>
    <w:rsid w:val="0069729A"/>
    <w:rsid w:val="006972AF"/>
    <w:rsid w:val="006972BE"/>
    <w:rsid w:val="006972CD"/>
    <w:rsid w:val="00697322"/>
    <w:rsid w:val="006973A5"/>
    <w:rsid w:val="006973D2"/>
    <w:rsid w:val="00697405"/>
    <w:rsid w:val="00697413"/>
    <w:rsid w:val="00697450"/>
    <w:rsid w:val="0069752A"/>
    <w:rsid w:val="0069755E"/>
    <w:rsid w:val="006975EE"/>
    <w:rsid w:val="00697606"/>
    <w:rsid w:val="00697614"/>
    <w:rsid w:val="0069764A"/>
    <w:rsid w:val="00697669"/>
    <w:rsid w:val="0069769A"/>
    <w:rsid w:val="006976BD"/>
    <w:rsid w:val="00697769"/>
    <w:rsid w:val="006977DD"/>
    <w:rsid w:val="00697848"/>
    <w:rsid w:val="006978C5"/>
    <w:rsid w:val="0069799C"/>
    <w:rsid w:val="00697A4E"/>
    <w:rsid w:val="00697AFA"/>
    <w:rsid w:val="00697B3E"/>
    <w:rsid w:val="00697C2C"/>
    <w:rsid w:val="00697C98"/>
    <w:rsid w:val="00697CB0"/>
    <w:rsid w:val="00697DC1"/>
    <w:rsid w:val="00697DDE"/>
    <w:rsid w:val="00697E55"/>
    <w:rsid w:val="00697E65"/>
    <w:rsid w:val="00697ECF"/>
    <w:rsid w:val="00697FCA"/>
    <w:rsid w:val="006A0091"/>
    <w:rsid w:val="006A0095"/>
    <w:rsid w:val="006A014E"/>
    <w:rsid w:val="006A01A2"/>
    <w:rsid w:val="006A01A4"/>
    <w:rsid w:val="006A01FF"/>
    <w:rsid w:val="006A02C0"/>
    <w:rsid w:val="006A02DC"/>
    <w:rsid w:val="006A030A"/>
    <w:rsid w:val="006A0329"/>
    <w:rsid w:val="006A03F1"/>
    <w:rsid w:val="006A0406"/>
    <w:rsid w:val="006A0486"/>
    <w:rsid w:val="006A050B"/>
    <w:rsid w:val="006A0512"/>
    <w:rsid w:val="006A0519"/>
    <w:rsid w:val="006A0547"/>
    <w:rsid w:val="006A05C3"/>
    <w:rsid w:val="006A061D"/>
    <w:rsid w:val="006A063B"/>
    <w:rsid w:val="006A06AE"/>
    <w:rsid w:val="006A0703"/>
    <w:rsid w:val="006A0733"/>
    <w:rsid w:val="006A0747"/>
    <w:rsid w:val="006A0778"/>
    <w:rsid w:val="006A07A4"/>
    <w:rsid w:val="006A0804"/>
    <w:rsid w:val="006A0842"/>
    <w:rsid w:val="006A08CC"/>
    <w:rsid w:val="006A0912"/>
    <w:rsid w:val="006A0A57"/>
    <w:rsid w:val="006A0B61"/>
    <w:rsid w:val="006A0B96"/>
    <w:rsid w:val="006A0C14"/>
    <w:rsid w:val="006A0C51"/>
    <w:rsid w:val="006A0C63"/>
    <w:rsid w:val="006A0CA4"/>
    <w:rsid w:val="006A0CDB"/>
    <w:rsid w:val="006A0E17"/>
    <w:rsid w:val="006A0E20"/>
    <w:rsid w:val="006A0E2D"/>
    <w:rsid w:val="006A0F15"/>
    <w:rsid w:val="006A0F42"/>
    <w:rsid w:val="006A0F59"/>
    <w:rsid w:val="006A0F87"/>
    <w:rsid w:val="006A1029"/>
    <w:rsid w:val="006A10F0"/>
    <w:rsid w:val="006A1164"/>
    <w:rsid w:val="006A11A6"/>
    <w:rsid w:val="006A125C"/>
    <w:rsid w:val="006A12BA"/>
    <w:rsid w:val="006A1359"/>
    <w:rsid w:val="006A137A"/>
    <w:rsid w:val="006A1394"/>
    <w:rsid w:val="006A1418"/>
    <w:rsid w:val="006A1467"/>
    <w:rsid w:val="006A14AE"/>
    <w:rsid w:val="006A153D"/>
    <w:rsid w:val="006A163E"/>
    <w:rsid w:val="006A16A7"/>
    <w:rsid w:val="006A16D6"/>
    <w:rsid w:val="006A174B"/>
    <w:rsid w:val="006A17B9"/>
    <w:rsid w:val="006A184C"/>
    <w:rsid w:val="006A186C"/>
    <w:rsid w:val="006A18AB"/>
    <w:rsid w:val="006A18E3"/>
    <w:rsid w:val="006A19D0"/>
    <w:rsid w:val="006A19E8"/>
    <w:rsid w:val="006A1A72"/>
    <w:rsid w:val="006A1A73"/>
    <w:rsid w:val="006A1B0D"/>
    <w:rsid w:val="006A1B4F"/>
    <w:rsid w:val="006A1B7C"/>
    <w:rsid w:val="006A1BD0"/>
    <w:rsid w:val="006A1C42"/>
    <w:rsid w:val="006A1C59"/>
    <w:rsid w:val="006A1C9E"/>
    <w:rsid w:val="006A1D26"/>
    <w:rsid w:val="006A1D79"/>
    <w:rsid w:val="006A1D82"/>
    <w:rsid w:val="006A1DCC"/>
    <w:rsid w:val="006A1E5A"/>
    <w:rsid w:val="006A1E78"/>
    <w:rsid w:val="006A1EC2"/>
    <w:rsid w:val="006A1EDD"/>
    <w:rsid w:val="006A1EE9"/>
    <w:rsid w:val="006A1F1A"/>
    <w:rsid w:val="006A1F49"/>
    <w:rsid w:val="006A1F60"/>
    <w:rsid w:val="006A1F9A"/>
    <w:rsid w:val="006A202F"/>
    <w:rsid w:val="006A206F"/>
    <w:rsid w:val="006A20EF"/>
    <w:rsid w:val="006A21A8"/>
    <w:rsid w:val="006A22A3"/>
    <w:rsid w:val="006A23C9"/>
    <w:rsid w:val="006A23EE"/>
    <w:rsid w:val="006A2552"/>
    <w:rsid w:val="006A258D"/>
    <w:rsid w:val="006A262D"/>
    <w:rsid w:val="006A263C"/>
    <w:rsid w:val="006A265A"/>
    <w:rsid w:val="006A2824"/>
    <w:rsid w:val="006A289F"/>
    <w:rsid w:val="006A2909"/>
    <w:rsid w:val="006A296E"/>
    <w:rsid w:val="006A297B"/>
    <w:rsid w:val="006A2984"/>
    <w:rsid w:val="006A2995"/>
    <w:rsid w:val="006A2A17"/>
    <w:rsid w:val="006A2A43"/>
    <w:rsid w:val="006A2AC3"/>
    <w:rsid w:val="006A2B47"/>
    <w:rsid w:val="006A2B6E"/>
    <w:rsid w:val="006A2BA9"/>
    <w:rsid w:val="006A2BD0"/>
    <w:rsid w:val="006A2BF1"/>
    <w:rsid w:val="006A2D33"/>
    <w:rsid w:val="006A2D77"/>
    <w:rsid w:val="006A2E7A"/>
    <w:rsid w:val="006A2E7B"/>
    <w:rsid w:val="006A2EE2"/>
    <w:rsid w:val="006A2F62"/>
    <w:rsid w:val="006A2F8B"/>
    <w:rsid w:val="006A30A9"/>
    <w:rsid w:val="006A315E"/>
    <w:rsid w:val="006A318B"/>
    <w:rsid w:val="006A3221"/>
    <w:rsid w:val="006A3296"/>
    <w:rsid w:val="006A32D1"/>
    <w:rsid w:val="006A33CB"/>
    <w:rsid w:val="006A3415"/>
    <w:rsid w:val="006A3428"/>
    <w:rsid w:val="006A3434"/>
    <w:rsid w:val="006A34D5"/>
    <w:rsid w:val="006A356D"/>
    <w:rsid w:val="006A3591"/>
    <w:rsid w:val="006A35FC"/>
    <w:rsid w:val="006A371C"/>
    <w:rsid w:val="006A3813"/>
    <w:rsid w:val="006A384E"/>
    <w:rsid w:val="006A38EF"/>
    <w:rsid w:val="006A3906"/>
    <w:rsid w:val="006A395E"/>
    <w:rsid w:val="006A3977"/>
    <w:rsid w:val="006A39DC"/>
    <w:rsid w:val="006A39EC"/>
    <w:rsid w:val="006A3A3E"/>
    <w:rsid w:val="006A3AA5"/>
    <w:rsid w:val="006A3ADA"/>
    <w:rsid w:val="006A3C02"/>
    <w:rsid w:val="006A3D0D"/>
    <w:rsid w:val="006A3D53"/>
    <w:rsid w:val="006A3D6C"/>
    <w:rsid w:val="006A3D8D"/>
    <w:rsid w:val="006A3DF5"/>
    <w:rsid w:val="006A3E63"/>
    <w:rsid w:val="006A3F49"/>
    <w:rsid w:val="006A3F55"/>
    <w:rsid w:val="006A3FA8"/>
    <w:rsid w:val="006A4027"/>
    <w:rsid w:val="006A4062"/>
    <w:rsid w:val="006A406B"/>
    <w:rsid w:val="006A40B7"/>
    <w:rsid w:val="006A41A7"/>
    <w:rsid w:val="006A41C4"/>
    <w:rsid w:val="006A421F"/>
    <w:rsid w:val="006A42B0"/>
    <w:rsid w:val="006A42F2"/>
    <w:rsid w:val="006A4339"/>
    <w:rsid w:val="006A4340"/>
    <w:rsid w:val="006A440C"/>
    <w:rsid w:val="006A44C9"/>
    <w:rsid w:val="006A4504"/>
    <w:rsid w:val="006A4566"/>
    <w:rsid w:val="006A456C"/>
    <w:rsid w:val="006A45E8"/>
    <w:rsid w:val="006A4694"/>
    <w:rsid w:val="006A46C0"/>
    <w:rsid w:val="006A46DE"/>
    <w:rsid w:val="006A4726"/>
    <w:rsid w:val="006A477E"/>
    <w:rsid w:val="006A47C8"/>
    <w:rsid w:val="006A480D"/>
    <w:rsid w:val="006A482D"/>
    <w:rsid w:val="006A485F"/>
    <w:rsid w:val="006A4878"/>
    <w:rsid w:val="006A4910"/>
    <w:rsid w:val="006A4933"/>
    <w:rsid w:val="006A4BA3"/>
    <w:rsid w:val="006A4BA8"/>
    <w:rsid w:val="006A4BCB"/>
    <w:rsid w:val="006A4BE4"/>
    <w:rsid w:val="006A4C09"/>
    <w:rsid w:val="006A4C1F"/>
    <w:rsid w:val="006A4C4E"/>
    <w:rsid w:val="006A4C7F"/>
    <w:rsid w:val="006A4D4B"/>
    <w:rsid w:val="006A4D5F"/>
    <w:rsid w:val="006A4E29"/>
    <w:rsid w:val="006A4F40"/>
    <w:rsid w:val="006A4F96"/>
    <w:rsid w:val="006A4FF1"/>
    <w:rsid w:val="006A5080"/>
    <w:rsid w:val="006A50BE"/>
    <w:rsid w:val="006A51D4"/>
    <w:rsid w:val="006A522C"/>
    <w:rsid w:val="006A5231"/>
    <w:rsid w:val="006A53D4"/>
    <w:rsid w:val="006A540C"/>
    <w:rsid w:val="006A541D"/>
    <w:rsid w:val="006A5431"/>
    <w:rsid w:val="006A54B3"/>
    <w:rsid w:val="006A5556"/>
    <w:rsid w:val="006A55D8"/>
    <w:rsid w:val="006A563F"/>
    <w:rsid w:val="006A56C6"/>
    <w:rsid w:val="006A576F"/>
    <w:rsid w:val="006A5787"/>
    <w:rsid w:val="006A57CD"/>
    <w:rsid w:val="006A5966"/>
    <w:rsid w:val="006A59AF"/>
    <w:rsid w:val="006A59D8"/>
    <w:rsid w:val="006A5AB5"/>
    <w:rsid w:val="006A5AE4"/>
    <w:rsid w:val="006A5AF3"/>
    <w:rsid w:val="006A5B7E"/>
    <w:rsid w:val="006A5BC9"/>
    <w:rsid w:val="006A5C29"/>
    <w:rsid w:val="006A5CEB"/>
    <w:rsid w:val="006A5DC7"/>
    <w:rsid w:val="006A5ECA"/>
    <w:rsid w:val="006A5ED1"/>
    <w:rsid w:val="006A5F29"/>
    <w:rsid w:val="006A6213"/>
    <w:rsid w:val="006A6278"/>
    <w:rsid w:val="006A62CF"/>
    <w:rsid w:val="006A62F9"/>
    <w:rsid w:val="006A6379"/>
    <w:rsid w:val="006A6406"/>
    <w:rsid w:val="006A65DB"/>
    <w:rsid w:val="006A6615"/>
    <w:rsid w:val="006A6695"/>
    <w:rsid w:val="006A67A8"/>
    <w:rsid w:val="006A67D2"/>
    <w:rsid w:val="006A6853"/>
    <w:rsid w:val="006A68BC"/>
    <w:rsid w:val="006A68F0"/>
    <w:rsid w:val="006A68FA"/>
    <w:rsid w:val="006A6911"/>
    <w:rsid w:val="006A6964"/>
    <w:rsid w:val="006A69B9"/>
    <w:rsid w:val="006A69E9"/>
    <w:rsid w:val="006A6A4D"/>
    <w:rsid w:val="006A6AE4"/>
    <w:rsid w:val="006A6BD0"/>
    <w:rsid w:val="006A6BF1"/>
    <w:rsid w:val="006A6BFA"/>
    <w:rsid w:val="006A6C79"/>
    <w:rsid w:val="006A6C86"/>
    <w:rsid w:val="006A6C9D"/>
    <w:rsid w:val="006A6D19"/>
    <w:rsid w:val="006A6D55"/>
    <w:rsid w:val="006A6DCA"/>
    <w:rsid w:val="006A6DCC"/>
    <w:rsid w:val="006A6DD6"/>
    <w:rsid w:val="006A6E33"/>
    <w:rsid w:val="006A6E87"/>
    <w:rsid w:val="006A6ECC"/>
    <w:rsid w:val="006A6F2E"/>
    <w:rsid w:val="006A6F79"/>
    <w:rsid w:val="006A6FBF"/>
    <w:rsid w:val="006A7043"/>
    <w:rsid w:val="006A70CE"/>
    <w:rsid w:val="006A7103"/>
    <w:rsid w:val="006A71D8"/>
    <w:rsid w:val="006A7234"/>
    <w:rsid w:val="006A72A1"/>
    <w:rsid w:val="006A72B9"/>
    <w:rsid w:val="006A72F4"/>
    <w:rsid w:val="006A72F8"/>
    <w:rsid w:val="006A731D"/>
    <w:rsid w:val="006A73E6"/>
    <w:rsid w:val="006A7416"/>
    <w:rsid w:val="006A7499"/>
    <w:rsid w:val="006A755A"/>
    <w:rsid w:val="006A7586"/>
    <w:rsid w:val="006A75F0"/>
    <w:rsid w:val="006A75F8"/>
    <w:rsid w:val="006A767D"/>
    <w:rsid w:val="006A7683"/>
    <w:rsid w:val="006A77A7"/>
    <w:rsid w:val="006A77F4"/>
    <w:rsid w:val="006A77FE"/>
    <w:rsid w:val="006A7819"/>
    <w:rsid w:val="006A7910"/>
    <w:rsid w:val="006A7943"/>
    <w:rsid w:val="006A7946"/>
    <w:rsid w:val="006A79B4"/>
    <w:rsid w:val="006A7A35"/>
    <w:rsid w:val="006A7A66"/>
    <w:rsid w:val="006A7B70"/>
    <w:rsid w:val="006A7C3B"/>
    <w:rsid w:val="006A7C73"/>
    <w:rsid w:val="006A7D1F"/>
    <w:rsid w:val="006A7D5D"/>
    <w:rsid w:val="006A7DA2"/>
    <w:rsid w:val="006A7DBB"/>
    <w:rsid w:val="006A7E7D"/>
    <w:rsid w:val="006A7F38"/>
    <w:rsid w:val="006A7FAA"/>
    <w:rsid w:val="006B00A8"/>
    <w:rsid w:val="006B0183"/>
    <w:rsid w:val="006B0211"/>
    <w:rsid w:val="006B0237"/>
    <w:rsid w:val="006B0267"/>
    <w:rsid w:val="006B0277"/>
    <w:rsid w:val="006B0286"/>
    <w:rsid w:val="006B02B0"/>
    <w:rsid w:val="006B02D6"/>
    <w:rsid w:val="006B02D9"/>
    <w:rsid w:val="006B0350"/>
    <w:rsid w:val="006B0399"/>
    <w:rsid w:val="006B03BC"/>
    <w:rsid w:val="006B03C6"/>
    <w:rsid w:val="006B03F1"/>
    <w:rsid w:val="006B040A"/>
    <w:rsid w:val="006B0429"/>
    <w:rsid w:val="006B0483"/>
    <w:rsid w:val="006B04AB"/>
    <w:rsid w:val="006B050F"/>
    <w:rsid w:val="006B054F"/>
    <w:rsid w:val="006B05D7"/>
    <w:rsid w:val="006B065D"/>
    <w:rsid w:val="006B0696"/>
    <w:rsid w:val="006B06D6"/>
    <w:rsid w:val="006B0742"/>
    <w:rsid w:val="006B079B"/>
    <w:rsid w:val="006B07AA"/>
    <w:rsid w:val="006B07CF"/>
    <w:rsid w:val="006B0837"/>
    <w:rsid w:val="006B0870"/>
    <w:rsid w:val="006B087E"/>
    <w:rsid w:val="006B094C"/>
    <w:rsid w:val="006B094F"/>
    <w:rsid w:val="006B09B2"/>
    <w:rsid w:val="006B0A55"/>
    <w:rsid w:val="006B0A92"/>
    <w:rsid w:val="006B0B44"/>
    <w:rsid w:val="006B0BC9"/>
    <w:rsid w:val="006B0BEF"/>
    <w:rsid w:val="006B0C01"/>
    <w:rsid w:val="006B0C07"/>
    <w:rsid w:val="006B0C53"/>
    <w:rsid w:val="006B0CF3"/>
    <w:rsid w:val="006B0D43"/>
    <w:rsid w:val="006B0DCE"/>
    <w:rsid w:val="006B0DE3"/>
    <w:rsid w:val="006B0E02"/>
    <w:rsid w:val="006B0F4F"/>
    <w:rsid w:val="006B0F7C"/>
    <w:rsid w:val="006B0FA8"/>
    <w:rsid w:val="006B0FCC"/>
    <w:rsid w:val="006B11FD"/>
    <w:rsid w:val="006B1209"/>
    <w:rsid w:val="006B1241"/>
    <w:rsid w:val="006B12BD"/>
    <w:rsid w:val="006B132D"/>
    <w:rsid w:val="006B138C"/>
    <w:rsid w:val="006B13DA"/>
    <w:rsid w:val="006B144E"/>
    <w:rsid w:val="006B1524"/>
    <w:rsid w:val="006B1580"/>
    <w:rsid w:val="006B15A4"/>
    <w:rsid w:val="006B15C8"/>
    <w:rsid w:val="006B16B5"/>
    <w:rsid w:val="006B16EA"/>
    <w:rsid w:val="006B17CA"/>
    <w:rsid w:val="006B17F3"/>
    <w:rsid w:val="006B1810"/>
    <w:rsid w:val="006B1934"/>
    <w:rsid w:val="006B1966"/>
    <w:rsid w:val="006B1993"/>
    <w:rsid w:val="006B19AF"/>
    <w:rsid w:val="006B19B5"/>
    <w:rsid w:val="006B19E8"/>
    <w:rsid w:val="006B1A45"/>
    <w:rsid w:val="006B1AF5"/>
    <w:rsid w:val="006B1B16"/>
    <w:rsid w:val="006B1B90"/>
    <w:rsid w:val="006B1BC0"/>
    <w:rsid w:val="006B1C13"/>
    <w:rsid w:val="006B1C8D"/>
    <w:rsid w:val="006B1D85"/>
    <w:rsid w:val="006B1DB5"/>
    <w:rsid w:val="006B1E1A"/>
    <w:rsid w:val="006B1E24"/>
    <w:rsid w:val="006B1E7D"/>
    <w:rsid w:val="006B1E8A"/>
    <w:rsid w:val="006B1EA6"/>
    <w:rsid w:val="006B1EBF"/>
    <w:rsid w:val="006B1ED6"/>
    <w:rsid w:val="006B2092"/>
    <w:rsid w:val="006B20F9"/>
    <w:rsid w:val="006B220F"/>
    <w:rsid w:val="006B2224"/>
    <w:rsid w:val="006B2253"/>
    <w:rsid w:val="006B2292"/>
    <w:rsid w:val="006B231E"/>
    <w:rsid w:val="006B23DC"/>
    <w:rsid w:val="006B23E8"/>
    <w:rsid w:val="006B2527"/>
    <w:rsid w:val="006B252B"/>
    <w:rsid w:val="006B258F"/>
    <w:rsid w:val="006B2609"/>
    <w:rsid w:val="006B260E"/>
    <w:rsid w:val="006B2669"/>
    <w:rsid w:val="006B2687"/>
    <w:rsid w:val="006B26F0"/>
    <w:rsid w:val="006B26F8"/>
    <w:rsid w:val="006B2711"/>
    <w:rsid w:val="006B2729"/>
    <w:rsid w:val="006B280F"/>
    <w:rsid w:val="006B2862"/>
    <w:rsid w:val="006B28A8"/>
    <w:rsid w:val="006B28D4"/>
    <w:rsid w:val="006B28E1"/>
    <w:rsid w:val="006B294A"/>
    <w:rsid w:val="006B29CB"/>
    <w:rsid w:val="006B29CF"/>
    <w:rsid w:val="006B29E2"/>
    <w:rsid w:val="006B29FC"/>
    <w:rsid w:val="006B2A16"/>
    <w:rsid w:val="006B2AD7"/>
    <w:rsid w:val="006B2B19"/>
    <w:rsid w:val="006B2B83"/>
    <w:rsid w:val="006B2C8E"/>
    <w:rsid w:val="006B2CAE"/>
    <w:rsid w:val="006B2CC0"/>
    <w:rsid w:val="006B2DFF"/>
    <w:rsid w:val="006B2E2F"/>
    <w:rsid w:val="006B2E41"/>
    <w:rsid w:val="006B2E5A"/>
    <w:rsid w:val="006B2E80"/>
    <w:rsid w:val="006B2EAC"/>
    <w:rsid w:val="006B2EC0"/>
    <w:rsid w:val="006B2EDA"/>
    <w:rsid w:val="006B2F37"/>
    <w:rsid w:val="006B2FB6"/>
    <w:rsid w:val="006B2FF7"/>
    <w:rsid w:val="006B304C"/>
    <w:rsid w:val="006B306B"/>
    <w:rsid w:val="006B3075"/>
    <w:rsid w:val="006B30B2"/>
    <w:rsid w:val="006B3126"/>
    <w:rsid w:val="006B31A2"/>
    <w:rsid w:val="006B31B8"/>
    <w:rsid w:val="006B3223"/>
    <w:rsid w:val="006B329C"/>
    <w:rsid w:val="006B32E1"/>
    <w:rsid w:val="006B32EF"/>
    <w:rsid w:val="006B330A"/>
    <w:rsid w:val="006B33F6"/>
    <w:rsid w:val="006B34E5"/>
    <w:rsid w:val="006B3586"/>
    <w:rsid w:val="006B3664"/>
    <w:rsid w:val="006B3666"/>
    <w:rsid w:val="006B36D6"/>
    <w:rsid w:val="006B37C8"/>
    <w:rsid w:val="006B383F"/>
    <w:rsid w:val="006B38B2"/>
    <w:rsid w:val="006B393E"/>
    <w:rsid w:val="006B3995"/>
    <w:rsid w:val="006B3A65"/>
    <w:rsid w:val="006B3A7B"/>
    <w:rsid w:val="006B3A8C"/>
    <w:rsid w:val="006B3A99"/>
    <w:rsid w:val="006B3ADB"/>
    <w:rsid w:val="006B3B03"/>
    <w:rsid w:val="006B3B47"/>
    <w:rsid w:val="006B3BA2"/>
    <w:rsid w:val="006B3BA7"/>
    <w:rsid w:val="006B3BB7"/>
    <w:rsid w:val="006B3D87"/>
    <w:rsid w:val="006B3DA3"/>
    <w:rsid w:val="006B3E49"/>
    <w:rsid w:val="006B3E90"/>
    <w:rsid w:val="006B3EE3"/>
    <w:rsid w:val="006B3F26"/>
    <w:rsid w:val="006B3F2F"/>
    <w:rsid w:val="006B3FE5"/>
    <w:rsid w:val="006B4045"/>
    <w:rsid w:val="006B40F1"/>
    <w:rsid w:val="006B4112"/>
    <w:rsid w:val="006B41BE"/>
    <w:rsid w:val="006B41E3"/>
    <w:rsid w:val="006B41F2"/>
    <w:rsid w:val="006B429E"/>
    <w:rsid w:val="006B42E0"/>
    <w:rsid w:val="006B43CF"/>
    <w:rsid w:val="006B43E1"/>
    <w:rsid w:val="006B4406"/>
    <w:rsid w:val="006B4454"/>
    <w:rsid w:val="006B44F9"/>
    <w:rsid w:val="006B451A"/>
    <w:rsid w:val="006B4586"/>
    <w:rsid w:val="006B4617"/>
    <w:rsid w:val="006B4619"/>
    <w:rsid w:val="006B464F"/>
    <w:rsid w:val="006B46BD"/>
    <w:rsid w:val="006B47B9"/>
    <w:rsid w:val="006B48BF"/>
    <w:rsid w:val="006B4947"/>
    <w:rsid w:val="006B4962"/>
    <w:rsid w:val="006B4A5E"/>
    <w:rsid w:val="006B4A67"/>
    <w:rsid w:val="006B4ABD"/>
    <w:rsid w:val="006B4AD5"/>
    <w:rsid w:val="006B4B67"/>
    <w:rsid w:val="006B4C0A"/>
    <w:rsid w:val="006B4C1A"/>
    <w:rsid w:val="006B4C70"/>
    <w:rsid w:val="006B4C71"/>
    <w:rsid w:val="006B4C95"/>
    <w:rsid w:val="006B4CBC"/>
    <w:rsid w:val="006B4DC6"/>
    <w:rsid w:val="006B4DF0"/>
    <w:rsid w:val="006B4E0F"/>
    <w:rsid w:val="006B4E45"/>
    <w:rsid w:val="006B4E7E"/>
    <w:rsid w:val="006B4F44"/>
    <w:rsid w:val="006B4FA2"/>
    <w:rsid w:val="006B5004"/>
    <w:rsid w:val="006B5047"/>
    <w:rsid w:val="006B504C"/>
    <w:rsid w:val="006B50C6"/>
    <w:rsid w:val="006B50D3"/>
    <w:rsid w:val="006B5171"/>
    <w:rsid w:val="006B5257"/>
    <w:rsid w:val="006B525B"/>
    <w:rsid w:val="006B5264"/>
    <w:rsid w:val="006B526C"/>
    <w:rsid w:val="006B52AD"/>
    <w:rsid w:val="006B52D7"/>
    <w:rsid w:val="006B5392"/>
    <w:rsid w:val="006B54A5"/>
    <w:rsid w:val="006B54AC"/>
    <w:rsid w:val="006B54C6"/>
    <w:rsid w:val="006B5526"/>
    <w:rsid w:val="006B5544"/>
    <w:rsid w:val="006B5570"/>
    <w:rsid w:val="006B5653"/>
    <w:rsid w:val="006B56B9"/>
    <w:rsid w:val="006B56D9"/>
    <w:rsid w:val="006B5715"/>
    <w:rsid w:val="006B5721"/>
    <w:rsid w:val="006B5782"/>
    <w:rsid w:val="006B5793"/>
    <w:rsid w:val="006B58BE"/>
    <w:rsid w:val="006B5980"/>
    <w:rsid w:val="006B59D0"/>
    <w:rsid w:val="006B5A83"/>
    <w:rsid w:val="006B5AEB"/>
    <w:rsid w:val="006B5B97"/>
    <w:rsid w:val="006B5C60"/>
    <w:rsid w:val="006B5CB4"/>
    <w:rsid w:val="006B5CF7"/>
    <w:rsid w:val="006B5D1E"/>
    <w:rsid w:val="006B5D2C"/>
    <w:rsid w:val="006B5D7A"/>
    <w:rsid w:val="006B5DF1"/>
    <w:rsid w:val="006B5E3D"/>
    <w:rsid w:val="006B5E47"/>
    <w:rsid w:val="006B5E8F"/>
    <w:rsid w:val="006B5EA7"/>
    <w:rsid w:val="006B5EA9"/>
    <w:rsid w:val="006B5ED1"/>
    <w:rsid w:val="006B5F25"/>
    <w:rsid w:val="006B5F2F"/>
    <w:rsid w:val="006B5F67"/>
    <w:rsid w:val="006B5FAA"/>
    <w:rsid w:val="006B6090"/>
    <w:rsid w:val="006B60D8"/>
    <w:rsid w:val="006B6147"/>
    <w:rsid w:val="006B61A5"/>
    <w:rsid w:val="006B6257"/>
    <w:rsid w:val="006B625E"/>
    <w:rsid w:val="006B62A9"/>
    <w:rsid w:val="006B62B1"/>
    <w:rsid w:val="006B62E1"/>
    <w:rsid w:val="006B6378"/>
    <w:rsid w:val="006B63BF"/>
    <w:rsid w:val="006B64C4"/>
    <w:rsid w:val="006B655F"/>
    <w:rsid w:val="006B657B"/>
    <w:rsid w:val="006B65BA"/>
    <w:rsid w:val="006B6603"/>
    <w:rsid w:val="006B663E"/>
    <w:rsid w:val="006B664A"/>
    <w:rsid w:val="006B665D"/>
    <w:rsid w:val="006B6685"/>
    <w:rsid w:val="006B669D"/>
    <w:rsid w:val="006B67E9"/>
    <w:rsid w:val="006B68CF"/>
    <w:rsid w:val="006B695A"/>
    <w:rsid w:val="006B6A2E"/>
    <w:rsid w:val="006B6A56"/>
    <w:rsid w:val="006B6AEE"/>
    <w:rsid w:val="006B6B39"/>
    <w:rsid w:val="006B6BBF"/>
    <w:rsid w:val="006B6C0E"/>
    <w:rsid w:val="006B6C60"/>
    <w:rsid w:val="006B6D47"/>
    <w:rsid w:val="006B6D4B"/>
    <w:rsid w:val="006B6D73"/>
    <w:rsid w:val="006B6DBE"/>
    <w:rsid w:val="006B6E2B"/>
    <w:rsid w:val="006B6E3D"/>
    <w:rsid w:val="006B6E42"/>
    <w:rsid w:val="006B6EF2"/>
    <w:rsid w:val="006B6F03"/>
    <w:rsid w:val="006B6F79"/>
    <w:rsid w:val="006B6FDB"/>
    <w:rsid w:val="006B6FE5"/>
    <w:rsid w:val="006B7006"/>
    <w:rsid w:val="006B707E"/>
    <w:rsid w:val="006B7084"/>
    <w:rsid w:val="006B721F"/>
    <w:rsid w:val="006B7229"/>
    <w:rsid w:val="006B7255"/>
    <w:rsid w:val="006B7258"/>
    <w:rsid w:val="006B7309"/>
    <w:rsid w:val="006B737E"/>
    <w:rsid w:val="006B73D2"/>
    <w:rsid w:val="006B740B"/>
    <w:rsid w:val="006B740E"/>
    <w:rsid w:val="006B74AB"/>
    <w:rsid w:val="006B7513"/>
    <w:rsid w:val="006B751E"/>
    <w:rsid w:val="006B7615"/>
    <w:rsid w:val="006B7635"/>
    <w:rsid w:val="006B76D9"/>
    <w:rsid w:val="006B770D"/>
    <w:rsid w:val="006B7719"/>
    <w:rsid w:val="006B7723"/>
    <w:rsid w:val="006B7758"/>
    <w:rsid w:val="006B7791"/>
    <w:rsid w:val="006B7799"/>
    <w:rsid w:val="006B7834"/>
    <w:rsid w:val="006B7845"/>
    <w:rsid w:val="006B784B"/>
    <w:rsid w:val="006B7861"/>
    <w:rsid w:val="006B78A6"/>
    <w:rsid w:val="006B78C1"/>
    <w:rsid w:val="006B78CB"/>
    <w:rsid w:val="006B7903"/>
    <w:rsid w:val="006B7940"/>
    <w:rsid w:val="006B79A7"/>
    <w:rsid w:val="006B79DB"/>
    <w:rsid w:val="006B7A6B"/>
    <w:rsid w:val="006B7A84"/>
    <w:rsid w:val="006B7AAB"/>
    <w:rsid w:val="006B7ACA"/>
    <w:rsid w:val="006B7ACF"/>
    <w:rsid w:val="006B7B4D"/>
    <w:rsid w:val="006B7BB4"/>
    <w:rsid w:val="006B7BE1"/>
    <w:rsid w:val="006B7C65"/>
    <w:rsid w:val="006B7CC8"/>
    <w:rsid w:val="006B7D28"/>
    <w:rsid w:val="006B7D49"/>
    <w:rsid w:val="006B7E48"/>
    <w:rsid w:val="006B7E81"/>
    <w:rsid w:val="006B7EAA"/>
    <w:rsid w:val="006B7EF9"/>
    <w:rsid w:val="006B7F10"/>
    <w:rsid w:val="006B7F43"/>
    <w:rsid w:val="006B7F47"/>
    <w:rsid w:val="006B7FD8"/>
    <w:rsid w:val="006C007A"/>
    <w:rsid w:val="006C00A8"/>
    <w:rsid w:val="006C01A3"/>
    <w:rsid w:val="006C01A7"/>
    <w:rsid w:val="006C02FB"/>
    <w:rsid w:val="006C0338"/>
    <w:rsid w:val="006C05EE"/>
    <w:rsid w:val="006C05EF"/>
    <w:rsid w:val="006C0610"/>
    <w:rsid w:val="006C0661"/>
    <w:rsid w:val="006C06DE"/>
    <w:rsid w:val="006C070C"/>
    <w:rsid w:val="006C0785"/>
    <w:rsid w:val="006C07B3"/>
    <w:rsid w:val="006C07C8"/>
    <w:rsid w:val="006C0815"/>
    <w:rsid w:val="006C0875"/>
    <w:rsid w:val="006C08BD"/>
    <w:rsid w:val="006C0910"/>
    <w:rsid w:val="006C09FE"/>
    <w:rsid w:val="006C0A2A"/>
    <w:rsid w:val="006C0A91"/>
    <w:rsid w:val="006C0AAC"/>
    <w:rsid w:val="006C0AB8"/>
    <w:rsid w:val="006C0ACD"/>
    <w:rsid w:val="006C0B7C"/>
    <w:rsid w:val="006C0B9D"/>
    <w:rsid w:val="006C0C1A"/>
    <w:rsid w:val="006C0C4F"/>
    <w:rsid w:val="006C0DE1"/>
    <w:rsid w:val="006C0E11"/>
    <w:rsid w:val="006C0E3B"/>
    <w:rsid w:val="006C0ECC"/>
    <w:rsid w:val="006C0EF6"/>
    <w:rsid w:val="006C0F06"/>
    <w:rsid w:val="006C0F32"/>
    <w:rsid w:val="006C0F78"/>
    <w:rsid w:val="006C0F7B"/>
    <w:rsid w:val="006C0FEE"/>
    <w:rsid w:val="006C1030"/>
    <w:rsid w:val="006C10A4"/>
    <w:rsid w:val="006C10FE"/>
    <w:rsid w:val="006C1104"/>
    <w:rsid w:val="006C11B8"/>
    <w:rsid w:val="006C11CB"/>
    <w:rsid w:val="006C12C3"/>
    <w:rsid w:val="006C133E"/>
    <w:rsid w:val="006C1363"/>
    <w:rsid w:val="006C13E6"/>
    <w:rsid w:val="006C13F2"/>
    <w:rsid w:val="006C141C"/>
    <w:rsid w:val="006C14BC"/>
    <w:rsid w:val="006C14F5"/>
    <w:rsid w:val="006C1568"/>
    <w:rsid w:val="006C15DF"/>
    <w:rsid w:val="006C1644"/>
    <w:rsid w:val="006C16C0"/>
    <w:rsid w:val="006C1764"/>
    <w:rsid w:val="006C1795"/>
    <w:rsid w:val="006C179D"/>
    <w:rsid w:val="006C1857"/>
    <w:rsid w:val="006C1874"/>
    <w:rsid w:val="006C18A5"/>
    <w:rsid w:val="006C18A6"/>
    <w:rsid w:val="006C18B8"/>
    <w:rsid w:val="006C19AC"/>
    <w:rsid w:val="006C19B9"/>
    <w:rsid w:val="006C19E9"/>
    <w:rsid w:val="006C1ACB"/>
    <w:rsid w:val="006C1B1F"/>
    <w:rsid w:val="006C1BA6"/>
    <w:rsid w:val="006C1C31"/>
    <w:rsid w:val="006C1C40"/>
    <w:rsid w:val="006C1C62"/>
    <w:rsid w:val="006C1CA6"/>
    <w:rsid w:val="006C1D14"/>
    <w:rsid w:val="006C1EBB"/>
    <w:rsid w:val="006C1FA1"/>
    <w:rsid w:val="006C2056"/>
    <w:rsid w:val="006C20A2"/>
    <w:rsid w:val="006C20B4"/>
    <w:rsid w:val="006C2125"/>
    <w:rsid w:val="006C2199"/>
    <w:rsid w:val="006C21B4"/>
    <w:rsid w:val="006C2203"/>
    <w:rsid w:val="006C2240"/>
    <w:rsid w:val="006C224F"/>
    <w:rsid w:val="006C238A"/>
    <w:rsid w:val="006C2400"/>
    <w:rsid w:val="006C24C3"/>
    <w:rsid w:val="006C24C9"/>
    <w:rsid w:val="006C2506"/>
    <w:rsid w:val="006C254C"/>
    <w:rsid w:val="006C257E"/>
    <w:rsid w:val="006C25AE"/>
    <w:rsid w:val="006C25BA"/>
    <w:rsid w:val="006C2630"/>
    <w:rsid w:val="006C2695"/>
    <w:rsid w:val="006C26D0"/>
    <w:rsid w:val="006C278D"/>
    <w:rsid w:val="006C27A3"/>
    <w:rsid w:val="006C27BA"/>
    <w:rsid w:val="006C27BF"/>
    <w:rsid w:val="006C27C5"/>
    <w:rsid w:val="006C283B"/>
    <w:rsid w:val="006C2ACC"/>
    <w:rsid w:val="006C2AD9"/>
    <w:rsid w:val="006C2ADF"/>
    <w:rsid w:val="006C2B45"/>
    <w:rsid w:val="006C2B79"/>
    <w:rsid w:val="006C2B92"/>
    <w:rsid w:val="006C2BDB"/>
    <w:rsid w:val="006C2C35"/>
    <w:rsid w:val="006C2C5B"/>
    <w:rsid w:val="006C2CF0"/>
    <w:rsid w:val="006C2D18"/>
    <w:rsid w:val="006C2D5D"/>
    <w:rsid w:val="006C2DA7"/>
    <w:rsid w:val="006C2DC2"/>
    <w:rsid w:val="006C2E10"/>
    <w:rsid w:val="006C2E69"/>
    <w:rsid w:val="006C2F30"/>
    <w:rsid w:val="006C2F60"/>
    <w:rsid w:val="006C321D"/>
    <w:rsid w:val="006C327D"/>
    <w:rsid w:val="006C3282"/>
    <w:rsid w:val="006C328A"/>
    <w:rsid w:val="006C32CB"/>
    <w:rsid w:val="006C32F8"/>
    <w:rsid w:val="006C33CF"/>
    <w:rsid w:val="006C33E6"/>
    <w:rsid w:val="006C346A"/>
    <w:rsid w:val="006C349A"/>
    <w:rsid w:val="006C35BC"/>
    <w:rsid w:val="006C3708"/>
    <w:rsid w:val="006C3790"/>
    <w:rsid w:val="006C3883"/>
    <w:rsid w:val="006C39CB"/>
    <w:rsid w:val="006C39DB"/>
    <w:rsid w:val="006C39F9"/>
    <w:rsid w:val="006C3B64"/>
    <w:rsid w:val="006C3B98"/>
    <w:rsid w:val="006C3CD8"/>
    <w:rsid w:val="006C3DD8"/>
    <w:rsid w:val="006C3E15"/>
    <w:rsid w:val="006C3E3A"/>
    <w:rsid w:val="006C3E88"/>
    <w:rsid w:val="006C3EF2"/>
    <w:rsid w:val="006C3F36"/>
    <w:rsid w:val="006C3FD0"/>
    <w:rsid w:val="006C4056"/>
    <w:rsid w:val="006C40CB"/>
    <w:rsid w:val="006C40EC"/>
    <w:rsid w:val="006C412C"/>
    <w:rsid w:val="006C4200"/>
    <w:rsid w:val="006C4256"/>
    <w:rsid w:val="006C4306"/>
    <w:rsid w:val="006C43D2"/>
    <w:rsid w:val="006C443C"/>
    <w:rsid w:val="006C4472"/>
    <w:rsid w:val="006C44C4"/>
    <w:rsid w:val="006C44C5"/>
    <w:rsid w:val="006C44CA"/>
    <w:rsid w:val="006C4526"/>
    <w:rsid w:val="006C45F0"/>
    <w:rsid w:val="006C4623"/>
    <w:rsid w:val="006C46A1"/>
    <w:rsid w:val="006C4804"/>
    <w:rsid w:val="006C4893"/>
    <w:rsid w:val="006C48FD"/>
    <w:rsid w:val="006C4945"/>
    <w:rsid w:val="006C4965"/>
    <w:rsid w:val="006C4A0C"/>
    <w:rsid w:val="006C4A29"/>
    <w:rsid w:val="006C4A7D"/>
    <w:rsid w:val="006C4AEE"/>
    <w:rsid w:val="006C4B51"/>
    <w:rsid w:val="006C4BC3"/>
    <w:rsid w:val="006C4BD5"/>
    <w:rsid w:val="006C4C3F"/>
    <w:rsid w:val="006C4C8D"/>
    <w:rsid w:val="006C4CC0"/>
    <w:rsid w:val="006C4D76"/>
    <w:rsid w:val="006C4E81"/>
    <w:rsid w:val="006C4EBE"/>
    <w:rsid w:val="006C4ED3"/>
    <w:rsid w:val="006C4F6D"/>
    <w:rsid w:val="006C4F87"/>
    <w:rsid w:val="006C5040"/>
    <w:rsid w:val="006C5049"/>
    <w:rsid w:val="006C5057"/>
    <w:rsid w:val="006C5091"/>
    <w:rsid w:val="006C50B1"/>
    <w:rsid w:val="006C50F5"/>
    <w:rsid w:val="006C511C"/>
    <w:rsid w:val="006C5284"/>
    <w:rsid w:val="006C543C"/>
    <w:rsid w:val="006C5440"/>
    <w:rsid w:val="006C5550"/>
    <w:rsid w:val="006C55ED"/>
    <w:rsid w:val="006C55F2"/>
    <w:rsid w:val="006C5610"/>
    <w:rsid w:val="006C568C"/>
    <w:rsid w:val="006C5709"/>
    <w:rsid w:val="006C5733"/>
    <w:rsid w:val="006C5836"/>
    <w:rsid w:val="006C583A"/>
    <w:rsid w:val="006C5895"/>
    <w:rsid w:val="006C5923"/>
    <w:rsid w:val="006C5950"/>
    <w:rsid w:val="006C59B3"/>
    <w:rsid w:val="006C59F7"/>
    <w:rsid w:val="006C5A0E"/>
    <w:rsid w:val="006C5A32"/>
    <w:rsid w:val="006C5A40"/>
    <w:rsid w:val="006C5AAF"/>
    <w:rsid w:val="006C5B6F"/>
    <w:rsid w:val="006C5B87"/>
    <w:rsid w:val="006C5BEC"/>
    <w:rsid w:val="006C5C15"/>
    <w:rsid w:val="006C5C1D"/>
    <w:rsid w:val="006C5C59"/>
    <w:rsid w:val="006C5CA4"/>
    <w:rsid w:val="006C5CEE"/>
    <w:rsid w:val="006C5DF8"/>
    <w:rsid w:val="006C5E4D"/>
    <w:rsid w:val="006C5EC1"/>
    <w:rsid w:val="006C5F69"/>
    <w:rsid w:val="006C6001"/>
    <w:rsid w:val="006C604B"/>
    <w:rsid w:val="006C60C8"/>
    <w:rsid w:val="006C60CA"/>
    <w:rsid w:val="006C616B"/>
    <w:rsid w:val="006C61FE"/>
    <w:rsid w:val="006C6271"/>
    <w:rsid w:val="006C62EC"/>
    <w:rsid w:val="006C6351"/>
    <w:rsid w:val="006C6538"/>
    <w:rsid w:val="006C65E0"/>
    <w:rsid w:val="006C65ED"/>
    <w:rsid w:val="006C66BB"/>
    <w:rsid w:val="006C674F"/>
    <w:rsid w:val="006C676F"/>
    <w:rsid w:val="006C6786"/>
    <w:rsid w:val="006C68A4"/>
    <w:rsid w:val="006C68A9"/>
    <w:rsid w:val="006C68B9"/>
    <w:rsid w:val="006C6903"/>
    <w:rsid w:val="006C6A51"/>
    <w:rsid w:val="006C6A65"/>
    <w:rsid w:val="006C6B4F"/>
    <w:rsid w:val="006C6C33"/>
    <w:rsid w:val="006C6C46"/>
    <w:rsid w:val="006C6C4D"/>
    <w:rsid w:val="006C6C56"/>
    <w:rsid w:val="006C6C60"/>
    <w:rsid w:val="006C6CBF"/>
    <w:rsid w:val="006C6CEB"/>
    <w:rsid w:val="006C6CFD"/>
    <w:rsid w:val="006C6D04"/>
    <w:rsid w:val="006C6D28"/>
    <w:rsid w:val="006C6D4F"/>
    <w:rsid w:val="006C6D5B"/>
    <w:rsid w:val="006C6DA0"/>
    <w:rsid w:val="006C6DC3"/>
    <w:rsid w:val="006C6DEE"/>
    <w:rsid w:val="006C6E51"/>
    <w:rsid w:val="006C6E5C"/>
    <w:rsid w:val="006C6EBB"/>
    <w:rsid w:val="006C6EC1"/>
    <w:rsid w:val="006C6F33"/>
    <w:rsid w:val="006C6FEA"/>
    <w:rsid w:val="006C7035"/>
    <w:rsid w:val="006C7061"/>
    <w:rsid w:val="006C707A"/>
    <w:rsid w:val="006C70D3"/>
    <w:rsid w:val="006C718D"/>
    <w:rsid w:val="006C71E0"/>
    <w:rsid w:val="006C722B"/>
    <w:rsid w:val="006C7275"/>
    <w:rsid w:val="006C7330"/>
    <w:rsid w:val="006C736F"/>
    <w:rsid w:val="006C7375"/>
    <w:rsid w:val="006C7436"/>
    <w:rsid w:val="006C751C"/>
    <w:rsid w:val="006C753B"/>
    <w:rsid w:val="006C7569"/>
    <w:rsid w:val="006C7657"/>
    <w:rsid w:val="006C7661"/>
    <w:rsid w:val="006C766A"/>
    <w:rsid w:val="006C775B"/>
    <w:rsid w:val="006C7763"/>
    <w:rsid w:val="006C777C"/>
    <w:rsid w:val="006C77F3"/>
    <w:rsid w:val="006C7817"/>
    <w:rsid w:val="006C78D4"/>
    <w:rsid w:val="006C78D8"/>
    <w:rsid w:val="006C79C9"/>
    <w:rsid w:val="006C79E8"/>
    <w:rsid w:val="006C7A26"/>
    <w:rsid w:val="006C7B3B"/>
    <w:rsid w:val="006C7BD4"/>
    <w:rsid w:val="006C7C25"/>
    <w:rsid w:val="006C7C7E"/>
    <w:rsid w:val="006C7C8F"/>
    <w:rsid w:val="006C7CA8"/>
    <w:rsid w:val="006C7CD6"/>
    <w:rsid w:val="006C7CF8"/>
    <w:rsid w:val="006C7F64"/>
    <w:rsid w:val="006C7FFB"/>
    <w:rsid w:val="006D0015"/>
    <w:rsid w:val="006D001C"/>
    <w:rsid w:val="006D003E"/>
    <w:rsid w:val="006D00AA"/>
    <w:rsid w:val="006D0110"/>
    <w:rsid w:val="006D0115"/>
    <w:rsid w:val="006D01B1"/>
    <w:rsid w:val="006D01F0"/>
    <w:rsid w:val="006D0272"/>
    <w:rsid w:val="006D02AC"/>
    <w:rsid w:val="006D038C"/>
    <w:rsid w:val="006D0451"/>
    <w:rsid w:val="006D048E"/>
    <w:rsid w:val="006D04C7"/>
    <w:rsid w:val="006D0563"/>
    <w:rsid w:val="006D0575"/>
    <w:rsid w:val="006D0787"/>
    <w:rsid w:val="006D07A4"/>
    <w:rsid w:val="006D07C4"/>
    <w:rsid w:val="006D07CB"/>
    <w:rsid w:val="006D085C"/>
    <w:rsid w:val="006D091F"/>
    <w:rsid w:val="006D0958"/>
    <w:rsid w:val="006D095E"/>
    <w:rsid w:val="006D09B4"/>
    <w:rsid w:val="006D09F2"/>
    <w:rsid w:val="006D0A05"/>
    <w:rsid w:val="006D0A26"/>
    <w:rsid w:val="006D0A7B"/>
    <w:rsid w:val="006D0B3A"/>
    <w:rsid w:val="006D0B52"/>
    <w:rsid w:val="006D0B98"/>
    <w:rsid w:val="006D0C2C"/>
    <w:rsid w:val="006D0C4B"/>
    <w:rsid w:val="006D0CB7"/>
    <w:rsid w:val="006D0D24"/>
    <w:rsid w:val="006D0D2C"/>
    <w:rsid w:val="006D0D3D"/>
    <w:rsid w:val="006D0D71"/>
    <w:rsid w:val="006D0E0E"/>
    <w:rsid w:val="006D0E2E"/>
    <w:rsid w:val="006D0E48"/>
    <w:rsid w:val="006D0F27"/>
    <w:rsid w:val="006D0F77"/>
    <w:rsid w:val="006D1092"/>
    <w:rsid w:val="006D10BE"/>
    <w:rsid w:val="006D10C0"/>
    <w:rsid w:val="006D10FA"/>
    <w:rsid w:val="006D1105"/>
    <w:rsid w:val="006D1139"/>
    <w:rsid w:val="006D123C"/>
    <w:rsid w:val="006D125D"/>
    <w:rsid w:val="006D127B"/>
    <w:rsid w:val="006D131A"/>
    <w:rsid w:val="006D1387"/>
    <w:rsid w:val="006D1409"/>
    <w:rsid w:val="006D144D"/>
    <w:rsid w:val="006D14A7"/>
    <w:rsid w:val="006D14B6"/>
    <w:rsid w:val="006D1536"/>
    <w:rsid w:val="006D1540"/>
    <w:rsid w:val="006D15B8"/>
    <w:rsid w:val="006D15E2"/>
    <w:rsid w:val="006D161C"/>
    <w:rsid w:val="006D16DB"/>
    <w:rsid w:val="006D170C"/>
    <w:rsid w:val="006D174C"/>
    <w:rsid w:val="006D17D6"/>
    <w:rsid w:val="006D182B"/>
    <w:rsid w:val="006D1895"/>
    <w:rsid w:val="006D18CE"/>
    <w:rsid w:val="006D190A"/>
    <w:rsid w:val="006D194A"/>
    <w:rsid w:val="006D1959"/>
    <w:rsid w:val="006D1961"/>
    <w:rsid w:val="006D199B"/>
    <w:rsid w:val="006D1AC7"/>
    <w:rsid w:val="006D1B29"/>
    <w:rsid w:val="006D1B42"/>
    <w:rsid w:val="006D1C79"/>
    <w:rsid w:val="006D1D26"/>
    <w:rsid w:val="006D1E54"/>
    <w:rsid w:val="006D1E86"/>
    <w:rsid w:val="006D202A"/>
    <w:rsid w:val="006D2046"/>
    <w:rsid w:val="006D2095"/>
    <w:rsid w:val="006D20BF"/>
    <w:rsid w:val="006D2188"/>
    <w:rsid w:val="006D219C"/>
    <w:rsid w:val="006D21F0"/>
    <w:rsid w:val="006D2200"/>
    <w:rsid w:val="006D229F"/>
    <w:rsid w:val="006D2306"/>
    <w:rsid w:val="006D23FA"/>
    <w:rsid w:val="006D240E"/>
    <w:rsid w:val="006D244E"/>
    <w:rsid w:val="006D2499"/>
    <w:rsid w:val="006D24FD"/>
    <w:rsid w:val="006D2523"/>
    <w:rsid w:val="006D25FF"/>
    <w:rsid w:val="006D2619"/>
    <w:rsid w:val="006D262D"/>
    <w:rsid w:val="006D2674"/>
    <w:rsid w:val="006D274E"/>
    <w:rsid w:val="006D2769"/>
    <w:rsid w:val="006D2799"/>
    <w:rsid w:val="006D27CF"/>
    <w:rsid w:val="006D2953"/>
    <w:rsid w:val="006D298C"/>
    <w:rsid w:val="006D2A02"/>
    <w:rsid w:val="006D2BC4"/>
    <w:rsid w:val="006D2BE2"/>
    <w:rsid w:val="006D2D63"/>
    <w:rsid w:val="006D2D76"/>
    <w:rsid w:val="006D2DB2"/>
    <w:rsid w:val="006D2E9E"/>
    <w:rsid w:val="006D2ED2"/>
    <w:rsid w:val="006D2EE2"/>
    <w:rsid w:val="006D2F90"/>
    <w:rsid w:val="006D2FA5"/>
    <w:rsid w:val="006D2FB6"/>
    <w:rsid w:val="006D2FB8"/>
    <w:rsid w:val="006D3192"/>
    <w:rsid w:val="006D3199"/>
    <w:rsid w:val="006D31AA"/>
    <w:rsid w:val="006D31B7"/>
    <w:rsid w:val="006D31E3"/>
    <w:rsid w:val="006D320F"/>
    <w:rsid w:val="006D3253"/>
    <w:rsid w:val="006D32DC"/>
    <w:rsid w:val="006D32F4"/>
    <w:rsid w:val="006D33F9"/>
    <w:rsid w:val="006D3446"/>
    <w:rsid w:val="006D34EB"/>
    <w:rsid w:val="006D351F"/>
    <w:rsid w:val="006D3523"/>
    <w:rsid w:val="006D3540"/>
    <w:rsid w:val="006D35BA"/>
    <w:rsid w:val="006D3612"/>
    <w:rsid w:val="006D36C0"/>
    <w:rsid w:val="006D370C"/>
    <w:rsid w:val="006D377B"/>
    <w:rsid w:val="006D3795"/>
    <w:rsid w:val="006D382A"/>
    <w:rsid w:val="006D38BC"/>
    <w:rsid w:val="006D3985"/>
    <w:rsid w:val="006D39DA"/>
    <w:rsid w:val="006D3A12"/>
    <w:rsid w:val="006D3A1A"/>
    <w:rsid w:val="006D3A67"/>
    <w:rsid w:val="006D3B27"/>
    <w:rsid w:val="006D3C70"/>
    <w:rsid w:val="006D3C74"/>
    <w:rsid w:val="006D3CE1"/>
    <w:rsid w:val="006D3D78"/>
    <w:rsid w:val="006D3DFD"/>
    <w:rsid w:val="006D3E0B"/>
    <w:rsid w:val="006D3E39"/>
    <w:rsid w:val="006D3E3B"/>
    <w:rsid w:val="006D3E98"/>
    <w:rsid w:val="006D3EC3"/>
    <w:rsid w:val="006D3EF6"/>
    <w:rsid w:val="006D3F78"/>
    <w:rsid w:val="006D3FBF"/>
    <w:rsid w:val="006D3FF3"/>
    <w:rsid w:val="006D4080"/>
    <w:rsid w:val="006D409D"/>
    <w:rsid w:val="006D4139"/>
    <w:rsid w:val="006D416B"/>
    <w:rsid w:val="006D41DB"/>
    <w:rsid w:val="006D42AB"/>
    <w:rsid w:val="006D42B4"/>
    <w:rsid w:val="006D42C9"/>
    <w:rsid w:val="006D434D"/>
    <w:rsid w:val="006D43CE"/>
    <w:rsid w:val="006D4469"/>
    <w:rsid w:val="006D4473"/>
    <w:rsid w:val="006D449F"/>
    <w:rsid w:val="006D44EC"/>
    <w:rsid w:val="006D454C"/>
    <w:rsid w:val="006D45A2"/>
    <w:rsid w:val="006D45A9"/>
    <w:rsid w:val="006D4740"/>
    <w:rsid w:val="006D4787"/>
    <w:rsid w:val="006D47B4"/>
    <w:rsid w:val="006D47BC"/>
    <w:rsid w:val="006D4802"/>
    <w:rsid w:val="006D486E"/>
    <w:rsid w:val="006D487A"/>
    <w:rsid w:val="006D4906"/>
    <w:rsid w:val="006D491A"/>
    <w:rsid w:val="006D4956"/>
    <w:rsid w:val="006D49E9"/>
    <w:rsid w:val="006D4A29"/>
    <w:rsid w:val="006D4AFB"/>
    <w:rsid w:val="006D4B8B"/>
    <w:rsid w:val="006D4BA8"/>
    <w:rsid w:val="006D4BE1"/>
    <w:rsid w:val="006D4C2E"/>
    <w:rsid w:val="006D4CA8"/>
    <w:rsid w:val="006D4CD4"/>
    <w:rsid w:val="006D4D8B"/>
    <w:rsid w:val="006D4E24"/>
    <w:rsid w:val="006D4E76"/>
    <w:rsid w:val="006D4ED0"/>
    <w:rsid w:val="006D4F00"/>
    <w:rsid w:val="006D4F4B"/>
    <w:rsid w:val="006D4F62"/>
    <w:rsid w:val="006D5017"/>
    <w:rsid w:val="006D501D"/>
    <w:rsid w:val="006D5059"/>
    <w:rsid w:val="006D506F"/>
    <w:rsid w:val="006D507D"/>
    <w:rsid w:val="006D5112"/>
    <w:rsid w:val="006D5157"/>
    <w:rsid w:val="006D516B"/>
    <w:rsid w:val="006D5180"/>
    <w:rsid w:val="006D5299"/>
    <w:rsid w:val="006D529C"/>
    <w:rsid w:val="006D540F"/>
    <w:rsid w:val="006D5425"/>
    <w:rsid w:val="006D5494"/>
    <w:rsid w:val="006D5498"/>
    <w:rsid w:val="006D54F1"/>
    <w:rsid w:val="006D5553"/>
    <w:rsid w:val="006D55E0"/>
    <w:rsid w:val="006D561E"/>
    <w:rsid w:val="006D5644"/>
    <w:rsid w:val="006D5646"/>
    <w:rsid w:val="006D564D"/>
    <w:rsid w:val="006D565E"/>
    <w:rsid w:val="006D56FC"/>
    <w:rsid w:val="006D5713"/>
    <w:rsid w:val="006D577C"/>
    <w:rsid w:val="006D5797"/>
    <w:rsid w:val="006D57BB"/>
    <w:rsid w:val="006D57FA"/>
    <w:rsid w:val="006D589E"/>
    <w:rsid w:val="006D58EF"/>
    <w:rsid w:val="006D5902"/>
    <w:rsid w:val="006D59B6"/>
    <w:rsid w:val="006D5A6E"/>
    <w:rsid w:val="006D5A8F"/>
    <w:rsid w:val="006D5B22"/>
    <w:rsid w:val="006D5B4B"/>
    <w:rsid w:val="006D5B90"/>
    <w:rsid w:val="006D5C16"/>
    <w:rsid w:val="006D5C4E"/>
    <w:rsid w:val="006D5CE6"/>
    <w:rsid w:val="006D5D20"/>
    <w:rsid w:val="006D5D98"/>
    <w:rsid w:val="006D5E4D"/>
    <w:rsid w:val="006D5F71"/>
    <w:rsid w:val="006D5FF5"/>
    <w:rsid w:val="006D6013"/>
    <w:rsid w:val="006D601D"/>
    <w:rsid w:val="006D601E"/>
    <w:rsid w:val="006D60B0"/>
    <w:rsid w:val="006D6144"/>
    <w:rsid w:val="006D615F"/>
    <w:rsid w:val="006D6163"/>
    <w:rsid w:val="006D6197"/>
    <w:rsid w:val="006D61ED"/>
    <w:rsid w:val="006D6279"/>
    <w:rsid w:val="006D628E"/>
    <w:rsid w:val="006D62BB"/>
    <w:rsid w:val="006D62F2"/>
    <w:rsid w:val="006D62FB"/>
    <w:rsid w:val="006D63AF"/>
    <w:rsid w:val="006D63C3"/>
    <w:rsid w:val="006D642E"/>
    <w:rsid w:val="006D64A5"/>
    <w:rsid w:val="006D64CB"/>
    <w:rsid w:val="006D65DF"/>
    <w:rsid w:val="006D65F3"/>
    <w:rsid w:val="006D65FE"/>
    <w:rsid w:val="006D6650"/>
    <w:rsid w:val="006D66B0"/>
    <w:rsid w:val="006D6745"/>
    <w:rsid w:val="006D687E"/>
    <w:rsid w:val="006D6967"/>
    <w:rsid w:val="006D6968"/>
    <w:rsid w:val="006D6988"/>
    <w:rsid w:val="006D69BA"/>
    <w:rsid w:val="006D6A19"/>
    <w:rsid w:val="006D6B6A"/>
    <w:rsid w:val="006D6BDD"/>
    <w:rsid w:val="006D6BFA"/>
    <w:rsid w:val="006D6C9F"/>
    <w:rsid w:val="006D6CCD"/>
    <w:rsid w:val="006D6CEE"/>
    <w:rsid w:val="006D6D9E"/>
    <w:rsid w:val="006D6DC3"/>
    <w:rsid w:val="006D6DC8"/>
    <w:rsid w:val="006D6EC9"/>
    <w:rsid w:val="006D6F2A"/>
    <w:rsid w:val="006D6F41"/>
    <w:rsid w:val="006D6FE5"/>
    <w:rsid w:val="006D7067"/>
    <w:rsid w:val="006D7072"/>
    <w:rsid w:val="006D70C3"/>
    <w:rsid w:val="006D713D"/>
    <w:rsid w:val="006D716C"/>
    <w:rsid w:val="006D722D"/>
    <w:rsid w:val="006D7316"/>
    <w:rsid w:val="006D731A"/>
    <w:rsid w:val="006D7351"/>
    <w:rsid w:val="006D7387"/>
    <w:rsid w:val="006D7423"/>
    <w:rsid w:val="006D7494"/>
    <w:rsid w:val="006D7498"/>
    <w:rsid w:val="006D7525"/>
    <w:rsid w:val="006D7537"/>
    <w:rsid w:val="006D75AB"/>
    <w:rsid w:val="006D7642"/>
    <w:rsid w:val="006D76B0"/>
    <w:rsid w:val="006D7725"/>
    <w:rsid w:val="006D7784"/>
    <w:rsid w:val="006D7799"/>
    <w:rsid w:val="006D7849"/>
    <w:rsid w:val="006D7889"/>
    <w:rsid w:val="006D789A"/>
    <w:rsid w:val="006D793E"/>
    <w:rsid w:val="006D7993"/>
    <w:rsid w:val="006D79E0"/>
    <w:rsid w:val="006D7A00"/>
    <w:rsid w:val="006D7AA3"/>
    <w:rsid w:val="006D7ABD"/>
    <w:rsid w:val="006D7AED"/>
    <w:rsid w:val="006D7B0E"/>
    <w:rsid w:val="006D7B69"/>
    <w:rsid w:val="006D7B85"/>
    <w:rsid w:val="006D7B90"/>
    <w:rsid w:val="006D7BC9"/>
    <w:rsid w:val="006D7C1C"/>
    <w:rsid w:val="006D7C2E"/>
    <w:rsid w:val="006D7C7E"/>
    <w:rsid w:val="006D7D6F"/>
    <w:rsid w:val="006D7DAC"/>
    <w:rsid w:val="006D7DAE"/>
    <w:rsid w:val="006D7E11"/>
    <w:rsid w:val="006D7E81"/>
    <w:rsid w:val="006D7EA3"/>
    <w:rsid w:val="006D7F91"/>
    <w:rsid w:val="006D8939"/>
    <w:rsid w:val="006E001F"/>
    <w:rsid w:val="006E004F"/>
    <w:rsid w:val="006E00DB"/>
    <w:rsid w:val="006E0122"/>
    <w:rsid w:val="006E016D"/>
    <w:rsid w:val="006E01A6"/>
    <w:rsid w:val="006E029B"/>
    <w:rsid w:val="006E02A3"/>
    <w:rsid w:val="006E0331"/>
    <w:rsid w:val="006E0369"/>
    <w:rsid w:val="006E038A"/>
    <w:rsid w:val="006E0390"/>
    <w:rsid w:val="006E039B"/>
    <w:rsid w:val="006E04B9"/>
    <w:rsid w:val="006E052E"/>
    <w:rsid w:val="006E0536"/>
    <w:rsid w:val="006E0541"/>
    <w:rsid w:val="006E05A4"/>
    <w:rsid w:val="006E0673"/>
    <w:rsid w:val="006E06D2"/>
    <w:rsid w:val="006E0761"/>
    <w:rsid w:val="006E076D"/>
    <w:rsid w:val="006E077F"/>
    <w:rsid w:val="006E07CC"/>
    <w:rsid w:val="006E0902"/>
    <w:rsid w:val="006E0973"/>
    <w:rsid w:val="006E09AF"/>
    <w:rsid w:val="006E09BF"/>
    <w:rsid w:val="006E0A48"/>
    <w:rsid w:val="006E0A82"/>
    <w:rsid w:val="006E0A9F"/>
    <w:rsid w:val="006E0B11"/>
    <w:rsid w:val="006E0B60"/>
    <w:rsid w:val="006E0B95"/>
    <w:rsid w:val="006E0BBD"/>
    <w:rsid w:val="006E0BCB"/>
    <w:rsid w:val="006E0C1E"/>
    <w:rsid w:val="006E0C44"/>
    <w:rsid w:val="006E0C98"/>
    <w:rsid w:val="006E0D02"/>
    <w:rsid w:val="006E0D63"/>
    <w:rsid w:val="006E0E17"/>
    <w:rsid w:val="006E0E1E"/>
    <w:rsid w:val="006E0E75"/>
    <w:rsid w:val="006E0EB5"/>
    <w:rsid w:val="006E0EBC"/>
    <w:rsid w:val="006E0EBE"/>
    <w:rsid w:val="006E0FEB"/>
    <w:rsid w:val="006E1000"/>
    <w:rsid w:val="006E1044"/>
    <w:rsid w:val="006E1062"/>
    <w:rsid w:val="006E10C8"/>
    <w:rsid w:val="006E10F3"/>
    <w:rsid w:val="006E124A"/>
    <w:rsid w:val="006E12AC"/>
    <w:rsid w:val="006E131C"/>
    <w:rsid w:val="006E1320"/>
    <w:rsid w:val="006E13DA"/>
    <w:rsid w:val="006E13DD"/>
    <w:rsid w:val="006E14AE"/>
    <w:rsid w:val="006E14D5"/>
    <w:rsid w:val="006E14EB"/>
    <w:rsid w:val="006E1528"/>
    <w:rsid w:val="006E155A"/>
    <w:rsid w:val="006E15AC"/>
    <w:rsid w:val="006E160C"/>
    <w:rsid w:val="006E166F"/>
    <w:rsid w:val="006E17BB"/>
    <w:rsid w:val="006E1800"/>
    <w:rsid w:val="006E1801"/>
    <w:rsid w:val="006E181F"/>
    <w:rsid w:val="006E1863"/>
    <w:rsid w:val="006E189F"/>
    <w:rsid w:val="006E19D7"/>
    <w:rsid w:val="006E1AE3"/>
    <w:rsid w:val="006E1B93"/>
    <w:rsid w:val="006E1C3F"/>
    <w:rsid w:val="006E1D39"/>
    <w:rsid w:val="006E1D5F"/>
    <w:rsid w:val="006E1D96"/>
    <w:rsid w:val="006E1DFE"/>
    <w:rsid w:val="006E1EA4"/>
    <w:rsid w:val="006E1F29"/>
    <w:rsid w:val="006E1FB2"/>
    <w:rsid w:val="006E1FBA"/>
    <w:rsid w:val="006E2183"/>
    <w:rsid w:val="006E21A8"/>
    <w:rsid w:val="006E2203"/>
    <w:rsid w:val="006E2251"/>
    <w:rsid w:val="006E2255"/>
    <w:rsid w:val="006E225F"/>
    <w:rsid w:val="006E22D8"/>
    <w:rsid w:val="006E231C"/>
    <w:rsid w:val="006E234C"/>
    <w:rsid w:val="006E23D6"/>
    <w:rsid w:val="006E2414"/>
    <w:rsid w:val="006E2428"/>
    <w:rsid w:val="006E24B1"/>
    <w:rsid w:val="006E2520"/>
    <w:rsid w:val="006E253B"/>
    <w:rsid w:val="006E258F"/>
    <w:rsid w:val="006E262B"/>
    <w:rsid w:val="006E2639"/>
    <w:rsid w:val="006E268D"/>
    <w:rsid w:val="006E26A1"/>
    <w:rsid w:val="006E2722"/>
    <w:rsid w:val="006E2768"/>
    <w:rsid w:val="006E2771"/>
    <w:rsid w:val="006E2783"/>
    <w:rsid w:val="006E27B4"/>
    <w:rsid w:val="006E2853"/>
    <w:rsid w:val="006E288F"/>
    <w:rsid w:val="006E28CA"/>
    <w:rsid w:val="006E2912"/>
    <w:rsid w:val="006E292C"/>
    <w:rsid w:val="006E29F6"/>
    <w:rsid w:val="006E2A01"/>
    <w:rsid w:val="006E2A6E"/>
    <w:rsid w:val="006E2A84"/>
    <w:rsid w:val="006E2AE5"/>
    <w:rsid w:val="006E2B02"/>
    <w:rsid w:val="006E2D5A"/>
    <w:rsid w:val="006E2D8F"/>
    <w:rsid w:val="006E2DBE"/>
    <w:rsid w:val="006E2DDC"/>
    <w:rsid w:val="006E2F3A"/>
    <w:rsid w:val="006E2F3B"/>
    <w:rsid w:val="006E2F43"/>
    <w:rsid w:val="006E3024"/>
    <w:rsid w:val="006E3094"/>
    <w:rsid w:val="006E30EF"/>
    <w:rsid w:val="006E3111"/>
    <w:rsid w:val="006E3174"/>
    <w:rsid w:val="006E31B8"/>
    <w:rsid w:val="006E3249"/>
    <w:rsid w:val="006E32A3"/>
    <w:rsid w:val="006E3301"/>
    <w:rsid w:val="006E3388"/>
    <w:rsid w:val="006E33D1"/>
    <w:rsid w:val="006E3424"/>
    <w:rsid w:val="006E3507"/>
    <w:rsid w:val="006E3548"/>
    <w:rsid w:val="006E3552"/>
    <w:rsid w:val="006E35BE"/>
    <w:rsid w:val="006E3601"/>
    <w:rsid w:val="006E3603"/>
    <w:rsid w:val="006E369F"/>
    <w:rsid w:val="006E36F4"/>
    <w:rsid w:val="006E3745"/>
    <w:rsid w:val="006E37D8"/>
    <w:rsid w:val="006E37E8"/>
    <w:rsid w:val="006E37ED"/>
    <w:rsid w:val="006E380D"/>
    <w:rsid w:val="006E38C6"/>
    <w:rsid w:val="006E398B"/>
    <w:rsid w:val="006E39C3"/>
    <w:rsid w:val="006E3B6C"/>
    <w:rsid w:val="006E3B74"/>
    <w:rsid w:val="006E3B8B"/>
    <w:rsid w:val="006E3C23"/>
    <w:rsid w:val="006E3C5A"/>
    <w:rsid w:val="006E3CB1"/>
    <w:rsid w:val="006E3D0D"/>
    <w:rsid w:val="006E3D22"/>
    <w:rsid w:val="006E3D62"/>
    <w:rsid w:val="006E3D7A"/>
    <w:rsid w:val="006E3DAF"/>
    <w:rsid w:val="006E3DEA"/>
    <w:rsid w:val="006E3E76"/>
    <w:rsid w:val="006E3EA9"/>
    <w:rsid w:val="006E3EEA"/>
    <w:rsid w:val="006E3F20"/>
    <w:rsid w:val="006E3F23"/>
    <w:rsid w:val="006E3F2C"/>
    <w:rsid w:val="006E3FA7"/>
    <w:rsid w:val="006E40B0"/>
    <w:rsid w:val="006E40D1"/>
    <w:rsid w:val="006E40E4"/>
    <w:rsid w:val="006E4109"/>
    <w:rsid w:val="006E4192"/>
    <w:rsid w:val="006E41B0"/>
    <w:rsid w:val="006E41DC"/>
    <w:rsid w:val="006E4297"/>
    <w:rsid w:val="006E42B3"/>
    <w:rsid w:val="006E4367"/>
    <w:rsid w:val="006E438E"/>
    <w:rsid w:val="006E43B3"/>
    <w:rsid w:val="006E43D9"/>
    <w:rsid w:val="006E44C3"/>
    <w:rsid w:val="006E450C"/>
    <w:rsid w:val="006E450F"/>
    <w:rsid w:val="006E45B7"/>
    <w:rsid w:val="006E45C2"/>
    <w:rsid w:val="006E4655"/>
    <w:rsid w:val="006E4691"/>
    <w:rsid w:val="006E4732"/>
    <w:rsid w:val="006E474A"/>
    <w:rsid w:val="006E47EF"/>
    <w:rsid w:val="006E4894"/>
    <w:rsid w:val="006E494B"/>
    <w:rsid w:val="006E4A0C"/>
    <w:rsid w:val="006E4A41"/>
    <w:rsid w:val="006E4A74"/>
    <w:rsid w:val="006E4AC1"/>
    <w:rsid w:val="006E4B37"/>
    <w:rsid w:val="006E4BB7"/>
    <w:rsid w:val="006E4BFB"/>
    <w:rsid w:val="006E4C6A"/>
    <w:rsid w:val="006E4E32"/>
    <w:rsid w:val="006E4EE9"/>
    <w:rsid w:val="006E4F97"/>
    <w:rsid w:val="006E4FAA"/>
    <w:rsid w:val="006E5197"/>
    <w:rsid w:val="006E51AF"/>
    <w:rsid w:val="006E5273"/>
    <w:rsid w:val="006E5308"/>
    <w:rsid w:val="006E5319"/>
    <w:rsid w:val="006E536D"/>
    <w:rsid w:val="006E53DC"/>
    <w:rsid w:val="006E5427"/>
    <w:rsid w:val="006E543E"/>
    <w:rsid w:val="006E5514"/>
    <w:rsid w:val="006E5589"/>
    <w:rsid w:val="006E558A"/>
    <w:rsid w:val="006E569D"/>
    <w:rsid w:val="006E5737"/>
    <w:rsid w:val="006E574D"/>
    <w:rsid w:val="006E5754"/>
    <w:rsid w:val="006E57DC"/>
    <w:rsid w:val="006E5823"/>
    <w:rsid w:val="006E58B9"/>
    <w:rsid w:val="006E5954"/>
    <w:rsid w:val="006E595E"/>
    <w:rsid w:val="006E5ACA"/>
    <w:rsid w:val="006E5C23"/>
    <w:rsid w:val="006E5CAE"/>
    <w:rsid w:val="006E5CCE"/>
    <w:rsid w:val="006E5D52"/>
    <w:rsid w:val="006E5D66"/>
    <w:rsid w:val="006E5DA0"/>
    <w:rsid w:val="006E5DD0"/>
    <w:rsid w:val="006E5E1F"/>
    <w:rsid w:val="006E5E24"/>
    <w:rsid w:val="006E5E2E"/>
    <w:rsid w:val="006E5E73"/>
    <w:rsid w:val="006E60A0"/>
    <w:rsid w:val="006E6105"/>
    <w:rsid w:val="006E6146"/>
    <w:rsid w:val="006E615F"/>
    <w:rsid w:val="006E61D9"/>
    <w:rsid w:val="006E627E"/>
    <w:rsid w:val="006E62B8"/>
    <w:rsid w:val="006E63AE"/>
    <w:rsid w:val="006E6411"/>
    <w:rsid w:val="006E6429"/>
    <w:rsid w:val="006E642C"/>
    <w:rsid w:val="006E6441"/>
    <w:rsid w:val="006E645B"/>
    <w:rsid w:val="006E6474"/>
    <w:rsid w:val="006E6489"/>
    <w:rsid w:val="006E64B1"/>
    <w:rsid w:val="006E64B5"/>
    <w:rsid w:val="006E659C"/>
    <w:rsid w:val="006E6604"/>
    <w:rsid w:val="006E66BD"/>
    <w:rsid w:val="006E6753"/>
    <w:rsid w:val="006E67AA"/>
    <w:rsid w:val="006E67BD"/>
    <w:rsid w:val="006E6828"/>
    <w:rsid w:val="006E687A"/>
    <w:rsid w:val="006E68B4"/>
    <w:rsid w:val="006E68D3"/>
    <w:rsid w:val="006E69A8"/>
    <w:rsid w:val="006E69F2"/>
    <w:rsid w:val="006E6A07"/>
    <w:rsid w:val="006E6A21"/>
    <w:rsid w:val="006E6AB2"/>
    <w:rsid w:val="006E6B36"/>
    <w:rsid w:val="006E6BFD"/>
    <w:rsid w:val="006E6C0B"/>
    <w:rsid w:val="006E6C86"/>
    <w:rsid w:val="006E6C92"/>
    <w:rsid w:val="006E6C97"/>
    <w:rsid w:val="006E6DA0"/>
    <w:rsid w:val="006E6DA5"/>
    <w:rsid w:val="006E6DEF"/>
    <w:rsid w:val="006E6DFA"/>
    <w:rsid w:val="006E6F1F"/>
    <w:rsid w:val="006E6F28"/>
    <w:rsid w:val="006E6F37"/>
    <w:rsid w:val="006E7007"/>
    <w:rsid w:val="006E70FF"/>
    <w:rsid w:val="006E71FC"/>
    <w:rsid w:val="006E72E9"/>
    <w:rsid w:val="006E73DE"/>
    <w:rsid w:val="006E7432"/>
    <w:rsid w:val="006E746B"/>
    <w:rsid w:val="006E74F4"/>
    <w:rsid w:val="006E75BB"/>
    <w:rsid w:val="006E763D"/>
    <w:rsid w:val="006E7647"/>
    <w:rsid w:val="006E76B3"/>
    <w:rsid w:val="006E770A"/>
    <w:rsid w:val="006E7767"/>
    <w:rsid w:val="006E77A5"/>
    <w:rsid w:val="006E782C"/>
    <w:rsid w:val="006E78C6"/>
    <w:rsid w:val="006E794A"/>
    <w:rsid w:val="006E79B7"/>
    <w:rsid w:val="006E7A82"/>
    <w:rsid w:val="006E7AEA"/>
    <w:rsid w:val="006E7B15"/>
    <w:rsid w:val="006E7B24"/>
    <w:rsid w:val="006E7B78"/>
    <w:rsid w:val="006E7CA0"/>
    <w:rsid w:val="006E7CA2"/>
    <w:rsid w:val="006E7CF2"/>
    <w:rsid w:val="006E7D33"/>
    <w:rsid w:val="006E7D6E"/>
    <w:rsid w:val="006E7DB0"/>
    <w:rsid w:val="006E7E6F"/>
    <w:rsid w:val="006E7E8A"/>
    <w:rsid w:val="006E7ED0"/>
    <w:rsid w:val="006E7F19"/>
    <w:rsid w:val="006E7F44"/>
    <w:rsid w:val="006E7F6E"/>
    <w:rsid w:val="006E7F98"/>
    <w:rsid w:val="006E7FC3"/>
    <w:rsid w:val="006E7FE9"/>
    <w:rsid w:val="006F0045"/>
    <w:rsid w:val="006F0193"/>
    <w:rsid w:val="006F0196"/>
    <w:rsid w:val="006F01E8"/>
    <w:rsid w:val="006F0204"/>
    <w:rsid w:val="006F020A"/>
    <w:rsid w:val="006F0249"/>
    <w:rsid w:val="006F0321"/>
    <w:rsid w:val="006F0357"/>
    <w:rsid w:val="006F0393"/>
    <w:rsid w:val="006F0394"/>
    <w:rsid w:val="006F03C0"/>
    <w:rsid w:val="006F03C2"/>
    <w:rsid w:val="006F04BE"/>
    <w:rsid w:val="006F0538"/>
    <w:rsid w:val="006F054B"/>
    <w:rsid w:val="006F0583"/>
    <w:rsid w:val="006F05D5"/>
    <w:rsid w:val="006F05E0"/>
    <w:rsid w:val="006F0629"/>
    <w:rsid w:val="006F0639"/>
    <w:rsid w:val="006F066F"/>
    <w:rsid w:val="006F0694"/>
    <w:rsid w:val="006F06D0"/>
    <w:rsid w:val="006F071D"/>
    <w:rsid w:val="006F078C"/>
    <w:rsid w:val="006F07E0"/>
    <w:rsid w:val="006F07F8"/>
    <w:rsid w:val="006F07FB"/>
    <w:rsid w:val="006F080D"/>
    <w:rsid w:val="006F08A3"/>
    <w:rsid w:val="006F08A8"/>
    <w:rsid w:val="006F08EF"/>
    <w:rsid w:val="006F0A55"/>
    <w:rsid w:val="006F0AB4"/>
    <w:rsid w:val="006F0B66"/>
    <w:rsid w:val="006F0C12"/>
    <w:rsid w:val="006F0C5C"/>
    <w:rsid w:val="006F0D01"/>
    <w:rsid w:val="006F0EA5"/>
    <w:rsid w:val="006F0F0A"/>
    <w:rsid w:val="006F0F71"/>
    <w:rsid w:val="006F0FCC"/>
    <w:rsid w:val="006F1011"/>
    <w:rsid w:val="006F10B6"/>
    <w:rsid w:val="006F10DD"/>
    <w:rsid w:val="006F1134"/>
    <w:rsid w:val="006F1135"/>
    <w:rsid w:val="006F12AA"/>
    <w:rsid w:val="006F133E"/>
    <w:rsid w:val="006F1351"/>
    <w:rsid w:val="006F135B"/>
    <w:rsid w:val="006F13E5"/>
    <w:rsid w:val="006F13E7"/>
    <w:rsid w:val="006F13EE"/>
    <w:rsid w:val="006F1406"/>
    <w:rsid w:val="006F1467"/>
    <w:rsid w:val="006F1471"/>
    <w:rsid w:val="006F1584"/>
    <w:rsid w:val="006F15CB"/>
    <w:rsid w:val="006F160D"/>
    <w:rsid w:val="006F1661"/>
    <w:rsid w:val="006F16D9"/>
    <w:rsid w:val="006F1708"/>
    <w:rsid w:val="006F18A5"/>
    <w:rsid w:val="006F18D8"/>
    <w:rsid w:val="006F18EA"/>
    <w:rsid w:val="006F192A"/>
    <w:rsid w:val="006F1938"/>
    <w:rsid w:val="006F1993"/>
    <w:rsid w:val="006F199C"/>
    <w:rsid w:val="006F19A7"/>
    <w:rsid w:val="006F1A5E"/>
    <w:rsid w:val="006F1A77"/>
    <w:rsid w:val="006F1BA5"/>
    <w:rsid w:val="006F1BB4"/>
    <w:rsid w:val="006F1BCF"/>
    <w:rsid w:val="006F1C0C"/>
    <w:rsid w:val="006F1CA4"/>
    <w:rsid w:val="006F1D09"/>
    <w:rsid w:val="006F1E09"/>
    <w:rsid w:val="006F1F09"/>
    <w:rsid w:val="006F1FB5"/>
    <w:rsid w:val="006F2039"/>
    <w:rsid w:val="006F208D"/>
    <w:rsid w:val="006F20FC"/>
    <w:rsid w:val="006F21EC"/>
    <w:rsid w:val="006F2230"/>
    <w:rsid w:val="006F2234"/>
    <w:rsid w:val="006F2354"/>
    <w:rsid w:val="006F2447"/>
    <w:rsid w:val="006F249B"/>
    <w:rsid w:val="006F24A1"/>
    <w:rsid w:val="006F24D3"/>
    <w:rsid w:val="006F2605"/>
    <w:rsid w:val="006F266E"/>
    <w:rsid w:val="006F2683"/>
    <w:rsid w:val="006F272F"/>
    <w:rsid w:val="006F274C"/>
    <w:rsid w:val="006F2861"/>
    <w:rsid w:val="006F287A"/>
    <w:rsid w:val="006F2894"/>
    <w:rsid w:val="006F290D"/>
    <w:rsid w:val="006F2A36"/>
    <w:rsid w:val="006F2A79"/>
    <w:rsid w:val="006F2A7B"/>
    <w:rsid w:val="006F2AB0"/>
    <w:rsid w:val="006F2ADA"/>
    <w:rsid w:val="006F2AEF"/>
    <w:rsid w:val="006F2AF0"/>
    <w:rsid w:val="006F2AF1"/>
    <w:rsid w:val="006F2BD3"/>
    <w:rsid w:val="006F2BEB"/>
    <w:rsid w:val="006F2CC7"/>
    <w:rsid w:val="006F2E12"/>
    <w:rsid w:val="006F2E84"/>
    <w:rsid w:val="006F2F5B"/>
    <w:rsid w:val="006F2F83"/>
    <w:rsid w:val="006F2F84"/>
    <w:rsid w:val="006F2F87"/>
    <w:rsid w:val="006F2FC2"/>
    <w:rsid w:val="006F3044"/>
    <w:rsid w:val="006F308A"/>
    <w:rsid w:val="006F30D0"/>
    <w:rsid w:val="006F30F3"/>
    <w:rsid w:val="006F30F5"/>
    <w:rsid w:val="006F3122"/>
    <w:rsid w:val="006F3170"/>
    <w:rsid w:val="006F31F0"/>
    <w:rsid w:val="006F320D"/>
    <w:rsid w:val="006F324D"/>
    <w:rsid w:val="006F32C8"/>
    <w:rsid w:val="006F32EA"/>
    <w:rsid w:val="006F3341"/>
    <w:rsid w:val="006F3393"/>
    <w:rsid w:val="006F33A7"/>
    <w:rsid w:val="006F33D1"/>
    <w:rsid w:val="006F33EE"/>
    <w:rsid w:val="006F341A"/>
    <w:rsid w:val="006F3434"/>
    <w:rsid w:val="006F347C"/>
    <w:rsid w:val="006F34F1"/>
    <w:rsid w:val="006F3596"/>
    <w:rsid w:val="006F35A4"/>
    <w:rsid w:val="006F35DD"/>
    <w:rsid w:val="006F3685"/>
    <w:rsid w:val="006F36B6"/>
    <w:rsid w:val="006F36D7"/>
    <w:rsid w:val="006F375E"/>
    <w:rsid w:val="006F3769"/>
    <w:rsid w:val="006F38DC"/>
    <w:rsid w:val="006F390B"/>
    <w:rsid w:val="006F3915"/>
    <w:rsid w:val="006F399E"/>
    <w:rsid w:val="006F39DB"/>
    <w:rsid w:val="006F3B14"/>
    <w:rsid w:val="006F3B98"/>
    <w:rsid w:val="006F3BE6"/>
    <w:rsid w:val="006F3C79"/>
    <w:rsid w:val="006F3CD4"/>
    <w:rsid w:val="006F3D02"/>
    <w:rsid w:val="006F3D05"/>
    <w:rsid w:val="006F3D2F"/>
    <w:rsid w:val="006F3DCE"/>
    <w:rsid w:val="006F3DE4"/>
    <w:rsid w:val="006F3E3F"/>
    <w:rsid w:val="006F3EA1"/>
    <w:rsid w:val="006F3EBC"/>
    <w:rsid w:val="006F3FAF"/>
    <w:rsid w:val="006F4082"/>
    <w:rsid w:val="006F40FE"/>
    <w:rsid w:val="006F4151"/>
    <w:rsid w:val="006F41AE"/>
    <w:rsid w:val="006F421D"/>
    <w:rsid w:val="006F424F"/>
    <w:rsid w:val="006F4266"/>
    <w:rsid w:val="006F4366"/>
    <w:rsid w:val="006F43AF"/>
    <w:rsid w:val="006F4408"/>
    <w:rsid w:val="006F443C"/>
    <w:rsid w:val="006F4539"/>
    <w:rsid w:val="006F4560"/>
    <w:rsid w:val="006F45CC"/>
    <w:rsid w:val="006F45EB"/>
    <w:rsid w:val="006F46AF"/>
    <w:rsid w:val="006F46B0"/>
    <w:rsid w:val="006F46BD"/>
    <w:rsid w:val="006F46D2"/>
    <w:rsid w:val="006F4780"/>
    <w:rsid w:val="006F4927"/>
    <w:rsid w:val="006F4932"/>
    <w:rsid w:val="006F49CB"/>
    <w:rsid w:val="006F4AC1"/>
    <w:rsid w:val="006F4ADA"/>
    <w:rsid w:val="006F4B15"/>
    <w:rsid w:val="006F4BAA"/>
    <w:rsid w:val="006F4C25"/>
    <w:rsid w:val="006F4C4D"/>
    <w:rsid w:val="006F4C69"/>
    <w:rsid w:val="006F4E53"/>
    <w:rsid w:val="006F4F4B"/>
    <w:rsid w:val="006F4F88"/>
    <w:rsid w:val="006F4FC2"/>
    <w:rsid w:val="006F5070"/>
    <w:rsid w:val="006F5083"/>
    <w:rsid w:val="006F50DE"/>
    <w:rsid w:val="006F50E1"/>
    <w:rsid w:val="006F51EB"/>
    <w:rsid w:val="006F52AE"/>
    <w:rsid w:val="006F52E8"/>
    <w:rsid w:val="006F53F8"/>
    <w:rsid w:val="006F53FE"/>
    <w:rsid w:val="006F5400"/>
    <w:rsid w:val="006F5450"/>
    <w:rsid w:val="006F55BE"/>
    <w:rsid w:val="006F5652"/>
    <w:rsid w:val="006F56AE"/>
    <w:rsid w:val="006F586E"/>
    <w:rsid w:val="006F5876"/>
    <w:rsid w:val="006F5899"/>
    <w:rsid w:val="006F59BD"/>
    <w:rsid w:val="006F59EB"/>
    <w:rsid w:val="006F5A4D"/>
    <w:rsid w:val="006F5A8F"/>
    <w:rsid w:val="006F5AEF"/>
    <w:rsid w:val="006F5D59"/>
    <w:rsid w:val="006F5D76"/>
    <w:rsid w:val="006F5EA4"/>
    <w:rsid w:val="006F5F45"/>
    <w:rsid w:val="006F5F54"/>
    <w:rsid w:val="006F5F62"/>
    <w:rsid w:val="006F5F8C"/>
    <w:rsid w:val="006F5FB2"/>
    <w:rsid w:val="006F6018"/>
    <w:rsid w:val="006F610A"/>
    <w:rsid w:val="006F6175"/>
    <w:rsid w:val="006F618F"/>
    <w:rsid w:val="006F61C2"/>
    <w:rsid w:val="006F61C8"/>
    <w:rsid w:val="006F6222"/>
    <w:rsid w:val="006F6259"/>
    <w:rsid w:val="006F626E"/>
    <w:rsid w:val="006F6271"/>
    <w:rsid w:val="006F62A6"/>
    <w:rsid w:val="006F6318"/>
    <w:rsid w:val="006F631C"/>
    <w:rsid w:val="006F63CD"/>
    <w:rsid w:val="006F6444"/>
    <w:rsid w:val="006F647E"/>
    <w:rsid w:val="006F652E"/>
    <w:rsid w:val="006F6572"/>
    <w:rsid w:val="006F65FF"/>
    <w:rsid w:val="006F6648"/>
    <w:rsid w:val="006F670E"/>
    <w:rsid w:val="006F6752"/>
    <w:rsid w:val="006F6788"/>
    <w:rsid w:val="006F6796"/>
    <w:rsid w:val="006F67B9"/>
    <w:rsid w:val="006F67C0"/>
    <w:rsid w:val="006F67F0"/>
    <w:rsid w:val="006F67F1"/>
    <w:rsid w:val="006F6884"/>
    <w:rsid w:val="006F6887"/>
    <w:rsid w:val="006F68C6"/>
    <w:rsid w:val="006F6906"/>
    <w:rsid w:val="006F6916"/>
    <w:rsid w:val="006F692B"/>
    <w:rsid w:val="006F693A"/>
    <w:rsid w:val="006F6960"/>
    <w:rsid w:val="006F6988"/>
    <w:rsid w:val="006F69C2"/>
    <w:rsid w:val="006F6A38"/>
    <w:rsid w:val="006F6AB9"/>
    <w:rsid w:val="006F6B92"/>
    <w:rsid w:val="006F6C00"/>
    <w:rsid w:val="006F6C8F"/>
    <w:rsid w:val="006F6CA9"/>
    <w:rsid w:val="006F6CDD"/>
    <w:rsid w:val="006F6E43"/>
    <w:rsid w:val="006F6E4C"/>
    <w:rsid w:val="006F6EE5"/>
    <w:rsid w:val="006F6F27"/>
    <w:rsid w:val="006F6F6D"/>
    <w:rsid w:val="006F702D"/>
    <w:rsid w:val="006F70C1"/>
    <w:rsid w:val="006F7160"/>
    <w:rsid w:val="006F7162"/>
    <w:rsid w:val="006F7167"/>
    <w:rsid w:val="006F7170"/>
    <w:rsid w:val="006F7174"/>
    <w:rsid w:val="006F717E"/>
    <w:rsid w:val="006F71F9"/>
    <w:rsid w:val="006F72E7"/>
    <w:rsid w:val="006F72F1"/>
    <w:rsid w:val="006F73D0"/>
    <w:rsid w:val="006F742B"/>
    <w:rsid w:val="006F747F"/>
    <w:rsid w:val="006F74A3"/>
    <w:rsid w:val="006F74B8"/>
    <w:rsid w:val="006F74F6"/>
    <w:rsid w:val="006F7567"/>
    <w:rsid w:val="006F75A3"/>
    <w:rsid w:val="006F75D8"/>
    <w:rsid w:val="006F7664"/>
    <w:rsid w:val="006F76F0"/>
    <w:rsid w:val="006F770C"/>
    <w:rsid w:val="006F770F"/>
    <w:rsid w:val="006F776E"/>
    <w:rsid w:val="006F7794"/>
    <w:rsid w:val="006F77D5"/>
    <w:rsid w:val="006F7912"/>
    <w:rsid w:val="006F7940"/>
    <w:rsid w:val="006F798F"/>
    <w:rsid w:val="006F799E"/>
    <w:rsid w:val="006F79BB"/>
    <w:rsid w:val="006F7A1C"/>
    <w:rsid w:val="006F7AC2"/>
    <w:rsid w:val="006F7B7F"/>
    <w:rsid w:val="006F7C07"/>
    <w:rsid w:val="006F7C1A"/>
    <w:rsid w:val="006F7C2C"/>
    <w:rsid w:val="006F7C5F"/>
    <w:rsid w:val="006F7D41"/>
    <w:rsid w:val="006F7D64"/>
    <w:rsid w:val="006F7D83"/>
    <w:rsid w:val="006F7DB5"/>
    <w:rsid w:val="006F7DD4"/>
    <w:rsid w:val="006F7E04"/>
    <w:rsid w:val="006F7E23"/>
    <w:rsid w:val="006F7E24"/>
    <w:rsid w:val="006F7F2D"/>
    <w:rsid w:val="006F7F37"/>
    <w:rsid w:val="006F7F57"/>
    <w:rsid w:val="006F7F70"/>
    <w:rsid w:val="006F7FC7"/>
    <w:rsid w:val="00700036"/>
    <w:rsid w:val="00700136"/>
    <w:rsid w:val="00700156"/>
    <w:rsid w:val="00700206"/>
    <w:rsid w:val="0070022F"/>
    <w:rsid w:val="00700250"/>
    <w:rsid w:val="00700268"/>
    <w:rsid w:val="007002E1"/>
    <w:rsid w:val="007002F1"/>
    <w:rsid w:val="007002FD"/>
    <w:rsid w:val="007002FF"/>
    <w:rsid w:val="00700301"/>
    <w:rsid w:val="00700357"/>
    <w:rsid w:val="0070051C"/>
    <w:rsid w:val="00700542"/>
    <w:rsid w:val="00700592"/>
    <w:rsid w:val="00700593"/>
    <w:rsid w:val="0070060B"/>
    <w:rsid w:val="00700650"/>
    <w:rsid w:val="007006A6"/>
    <w:rsid w:val="007006BD"/>
    <w:rsid w:val="007006EE"/>
    <w:rsid w:val="00700718"/>
    <w:rsid w:val="0070073D"/>
    <w:rsid w:val="0070075D"/>
    <w:rsid w:val="0070076B"/>
    <w:rsid w:val="007007B9"/>
    <w:rsid w:val="0070083C"/>
    <w:rsid w:val="0070088B"/>
    <w:rsid w:val="00700899"/>
    <w:rsid w:val="007008DF"/>
    <w:rsid w:val="007009A0"/>
    <w:rsid w:val="007009C5"/>
    <w:rsid w:val="007009E6"/>
    <w:rsid w:val="00700C3C"/>
    <w:rsid w:val="00700CA9"/>
    <w:rsid w:val="00700CBD"/>
    <w:rsid w:val="00700D0B"/>
    <w:rsid w:val="00700D70"/>
    <w:rsid w:val="00700DDA"/>
    <w:rsid w:val="00700DED"/>
    <w:rsid w:val="00700DFF"/>
    <w:rsid w:val="00700E07"/>
    <w:rsid w:val="00700E08"/>
    <w:rsid w:val="00700E81"/>
    <w:rsid w:val="00700EC6"/>
    <w:rsid w:val="00700F16"/>
    <w:rsid w:val="00700FE7"/>
    <w:rsid w:val="00701028"/>
    <w:rsid w:val="0070106C"/>
    <w:rsid w:val="007010D6"/>
    <w:rsid w:val="007010E1"/>
    <w:rsid w:val="007010E7"/>
    <w:rsid w:val="00701154"/>
    <w:rsid w:val="007011D8"/>
    <w:rsid w:val="00701241"/>
    <w:rsid w:val="007012B2"/>
    <w:rsid w:val="007012E3"/>
    <w:rsid w:val="0070139B"/>
    <w:rsid w:val="007013CB"/>
    <w:rsid w:val="007013EB"/>
    <w:rsid w:val="0070145B"/>
    <w:rsid w:val="007014AA"/>
    <w:rsid w:val="00701517"/>
    <w:rsid w:val="00701579"/>
    <w:rsid w:val="0070162E"/>
    <w:rsid w:val="00701657"/>
    <w:rsid w:val="007016FC"/>
    <w:rsid w:val="007016FE"/>
    <w:rsid w:val="00701751"/>
    <w:rsid w:val="00701753"/>
    <w:rsid w:val="0070180A"/>
    <w:rsid w:val="00701830"/>
    <w:rsid w:val="007018E9"/>
    <w:rsid w:val="00701964"/>
    <w:rsid w:val="0070196F"/>
    <w:rsid w:val="00701ABB"/>
    <w:rsid w:val="00701B0A"/>
    <w:rsid w:val="00701B32"/>
    <w:rsid w:val="00701B86"/>
    <w:rsid w:val="00701B88"/>
    <w:rsid w:val="00701BD8"/>
    <w:rsid w:val="00701BE7"/>
    <w:rsid w:val="00701C54"/>
    <w:rsid w:val="00701CB4"/>
    <w:rsid w:val="00701CCF"/>
    <w:rsid w:val="00701D02"/>
    <w:rsid w:val="00701D8F"/>
    <w:rsid w:val="00701E3F"/>
    <w:rsid w:val="00701E50"/>
    <w:rsid w:val="00701E54"/>
    <w:rsid w:val="00701E5F"/>
    <w:rsid w:val="00701EBC"/>
    <w:rsid w:val="00701F13"/>
    <w:rsid w:val="00701F49"/>
    <w:rsid w:val="00701FE5"/>
    <w:rsid w:val="00702026"/>
    <w:rsid w:val="0070202F"/>
    <w:rsid w:val="00702036"/>
    <w:rsid w:val="00702079"/>
    <w:rsid w:val="00702170"/>
    <w:rsid w:val="00702198"/>
    <w:rsid w:val="007021A2"/>
    <w:rsid w:val="007021C2"/>
    <w:rsid w:val="007021C6"/>
    <w:rsid w:val="007023D6"/>
    <w:rsid w:val="0070243E"/>
    <w:rsid w:val="00702469"/>
    <w:rsid w:val="00702544"/>
    <w:rsid w:val="0070255B"/>
    <w:rsid w:val="007025A9"/>
    <w:rsid w:val="00702669"/>
    <w:rsid w:val="007026FD"/>
    <w:rsid w:val="00702782"/>
    <w:rsid w:val="0070284F"/>
    <w:rsid w:val="00702983"/>
    <w:rsid w:val="00702A4D"/>
    <w:rsid w:val="00702A67"/>
    <w:rsid w:val="00702ACF"/>
    <w:rsid w:val="00702AF0"/>
    <w:rsid w:val="00702B28"/>
    <w:rsid w:val="00702B5B"/>
    <w:rsid w:val="00702BBB"/>
    <w:rsid w:val="00702BD7"/>
    <w:rsid w:val="00702C46"/>
    <w:rsid w:val="00702D0E"/>
    <w:rsid w:val="00702D1D"/>
    <w:rsid w:val="00702D36"/>
    <w:rsid w:val="00702EDC"/>
    <w:rsid w:val="00702F26"/>
    <w:rsid w:val="00703044"/>
    <w:rsid w:val="0070308D"/>
    <w:rsid w:val="0070308F"/>
    <w:rsid w:val="00703095"/>
    <w:rsid w:val="007031A2"/>
    <w:rsid w:val="007032B2"/>
    <w:rsid w:val="00703388"/>
    <w:rsid w:val="00703390"/>
    <w:rsid w:val="0070340A"/>
    <w:rsid w:val="0070340E"/>
    <w:rsid w:val="00703451"/>
    <w:rsid w:val="007034C6"/>
    <w:rsid w:val="0070352C"/>
    <w:rsid w:val="0070352E"/>
    <w:rsid w:val="00703549"/>
    <w:rsid w:val="00703571"/>
    <w:rsid w:val="007035B8"/>
    <w:rsid w:val="00703682"/>
    <w:rsid w:val="0070372C"/>
    <w:rsid w:val="0070373B"/>
    <w:rsid w:val="007037B8"/>
    <w:rsid w:val="0070383D"/>
    <w:rsid w:val="0070392B"/>
    <w:rsid w:val="0070394D"/>
    <w:rsid w:val="00703996"/>
    <w:rsid w:val="007039D2"/>
    <w:rsid w:val="00703A01"/>
    <w:rsid w:val="00703AC0"/>
    <w:rsid w:val="00703B08"/>
    <w:rsid w:val="00703BBD"/>
    <w:rsid w:val="00703BD7"/>
    <w:rsid w:val="00703CEA"/>
    <w:rsid w:val="00703D8C"/>
    <w:rsid w:val="00703DCB"/>
    <w:rsid w:val="00703DF9"/>
    <w:rsid w:val="00703E51"/>
    <w:rsid w:val="00703EAB"/>
    <w:rsid w:val="00703EC9"/>
    <w:rsid w:val="00703F18"/>
    <w:rsid w:val="00703F34"/>
    <w:rsid w:val="00703F65"/>
    <w:rsid w:val="00703FF2"/>
    <w:rsid w:val="007040D1"/>
    <w:rsid w:val="00704139"/>
    <w:rsid w:val="00704239"/>
    <w:rsid w:val="0070426B"/>
    <w:rsid w:val="00704289"/>
    <w:rsid w:val="007042DB"/>
    <w:rsid w:val="00704301"/>
    <w:rsid w:val="00704354"/>
    <w:rsid w:val="0070435D"/>
    <w:rsid w:val="00704388"/>
    <w:rsid w:val="0070439D"/>
    <w:rsid w:val="007043BD"/>
    <w:rsid w:val="007043DA"/>
    <w:rsid w:val="0070445A"/>
    <w:rsid w:val="007044F0"/>
    <w:rsid w:val="00704518"/>
    <w:rsid w:val="00704565"/>
    <w:rsid w:val="007045A5"/>
    <w:rsid w:val="007045A9"/>
    <w:rsid w:val="0070461E"/>
    <w:rsid w:val="00704627"/>
    <w:rsid w:val="0070467C"/>
    <w:rsid w:val="00704735"/>
    <w:rsid w:val="00704757"/>
    <w:rsid w:val="0070476F"/>
    <w:rsid w:val="00704842"/>
    <w:rsid w:val="007048A4"/>
    <w:rsid w:val="007048EC"/>
    <w:rsid w:val="007048EF"/>
    <w:rsid w:val="00704907"/>
    <w:rsid w:val="0070490F"/>
    <w:rsid w:val="00704955"/>
    <w:rsid w:val="0070498E"/>
    <w:rsid w:val="00704A26"/>
    <w:rsid w:val="00704A4A"/>
    <w:rsid w:val="00704A98"/>
    <w:rsid w:val="00704AF1"/>
    <w:rsid w:val="00704AFA"/>
    <w:rsid w:val="00704B59"/>
    <w:rsid w:val="00704B97"/>
    <w:rsid w:val="00704BCE"/>
    <w:rsid w:val="00704C10"/>
    <w:rsid w:val="00704C39"/>
    <w:rsid w:val="00704D34"/>
    <w:rsid w:val="00704D72"/>
    <w:rsid w:val="00704E2C"/>
    <w:rsid w:val="00704E4F"/>
    <w:rsid w:val="00704ECC"/>
    <w:rsid w:val="00704F0F"/>
    <w:rsid w:val="00704F7C"/>
    <w:rsid w:val="00704FD9"/>
    <w:rsid w:val="0070511A"/>
    <w:rsid w:val="007051B6"/>
    <w:rsid w:val="007051EB"/>
    <w:rsid w:val="007051FA"/>
    <w:rsid w:val="0070520D"/>
    <w:rsid w:val="00705232"/>
    <w:rsid w:val="0070524F"/>
    <w:rsid w:val="007052D3"/>
    <w:rsid w:val="007052EE"/>
    <w:rsid w:val="00705346"/>
    <w:rsid w:val="007053D2"/>
    <w:rsid w:val="007054B3"/>
    <w:rsid w:val="0070552C"/>
    <w:rsid w:val="007055CA"/>
    <w:rsid w:val="00705634"/>
    <w:rsid w:val="00705689"/>
    <w:rsid w:val="00705690"/>
    <w:rsid w:val="0070572E"/>
    <w:rsid w:val="0070575D"/>
    <w:rsid w:val="0070576F"/>
    <w:rsid w:val="007057C1"/>
    <w:rsid w:val="007057DC"/>
    <w:rsid w:val="00705809"/>
    <w:rsid w:val="00705934"/>
    <w:rsid w:val="007059DC"/>
    <w:rsid w:val="00705A05"/>
    <w:rsid w:val="00705A11"/>
    <w:rsid w:val="00705A3B"/>
    <w:rsid w:val="00705A41"/>
    <w:rsid w:val="00705B25"/>
    <w:rsid w:val="00705B39"/>
    <w:rsid w:val="00705B56"/>
    <w:rsid w:val="00705B5D"/>
    <w:rsid w:val="00705B90"/>
    <w:rsid w:val="00705CA1"/>
    <w:rsid w:val="00705CC2"/>
    <w:rsid w:val="00705CE5"/>
    <w:rsid w:val="00705D03"/>
    <w:rsid w:val="00705D25"/>
    <w:rsid w:val="00705DCC"/>
    <w:rsid w:val="00705E09"/>
    <w:rsid w:val="00705E31"/>
    <w:rsid w:val="00705E63"/>
    <w:rsid w:val="00705EB8"/>
    <w:rsid w:val="00705EF2"/>
    <w:rsid w:val="00705F19"/>
    <w:rsid w:val="00705FB5"/>
    <w:rsid w:val="0070600B"/>
    <w:rsid w:val="0070607A"/>
    <w:rsid w:val="0070607C"/>
    <w:rsid w:val="007060EC"/>
    <w:rsid w:val="0070614B"/>
    <w:rsid w:val="007061BC"/>
    <w:rsid w:val="007061E5"/>
    <w:rsid w:val="0070622D"/>
    <w:rsid w:val="00706338"/>
    <w:rsid w:val="00706359"/>
    <w:rsid w:val="007063AA"/>
    <w:rsid w:val="007063C2"/>
    <w:rsid w:val="007063D0"/>
    <w:rsid w:val="007063D9"/>
    <w:rsid w:val="00706400"/>
    <w:rsid w:val="0070641C"/>
    <w:rsid w:val="00706468"/>
    <w:rsid w:val="007064DD"/>
    <w:rsid w:val="007064EC"/>
    <w:rsid w:val="00706541"/>
    <w:rsid w:val="0070658B"/>
    <w:rsid w:val="007065D8"/>
    <w:rsid w:val="00706613"/>
    <w:rsid w:val="007066A6"/>
    <w:rsid w:val="007066AB"/>
    <w:rsid w:val="00706702"/>
    <w:rsid w:val="007067A2"/>
    <w:rsid w:val="0070681F"/>
    <w:rsid w:val="00706821"/>
    <w:rsid w:val="0070688B"/>
    <w:rsid w:val="007068D5"/>
    <w:rsid w:val="007069E0"/>
    <w:rsid w:val="00706A54"/>
    <w:rsid w:val="00706AC4"/>
    <w:rsid w:val="00706B22"/>
    <w:rsid w:val="00706BCA"/>
    <w:rsid w:val="00706C63"/>
    <w:rsid w:val="00706CC2"/>
    <w:rsid w:val="00706CD9"/>
    <w:rsid w:val="00706CDE"/>
    <w:rsid w:val="00706CF1"/>
    <w:rsid w:val="00706DBF"/>
    <w:rsid w:val="00706E16"/>
    <w:rsid w:val="00706E4A"/>
    <w:rsid w:val="00706E4C"/>
    <w:rsid w:val="00706E50"/>
    <w:rsid w:val="00706EF7"/>
    <w:rsid w:val="00706FC9"/>
    <w:rsid w:val="00707057"/>
    <w:rsid w:val="0070706C"/>
    <w:rsid w:val="0070708B"/>
    <w:rsid w:val="007070A7"/>
    <w:rsid w:val="00707100"/>
    <w:rsid w:val="00707117"/>
    <w:rsid w:val="0070713D"/>
    <w:rsid w:val="007071B8"/>
    <w:rsid w:val="00707223"/>
    <w:rsid w:val="0070726A"/>
    <w:rsid w:val="00707272"/>
    <w:rsid w:val="00707303"/>
    <w:rsid w:val="00707317"/>
    <w:rsid w:val="0070733D"/>
    <w:rsid w:val="0070735C"/>
    <w:rsid w:val="007073CC"/>
    <w:rsid w:val="007074A9"/>
    <w:rsid w:val="00707501"/>
    <w:rsid w:val="0070751E"/>
    <w:rsid w:val="00707523"/>
    <w:rsid w:val="00707585"/>
    <w:rsid w:val="00707592"/>
    <w:rsid w:val="00707593"/>
    <w:rsid w:val="007075DB"/>
    <w:rsid w:val="007075EB"/>
    <w:rsid w:val="00707610"/>
    <w:rsid w:val="007076C4"/>
    <w:rsid w:val="007076DF"/>
    <w:rsid w:val="007076F2"/>
    <w:rsid w:val="0070781F"/>
    <w:rsid w:val="0070791F"/>
    <w:rsid w:val="00707982"/>
    <w:rsid w:val="007079DA"/>
    <w:rsid w:val="007079FF"/>
    <w:rsid w:val="00707A4A"/>
    <w:rsid w:val="00707A62"/>
    <w:rsid w:val="00707B15"/>
    <w:rsid w:val="00707B29"/>
    <w:rsid w:val="00707C2A"/>
    <w:rsid w:val="00707C67"/>
    <w:rsid w:val="00707C6E"/>
    <w:rsid w:val="00707CC2"/>
    <w:rsid w:val="00707E17"/>
    <w:rsid w:val="00707E1B"/>
    <w:rsid w:val="00707E31"/>
    <w:rsid w:val="00707EF9"/>
    <w:rsid w:val="00707FFA"/>
    <w:rsid w:val="00710035"/>
    <w:rsid w:val="00710039"/>
    <w:rsid w:val="00710061"/>
    <w:rsid w:val="007100B4"/>
    <w:rsid w:val="007100CD"/>
    <w:rsid w:val="007100D2"/>
    <w:rsid w:val="007100D5"/>
    <w:rsid w:val="007100F6"/>
    <w:rsid w:val="0071010F"/>
    <w:rsid w:val="007101BE"/>
    <w:rsid w:val="0071024C"/>
    <w:rsid w:val="007102B1"/>
    <w:rsid w:val="00710321"/>
    <w:rsid w:val="0071032B"/>
    <w:rsid w:val="00710444"/>
    <w:rsid w:val="00710497"/>
    <w:rsid w:val="007104C5"/>
    <w:rsid w:val="007104C6"/>
    <w:rsid w:val="00710544"/>
    <w:rsid w:val="007105B3"/>
    <w:rsid w:val="007105C2"/>
    <w:rsid w:val="00710707"/>
    <w:rsid w:val="0071070F"/>
    <w:rsid w:val="0071084A"/>
    <w:rsid w:val="0071085D"/>
    <w:rsid w:val="00710868"/>
    <w:rsid w:val="00710885"/>
    <w:rsid w:val="0071093D"/>
    <w:rsid w:val="0071095B"/>
    <w:rsid w:val="00710A29"/>
    <w:rsid w:val="00710A4F"/>
    <w:rsid w:val="00710A66"/>
    <w:rsid w:val="00710B0E"/>
    <w:rsid w:val="00710B12"/>
    <w:rsid w:val="00710B14"/>
    <w:rsid w:val="00710B4D"/>
    <w:rsid w:val="00710B87"/>
    <w:rsid w:val="00710B9C"/>
    <w:rsid w:val="00710C25"/>
    <w:rsid w:val="00710C2B"/>
    <w:rsid w:val="00710CFC"/>
    <w:rsid w:val="00710D31"/>
    <w:rsid w:val="00710D85"/>
    <w:rsid w:val="00710DCA"/>
    <w:rsid w:val="00710DE3"/>
    <w:rsid w:val="00710ECD"/>
    <w:rsid w:val="00710F20"/>
    <w:rsid w:val="00710F51"/>
    <w:rsid w:val="00710F6F"/>
    <w:rsid w:val="00710FB2"/>
    <w:rsid w:val="00710FFB"/>
    <w:rsid w:val="00711051"/>
    <w:rsid w:val="00711208"/>
    <w:rsid w:val="00711273"/>
    <w:rsid w:val="0071129B"/>
    <w:rsid w:val="007112DB"/>
    <w:rsid w:val="00711344"/>
    <w:rsid w:val="00711357"/>
    <w:rsid w:val="0071139E"/>
    <w:rsid w:val="00711404"/>
    <w:rsid w:val="0071142A"/>
    <w:rsid w:val="0071146C"/>
    <w:rsid w:val="00711474"/>
    <w:rsid w:val="0071156D"/>
    <w:rsid w:val="00711576"/>
    <w:rsid w:val="007115EA"/>
    <w:rsid w:val="007115EB"/>
    <w:rsid w:val="00711601"/>
    <w:rsid w:val="00711629"/>
    <w:rsid w:val="0071164E"/>
    <w:rsid w:val="00711670"/>
    <w:rsid w:val="00711671"/>
    <w:rsid w:val="0071167A"/>
    <w:rsid w:val="007117BE"/>
    <w:rsid w:val="007117D7"/>
    <w:rsid w:val="00711824"/>
    <w:rsid w:val="00711837"/>
    <w:rsid w:val="0071191A"/>
    <w:rsid w:val="00711975"/>
    <w:rsid w:val="007119B7"/>
    <w:rsid w:val="00711A2E"/>
    <w:rsid w:val="00711A93"/>
    <w:rsid w:val="00711AD7"/>
    <w:rsid w:val="00711B0C"/>
    <w:rsid w:val="00711B3A"/>
    <w:rsid w:val="00711B73"/>
    <w:rsid w:val="00711CD6"/>
    <w:rsid w:val="00711CD8"/>
    <w:rsid w:val="00711D6F"/>
    <w:rsid w:val="00711DC6"/>
    <w:rsid w:val="00711DDC"/>
    <w:rsid w:val="00711DF2"/>
    <w:rsid w:val="00711E16"/>
    <w:rsid w:val="00711E37"/>
    <w:rsid w:val="00711E4F"/>
    <w:rsid w:val="00711E87"/>
    <w:rsid w:val="00711E88"/>
    <w:rsid w:val="00711EB2"/>
    <w:rsid w:val="00712078"/>
    <w:rsid w:val="00712094"/>
    <w:rsid w:val="007120AC"/>
    <w:rsid w:val="007120E5"/>
    <w:rsid w:val="00712103"/>
    <w:rsid w:val="00712275"/>
    <w:rsid w:val="007122C3"/>
    <w:rsid w:val="007122F2"/>
    <w:rsid w:val="0071235F"/>
    <w:rsid w:val="007123BC"/>
    <w:rsid w:val="007123DA"/>
    <w:rsid w:val="007123F5"/>
    <w:rsid w:val="0071240D"/>
    <w:rsid w:val="00712485"/>
    <w:rsid w:val="007124F1"/>
    <w:rsid w:val="0071252C"/>
    <w:rsid w:val="0071254C"/>
    <w:rsid w:val="00712585"/>
    <w:rsid w:val="0071258C"/>
    <w:rsid w:val="007125A9"/>
    <w:rsid w:val="00712647"/>
    <w:rsid w:val="00712762"/>
    <w:rsid w:val="00712788"/>
    <w:rsid w:val="0071278A"/>
    <w:rsid w:val="007127A6"/>
    <w:rsid w:val="007127B3"/>
    <w:rsid w:val="007127D2"/>
    <w:rsid w:val="0071281F"/>
    <w:rsid w:val="007128B3"/>
    <w:rsid w:val="00712992"/>
    <w:rsid w:val="00712A2B"/>
    <w:rsid w:val="00712A9E"/>
    <w:rsid w:val="00712BAC"/>
    <w:rsid w:val="00712C3E"/>
    <w:rsid w:val="00712C44"/>
    <w:rsid w:val="00712CB4"/>
    <w:rsid w:val="00712D40"/>
    <w:rsid w:val="00712D69"/>
    <w:rsid w:val="00712E43"/>
    <w:rsid w:val="00712EF6"/>
    <w:rsid w:val="00712F37"/>
    <w:rsid w:val="00712F47"/>
    <w:rsid w:val="00712FB5"/>
    <w:rsid w:val="00712FDD"/>
    <w:rsid w:val="00713082"/>
    <w:rsid w:val="00713091"/>
    <w:rsid w:val="007130B0"/>
    <w:rsid w:val="007130BB"/>
    <w:rsid w:val="007130EA"/>
    <w:rsid w:val="00713209"/>
    <w:rsid w:val="00713291"/>
    <w:rsid w:val="007133C3"/>
    <w:rsid w:val="007133CE"/>
    <w:rsid w:val="00713409"/>
    <w:rsid w:val="00713423"/>
    <w:rsid w:val="0071349F"/>
    <w:rsid w:val="00713532"/>
    <w:rsid w:val="00713548"/>
    <w:rsid w:val="00713661"/>
    <w:rsid w:val="007136CB"/>
    <w:rsid w:val="0071372B"/>
    <w:rsid w:val="0071381C"/>
    <w:rsid w:val="0071388D"/>
    <w:rsid w:val="0071389F"/>
    <w:rsid w:val="007138FF"/>
    <w:rsid w:val="00713937"/>
    <w:rsid w:val="00713967"/>
    <w:rsid w:val="007139AB"/>
    <w:rsid w:val="007139B4"/>
    <w:rsid w:val="00713AA8"/>
    <w:rsid w:val="00713B21"/>
    <w:rsid w:val="00713B40"/>
    <w:rsid w:val="00713CC0"/>
    <w:rsid w:val="00713CF8"/>
    <w:rsid w:val="00713D22"/>
    <w:rsid w:val="00713D93"/>
    <w:rsid w:val="00713DD0"/>
    <w:rsid w:val="00713DEA"/>
    <w:rsid w:val="00713DFA"/>
    <w:rsid w:val="00713E32"/>
    <w:rsid w:val="00713EAF"/>
    <w:rsid w:val="00713F03"/>
    <w:rsid w:val="00713F72"/>
    <w:rsid w:val="00713FB5"/>
    <w:rsid w:val="00714097"/>
    <w:rsid w:val="007140B0"/>
    <w:rsid w:val="007140FA"/>
    <w:rsid w:val="00714169"/>
    <w:rsid w:val="007141BD"/>
    <w:rsid w:val="007141BE"/>
    <w:rsid w:val="007141EF"/>
    <w:rsid w:val="0071420C"/>
    <w:rsid w:val="00714240"/>
    <w:rsid w:val="00714255"/>
    <w:rsid w:val="0071426D"/>
    <w:rsid w:val="007142B6"/>
    <w:rsid w:val="007142E9"/>
    <w:rsid w:val="00714333"/>
    <w:rsid w:val="0071437F"/>
    <w:rsid w:val="0071442C"/>
    <w:rsid w:val="00714442"/>
    <w:rsid w:val="007144BA"/>
    <w:rsid w:val="007144FC"/>
    <w:rsid w:val="007145C7"/>
    <w:rsid w:val="00714636"/>
    <w:rsid w:val="007146AE"/>
    <w:rsid w:val="007146DD"/>
    <w:rsid w:val="00714813"/>
    <w:rsid w:val="0071482F"/>
    <w:rsid w:val="00714899"/>
    <w:rsid w:val="007148DD"/>
    <w:rsid w:val="0071495B"/>
    <w:rsid w:val="007149EA"/>
    <w:rsid w:val="00714B25"/>
    <w:rsid w:val="00714B33"/>
    <w:rsid w:val="00714B48"/>
    <w:rsid w:val="00714B93"/>
    <w:rsid w:val="00714C80"/>
    <w:rsid w:val="00714D2C"/>
    <w:rsid w:val="00714D68"/>
    <w:rsid w:val="00714D82"/>
    <w:rsid w:val="00714D9E"/>
    <w:rsid w:val="00714DA8"/>
    <w:rsid w:val="00714EC1"/>
    <w:rsid w:val="00714ED1"/>
    <w:rsid w:val="00714F37"/>
    <w:rsid w:val="00715045"/>
    <w:rsid w:val="0071504F"/>
    <w:rsid w:val="00715063"/>
    <w:rsid w:val="0071510C"/>
    <w:rsid w:val="0071513A"/>
    <w:rsid w:val="007151F2"/>
    <w:rsid w:val="007152E5"/>
    <w:rsid w:val="00715349"/>
    <w:rsid w:val="00715362"/>
    <w:rsid w:val="007153FF"/>
    <w:rsid w:val="0071542F"/>
    <w:rsid w:val="0071549C"/>
    <w:rsid w:val="007154D6"/>
    <w:rsid w:val="007154EE"/>
    <w:rsid w:val="00715512"/>
    <w:rsid w:val="007155C8"/>
    <w:rsid w:val="00715615"/>
    <w:rsid w:val="0071566C"/>
    <w:rsid w:val="007156AC"/>
    <w:rsid w:val="00715710"/>
    <w:rsid w:val="0071575A"/>
    <w:rsid w:val="0071576B"/>
    <w:rsid w:val="00715784"/>
    <w:rsid w:val="007157F9"/>
    <w:rsid w:val="007158AF"/>
    <w:rsid w:val="00715A91"/>
    <w:rsid w:val="00715B47"/>
    <w:rsid w:val="00715B96"/>
    <w:rsid w:val="00715BA4"/>
    <w:rsid w:val="00715BD1"/>
    <w:rsid w:val="00715C31"/>
    <w:rsid w:val="00715CA5"/>
    <w:rsid w:val="00715CEC"/>
    <w:rsid w:val="00715F59"/>
    <w:rsid w:val="00715F87"/>
    <w:rsid w:val="00715F95"/>
    <w:rsid w:val="00715FB0"/>
    <w:rsid w:val="00715FE2"/>
    <w:rsid w:val="00716078"/>
    <w:rsid w:val="007160F1"/>
    <w:rsid w:val="00716125"/>
    <w:rsid w:val="0071620A"/>
    <w:rsid w:val="007162AC"/>
    <w:rsid w:val="007162BB"/>
    <w:rsid w:val="007163FB"/>
    <w:rsid w:val="0071642B"/>
    <w:rsid w:val="00716447"/>
    <w:rsid w:val="0071644B"/>
    <w:rsid w:val="00716527"/>
    <w:rsid w:val="007165AF"/>
    <w:rsid w:val="00716610"/>
    <w:rsid w:val="00716652"/>
    <w:rsid w:val="00716695"/>
    <w:rsid w:val="0071683D"/>
    <w:rsid w:val="00716872"/>
    <w:rsid w:val="00716944"/>
    <w:rsid w:val="00716950"/>
    <w:rsid w:val="00716981"/>
    <w:rsid w:val="00716997"/>
    <w:rsid w:val="007169F9"/>
    <w:rsid w:val="00716A78"/>
    <w:rsid w:val="00716A8A"/>
    <w:rsid w:val="00716ABD"/>
    <w:rsid w:val="00716AD1"/>
    <w:rsid w:val="00716B1D"/>
    <w:rsid w:val="00716B35"/>
    <w:rsid w:val="00716B39"/>
    <w:rsid w:val="00716B40"/>
    <w:rsid w:val="00716BE1"/>
    <w:rsid w:val="00716CF1"/>
    <w:rsid w:val="00716D2F"/>
    <w:rsid w:val="00716D56"/>
    <w:rsid w:val="00716E3F"/>
    <w:rsid w:val="00716E47"/>
    <w:rsid w:val="00716EC6"/>
    <w:rsid w:val="00716ECC"/>
    <w:rsid w:val="00716EDA"/>
    <w:rsid w:val="00716F03"/>
    <w:rsid w:val="00716F24"/>
    <w:rsid w:val="00716FD8"/>
    <w:rsid w:val="00716FF3"/>
    <w:rsid w:val="00717009"/>
    <w:rsid w:val="0071700F"/>
    <w:rsid w:val="00717147"/>
    <w:rsid w:val="0071728C"/>
    <w:rsid w:val="007172FF"/>
    <w:rsid w:val="00717397"/>
    <w:rsid w:val="007173B5"/>
    <w:rsid w:val="007173D4"/>
    <w:rsid w:val="00717460"/>
    <w:rsid w:val="007174D2"/>
    <w:rsid w:val="00717591"/>
    <w:rsid w:val="00717608"/>
    <w:rsid w:val="00717641"/>
    <w:rsid w:val="0071766D"/>
    <w:rsid w:val="0071769B"/>
    <w:rsid w:val="007176C1"/>
    <w:rsid w:val="007176D2"/>
    <w:rsid w:val="00717796"/>
    <w:rsid w:val="007177FD"/>
    <w:rsid w:val="00717825"/>
    <w:rsid w:val="00717866"/>
    <w:rsid w:val="007178F3"/>
    <w:rsid w:val="0071790C"/>
    <w:rsid w:val="00717A3C"/>
    <w:rsid w:val="00717ACC"/>
    <w:rsid w:val="00717B10"/>
    <w:rsid w:val="00717C07"/>
    <w:rsid w:val="00717C4C"/>
    <w:rsid w:val="00717C77"/>
    <w:rsid w:val="00717E0C"/>
    <w:rsid w:val="00717E5C"/>
    <w:rsid w:val="00717F10"/>
    <w:rsid w:val="00717F1F"/>
    <w:rsid w:val="00717F7F"/>
    <w:rsid w:val="00717FDB"/>
    <w:rsid w:val="0072001D"/>
    <w:rsid w:val="00720099"/>
    <w:rsid w:val="007200D6"/>
    <w:rsid w:val="007201FB"/>
    <w:rsid w:val="0072022B"/>
    <w:rsid w:val="00720329"/>
    <w:rsid w:val="007203B2"/>
    <w:rsid w:val="007203C1"/>
    <w:rsid w:val="0072044A"/>
    <w:rsid w:val="00720453"/>
    <w:rsid w:val="007204CD"/>
    <w:rsid w:val="0072056F"/>
    <w:rsid w:val="0072057E"/>
    <w:rsid w:val="0072059D"/>
    <w:rsid w:val="00720625"/>
    <w:rsid w:val="0072067F"/>
    <w:rsid w:val="007206B3"/>
    <w:rsid w:val="007206C6"/>
    <w:rsid w:val="0072071B"/>
    <w:rsid w:val="007207F0"/>
    <w:rsid w:val="00720857"/>
    <w:rsid w:val="00720939"/>
    <w:rsid w:val="00720B1A"/>
    <w:rsid w:val="00720B3F"/>
    <w:rsid w:val="00720BCA"/>
    <w:rsid w:val="00720C39"/>
    <w:rsid w:val="00720C3F"/>
    <w:rsid w:val="00720C48"/>
    <w:rsid w:val="00720CE4"/>
    <w:rsid w:val="00720D38"/>
    <w:rsid w:val="00720E4A"/>
    <w:rsid w:val="00720E86"/>
    <w:rsid w:val="00720F0C"/>
    <w:rsid w:val="00720F67"/>
    <w:rsid w:val="00721036"/>
    <w:rsid w:val="007210ED"/>
    <w:rsid w:val="00721100"/>
    <w:rsid w:val="0072110C"/>
    <w:rsid w:val="00721130"/>
    <w:rsid w:val="00721146"/>
    <w:rsid w:val="0072123C"/>
    <w:rsid w:val="007212DB"/>
    <w:rsid w:val="0072132B"/>
    <w:rsid w:val="00721332"/>
    <w:rsid w:val="007213C3"/>
    <w:rsid w:val="007214EB"/>
    <w:rsid w:val="00721513"/>
    <w:rsid w:val="0072155F"/>
    <w:rsid w:val="00721570"/>
    <w:rsid w:val="00721589"/>
    <w:rsid w:val="007216E9"/>
    <w:rsid w:val="0072174F"/>
    <w:rsid w:val="007218A2"/>
    <w:rsid w:val="007218A7"/>
    <w:rsid w:val="007218DC"/>
    <w:rsid w:val="00721906"/>
    <w:rsid w:val="00721942"/>
    <w:rsid w:val="00721944"/>
    <w:rsid w:val="00721981"/>
    <w:rsid w:val="007219A8"/>
    <w:rsid w:val="007219F6"/>
    <w:rsid w:val="007219FA"/>
    <w:rsid w:val="00721A1A"/>
    <w:rsid w:val="00721B09"/>
    <w:rsid w:val="00721B0E"/>
    <w:rsid w:val="00721C60"/>
    <w:rsid w:val="00721DB4"/>
    <w:rsid w:val="00721E05"/>
    <w:rsid w:val="00721E8E"/>
    <w:rsid w:val="00721F1E"/>
    <w:rsid w:val="00721FB8"/>
    <w:rsid w:val="00721FE7"/>
    <w:rsid w:val="007220D8"/>
    <w:rsid w:val="007220F9"/>
    <w:rsid w:val="00722179"/>
    <w:rsid w:val="007221D5"/>
    <w:rsid w:val="00722332"/>
    <w:rsid w:val="0072238E"/>
    <w:rsid w:val="00722466"/>
    <w:rsid w:val="007224A1"/>
    <w:rsid w:val="00722545"/>
    <w:rsid w:val="0072259C"/>
    <w:rsid w:val="007226FD"/>
    <w:rsid w:val="00722765"/>
    <w:rsid w:val="0072277E"/>
    <w:rsid w:val="00722861"/>
    <w:rsid w:val="007228D1"/>
    <w:rsid w:val="00722909"/>
    <w:rsid w:val="00722935"/>
    <w:rsid w:val="00722980"/>
    <w:rsid w:val="007229A0"/>
    <w:rsid w:val="007229C8"/>
    <w:rsid w:val="007229D1"/>
    <w:rsid w:val="00722A01"/>
    <w:rsid w:val="00722A02"/>
    <w:rsid w:val="00722A03"/>
    <w:rsid w:val="00722A4F"/>
    <w:rsid w:val="00722B31"/>
    <w:rsid w:val="00722B98"/>
    <w:rsid w:val="00722BB5"/>
    <w:rsid w:val="00722BF5"/>
    <w:rsid w:val="00722BFB"/>
    <w:rsid w:val="00722C50"/>
    <w:rsid w:val="00722D41"/>
    <w:rsid w:val="00722D7A"/>
    <w:rsid w:val="00722D7E"/>
    <w:rsid w:val="00722E13"/>
    <w:rsid w:val="00722E4F"/>
    <w:rsid w:val="00722E64"/>
    <w:rsid w:val="00722E97"/>
    <w:rsid w:val="00722EC4"/>
    <w:rsid w:val="00722F1E"/>
    <w:rsid w:val="00722F2E"/>
    <w:rsid w:val="00722FF5"/>
    <w:rsid w:val="00723017"/>
    <w:rsid w:val="00723139"/>
    <w:rsid w:val="007231E9"/>
    <w:rsid w:val="007232D3"/>
    <w:rsid w:val="007232F5"/>
    <w:rsid w:val="00723382"/>
    <w:rsid w:val="00723391"/>
    <w:rsid w:val="00723432"/>
    <w:rsid w:val="0072346F"/>
    <w:rsid w:val="00723478"/>
    <w:rsid w:val="0072348B"/>
    <w:rsid w:val="0072349D"/>
    <w:rsid w:val="007234E1"/>
    <w:rsid w:val="0072353C"/>
    <w:rsid w:val="00723556"/>
    <w:rsid w:val="007235D9"/>
    <w:rsid w:val="007235E1"/>
    <w:rsid w:val="0072361B"/>
    <w:rsid w:val="0072362A"/>
    <w:rsid w:val="00723646"/>
    <w:rsid w:val="007236C7"/>
    <w:rsid w:val="007236EA"/>
    <w:rsid w:val="007236F9"/>
    <w:rsid w:val="00723719"/>
    <w:rsid w:val="00723744"/>
    <w:rsid w:val="00723752"/>
    <w:rsid w:val="0072378D"/>
    <w:rsid w:val="007237AA"/>
    <w:rsid w:val="00723881"/>
    <w:rsid w:val="00723899"/>
    <w:rsid w:val="007238C7"/>
    <w:rsid w:val="007238CB"/>
    <w:rsid w:val="0072392C"/>
    <w:rsid w:val="00723A04"/>
    <w:rsid w:val="00723B11"/>
    <w:rsid w:val="00723B6A"/>
    <w:rsid w:val="00723C74"/>
    <w:rsid w:val="00723C95"/>
    <w:rsid w:val="00723CE3"/>
    <w:rsid w:val="00723D48"/>
    <w:rsid w:val="00723D9C"/>
    <w:rsid w:val="00723DBB"/>
    <w:rsid w:val="00723DBD"/>
    <w:rsid w:val="00723DE3"/>
    <w:rsid w:val="00723EBB"/>
    <w:rsid w:val="00723F3B"/>
    <w:rsid w:val="00723F43"/>
    <w:rsid w:val="00723F98"/>
    <w:rsid w:val="00723FD1"/>
    <w:rsid w:val="00724094"/>
    <w:rsid w:val="007240AF"/>
    <w:rsid w:val="007240B1"/>
    <w:rsid w:val="007240DE"/>
    <w:rsid w:val="00724126"/>
    <w:rsid w:val="007241E1"/>
    <w:rsid w:val="0072423E"/>
    <w:rsid w:val="0072427E"/>
    <w:rsid w:val="0072430B"/>
    <w:rsid w:val="00724315"/>
    <w:rsid w:val="0072436D"/>
    <w:rsid w:val="0072438E"/>
    <w:rsid w:val="007243BD"/>
    <w:rsid w:val="00724439"/>
    <w:rsid w:val="00724462"/>
    <w:rsid w:val="007244ED"/>
    <w:rsid w:val="007245E9"/>
    <w:rsid w:val="007246D6"/>
    <w:rsid w:val="0072479A"/>
    <w:rsid w:val="007247C1"/>
    <w:rsid w:val="007247CE"/>
    <w:rsid w:val="0072484B"/>
    <w:rsid w:val="00724912"/>
    <w:rsid w:val="007249AD"/>
    <w:rsid w:val="007249D2"/>
    <w:rsid w:val="00724A54"/>
    <w:rsid w:val="00724BB2"/>
    <w:rsid w:val="00724C32"/>
    <w:rsid w:val="00724D55"/>
    <w:rsid w:val="00724D59"/>
    <w:rsid w:val="00724D96"/>
    <w:rsid w:val="00724DBF"/>
    <w:rsid w:val="00724DC9"/>
    <w:rsid w:val="00724DE9"/>
    <w:rsid w:val="00724E52"/>
    <w:rsid w:val="00724EBA"/>
    <w:rsid w:val="00724F75"/>
    <w:rsid w:val="00724F92"/>
    <w:rsid w:val="00724F9D"/>
    <w:rsid w:val="0072500E"/>
    <w:rsid w:val="00725053"/>
    <w:rsid w:val="0072508D"/>
    <w:rsid w:val="0072512A"/>
    <w:rsid w:val="00725161"/>
    <w:rsid w:val="007251E4"/>
    <w:rsid w:val="007252A6"/>
    <w:rsid w:val="007252B4"/>
    <w:rsid w:val="007252CE"/>
    <w:rsid w:val="007253E3"/>
    <w:rsid w:val="00725410"/>
    <w:rsid w:val="00725483"/>
    <w:rsid w:val="007254FC"/>
    <w:rsid w:val="0072553F"/>
    <w:rsid w:val="00725585"/>
    <w:rsid w:val="007255CB"/>
    <w:rsid w:val="0072561B"/>
    <w:rsid w:val="00725683"/>
    <w:rsid w:val="007256A4"/>
    <w:rsid w:val="00725725"/>
    <w:rsid w:val="0072578A"/>
    <w:rsid w:val="007257DD"/>
    <w:rsid w:val="00725810"/>
    <w:rsid w:val="00725876"/>
    <w:rsid w:val="007258A7"/>
    <w:rsid w:val="007258F5"/>
    <w:rsid w:val="00725983"/>
    <w:rsid w:val="00725AA0"/>
    <w:rsid w:val="00725AC1"/>
    <w:rsid w:val="00725C58"/>
    <w:rsid w:val="00725C98"/>
    <w:rsid w:val="00725C9D"/>
    <w:rsid w:val="00725D31"/>
    <w:rsid w:val="00725D39"/>
    <w:rsid w:val="00725D55"/>
    <w:rsid w:val="00725DE2"/>
    <w:rsid w:val="00725F0B"/>
    <w:rsid w:val="00725F7B"/>
    <w:rsid w:val="00725FA9"/>
    <w:rsid w:val="0072607B"/>
    <w:rsid w:val="0072609F"/>
    <w:rsid w:val="007260A6"/>
    <w:rsid w:val="007260D8"/>
    <w:rsid w:val="007260FC"/>
    <w:rsid w:val="00726288"/>
    <w:rsid w:val="007262F5"/>
    <w:rsid w:val="007262F8"/>
    <w:rsid w:val="007263B0"/>
    <w:rsid w:val="007263FA"/>
    <w:rsid w:val="0072640C"/>
    <w:rsid w:val="0072643D"/>
    <w:rsid w:val="007264DF"/>
    <w:rsid w:val="007264F9"/>
    <w:rsid w:val="00726525"/>
    <w:rsid w:val="00726575"/>
    <w:rsid w:val="00726603"/>
    <w:rsid w:val="00726640"/>
    <w:rsid w:val="00726693"/>
    <w:rsid w:val="007266FA"/>
    <w:rsid w:val="0072670B"/>
    <w:rsid w:val="0072673D"/>
    <w:rsid w:val="00726777"/>
    <w:rsid w:val="007267C9"/>
    <w:rsid w:val="007268C9"/>
    <w:rsid w:val="007268DF"/>
    <w:rsid w:val="00726A59"/>
    <w:rsid w:val="00726ADE"/>
    <w:rsid w:val="00726C65"/>
    <w:rsid w:val="00726C68"/>
    <w:rsid w:val="00726D64"/>
    <w:rsid w:val="00726E2D"/>
    <w:rsid w:val="00726E3C"/>
    <w:rsid w:val="00726FDB"/>
    <w:rsid w:val="00726FF3"/>
    <w:rsid w:val="00726FFE"/>
    <w:rsid w:val="00727054"/>
    <w:rsid w:val="0072708F"/>
    <w:rsid w:val="007270B0"/>
    <w:rsid w:val="00727132"/>
    <w:rsid w:val="0072715F"/>
    <w:rsid w:val="0072729A"/>
    <w:rsid w:val="007273CB"/>
    <w:rsid w:val="007273F7"/>
    <w:rsid w:val="007273FE"/>
    <w:rsid w:val="00727440"/>
    <w:rsid w:val="0072747D"/>
    <w:rsid w:val="0072755C"/>
    <w:rsid w:val="00727570"/>
    <w:rsid w:val="007275C8"/>
    <w:rsid w:val="007276BE"/>
    <w:rsid w:val="007276D6"/>
    <w:rsid w:val="007276F6"/>
    <w:rsid w:val="0072774B"/>
    <w:rsid w:val="007277D8"/>
    <w:rsid w:val="00727833"/>
    <w:rsid w:val="00727882"/>
    <w:rsid w:val="00727973"/>
    <w:rsid w:val="0072797B"/>
    <w:rsid w:val="007279B5"/>
    <w:rsid w:val="007279C8"/>
    <w:rsid w:val="00727A55"/>
    <w:rsid w:val="00727A9D"/>
    <w:rsid w:val="00727B02"/>
    <w:rsid w:val="00727B4B"/>
    <w:rsid w:val="00727BCA"/>
    <w:rsid w:val="00727BCB"/>
    <w:rsid w:val="00727BF1"/>
    <w:rsid w:val="00727C69"/>
    <w:rsid w:val="00727CE3"/>
    <w:rsid w:val="00727D50"/>
    <w:rsid w:val="00727D74"/>
    <w:rsid w:val="00727DC8"/>
    <w:rsid w:val="00727E0A"/>
    <w:rsid w:val="00727E13"/>
    <w:rsid w:val="00727F05"/>
    <w:rsid w:val="00727F1F"/>
    <w:rsid w:val="00727F57"/>
    <w:rsid w:val="00727F67"/>
    <w:rsid w:val="00727F98"/>
    <w:rsid w:val="00727FB5"/>
    <w:rsid w:val="00727FCB"/>
    <w:rsid w:val="00730010"/>
    <w:rsid w:val="00730018"/>
    <w:rsid w:val="0073009C"/>
    <w:rsid w:val="0073014F"/>
    <w:rsid w:val="007301B4"/>
    <w:rsid w:val="00730293"/>
    <w:rsid w:val="00730323"/>
    <w:rsid w:val="00730350"/>
    <w:rsid w:val="00730443"/>
    <w:rsid w:val="00730569"/>
    <w:rsid w:val="00730573"/>
    <w:rsid w:val="00730770"/>
    <w:rsid w:val="00730848"/>
    <w:rsid w:val="007309C8"/>
    <w:rsid w:val="007309F0"/>
    <w:rsid w:val="00730A25"/>
    <w:rsid w:val="00730A53"/>
    <w:rsid w:val="00730A5D"/>
    <w:rsid w:val="00730ABD"/>
    <w:rsid w:val="00730B12"/>
    <w:rsid w:val="00730B24"/>
    <w:rsid w:val="00730B52"/>
    <w:rsid w:val="00730B7C"/>
    <w:rsid w:val="00730C5D"/>
    <w:rsid w:val="00730C61"/>
    <w:rsid w:val="00730C91"/>
    <w:rsid w:val="00730CB6"/>
    <w:rsid w:val="00730DBF"/>
    <w:rsid w:val="00730DD7"/>
    <w:rsid w:val="00730DF8"/>
    <w:rsid w:val="00730E28"/>
    <w:rsid w:val="00730E60"/>
    <w:rsid w:val="00730ED8"/>
    <w:rsid w:val="00730EE2"/>
    <w:rsid w:val="00730FE4"/>
    <w:rsid w:val="00730FFF"/>
    <w:rsid w:val="00731036"/>
    <w:rsid w:val="00731066"/>
    <w:rsid w:val="00731120"/>
    <w:rsid w:val="007311A8"/>
    <w:rsid w:val="00731285"/>
    <w:rsid w:val="00731339"/>
    <w:rsid w:val="0073136A"/>
    <w:rsid w:val="00731384"/>
    <w:rsid w:val="00731389"/>
    <w:rsid w:val="007313B7"/>
    <w:rsid w:val="007313BB"/>
    <w:rsid w:val="00731430"/>
    <w:rsid w:val="007314C7"/>
    <w:rsid w:val="007314DB"/>
    <w:rsid w:val="00731620"/>
    <w:rsid w:val="00731680"/>
    <w:rsid w:val="007316A8"/>
    <w:rsid w:val="0073171E"/>
    <w:rsid w:val="0073172C"/>
    <w:rsid w:val="007317AE"/>
    <w:rsid w:val="007317EF"/>
    <w:rsid w:val="00731801"/>
    <w:rsid w:val="0073180F"/>
    <w:rsid w:val="00731822"/>
    <w:rsid w:val="0073182F"/>
    <w:rsid w:val="00731850"/>
    <w:rsid w:val="007318E0"/>
    <w:rsid w:val="007318E1"/>
    <w:rsid w:val="00731915"/>
    <w:rsid w:val="00731942"/>
    <w:rsid w:val="007319D3"/>
    <w:rsid w:val="007319F5"/>
    <w:rsid w:val="00731A40"/>
    <w:rsid w:val="00731AD9"/>
    <w:rsid w:val="00731AFC"/>
    <w:rsid w:val="00731BAC"/>
    <w:rsid w:val="00731BF7"/>
    <w:rsid w:val="00731CB3"/>
    <w:rsid w:val="00731D10"/>
    <w:rsid w:val="00731DA1"/>
    <w:rsid w:val="00731DF6"/>
    <w:rsid w:val="00731E6B"/>
    <w:rsid w:val="00731E6C"/>
    <w:rsid w:val="00731E70"/>
    <w:rsid w:val="00731E8F"/>
    <w:rsid w:val="00731EA0"/>
    <w:rsid w:val="00731F3C"/>
    <w:rsid w:val="00731F68"/>
    <w:rsid w:val="00731F6F"/>
    <w:rsid w:val="00731FE0"/>
    <w:rsid w:val="0073201B"/>
    <w:rsid w:val="00732023"/>
    <w:rsid w:val="00732029"/>
    <w:rsid w:val="00732076"/>
    <w:rsid w:val="007320E0"/>
    <w:rsid w:val="00732172"/>
    <w:rsid w:val="00732188"/>
    <w:rsid w:val="007321A6"/>
    <w:rsid w:val="007321C2"/>
    <w:rsid w:val="00732213"/>
    <w:rsid w:val="00732292"/>
    <w:rsid w:val="007322A2"/>
    <w:rsid w:val="007322B7"/>
    <w:rsid w:val="00732342"/>
    <w:rsid w:val="00732347"/>
    <w:rsid w:val="007323CE"/>
    <w:rsid w:val="007323D4"/>
    <w:rsid w:val="00732407"/>
    <w:rsid w:val="00732456"/>
    <w:rsid w:val="007324D4"/>
    <w:rsid w:val="00732500"/>
    <w:rsid w:val="00732591"/>
    <w:rsid w:val="00732608"/>
    <w:rsid w:val="0073260F"/>
    <w:rsid w:val="0073277B"/>
    <w:rsid w:val="00732795"/>
    <w:rsid w:val="0073280D"/>
    <w:rsid w:val="0073287B"/>
    <w:rsid w:val="007328CA"/>
    <w:rsid w:val="007328D3"/>
    <w:rsid w:val="0073292E"/>
    <w:rsid w:val="007329A5"/>
    <w:rsid w:val="007329F6"/>
    <w:rsid w:val="00732A56"/>
    <w:rsid w:val="00732AA1"/>
    <w:rsid w:val="00732AA5"/>
    <w:rsid w:val="00732B0F"/>
    <w:rsid w:val="00732BCF"/>
    <w:rsid w:val="00732C83"/>
    <w:rsid w:val="00732D01"/>
    <w:rsid w:val="00732D28"/>
    <w:rsid w:val="00732D62"/>
    <w:rsid w:val="00732DA6"/>
    <w:rsid w:val="00732EE4"/>
    <w:rsid w:val="00732F77"/>
    <w:rsid w:val="00733002"/>
    <w:rsid w:val="00733006"/>
    <w:rsid w:val="0073300D"/>
    <w:rsid w:val="00733134"/>
    <w:rsid w:val="00733158"/>
    <w:rsid w:val="00733159"/>
    <w:rsid w:val="0073318D"/>
    <w:rsid w:val="0073322B"/>
    <w:rsid w:val="00733289"/>
    <w:rsid w:val="007332B0"/>
    <w:rsid w:val="00733315"/>
    <w:rsid w:val="00733338"/>
    <w:rsid w:val="00733350"/>
    <w:rsid w:val="007333A0"/>
    <w:rsid w:val="007333C0"/>
    <w:rsid w:val="007333CE"/>
    <w:rsid w:val="0073340D"/>
    <w:rsid w:val="0073341E"/>
    <w:rsid w:val="0073342B"/>
    <w:rsid w:val="0073347E"/>
    <w:rsid w:val="007334DC"/>
    <w:rsid w:val="007335E9"/>
    <w:rsid w:val="00733607"/>
    <w:rsid w:val="007336FB"/>
    <w:rsid w:val="007336FF"/>
    <w:rsid w:val="007337AA"/>
    <w:rsid w:val="0073389D"/>
    <w:rsid w:val="00733940"/>
    <w:rsid w:val="00733993"/>
    <w:rsid w:val="007339E5"/>
    <w:rsid w:val="00733A1A"/>
    <w:rsid w:val="00733A44"/>
    <w:rsid w:val="00733AAB"/>
    <w:rsid w:val="00733AF6"/>
    <w:rsid w:val="00733BBB"/>
    <w:rsid w:val="00733C33"/>
    <w:rsid w:val="00733C40"/>
    <w:rsid w:val="00733C89"/>
    <w:rsid w:val="00733CC1"/>
    <w:rsid w:val="00733D5B"/>
    <w:rsid w:val="00733F67"/>
    <w:rsid w:val="00733F78"/>
    <w:rsid w:val="00733FCF"/>
    <w:rsid w:val="0073401E"/>
    <w:rsid w:val="00734039"/>
    <w:rsid w:val="00734064"/>
    <w:rsid w:val="007341B2"/>
    <w:rsid w:val="007341BC"/>
    <w:rsid w:val="0073426E"/>
    <w:rsid w:val="007342B0"/>
    <w:rsid w:val="007342EE"/>
    <w:rsid w:val="007342F4"/>
    <w:rsid w:val="00734356"/>
    <w:rsid w:val="00734375"/>
    <w:rsid w:val="00734394"/>
    <w:rsid w:val="007343AE"/>
    <w:rsid w:val="00734433"/>
    <w:rsid w:val="00734494"/>
    <w:rsid w:val="007344BE"/>
    <w:rsid w:val="007345B2"/>
    <w:rsid w:val="007345EC"/>
    <w:rsid w:val="00734878"/>
    <w:rsid w:val="00734930"/>
    <w:rsid w:val="00734994"/>
    <w:rsid w:val="007349DF"/>
    <w:rsid w:val="00734A53"/>
    <w:rsid w:val="00734A6E"/>
    <w:rsid w:val="00734AE1"/>
    <w:rsid w:val="00734AF3"/>
    <w:rsid w:val="00734B08"/>
    <w:rsid w:val="00734B78"/>
    <w:rsid w:val="00734B7A"/>
    <w:rsid w:val="00734B7E"/>
    <w:rsid w:val="00734BA8"/>
    <w:rsid w:val="00734BB5"/>
    <w:rsid w:val="00734BCF"/>
    <w:rsid w:val="00734BDD"/>
    <w:rsid w:val="00734C5A"/>
    <w:rsid w:val="00734D51"/>
    <w:rsid w:val="00734D69"/>
    <w:rsid w:val="00734D9C"/>
    <w:rsid w:val="00734DEF"/>
    <w:rsid w:val="00734EC7"/>
    <w:rsid w:val="00734F01"/>
    <w:rsid w:val="00734F14"/>
    <w:rsid w:val="00734F85"/>
    <w:rsid w:val="00734F8D"/>
    <w:rsid w:val="00734F96"/>
    <w:rsid w:val="00734FA3"/>
    <w:rsid w:val="00734FD4"/>
    <w:rsid w:val="00735005"/>
    <w:rsid w:val="00735035"/>
    <w:rsid w:val="007350F7"/>
    <w:rsid w:val="0073514B"/>
    <w:rsid w:val="007351BC"/>
    <w:rsid w:val="007351BF"/>
    <w:rsid w:val="007351C8"/>
    <w:rsid w:val="007351D3"/>
    <w:rsid w:val="00735482"/>
    <w:rsid w:val="007354A3"/>
    <w:rsid w:val="007354EE"/>
    <w:rsid w:val="00735528"/>
    <w:rsid w:val="0073555F"/>
    <w:rsid w:val="00735585"/>
    <w:rsid w:val="007355F7"/>
    <w:rsid w:val="007356C9"/>
    <w:rsid w:val="00735751"/>
    <w:rsid w:val="0073578B"/>
    <w:rsid w:val="0073578E"/>
    <w:rsid w:val="007357D6"/>
    <w:rsid w:val="007357E1"/>
    <w:rsid w:val="00735841"/>
    <w:rsid w:val="0073586D"/>
    <w:rsid w:val="007358D7"/>
    <w:rsid w:val="007358F3"/>
    <w:rsid w:val="0073599F"/>
    <w:rsid w:val="00735A21"/>
    <w:rsid w:val="00735B5B"/>
    <w:rsid w:val="00735BF0"/>
    <w:rsid w:val="00735C41"/>
    <w:rsid w:val="00735C64"/>
    <w:rsid w:val="00735CBE"/>
    <w:rsid w:val="00735DBE"/>
    <w:rsid w:val="00735E6F"/>
    <w:rsid w:val="00735E9C"/>
    <w:rsid w:val="007360AD"/>
    <w:rsid w:val="007360F3"/>
    <w:rsid w:val="00736169"/>
    <w:rsid w:val="00736179"/>
    <w:rsid w:val="007361B2"/>
    <w:rsid w:val="007361D6"/>
    <w:rsid w:val="00736227"/>
    <w:rsid w:val="00736253"/>
    <w:rsid w:val="00736271"/>
    <w:rsid w:val="00736299"/>
    <w:rsid w:val="007362CD"/>
    <w:rsid w:val="0073632D"/>
    <w:rsid w:val="0073635C"/>
    <w:rsid w:val="00736388"/>
    <w:rsid w:val="0073642E"/>
    <w:rsid w:val="0073649C"/>
    <w:rsid w:val="007364F1"/>
    <w:rsid w:val="00736517"/>
    <w:rsid w:val="00736518"/>
    <w:rsid w:val="00736533"/>
    <w:rsid w:val="00736545"/>
    <w:rsid w:val="007365F1"/>
    <w:rsid w:val="00736839"/>
    <w:rsid w:val="0073695C"/>
    <w:rsid w:val="007369B9"/>
    <w:rsid w:val="00736A3E"/>
    <w:rsid w:val="00736A77"/>
    <w:rsid w:val="00736A89"/>
    <w:rsid w:val="00736B39"/>
    <w:rsid w:val="00736B8F"/>
    <w:rsid w:val="00736CB0"/>
    <w:rsid w:val="00736CBB"/>
    <w:rsid w:val="00736CC1"/>
    <w:rsid w:val="00736D67"/>
    <w:rsid w:val="00736D8D"/>
    <w:rsid w:val="00736DB1"/>
    <w:rsid w:val="00736E11"/>
    <w:rsid w:val="00736E51"/>
    <w:rsid w:val="00736E92"/>
    <w:rsid w:val="00736ED4"/>
    <w:rsid w:val="00736F32"/>
    <w:rsid w:val="00736FA4"/>
    <w:rsid w:val="00736FC4"/>
    <w:rsid w:val="00736FC9"/>
    <w:rsid w:val="00736FDD"/>
    <w:rsid w:val="00737071"/>
    <w:rsid w:val="007370C5"/>
    <w:rsid w:val="007371BD"/>
    <w:rsid w:val="0073721A"/>
    <w:rsid w:val="00737310"/>
    <w:rsid w:val="007373B6"/>
    <w:rsid w:val="00737417"/>
    <w:rsid w:val="007374A7"/>
    <w:rsid w:val="007374D1"/>
    <w:rsid w:val="0073758C"/>
    <w:rsid w:val="007375C2"/>
    <w:rsid w:val="007375E1"/>
    <w:rsid w:val="007376DD"/>
    <w:rsid w:val="0073772F"/>
    <w:rsid w:val="0073774B"/>
    <w:rsid w:val="00737777"/>
    <w:rsid w:val="00737834"/>
    <w:rsid w:val="0073788E"/>
    <w:rsid w:val="007378D0"/>
    <w:rsid w:val="007378DD"/>
    <w:rsid w:val="00737901"/>
    <w:rsid w:val="00737938"/>
    <w:rsid w:val="00737966"/>
    <w:rsid w:val="00737989"/>
    <w:rsid w:val="0073799D"/>
    <w:rsid w:val="007379BE"/>
    <w:rsid w:val="00737A47"/>
    <w:rsid w:val="00737A48"/>
    <w:rsid w:val="00737A73"/>
    <w:rsid w:val="00737B63"/>
    <w:rsid w:val="00737BA9"/>
    <w:rsid w:val="00737BF0"/>
    <w:rsid w:val="00737BFD"/>
    <w:rsid w:val="00737C64"/>
    <w:rsid w:val="00737D79"/>
    <w:rsid w:val="00737D8F"/>
    <w:rsid w:val="00737D9C"/>
    <w:rsid w:val="00737DCE"/>
    <w:rsid w:val="00737E95"/>
    <w:rsid w:val="00737EB2"/>
    <w:rsid w:val="00737F6A"/>
    <w:rsid w:val="00737FCA"/>
    <w:rsid w:val="00737FE5"/>
    <w:rsid w:val="00737FFD"/>
    <w:rsid w:val="00740005"/>
    <w:rsid w:val="00740045"/>
    <w:rsid w:val="00740283"/>
    <w:rsid w:val="007402B3"/>
    <w:rsid w:val="007402E5"/>
    <w:rsid w:val="0074031C"/>
    <w:rsid w:val="00740331"/>
    <w:rsid w:val="0074035D"/>
    <w:rsid w:val="00740364"/>
    <w:rsid w:val="007403F4"/>
    <w:rsid w:val="0074040E"/>
    <w:rsid w:val="00740573"/>
    <w:rsid w:val="007405D6"/>
    <w:rsid w:val="00740603"/>
    <w:rsid w:val="0074062B"/>
    <w:rsid w:val="00740633"/>
    <w:rsid w:val="0074066A"/>
    <w:rsid w:val="00740679"/>
    <w:rsid w:val="00740727"/>
    <w:rsid w:val="00740786"/>
    <w:rsid w:val="00740789"/>
    <w:rsid w:val="007407D5"/>
    <w:rsid w:val="00740829"/>
    <w:rsid w:val="0074098E"/>
    <w:rsid w:val="00740B69"/>
    <w:rsid w:val="00740BF3"/>
    <w:rsid w:val="00740C09"/>
    <w:rsid w:val="00740C21"/>
    <w:rsid w:val="00740C4C"/>
    <w:rsid w:val="00740CFB"/>
    <w:rsid w:val="00740D76"/>
    <w:rsid w:val="00740DA3"/>
    <w:rsid w:val="00740E87"/>
    <w:rsid w:val="00740F11"/>
    <w:rsid w:val="00741039"/>
    <w:rsid w:val="007410A7"/>
    <w:rsid w:val="007410CE"/>
    <w:rsid w:val="007410F2"/>
    <w:rsid w:val="00741119"/>
    <w:rsid w:val="00741218"/>
    <w:rsid w:val="0074139F"/>
    <w:rsid w:val="00741403"/>
    <w:rsid w:val="00741592"/>
    <w:rsid w:val="007415D1"/>
    <w:rsid w:val="00741616"/>
    <w:rsid w:val="0074166B"/>
    <w:rsid w:val="007416BC"/>
    <w:rsid w:val="0074176A"/>
    <w:rsid w:val="00741772"/>
    <w:rsid w:val="007417AC"/>
    <w:rsid w:val="007417D2"/>
    <w:rsid w:val="0074180C"/>
    <w:rsid w:val="00741817"/>
    <w:rsid w:val="00741876"/>
    <w:rsid w:val="0074196D"/>
    <w:rsid w:val="00741A07"/>
    <w:rsid w:val="00741B29"/>
    <w:rsid w:val="00741B3A"/>
    <w:rsid w:val="00741D62"/>
    <w:rsid w:val="00741DD4"/>
    <w:rsid w:val="00741E45"/>
    <w:rsid w:val="00741E64"/>
    <w:rsid w:val="00741EAF"/>
    <w:rsid w:val="00741EB0"/>
    <w:rsid w:val="00741F05"/>
    <w:rsid w:val="00741F12"/>
    <w:rsid w:val="00741F38"/>
    <w:rsid w:val="00741F88"/>
    <w:rsid w:val="00741F8C"/>
    <w:rsid w:val="00741FAE"/>
    <w:rsid w:val="00741FFB"/>
    <w:rsid w:val="0074200A"/>
    <w:rsid w:val="0074204D"/>
    <w:rsid w:val="0074215F"/>
    <w:rsid w:val="00742177"/>
    <w:rsid w:val="0074220D"/>
    <w:rsid w:val="007423A6"/>
    <w:rsid w:val="0074240F"/>
    <w:rsid w:val="00742415"/>
    <w:rsid w:val="0074242E"/>
    <w:rsid w:val="0074259F"/>
    <w:rsid w:val="007425C8"/>
    <w:rsid w:val="00742617"/>
    <w:rsid w:val="0074261D"/>
    <w:rsid w:val="007426BC"/>
    <w:rsid w:val="00742738"/>
    <w:rsid w:val="0074278A"/>
    <w:rsid w:val="0074285F"/>
    <w:rsid w:val="007428B0"/>
    <w:rsid w:val="0074291D"/>
    <w:rsid w:val="00742A40"/>
    <w:rsid w:val="00742A6A"/>
    <w:rsid w:val="00742A99"/>
    <w:rsid w:val="00742AE3"/>
    <w:rsid w:val="00742B13"/>
    <w:rsid w:val="00742B83"/>
    <w:rsid w:val="00742C21"/>
    <w:rsid w:val="00742D3C"/>
    <w:rsid w:val="00742D8A"/>
    <w:rsid w:val="00742D96"/>
    <w:rsid w:val="00742E10"/>
    <w:rsid w:val="00742E23"/>
    <w:rsid w:val="00742E78"/>
    <w:rsid w:val="00742E9F"/>
    <w:rsid w:val="00742EDA"/>
    <w:rsid w:val="00742F67"/>
    <w:rsid w:val="00743013"/>
    <w:rsid w:val="007430AA"/>
    <w:rsid w:val="00743213"/>
    <w:rsid w:val="0074329E"/>
    <w:rsid w:val="00743378"/>
    <w:rsid w:val="00743396"/>
    <w:rsid w:val="007433AF"/>
    <w:rsid w:val="007433B6"/>
    <w:rsid w:val="007434D4"/>
    <w:rsid w:val="007434E1"/>
    <w:rsid w:val="007434E6"/>
    <w:rsid w:val="00743506"/>
    <w:rsid w:val="0074357B"/>
    <w:rsid w:val="00743685"/>
    <w:rsid w:val="00743741"/>
    <w:rsid w:val="00743809"/>
    <w:rsid w:val="00743811"/>
    <w:rsid w:val="00743864"/>
    <w:rsid w:val="00743889"/>
    <w:rsid w:val="007438A3"/>
    <w:rsid w:val="007438AB"/>
    <w:rsid w:val="007438DF"/>
    <w:rsid w:val="0074390C"/>
    <w:rsid w:val="0074392A"/>
    <w:rsid w:val="007439D3"/>
    <w:rsid w:val="00743ABE"/>
    <w:rsid w:val="00743AC6"/>
    <w:rsid w:val="00743ACA"/>
    <w:rsid w:val="00743B37"/>
    <w:rsid w:val="00743C02"/>
    <w:rsid w:val="00743C51"/>
    <w:rsid w:val="00743CBE"/>
    <w:rsid w:val="00743D00"/>
    <w:rsid w:val="00743D06"/>
    <w:rsid w:val="00743D09"/>
    <w:rsid w:val="00743D10"/>
    <w:rsid w:val="00743D31"/>
    <w:rsid w:val="00743D83"/>
    <w:rsid w:val="00743F33"/>
    <w:rsid w:val="0074401A"/>
    <w:rsid w:val="007440CB"/>
    <w:rsid w:val="007440E7"/>
    <w:rsid w:val="007441DF"/>
    <w:rsid w:val="007441FA"/>
    <w:rsid w:val="00744229"/>
    <w:rsid w:val="0074424B"/>
    <w:rsid w:val="007442F8"/>
    <w:rsid w:val="007444D2"/>
    <w:rsid w:val="00744514"/>
    <w:rsid w:val="00744572"/>
    <w:rsid w:val="007445A2"/>
    <w:rsid w:val="007445EA"/>
    <w:rsid w:val="00744642"/>
    <w:rsid w:val="0074464C"/>
    <w:rsid w:val="007446E8"/>
    <w:rsid w:val="007446EE"/>
    <w:rsid w:val="007446FA"/>
    <w:rsid w:val="0074470E"/>
    <w:rsid w:val="007447B7"/>
    <w:rsid w:val="007447B8"/>
    <w:rsid w:val="007447D9"/>
    <w:rsid w:val="0074488D"/>
    <w:rsid w:val="007448BF"/>
    <w:rsid w:val="00744A1A"/>
    <w:rsid w:val="00744A1D"/>
    <w:rsid w:val="00744A22"/>
    <w:rsid w:val="00744A87"/>
    <w:rsid w:val="00744ADF"/>
    <w:rsid w:val="00744B08"/>
    <w:rsid w:val="00744BAD"/>
    <w:rsid w:val="00744BCB"/>
    <w:rsid w:val="00744C26"/>
    <w:rsid w:val="00744C82"/>
    <w:rsid w:val="00744CA6"/>
    <w:rsid w:val="00744D34"/>
    <w:rsid w:val="00744D4D"/>
    <w:rsid w:val="00744DAD"/>
    <w:rsid w:val="00744DB5"/>
    <w:rsid w:val="00744E27"/>
    <w:rsid w:val="00744EBE"/>
    <w:rsid w:val="00744EFD"/>
    <w:rsid w:val="00744FB3"/>
    <w:rsid w:val="00745018"/>
    <w:rsid w:val="007450BA"/>
    <w:rsid w:val="0074513F"/>
    <w:rsid w:val="00745214"/>
    <w:rsid w:val="0074529D"/>
    <w:rsid w:val="007452B5"/>
    <w:rsid w:val="007452E8"/>
    <w:rsid w:val="007452F1"/>
    <w:rsid w:val="00745314"/>
    <w:rsid w:val="0074538F"/>
    <w:rsid w:val="007453DA"/>
    <w:rsid w:val="00745437"/>
    <w:rsid w:val="00745512"/>
    <w:rsid w:val="007455AA"/>
    <w:rsid w:val="007455B6"/>
    <w:rsid w:val="00745624"/>
    <w:rsid w:val="0074566C"/>
    <w:rsid w:val="00745692"/>
    <w:rsid w:val="007456CA"/>
    <w:rsid w:val="00745731"/>
    <w:rsid w:val="007457C3"/>
    <w:rsid w:val="007458E0"/>
    <w:rsid w:val="007459A8"/>
    <w:rsid w:val="007459C8"/>
    <w:rsid w:val="00745A8C"/>
    <w:rsid w:val="00745AA5"/>
    <w:rsid w:val="00745B39"/>
    <w:rsid w:val="00745B66"/>
    <w:rsid w:val="00745B69"/>
    <w:rsid w:val="00745BB9"/>
    <w:rsid w:val="00745BBE"/>
    <w:rsid w:val="00745C5D"/>
    <w:rsid w:val="00745C79"/>
    <w:rsid w:val="00745D16"/>
    <w:rsid w:val="00745D2C"/>
    <w:rsid w:val="00745D52"/>
    <w:rsid w:val="00745D9D"/>
    <w:rsid w:val="00745DD9"/>
    <w:rsid w:val="00745E33"/>
    <w:rsid w:val="00745E8B"/>
    <w:rsid w:val="00745FE3"/>
    <w:rsid w:val="0074601C"/>
    <w:rsid w:val="0074602E"/>
    <w:rsid w:val="00746030"/>
    <w:rsid w:val="00746081"/>
    <w:rsid w:val="00746099"/>
    <w:rsid w:val="007460B8"/>
    <w:rsid w:val="007460E3"/>
    <w:rsid w:val="0074610B"/>
    <w:rsid w:val="0074613D"/>
    <w:rsid w:val="00746145"/>
    <w:rsid w:val="007462EA"/>
    <w:rsid w:val="0074634C"/>
    <w:rsid w:val="0074634D"/>
    <w:rsid w:val="007464BB"/>
    <w:rsid w:val="00746558"/>
    <w:rsid w:val="007466DB"/>
    <w:rsid w:val="00746702"/>
    <w:rsid w:val="00746778"/>
    <w:rsid w:val="0074677A"/>
    <w:rsid w:val="007467A7"/>
    <w:rsid w:val="0074689E"/>
    <w:rsid w:val="007468A6"/>
    <w:rsid w:val="007468C0"/>
    <w:rsid w:val="0074693A"/>
    <w:rsid w:val="0074694E"/>
    <w:rsid w:val="00746971"/>
    <w:rsid w:val="00746978"/>
    <w:rsid w:val="007469D6"/>
    <w:rsid w:val="007469FB"/>
    <w:rsid w:val="00746A6D"/>
    <w:rsid w:val="00746A8F"/>
    <w:rsid w:val="00746AD6"/>
    <w:rsid w:val="00746B4E"/>
    <w:rsid w:val="00746B8C"/>
    <w:rsid w:val="00746B9A"/>
    <w:rsid w:val="00746C2B"/>
    <w:rsid w:val="00746C51"/>
    <w:rsid w:val="00746C90"/>
    <w:rsid w:val="00746D28"/>
    <w:rsid w:val="00746D99"/>
    <w:rsid w:val="00746E97"/>
    <w:rsid w:val="00746EB4"/>
    <w:rsid w:val="00746F1C"/>
    <w:rsid w:val="00746FA7"/>
    <w:rsid w:val="00746FCD"/>
    <w:rsid w:val="00746FE5"/>
    <w:rsid w:val="00746FED"/>
    <w:rsid w:val="0074702C"/>
    <w:rsid w:val="007470AB"/>
    <w:rsid w:val="00747114"/>
    <w:rsid w:val="007471BF"/>
    <w:rsid w:val="00747283"/>
    <w:rsid w:val="00747292"/>
    <w:rsid w:val="007472E8"/>
    <w:rsid w:val="00747308"/>
    <w:rsid w:val="0074733E"/>
    <w:rsid w:val="00747404"/>
    <w:rsid w:val="00747463"/>
    <w:rsid w:val="0074750B"/>
    <w:rsid w:val="00747525"/>
    <w:rsid w:val="0074754C"/>
    <w:rsid w:val="007475EB"/>
    <w:rsid w:val="0074762C"/>
    <w:rsid w:val="00747758"/>
    <w:rsid w:val="007477B7"/>
    <w:rsid w:val="007477EE"/>
    <w:rsid w:val="00747828"/>
    <w:rsid w:val="00747912"/>
    <w:rsid w:val="00747A94"/>
    <w:rsid w:val="00747B32"/>
    <w:rsid w:val="00747B58"/>
    <w:rsid w:val="00747CA4"/>
    <w:rsid w:val="00747D73"/>
    <w:rsid w:val="00747DDD"/>
    <w:rsid w:val="00747DF7"/>
    <w:rsid w:val="00747E34"/>
    <w:rsid w:val="00747F1F"/>
    <w:rsid w:val="00747F92"/>
    <w:rsid w:val="0075008D"/>
    <w:rsid w:val="007500CE"/>
    <w:rsid w:val="0075017D"/>
    <w:rsid w:val="007501C7"/>
    <w:rsid w:val="007501CE"/>
    <w:rsid w:val="0075024A"/>
    <w:rsid w:val="0075026D"/>
    <w:rsid w:val="007503D3"/>
    <w:rsid w:val="00750439"/>
    <w:rsid w:val="0075049F"/>
    <w:rsid w:val="00750539"/>
    <w:rsid w:val="007505E4"/>
    <w:rsid w:val="00750665"/>
    <w:rsid w:val="00750677"/>
    <w:rsid w:val="00750693"/>
    <w:rsid w:val="0075069C"/>
    <w:rsid w:val="007506D6"/>
    <w:rsid w:val="00750731"/>
    <w:rsid w:val="007507BF"/>
    <w:rsid w:val="007507DC"/>
    <w:rsid w:val="0075087E"/>
    <w:rsid w:val="007508C4"/>
    <w:rsid w:val="0075093A"/>
    <w:rsid w:val="007509EB"/>
    <w:rsid w:val="00750AD2"/>
    <w:rsid w:val="00750AE9"/>
    <w:rsid w:val="00750B0C"/>
    <w:rsid w:val="00750B56"/>
    <w:rsid w:val="00750BA2"/>
    <w:rsid w:val="00750BD2"/>
    <w:rsid w:val="00750C10"/>
    <w:rsid w:val="00750CA5"/>
    <w:rsid w:val="00750CF8"/>
    <w:rsid w:val="00750D6A"/>
    <w:rsid w:val="00750DB4"/>
    <w:rsid w:val="00750E6C"/>
    <w:rsid w:val="00750E74"/>
    <w:rsid w:val="00750FE6"/>
    <w:rsid w:val="00750FF0"/>
    <w:rsid w:val="0075100F"/>
    <w:rsid w:val="0075101B"/>
    <w:rsid w:val="007510DD"/>
    <w:rsid w:val="0075110C"/>
    <w:rsid w:val="0075114B"/>
    <w:rsid w:val="00751186"/>
    <w:rsid w:val="00751242"/>
    <w:rsid w:val="00751269"/>
    <w:rsid w:val="00751326"/>
    <w:rsid w:val="00751338"/>
    <w:rsid w:val="0075136E"/>
    <w:rsid w:val="007513AD"/>
    <w:rsid w:val="0075142D"/>
    <w:rsid w:val="00751479"/>
    <w:rsid w:val="007514CC"/>
    <w:rsid w:val="007515B6"/>
    <w:rsid w:val="007515D9"/>
    <w:rsid w:val="00751632"/>
    <w:rsid w:val="00751646"/>
    <w:rsid w:val="00751747"/>
    <w:rsid w:val="00751767"/>
    <w:rsid w:val="00751776"/>
    <w:rsid w:val="0075177A"/>
    <w:rsid w:val="007517B7"/>
    <w:rsid w:val="007517C1"/>
    <w:rsid w:val="007517CA"/>
    <w:rsid w:val="0075180A"/>
    <w:rsid w:val="0075180B"/>
    <w:rsid w:val="00751824"/>
    <w:rsid w:val="00751884"/>
    <w:rsid w:val="00751944"/>
    <w:rsid w:val="00751AA5"/>
    <w:rsid w:val="00751B3C"/>
    <w:rsid w:val="00751B4A"/>
    <w:rsid w:val="00751B88"/>
    <w:rsid w:val="00751B97"/>
    <w:rsid w:val="00751C05"/>
    <w:rsid w:val="00751C3C"/>
    <w:rsid w:val="00751C5F"/>
    <w:rsid w:val="00751C79"/>
    <w:rsid w:val="00751C81"/>
    <w:rsid w:val="00751D0A"/>
    <w:rsid w:val="00751E0E"/>
    <w:rsid w:val="00751E3A"/>
    <w:rsid w:val="00751FC1"/>
    <w:rsid w:val="00752015"/>
    <w:rsid w:val="0075201C"/>
    <w:rsid w:val="00752055"/>
    <w:rsid w:val="00752136"/>
    <w:rsid w:val="0075214F"/>
    <w:rsid w:val="007521B0"/>
    <w:rsid w:val="007521B3"/>
    <w:rsid w:val="007521C7"/>
    <w:rsid w:val="00752202"/>
    <w:rsid w:val="007522AE"/>
    <w:rsid w:val="00752481"/>
    <w:rsid w:val="00752488"/>
    <w:rsid w:val="00752490"/>
    <w:rsid w:val="007524C9"/>
    <w:rsid w:val="0075253B"/>
    <w:rsid w:val="00752548"/>
    <w:rsid w:val="00752551"/>
    <w:rsid w:val="00752554"/>
    <w:rsid w:val="0075255A"/>
    <w:rsid w:val="00752595"/>
    <w:rsid w:val="007525DF"/>
    <w:rsid w:val="00752604"/>
    <w:rsid w:val="00752639"/>
    <w:rsid w:val="0075267A"/>
    <w:rsid w:val="007526BA"/>
    <w:rsid w:val="007526D0"/>
    <w:rsid w:val="007527A1"/>
    <w:rsid w:val="0075284F"/>
    <w:rsid w:val="007528D5"/>
    <w:rsid w:val="00752909"/>
    <w:rsid w:val="0075293B"/>
    <w:rsid w:val="007529B2"/>
    <w:rsid w:val="00752A90"/>
    <w:rsid w:val="00752B0D"/>
    <w:rsid w:val="00752B3B"/>
    <w:rsid w:val="00752B75"/>
    <w:rsid w:val="00752C20"/>
    <w:rsid w:val="00752C67"/>
    <w:rsid w:val="00752C89"/>
    <w:rsid w:val="00752CA1"/>
    <w:rsid w:val="00752CAB"/>
    <w:rsid w:val="00752CB8"/>
    <w:rsid w:val="00752CBA"/>
    <w:rsid w:val="00752CE8"/>
    <w:rsid w:val="00752D5E"/>
    <w:rsid w:val="00752D92"/>
    <w:rsid w:val="00752DE5"/>
    <w:rsid w:val="00752E8D"/>
    <w:rsid w:val="00752EC5"/>
    <w:rsid w:val="00752EF2"/>
    <w:rsid w:val="00752F8B"/>
    <w:rsid w:val="00752F8F"/>
    <w:rsid w:val="00752FD1"/>
    <w:rsid w:val="00752FE4"/>
    <w:rsid w:val="0075305F"/>
    <w:rsid w:val="007530FC"/>
    <w:rsid w:val="00753151"/>
    <w:rsid w:val="00753178"/>
    <w:rsid w:val="007531A5"/>
    <w:rsid w:val="00753275"/>
    <w:rsid w:val="007532F0"/>
    <w:rsid w:val="0075331D"/>
    <w:rsid w:val="007533E1"/>
    <w:rsid w:val="00753467"/>
    <w:rsid w:val="007534C0"/>
    <w:rsid w:val="00753595"/>
    <w:rsid w:val="007535E5"/>
    <w:rsid w:val="00753617"/>
    <w:rsid w:val="0075362B"/>
    <w:rsid w:val="0075363C"/>
    <w:rsid w:val="0075364A"/>
    <w:rsid w:val="0075368E"/>
    <w:rsid w:val="007536F9"/>
    <w:rsid w:val="00753821"/>
    <w:rsid w:val="0075383B"/>
    <w:rsid w:val="00753850"/>
    <w:rsid w:val="007538CD"/>
    <w:rsid w:val="007538E4"/>
    <w:rsid w:val="0075391C"/>
    <w:rsid w:val="00753A62"/>
    <w:rsid w:val="00753AA0"/>
    <w:rsid w:val="00753B0E"/>
    <w:rsid w:val="00753BFA"/>
    <w:rsid w:val="00753C3F"/>
    <w:rsid w:val="00753C89"/>
    <w:rsid w:val="00753D55"/>
    <w:rsid w:val="00753D62"/>
    <w:rsid w:val="00753D86"/>
    <w:rsid w:val="00753D8C"/>
    <w:rsid w:val="00753DD0"/>
    <w:rsid w:val="00753E1B"/>
    <w:rsid w:val="00753E85"/>
    <w:rsid w:val="00753F11"/>
    <w:rsid w:val="00753F30"/>
    <w:rsid w:val="00753FE5"/>
    <w:rsid w:val="00754085"/>
    <w:rsid w:val="00754093"/>
    <w:rsid w:val="00754119"/>
    <w:rsid w:val="007541E8"/>
    <w:rsid w:val="00754272"/>
    <w:rsid w:val="007542C2"/>
    <w:rsid w:val="00754401"/>
    <w:rsid w:val="00754429"/>
    <w:rsid w:val="0075442F"/>
    <w:rsid w:val="00754451"/>
    <w:rsid w:val="00754453"/>
    <w:rsid w:val="007544DB"/>
    <w:rsid w:val="00754526"/>
    <w:rsid w:val="00754612"/>
    <w:rsid w:val="0075464D"/>
    <w:rsid w:val="00754808"/>
    <w:rsid w:val="00754813"/>
    <w:rsid w:val="007548C4"/>
    <w:rsid w:val="00754A09"/>
    <w:rsid w:val="00754A76"/>
    <w:rsid w:val="00754A8F"/>
    <w:rsid w:val="00754AAD"/>
    <w:rsid w:val="00754AC6"/>
    <w:rsid w:val="00754ADD"/>
    <w:rsid w:val="00754B32"/>
    <w:rsid w:val="00754B4C"/>
    <w:rsid w:val="00754C68"/>
    <w:rsid w:val="00754D37"/>
    <w:rsid w:val="00754D96"/>
    <w:rsid w:val="00754DA4"/>
    <w:rsid w:val="00754E53"/>
    <w:rsid w:val="00754E55"/>
    <w:rsid w:val="00754F07"/>
    <w:rsid w:val="00754F25"/>
    <w:rsid w:val="00754F39"/>
    <w:rsid w:val="00754FDB"/>
    <w:rsid w:val="00755047"/>
    <w:rsid w:val="00755069"/>
    <w:rsid w:val="00755082"/>
    <w:rsid w:val="00755098"/>
    <w:rsid w:val="007550F8"/>
    <w:rsid w:val="007551AB"/>
    <w:rsid w:val="007551CA"/>
    <w:rsid w:val="007551FA"/>
    <w:rsid w:val="0075526B"/>
    <w:rsid w:val="0075526E"/>
    <w:rsid w:val="007552B5"/>
    <w:rsid w:val="00755350"/>
    <w:rsid w:val="00755366"/>
    <w:rsid w:val="0075536E"/>
    <w:rsid w:val="007553A3"/>
    <w:rsid w:val="007553CB"/>
    <w:rsid w:val="007553E2"/>
    <w:rsid w:val="00755424"/>
    <w:rsid w:val="00755457"/>
    <w:rsid w:val="0075545C"/>
    <w:rsid w:val="0075548F"/>
    <w:rsid w:val="00755522"/>
    <w:rsid w:val="00755646"/>
    <w:rsid w:val="00755688"/>
    <w:rsid w:val="007556A1"/>
    <w:rsid w:val="007556A2"/>
    <w:rsid w:val="00755928"/>
    <w:rsid w:val="00755930"/>
    <w:rsid w:val="0075597E"/>
    <w:rsid w:val="007559C3"/>
    <w:rsid w:val="00755A0F"/>
    <w:rsid w:val="00755A97"/>
    <w:rsid w:val="00755AC2"/>
    <w:rsid w:val="00755B08"/>
    <w:rsid w:val="00755BCA"/>
    <w:rsid w:val="00755C5B"/>
    <w:rsid w:val="00755CF3"/>
    <w:rsid w:val="00755DA9"/>
    <w:rsid w:val="00755DBA"/>
    <w:rsid w:val="00755DDF"/>
    <w:rsid w:val="00755E03"/>
    <w:rsid w:val="00755EF0"/>
    <w:rsid w:val="00755F03"/>
    <w:rsid w:val="00755F09"/>
    <w:rsid w:val="00755F37"/>
    <w:rsid w:val="00755F8E"/>
    <w:rsid w:val="00755FB2"/>
    <w:rsid w:val="00756005"/>
    <w:rsid w:val="00756038"/>
    <w:rsid w:val="00756049"/>
    <w:rsid w:val="007560C8"/>
    <w:rsid w:val="00756154"/>
    <w:rsid w:val="007561B6"/>
    <w:rsid w:val="00756211"/>
    <w:rsid w:val="0075622A"/>
    <w:rsid w:val="007562FA"/>
    <w:rsid w:val="00756378"/>
    <w:rsid w:val="0075639B"/>
    <w:rsid w:val="0075641C"/>
    <w:rsid w:val="0075643F"/>
    <w:rsid w:val="00756490"/>
    <w:rsid w:val="00756513"/>
    <w:rsid w:val="0075652A"/>
    <w:rsid w:val="0075654B"/>
    <w:rsid w:val="0075654D"/>
    <w:rsid w:val="0075659D"/>
    <w:rsid w:val="007565BD"/>
    <w:rsid w:val="007565E6"/>
    <w:rsid w:val="007566E1"/>
    <w:rsid w:val="00756749"/>
    <w:rsid w:val="007567E1"/>
    <w:rsid w:val="007567EE"/>
    <w:rsid w:val="0075681D"/>
    <w:rsid w:val="00756862"/>
    <w:rsid w:val="007568B1"/>
    <w:rsid w:val="00756A8B"/>
    <w:rsid w:val="00756AE1"/>
    <w:rsid w:val="00756AEB"/>
    <w:rsid w:val="00756B39"/>
    <w:rsid w:val="00756B64"/>
    <w:rsid w:val="00756BA1"/>
    <w:rsid w:val="00756C14"/>
    <w:rsid w:val="00756CDB"/>
    <w:rsid w:val="00756D0D"/>
    <w:rsid w:val="00756DE1"/>
    <w:rsid w:val="00756E2A"/>
    <w:rsid w:val="00756E55"/>
    <w:rsid w:val="00756EA6"/>
    <w:rsid w:val="00756F67"/>
    <w:rsid w:val="007570D7"/>
    <w:rsid w:val="00757192"/>
    <w:rsid w:val="00757193"/>
    <w:rsid w:val="0075725A"/>
    <w:rsid w:val="007572FE"/>
    <w:rsid w:val="00757321"/>
    <w:rsid w:val="007573F0"/>
    <w:rsid w:val="00757439"/>
    <w:rsid w:val="0075753C"/>
    <w:rsid w:val="007575B8"/>
    <w:rsid w:val="007575CC"/>
    <w:rsid w:val="007577A4"/>
    <w:rsid w:val="007577CE"/>
    <w:rsid w:val="00757952"/>
    <w:rsid w:val="007579E9"/>
    <w:rsid w:val="00757A14"/>
    <w:rsid w:val="00757A37"/>
    <w:rsid w:val="00757A58"/>
    <w:rsid w:val="00757AA8"/>
    <w:rsid w:val="00757ADE"/>
    <w:rsid w:val="00757B08"/>
    <w:rsid w:val="00757BD2"/>
    <w:rsid w:val="00757BF7"/>
    <w:rsid w:val="00757C5D"/>
    <w:rsid w:val="00757CA1"/>
    <w:rsid w:val="00757CAC"/>
    <w:rsid w:val="00757D40"/>
    <w:rsid w:val="00757D63"/>
    <w:rsid w:val="00757D6C"/>
    <w:rsid w:val="00757D6D"/>
    <w:rsid w:val="00757D77"/>
    <w:rsid w:val="00757DCE"/>
    <w:rsid w:val="00757E3A"/>
    <w:rsid w:val="0076005C"/>
    <w:rsid w:val="007600FC"/>
    <w:rsid w:val="0076013B"/>
    <w:rsid w:val="007601B3"/>
    <w:rsid w:val="0076030D"/>
    <w:rsid w:val="0076039C"/>
    <w:rsid w:val="007603FC"/>
    <w:rsid w:val="00760493"/>
    <w:rsid w:val="007604B7"/>
    <w:rsid w:val="007604C8"/>
    <w:rsid w:val="007604F1"/>
    <w:rsid w:val="0076052A"/>
    <w:rsid w:val="007605CD"/>
    <w:rsid w:val="007605E6"/>
    <w:rsid w:val="00760659"/>
    <w:rsid w:val="007606C5"/>
    <w:rsid w:val="00760760"/>
    <w:rsid w:val="0076076A"/>
    <w:rsid w:val="007607C0"/>
    <w:rsid w:val="007607CE"/>
    <w:rsid w:val="00760817"/>
    <w:rsid w:val="00760856"/>
    <w:rsid w:val="0076086C"/>
    <w:rsid w:val="0076088F"/>
    <w:rsid w:val="0076089E"/>
    <w:rsid w:val="00760989"/>
    <w:rsid w:val="00760A29"/>
    <w:rsid w:val="00760A95"/>
    <w:rsid w:val="00760ADC"/>
    <w:rsid w:val="00760BC9"/>
    <w:rsid w:val="00760BEE"/>
    <w:rsid w:val="00760C6A"/>
    <w:rsid w:val="00760C7F"/>
    <w:rsid w:val="00760D2D"/>
    <w:rsid w:val="00760D65"/>
    <w:rsid w:val="00760D8C"/>
    <w:rsid w:val="00760DD4"/>
    <w:rsid w:val="00760DDE"/>
    <w:rsid w:val="00760E38"/>
    <w:rsid w:val="00760E8E"/>
    <w:rsid w:val="00760F3A"/>
    <w:rsid w:val="00760F97"/>
    <w:rsid w:val="00761010"/>
    <w:rsid w:val="00761015"/>
    <w:rsid w:val="007611E0"/>
    <w:rsid w:val="00761200"/>
    <w:rsid w:val="007612AE"/>
    <w:rsid w:val="007612DB"/>
    <w:rsid w:val="007614AB"/>
    <w:rsid w:val="00761568"/>
    <w:rsid w:val="007615CF"/>
    <w:rsid w:val="0076165A"/>
    <w:rsid w:val="0076167F"/>
    <w:rsid w:val="007616C4"/>
    <w:rsid w:val="007616DB"/>
    <w:rsid w:val="00761790"/>
    <w:rsid w:val="007617B9"/>
    <w:rsid w:val="007617C9"/>
    <w:rsid w:val="007617F6"/>
    <w:rsid w:val="00761832"/>
    <w:rsid w:val="0076183F"/>
    <w:rsid w:val="0076185C"/>
    <w:rsid w:val="007618A8"/>
    <w:rsid w:val="007618AA"/>
    <w:rsid w:val="0076190A"/>
    <w:rsid w:val="0076190D"/>
    <w:rsid w:val="00761947"/>
    <w:rsid w:val="00761997"/>
    <w:rsid w:val="007619B4"/>
    <w:rsid w:val="00761A6A"/>
    <w:rsid w:val="00761AC8"/>
    <w:rsid w:val="00761B2D"/>
    <w:rsid w:val="00761B2E"/>
    <w:rsid w:val="00761B33"/>
    <w:rsid w:val="00761B8B"/>
    <w:rsid w:val="00761B9A"/>
    <w:rsid w:val="00761B9B"/>
    <w:rsid w:val="00761C43"/>
    <w:rsid w:val="00761C72"/>
    <w:rsid w:val="00761D09"/>
    <w:rsid w:val="00761D25"/>
    <w:rsid w:val="00761D5B"/>
    <w:rsid w:val="00761D88"/>
    <w:rsid w:val="00761E43"/>
    <w:rsid w:val="00761EC5"/>
    <w:rsid w:val="00761F7A"/>
    <w:rsid w:val="00761F8A"/>
    <w:rsid w:val="00761F98"/>
    <w:rsid w:val="00761FCE"/>
    <w:rsid w:val="007620CE"/>
    <w:rsid w:val="0076211A"/>
    <w:rsid w:val="007621E9"/>
    <w:rsid w:val="007622A5"/>
    <w:rsid w:val="007622CB"/>
    <w:rsid w:val="007622F5"/>
    <w:rsid w:val="00762312"/>
    <w:rsid w:val="00762373"/>
    <w:rsid w:val="00762429"/>
    <w:rsid w:val="00762436"/>
    <w:rsid w:val="00762454"/>
    <w:rsid w:val="0076259D"/>
    <w:rsid w:val="00762780"/>
    <w:rsid w:val="007627CF"/>
    <w:rsid w:val="0076280A"/>
    <w:rsid w:val="00762873"/>
    <w:rsid w:val="007628DC"/>
    <w:rsid w:val="00762913"/>
    <w:rsid w:val="00762929"/>
    <w:rsid w:val="00762944"/>
    <w:rsid w:val="00762BE2"/>
    <w:rsid w:val="00762BE8"/>
    <w:rsid w:val="00762C11"/>
    <w:rsid w:val="00762C59"/>
    <w:rsid w:val="00762C5F"/>
    <w:rsid w:val="00762C7F"/>
    <w:rsid w:val="00762C8E"/>
    <w:rsid w:val="00762D4F"/>
    <w:rsid w:val="00762D79"/>
    <w:rsid w:val="00762D84"/>
    <w:rsid w:val="00762D97"/>
    <w:rsid w:val="00762DF3"/>
    <w:rsid w:val="00762E94"/>
    <w:rsid w:val="00762EE3"/>
    <w:rsid w:val="00762EE4"/>
    <w:rsid w:val="00762F18"/>
    <w:rsid w:val="00762F74"/>
    <w:rsid w:val="00762FED"/>
    <w:rsid w:val="0076310D"/>
    <w:rsid w:val="007631CA"/>
    <w:rsid w:val="007631EF"/>
    <w:rsid w:val="00763321"/>
    <w:rsid w:val="00763335"/>
    <w:rsid w:val="0076337A"/>
    <w:rsid w:val="0076339F"/>
    <w:rsid w:val="0076342A"/>
    <w:rsid w:val="00763472"/>
    <w:rsid w:val="007635C2"/>
    <w:rsid w:val="00763669"/>
    <w:rsid w:val="00763703"/>
    <w:rsid w:val="00763725"/>
    <w:rsid w:val="00763783"/>
    <w:rsid w:val="007637CC"/>
    <w:rsid w:val="0076380B"/>
    <w:rsid w:val="00763872"/>
    <w:rsid w:val="0076387B"/>
    <w:rsid w:val="007638AD"/>
    <w:rsid w:val="007638E8"/>
    <w:rsid w:val="0076391F"/>
    <w:rsid w:val="00763A46"/>
    <w:rsid w:val="00763AC1"/>
    <w:rsid w:val="00763ACF"/>
    <w:rsid w:val="00763BEA"/>
    <w:rsid w:val="00763C3D"/>
    <w:rsid w:val="00763C8B"/>
    <w:rsid w:val="00763C9D"/>
    <w:rsid w:val="00763D13"/>
    <w:rsid w:val="00763E68"/>
    <w:rsid w:val="00763F26"/>
    <w:rsid w:val="00763FD1"/>
    <w:rsid w:val="0076405F"/>
    <w:rsid w:val="007640CA"/>
    <w:rsid w:val="007640D3"/>
    <w:rsid w:val="007640D9"/>
    <w:rsid w:val="0076417A"/>
    <w:rsid w:val="00764199"/>
    <w:rsid w:val="0076422A"/>
    <w:rsid w:val="0076422F"/>
    <w:rsid w:val="00764231"/>
    <w:rsid w:val="0076425A"/>
    <w:rsid w:val="00764390"/>
    <w:rsid w:val="0076439C"/>
    <w:rsid w:val="00764487"/>
    <w:rsid w:val="00764599"/>
    <w:rsid w:val="007645B5"/>
    <w:rsid w:val="00764607"/>
    <w:rsid w:val="0076460C"/>
    <w:rsid w:val="00764631"/>
    <w:rsid w:val="00764644"/>
    <w:rsid w:val="0076467C"/>
    <w:rsid w:val="0076468C"/>
    <w:rsid w:val="0076477A"/>
    <w:rsid w:val="007647D2"/>
    <w:rsid w:val="007647E1"/>
    <w:rsid w:val="00764866"/>
    <w:rsid w:val="007648EB"/>
    <w:rsid w:val="007649EE"/>
    <w:rsid w:val="00764B2C"/>
    <w:rsid w:val="00764B67"/>
    <w:rsid w:val="00764B72"/>
    <w:rsid w:val="00764BB8"/>
    <w:rsid w:val="00764BBD"/>
    <w:rsid w:val="00764C26"/>
    <w:rsid w:val="00764D24"/>
    <w:rsid w:val="00764F2D"/>
    <w:rsid w:val="00764FAE"/>
    <w:rsid w:val="00764FE6"/>
    <w:rsid w:val="00764FF3"/>
    <w:rsid w:val="00765005"/>
    <w:rsid w:val="0076504F"/>
    <w:rsid w:val="007650CF"/>
    <w:rsid w:val="00765138"/>
    <w:rsid w:val="007652AE"/>
    <w:rsid w:val="007652D8"/>
    <w:rsid w:val="00765383"/>
    <w:rsid w:val="0076538F"/>
    <w:rsid w:val="0076541F"/>
    <w:rsid w:val="0076546B"/>
    <w:rsid w:val="00765485"/>
    <w:rsid w:val="007655EF"/>
    <w:rsid w:val="0076560C"/>
    <w:rsid w:val="007656F8"/>
    <w:rsid w:val="00765717"/>
    <w:rsid w:val="007657CC"/>
    <w:rsid w:val="00765861"/>
    <w:rsid w:val="007658DA"/>
    <w:rsid w:val="0076594E"/>
    <w:rsid w:val="00765982"/>
    <w:rsid w:val="007659FB"/>
    <w:rsid w:val="00765A07"/>
    <w:rsid w:val="00765A12"/>
    <w:rsid w:val="00765A6C"/>
    <w:rsid w:val="00765AAF"/>
    <w:rsid w:val="00765B03"/>
    <w:rsid w:val="00765C33"/>
    <w:rsid w:val="00765C94"/>
    <w:rsid w:val="00765CC0"/>
    <w:rsid w:val="00765D55"/>
    <w:rsid w:val="00765D9A"/>
    <w:rsid w:val="00765DC6"/>
    <w:rsid w:val="00765DCE"/>
    <w:rsid w:val="00765E56"/>
    <w:rsid w:val="00765EAE"/>
    <w:rsid w:val="00765F0D"/>
    <w:rsid w:val="00765F3C"/>
    <w:rsid w:val="0076607C"/>
    <w:rsid w:val="0076612E"/>
    <w:rsid w:val="00766177"/>
    <w:rsid w:val="007661CC"/>
    <w:rsid w:val="00766214"/>
    <w:rsid w:val="00766216"/>
    <w:rsid w:val="00766274"/>
    <w:rsid w:val="00766277"/>
    <w:rsid w:val="00766292"/>
    <w:rsid w:val="007662D5"/>
    <w:rsid w:val="007662E0"/>
    <w:rsid w:val="0076631A"/>
    <w:rsid w:val="00766361"/>
    <w:rsid w:val="007663E4"/>
    <w:rsid w:val="007663E6"/>
    <w:rsid w:val="007663F8"/>
    <w:rsid w:val="00766427"/>
    <w:rsid w:val="00766454"/>
    <w:rsid w:val="0076646A"/>
    <w:rsid w:val="00766494"/>
    <w:rsid w:val="007664FB"/>
    <w:rsid w:val="00766661"/>
    <w:rsid w:val="00766702"/>
    <w:rsid w:val="007667EE"/>
    <w:rsid w:val="007667FE"/>
    <w:rsid w:val="00766824"/>
    <w:rsid w:val="0076690F"/>
    <w:rsid w:val="00766922"/>
    <w:rsid w:val="0076692A"/>
    <w:rsid w:val="007669A5"/>
    <w:rsid w:val="00766A54"/>
    <w:rsid w:val="00766AAC"/>
    <w:rsid w:val="00766B3A"/>
    <w:rsid w:val="00766B6C"/>
    <w:rsid w:val="00766C0C"/>
    <w:rsid w:val="00766C18"/>
    <w:rsid w:val="00766CB5"/>
    <w:rsid w:val="00766CCA"/>
    <w:rsid w:val="00766D4A"/>
    <w:rsid w:val="00766DD8"/>
    <w:rsid w:val="00766E1E"/>
    <w:rsid w:val="00766F0A"/>
    <w:rsid w:val="00766F18"/>
    <w:rsid w:val="00766F82"/>
    <w:rsid w:val="00766F85"/>
    <w:rsid w:val="00766FF5"/>
    <w:rsid w:val="007670B9"/>
    <w:rsid w:val="007670F1"/>
    <w:rsid w:val="00767100"/>
    <w:rsid w:val="0076718D"/>
    <w:rsid w:val="00767190"/>
    <w:rsid w:val="007671A7"/>
    <w:rsid w:val="007671E5"/>
    <w:rsid w:val="00767217"/>
    <w:rsid w:val="0076722E"/>
    <w:rsid w:val="007672C0"/>
    <w:rsid w:val="00767335"/>
    <w:rsid w:val="00767584"/>
    <w:rsid w:val="00767591"/>
    <w:rsid w:val="007675BE"/>
    <w:rsid w:val="007675C2"/>
    <w:rsid w:val="007675CD"/>
    <w:rsid w:val="007675CE"/>
    <w:rsid w:val="0076760E"/>
    <w:rsid w:val="00767615"/>
    <w:rsid w:val="007676DC"/>
    <w:rsid w:val="00767718"/>
    <w:rsid w:val="0076784D"/>
    <w:rsid w:val="00767888"/>
    <w:rsid w:val="007678C0"/>
    <w:rsid w:val="0076795F"/>
    <w:rsid w:val="007679F9"/>
    <w:rsid w:val="00767A89"/>
    <w:rsid w:val="00767AAC"/>
    <w:rsid w:val="00767AE5"/>
    <w:rsid w:val="00767B0D"/>
    <w:rsid w:val="00767B99"/>
    <w:rsid w:val="00767BC4"/>
    <w:rsid w:val="00767C31"/>
    <w:rsid w:val="00767C52"/>
    <w:rsid w:val="00767CC0"/>
    <w:rsid w:val="00767D3B"/>
    <w:rsid w:val="00767D83"/>
    <w:rsid w:val="00767DA8"/>
    <w:rsid w:val="00767F01"/>
    <w:rsid w:val="00767F8A"/>
    <w:rsid w:val="00767FB4"/>
    <w:rsid w:val="00770039"/>
    <w:rsid w:val="0077007C"/>
    <w:rsid w:val="007700AF"/>
    <w:rsid w:val="007700F2"/>
    <w:rsid w:val="0077011D"/>
    <w:rsid w:val="0077013C"/>
    <w:rsid w:val="00770144"/>
    <w:rsid w:val="0077024F"/>
    <w:rsid w:val="0077029D"/>
    <w:rsid w:val="00770396"/>
    <w:rsid w:val="007703E1"/>
    <w:rsid w:val="007704AC"/>
    <w:rsid w:val="007705E5"/>
    <w:rsid w:val="00770650"/>
    <w:rsid w:val="007706AB"/>
    <w:rsid w:val="0077076A"/>
    <w:rsid w:val="007707DB"/>
    <w:rsid w:val="0077080F"/>
    <w:rsid w:val="00770830"/>
    <w:rsid w:val="007708EA"/>
    <w:rsid w:val="007709CD"/>
    <w:rsid w:val="00770A6A"/>
    <w:rsid w:val="00770A6C"/>
    <w:rsid w:val="00770A7E"/>
    <w:rsid w:val="00770B3B"/>
    <w:rsid w:val="00770B3D"/>
    <w:rsid w:val="00770BA5"/>
    <w:rsid w:val="00770BB4"/>
    <w:rsid w:val="00770BCB"/>
    <w:rsid w:val="00770C3E"/>
    <w:rsid w:val="00770C73"/>
    <w:rsid w:val="00770C7D"/>
    <w:rsid w:val="00770D20"/>
    <w:rsid w:val="00770DCD"/>
    <w:rsid w:val="00770E19"/>
    <w:rsid w:val="00770EFF"/>
    <w:rsid w:val="00770F2B"/>
    <w:rsid w:val="00770F3C"/>
    <w:rsid w:val="00770FA1"/>
    <w:rsid w:val="00771044"/>
    <w:rsid w:val="0077108D"/>
    <w:rsid w:val="00771096"/>
    <w:rsid w:val="007710C8"/>
    <w:rsid w:val="007710D1"/>
    <w:rsid w:val="00771249"/>
    <w:rsid w:val="007712BA"/>
    <w:rsid w:val="007712CE"/>
    <w:rsid w:val="0077133B"/>
    <w:rsid w:val="007713CA"/>
    <w:rsid w:val="007714CB"/>
    <w:rsid w:val="0077150E"/>
    <w:rsid w:val="0077156C"/>
    <w:rsid w:val="007715AE"/>
    <w:rsid w:val="007715C2"/>
    <w:rsid w:val="007715C7"/>
    <w:rsid w:val="00771617"/>
    <w:rsid w:val="0077164D"/>
    <w:rsid w:val="007716C5"/>
    <w:rsid w:val="007716D7"/>
    <w:rsid w:val="0077177B"/>
    <w:rsid w:val="007717C4"/>
    <w:rsid w:val="007718CB"/>
    <w:rsid w:val="007719AA"/>
    <w:rsid w:val="007719E9"/>
    <w:rsid w:val="00771A3A"/>
    <w:rsid w:val="00771B82"/>
    <w:rsid w:val="00771B84"/>
    <w:rsid w:val="00771CA7"/>
    <w:rsid w:val="00771D08"/>
    <w:rsid w:val="00771D3C"/>
    <w:rsid w:val="00771DE7"/>
    <w:rsid w:val="00771E49"/>
    <w:rsid w:val="00771E5C"/>
    <w:rsid w:val="00771E71"/>
    <w:rsid w:val="00771EB8"/>
    <w:rsid w:val="00771EEA"/>
    <w:rsid w:val="00771F09"/>
    <w:rsid w:val="00771F2C"/>
    <w:rsid w:val="00771F95"/>
    <w:rsid w:val="00771FE6"/>
    <w:rsid w:val="00771FE9"/>
    <w:rsid w:val="0077201B"/>
    <w:rsid w:val="0077206F"/>
    <w:rsid w:val="00772250"/>
    <w:rsid w:val="0077225A"/>
    <w:rsid w:val="00772318"/>
    <w:rsid w:val="0077231B"/>
    <w:rsid w:val="0077234D"/>
    <w:rsid w:val="00772459"/>
    <w:rsid w:val="0077249C"/>
    <w:rsid w:val="007724E1"/>
    <w:rsid w:val="00772602"/>
    <w:rsid w:val="00772666"/>
    <w:rsid w:val="007726C5"/>
    <w:rsid w:val="00772718"/>
    <w:rsid w:val="007728BD"/>
    <w:rsid w:val="007728CD"/>
    <w:rsid w:val="007728E2"/>
    <w:rsid w:val="00772943"/>
    <w:rsid w:val="00772974"/>
    <w:rsid w:val="00772979"/>
    <w:rsid w:val="007729A6"/>
    <w:rsid w:val="007729C9"/>
    <w:rsid w:val="007729CB"/>
    <w:rsid w:val="00772A09"/>
    <w:rsid w:val="00772A64"/>
    <w:rsid w:val="00772ACA"/>
    <w:rsid w:val="00772B8A"/>
    <w:rsid w:val="00772BAC"/>
    <w:rsid w:val="00772BF1"/>
    <w:rsid w:val="00772C6D"/>
    <w:rsid w:val="00772C77"/>
    <w:rsid w:val="00772CEA"/>
    <w:rsid w:val="00772D01"/>
    <w:rsid w:val="00772DCC"/>
    <w:rsid w:val="00772E39"/>
    <w:rsid w:val="00772E5D"/>
    <w:rsid w:val="00772E71"/>
    <w:rsid w:val="00772F55"/>
    <w:rsid w:val="00772F6E"/>
    <w:rsid w:val="00772F8E"/>
    <w:rsid w:val="00772FCE"/>
    <w:rsid w:val="0077304C"/>
    <w:rsid w:val="007730CE"/>
    <w:rsid w:val="007730ED"/>
    <w:rsid w:val="00773156"/>
    <w:rsid w:val="0077325E"/>
    <w:rsid w:val="0077327B"/>
    <w:rsid w:val="007732CD"/>
    <w:rsid w:val="007732D4"/>
    <w:rsid w:val="00773310"/>
    <w:rsid w:val="007733C9"/>
    <w:rsid w:val="00773418"/>
    <w:rsid w:val="0077345E"/>
    <w:rsid w:val="00773479"/>
    <w:rsid w:val="0077347B"/>
    <w:rsid w:val="0077357C"/>
    <w:rsid w:val="007735D4"/>
    <w:rsid w:val="00773632"/>
    <w:rsid w:val="007736AC"/>
    <w:rsid w:val="00773701"/>
    <w:rsid w:val="00773735"/>
    <w:rsid w:val="007738E4"/>
    <w:rsid w:val="007739F5"/>
    <w:rsid w:val="00773AA5"/>
    <w:rsid w:val="00773AE8"/>
    <w:rsid w:val="00773AED"/>
    <w:rsid w:val="00773AFC"/>
    <w:rsid w:val="00773BB3"/>
    <w:rsid w:val="00773BEC"/>
    <w:rsid w:val="00773C35"/>
    <w:rsid w:val="00773D15"/>
    <w:rsid w:val="00773D85"/>
    <w:rsid w:val="00773DA3"/>
    <w:rsid w:val="00773DBD"/>
    <w:rsid w:val="00773DE4"/>
    <w:rsid w:val="00773DFC"/>
    <w:rsid w:val="00773E9C"/>
    <w:rsid w:val="00773EA4"/>
    <w:rsid w:val="00773EE2"/>
    <w:rsid w:val="00773F2E"/>
    <w:rsid w:val="00773F50"/>
    <w:rsid w:val="00773FFA"/>
    <w:rsid w:val="00774005"/>
    <w:rsid w:val="0077410A"/>
    <w:rsid w:val="0077417F"/>
    <w:rsid w:val="007741D8"/>
    <w:rsid w:val="007741F1"/>
    <w:rsid w:val="0077424C"/>
    <w:rsid w:val="007742A7"/>
    <w:rsid w:val="00774320"/>
    <w:rsid w:val="00774368"/>
    <w:rsid w:val="007743B8"/>
    <w:rsid w:val="007743FB"/>
    <w:rsid w:val="0077444D"/>
    <w:rsid w:val="007744C0"/>
    <w:rsid w:val="00774542"/>
    <w:rsid w:val="0077454E"/>
    <w:rsid w:val="007745AA"/>
    <w:rsid w:val="007745B6"/>
    <w:rsid w:val="007745E2"/>
    <w:rsid w:val="00774603"/>
    <w:rsid w:val="007746B7"/>
    <w:rsid w:val="00774781"/>
    <w:rsid w:val="007747B6"/>
    <w:rsid w:val="007747E1"/>
    <w:rsid w:val="00774940"/>
    <w:rsid w:val="00774997"/>
    <w:rsid w:val="007749A0"/>
    <w:rsid w:val="007749C9"/>
    <w:rsid w:val="00774A24"/>
    <w:rsid w:val="00774A38"/>
    <w:rsid w:val="00774A3B"/>
    <w:rsid w:val="00774A3E"/>
    <w:rsid w:val="00774A72"/>
    <w:rsid w:val="00774A89"/>
    <w:rsid w:val="00774AF4"/>
    <w:rsid w:val="00774B14"/>
    <w:rsid w:val="00774B6B"/>
    <w:rsid w:val="00774BAE"/>
    <w:rsid w:val="00774BD2"/>
    <w:rsid w:val="00774C81"/>
    <w:rsid w:val="00774CD7"/>
    <w:rsid w:val="00774DEE"/>
    <w:rsid w:val="00774FBF"/>
    <w:rsid w:val="00774FE3"/>
    <w:rsid w:val="00775163"/>
    <w:rsid w:val="007751B2"/>
    <w:rsid w:val="007751D3"/>
    <w:rsid w:val="00775257"/>
    <w:rsid w:val="007752A9"/>
    <w:rsid w:val="007752BE"/>
    <w:rsid w:val="007752F9"/>
    <w:rsid w:val="0077533A"/>
    <w:rsid w:val="007753CB"/>
    <w:rsid w:val="0077547A"/>
    <w:rsid w:val="00775581"/>
    <w:rsid w:val="007755F5"/>
    <w:rsid w:val="00775624"/>
    <w:rsid w:val="00775656"/>
    <w:rsid w:val="007756D4"/>
    <w:rsid w:val="007756D5"/>
    <w:rsid w:val="0077575D"/>
    <w:rsid w:val="007757BD"/>
    <w:rsid w:val="0077588A"/>
    <w:rsid w:val="0077588C"/>
    <w:rsid w:val="007758E2"/>
    <w:rsid w:val="0077596F"/>
    <w:rsid w:val="007759CA"/>
    <w:rsid w:val="00775A0C"/>
    <w:rsid w:val="00775AB1"/>
    <w:rsid w:val="00775ABA"/>
    <w:rsid w:val="00775B9C"/>
    <w:rsid w:val="00775BAD"/>
    <w:rsid w:val="00775BE9"/>
    <w:rsid w:val="00775BF8"/>
    <w:rsid w:val="00775C2F"/>
    <w:rsid w:val="00775C87"/>
    <w:rsid w:val="00775D5D"/>
    <w:rsid w:val="00775E38"/>
    <w:rsid w:val="0077601F"/>
    <w:rsid w:val="00776055"/>
    <w:rsid w:val="007760B2"/>
    <w:rsid w:val="0077610C"/>
    <w:rsid w:val="00776191"/>
    <w:rsid w:val="00776199"/>
    <w:rsid w:val="00776299"/>
    <w:rsid w:val="0077629D"/>
    <w:rsid w:val="007763A4"/>
    <w:rsid w:val="007763BA"/>
    <w:rsid w:val="007763DC"/>
    <w:rsid w:val="00776436"/>
    <w:rsid w:val="007764FC"/>
    <w:rsid w:val="00776502"/>
    <w:rsid w:val="0077652F"/>
    <w:rsid w:val="0077657B"/>
    <w:rsid w:val="007765B2"/>
    <w:rsid w:val="00776601"/>
    <w:rsid w:val="00776626"/>
    <w:rsid w:val="007766F8"/>
    <w:rsid w:val="007767B1"/>
    <w:rsid w:val="0077683E"/>
    <w:rsid w:val="00776842"/>
    <w:rsid w:val="0077685E"/>
    <w:rsid w:val="00776877"/>
    <w:rsid w:val="00776880"/>
    <w:rsid w:val="007768B2"/>
    <w:rsid w:val="007768EB"/>
    <w:rsid w:val="00776969"/>
    <w:rsid w:val="00776990"/>
    <w:rsid w:val="00776A43"/>
    <w:rsid w:val="00776AD6"/>
    <w:rsid w:val="00776AF2"/>
    <w:rsid w:val="00776AF7"/>
    <w:rsid w:val="00776B18"/>
    <w:rsid w:val="00776D08"/>
    <w:rsid w:val="00776D19"/>
    <w:rsid w:val="00776D5D"/>
    <w:rsid w:val="00776D91"/>
    <w:rsid w:val="00776DF9"/>
    <w:rsid w:val="00776E23"/>
    <w:rsid w:val="00776E82"/>
    <w:rsid w:val="00776EEA"/>
    <w:rsid w:val="00776F22"/>
    <w:rsid w:val="00776F23"/>
    <w:rsid w:val="00776F39"/>
    <w:rsid w:val="00776FCE"/>
    <w:rsid w:val="00776FD9"/>
    <w:rsid w:val="00776FF1"/>
    <w:rsid w:val="0077703A"/>
    <w:rsid w:val="007770F8"/>
    <w:rsid w:val="00777113"/>
    <w:rsid w:val="00777182"/>
    <w:rsid w:val="007771F6"/>
    <w:rsid w:val="007771F7"/>
    <w:rsid w:val="00777204"/>
    <w:rsid w:val="00777231"/>
    <w:rsid w:val="0077723E"/>
    <w:rsid w:val="00777242"/>
    <w:rsid w:val="0077732C"/>
    <w:rsid w:val="00777392"/>
    <w:rsid w:val="0077743C"/>
    <w:rsid w:val="007774D4"/>
    <w:rsid w:val="00777551"/>
    <w:rsid w:val="007775C4"/>
    <w:rsid w:val="007775E7"/>
    <w:rsid w:val="0077765C"/>
    <w:rsid w:val="007776C3"/>
    <w:rsid w:val="007776E7"/>
    <w:rsid w:val="00777701"/>
    <w:rsid w:val="00777719"/>
    <w:rsid w:val="00777723"/>
    <w:rsid w:val="00777831"/>
    <w:rsid w:val="0077787F"/>
    <w:rsid w:val="0077790E"/>
    <w:rsid w:val="007779C2"/>
    <w:rsid w:val="007779F4"/>
    <w:rsid w:val="00777A2B"/>
    <w:rsid w:val="00777A55"/>
    <w:rsid w:val="00777A8D"/>
    <w:rsid w:val="00777C48"/>
    <w:rsid w:val="00777C65"/>
    <w:rsid w:val="00777C8C"/>
    <w:rsid w:val="00777C9C"/>
    <w:rsid w:val="00777D36"/>
    <w:rsid w:val="00777D98"/>
    <w:rsid w:val="00777DFB"/>
    <w:rsid w:val="00777E07"/>
    <w:rsid w:val="00777E3F"/>
    <w:rsid w:val="00777E7C"/>
    <w:rsid w:val="00777E85"/>
    <w:rsid w:val="00777E9C"/>
    <w:rsid w:val="00777EBC"/>
    <w:rsid w:val="00777F0D"/>
    <w:rsid w:val="00777F28"/>
    <w:rsid w:val="00777F54"/>
    <w:rsid w:val="00777F69"/>
    <w:rsid w:val="00777F8B"/>
    <w:rsid w:val="00777FA5"/>
    <w:rsid w:val="00780009"/>
    <w:rsid w:val="0078001D"/>
    <w:rsid w:val="0078006A"/>
    <w:rsid w:val="0078013A"/>
    <w:rsid w:val="0078019E"/>
    <w:rsid w:val="007801A5"/>
    <w:rsid w:val="0078023B"/>
    <w:rsid w:val="00780241"/>
    <w:rsid w:val="00780266"/>
    <w:rsid w:val="0078026E"/>
    <w:rsid w:val="007802BC"/>
    <w:rsid w:val="007802C9"/>
    <w:rsid w:val="007802D2"/>
    <w:rsid w:val="0078033B"/>
    <w:rsid w:val="00780367"/>
    <w:rsid w:val="0078043B"/>
    <w:rsid w:val="00780454"/>
    <w:rsid w:val="00780511"/>
    <w:rsid w:val="0078056D"/>
    <w:rsid w:val="0078058C"/>
    <w:rsid w:val="007806AE"/>
    <w:rsid w:val="007806B0"/>
    <w:rsid w:val="007806BE"/>
    <w:rsid w:val="0078074E"/>
    <w:rsid w:val="0078078F"/>
    <w:rsid w:val="007807A9"/>
    <w:rsid w:val="007807B7"/>
    <w:rsid w:val="0078085F"/>
    <w:rsid w:val="007808B9"/>
    <w:rsid w:val="00780949"/>
    <w:rsid w:val="00780983"/>
    <w:rsid w:val="0078098C"/>
    <w:rsid w:val="00780A21"/>
    <w:rsid w:val="00780A2A"/>
    <w:rsid w:val="00780A87"/>
    <w:rsid w:val="00780BB6"/>
    <w:rsid w:val="00780BF6"/>
    <w:rsid w:val="00780C13"/>
    <w:rsid w:val="00780CDA"/>
    <w:rsid w:val="00780D71"/>
    <w:rsid w:val="00780DAB"/>
    <w:rsid w:val="00780DF8"/>
    <w:rsid w:val="00780EA9"/>
    <w:rsid w:val="00780EB1"/>
    <w:rsid w:val="00780ED5"/>
    <w:rsid w:val="00780EE5"/>
    <w:rsid w:val="00780FD1"/>
    <w:rsid w:val="0078108C"/>
    <w:rsid w:val="007810EA"/>
    <w:rsid w:val="007810FB"/>
    <w:rsid w:val="00781181"/>
    <w:rsid w:val="007811A7"/>
    <w:rsid w:val="007811B3"/>
    <w:rsid w:val="007811CE"/>
    <w:rsid w:val="00781209"/>
    <w:rsid w:val="00781295"/>
    <w:rsid w:val="00781590"/>
    <w:rsid w:val="007815B1"/>
    <w:rsid w:val="007815C5"/>
    <w:rsid w:val="00781606"/>
    <w:rsid w:val="0078164E"/>
    <w:rsid w:val="007816A6"/>
    <w:rsid w:val="007816DC"/>
    <w:rsid w:val="00781753"/>
    <w:rsid w:val="00781789"/>
    <w:rsid w:val="00781800"/>
    <w:rsid w:val="0078187C"/>
    <w:rsid w:val="00781A8E"/>
    <w:rsid w:val="00781AB7"/>
    <w:rsid w:val="00781AD2"/>
    <w:rsid w:val="00781B1B"/>
    <w:rsid w:val="00781B97"/>
    <w:rsid w:val="00781BE8"/>
    <w:rsid w:val="00781C63"/>
    <w:rsid w:val="00781C70"/>
    <w:rsid w:val="00781CE1"/>
    <w:rsid w:val="00781D03"/>
    <w:rsid w:val="00781DD2"/>
    <w:rsid w:val="00781E7A"/>
    <w:rsid w:val="00781E8A"/>
    <w:rsid w:val="00781E8B"/>
    <w:rsid w:val="00781EE4"/>
    <w:rsid w:val="00781F70"/>
    <w:rsid w:val="0078200B"/>
    <w:rsid w:val="007820C2"/>
    <w:rsid w:val="007820E1"/>
    <w:rsid w:val="00782100"/>
    <w:rsid w:val="00782147"/>
    <w:rsid w:val="00782164"/>
    <w:rsid w:val="007821D2"/>
    <w:rsid w:val="0078229A"/>
    <w:rsid w:val="007822F5"/>
    <w:rsid w:val="0078238B"/>
    <w:rsid w:val="0078239F"/>
    <w:rsid w:val="007824A4"/>
    <w:rsid w:val="00782555"/>
    <w:rsid w:val="007825E9"/>
    <w:rsid w:val="007826E7"/>
    <w:rsid w:val="007826F2"/>
    <w:rsid w:val="00782701"/>
    <w:rsid w:val="00782717"/>
    <w:rsid w:val="00782736"/>
    <w:rsid w:val="0078276E"/>
    <w:rsid w:val="007827C4"/>
    <w:rsid w:val="00782857"/>
    <w:rsid w:val="0078288B"/>
    <w:rsid w:val="007828B4"/>
    <w:rsid w:val="007828C2"/>
    <w:rsid w:val="00782910"/>
    <w:rsid w:val="00782955"/>
    <w:rsid w:val="007829AF"/>
    <w:rsid w:val="007829FC"/>
    <w:rsid w:val="00782A0B"/>
    <w:rsid w:val="00782A2C"/>
    <w:rsid w:val="00782A59"/>
    <w:rsid w:val="00782AF7"/>
    <w:rsid w:val="00782B02"/>
    <w:rsid w:val="00782B14"/>
    <w:rsid w:val="00782E60"/>
    <w:rsid w:val="00782E99"/>
    <w:rsid w:val="00782EFB"/>
    <w:rsid w:val="00782F76"/>
    <w:rsid w:val="00782FAC"/>
    <w:rsid w:val="00783067"/>
    <w:rsid w:val="00783088"/>
    <w:rsid w:val="00783110"/>
    <w:rsid w:val="0078316B"/>
    <w:rsid w:val="00783232"/>
    <w:rsid w:val="00783262"/>
    <w:rsid w:val="0078327A"/>
    <w:rsid w:val="007833DA"/>
    <w:rsid w:val="00783402"/>
    <w:rsid w:val="0078352E"/>
    <w:rsid w:val="00783538"/>
    <w:rsid w:val="00783549"/>
    <w:rsid w:val="0078357C"/>
    <w:rsid w:val="00783609"/>
    <w:rsid w:val="00783616"/>
    <w:rsid w:val="0078364C"/>
    <w:rsid w:val="007836AE"/>
    <w:rsid w:val="007837A9"/>
    <w:rsid w:val="007837F4"/>
    <w:rsid w:val="00783815"/>
    <w:rsid w:val="00783847"/>
    <w:rsid w:val="00783853"/>
    <w:rsid w:val="007838A1"/>
    <w:rsid w:val="00783940"/>
    <w:rsid w:val="00783A0C"/>
    <w:rsid w:val="00783B3A"/>
    <w:rsid w:val="00783B72"/>
    <w:rsid w:val="00783BAF"/>
    <w:rsid w:val="00783C17"/>
    <w:rsid w:val="00783C20"/>
    <w:rsid w:val="00783DC8"/>
    <w:rsid w:val="00783DE1"/>
    <w:rsid w:val="00783E33"/>
    <w:rsid w:val="00783FD0"/>
    <w:rsid w:val="00784032"/>
    <w:rsid w:val="0078403A"/>
    <w:rsid w:val="007840C5"/>
    <w:rsid w:val="007840E4"/>
    <w:rsid w:val="0078417C"/>
    <w:rsid w:val="00784184"/>
    <w:rsid w:val="007841B4"/>
    <w:rsid w:val="007842EC"/>
    <w:rsid w:val="007844F5"/>
    <w:rsid w:val="00784506"/>
    <w:rsid w:val="00784555"/>
    <w:rsid w:val="007847A3"/>
    <w:rsid w:val="007847A6"/>
    <w:rsid w:val="007847C7"/>
    <w:rsid w:val="007847E5"/>
    <w:rsid w:val="00784812"/>
    <w:rsid w:val="0078491B"/>
    <w:rsid w:val="00784940"/>
    <w:rsid w:val="0078498C"/>
    <w:rsid w:val="0078498F"/>
    <w:rsid w:val="00784A09"/>
    <w:rsid w:val="00784A1A"/>
    <w:rsid w:val="00784AEE"/>
    <w:rsid w:val="00784B00"/>
    <w:rsid w:val="00784C74"/>
    <w:rsid w:val="00784DB7"/>
    <w:rsid w:val="00784E43"/>
    <w:rsid w:val="00784FD5"/>
    <w:rsid w:val="0078506D"/>
    <w:rsid w:val="0078511A"/>
    <w:rsid w:val="007851B9"/>
    <w:rsid w:val="00785291"/>
    <w:rsid w:val="007852C6"/>
    <w:rsid w:val="00785368"/>
    <w:rsid w:val="00785375"/>
    <w:rsid w:val="00785394"/>
    <w:rsid w:val="00785424"/>
    <w:rsid w:val="0078548A"/>
    <w:rsid w:val="007854E7"/>
    <w:rsid w:val="0078558D"/>
    <w:rsid w:val="007855EF"/>
    <w:rsid w:val="00785709"/>
    <w:rsid w:val="00785717"/>
    <w:rsid w:val="00785751"/>
    <w:rsid w:val="007857BC"/>
    <w:rsid w:val="007857DF"/>
    <w:rsid w:val="007858E2"/>
    <w:rsid w:val="007858E9"/>
    <w:rsid w:val="00785971"/>
    <w:rsid w:val="007859F5"/>
    <w:rsid w:val="00785A0B"/>
    <w:rsid w:val="00785A73"/>
    <w:rsid w:val="00785B78"/>
    <w:rsid w:val="00785BD9"/>
    <w:rsid w:val="00785BE7"/>
    <w:rsid w:val="00785C10"/>
    <w:rsid w:val="00785C8D"/>
    <w:rsid w:val="00785CB9"/>
    <w:rsid w:val="00785D8B"/>
    <w:rsid w:val="00785E17"/>
    <w:rsid w:val="00785E1B"/>
    <w:rsid w:val="00785E95"/>
    <w:rsid w:val="00785EB3"/>
    <w:rsid w:val="00785ED8"/>
    <w:rsid w:val="00785F35"/>
    <w:rsid w:val="00785F3C"/>
    <w:rsid w:val="00785F4D"/>
    <w:rsid w:val="00785FA1"/>
    <w:rsid w:val="00785FB4"/>
    <w:rsid w:val="00785FCC"/>
    <w:rsid w:val="00785FEA"/>
    <w:rsid w:val="00786163"/>
    <w:rsid w:val="00786171"/>
    <w:rsid w:val="00786172"/>
    <w:rsid w:val="007861DC"/>
    <w:rsid w:val="00786200"/>
    <w:rsid w:val="00786266"/>
    <w:rsid w:val="007862BD"/>
    <w:rsid w:val="0078631A"/>
    <w:rsid w:val="007863A8"/>
    <w:rsid w:val="0078641D"/>
    <w:rsid w:val="0078644E"/>
    <w:rsid w:val="0078645E"/>
    <w:rsid w:val="0078649F"/>
    <w:rsid w:val="007864F6"/>
    <w:rsid w:val="00786521"/>
    <w:rsid w:val="007865ED"/>
    <w:rsid w:val="0078667E"/>
    <w:rsid w:val="00786719"/>
    <w:rsid w:val="007869BC"/>
    <w:rsid w:val="00786A30"/>
    <w:rsid w:val="00786A8F"/>
    <w:rsid w:val="00786A9F"/>
    <w:rsid w:val="00786B25"/>
    <w:rsid w:val="00786B34"/>
    <w:rsid w:val="00786B9A"/>
    <w:rsid w:val="00786BF5"/>
    <w:rsid w:val="00786C57"/>
    <w:rsid w:val="00786D05"/>
    <w:rsid w:val="00786D46"/>
    <w:rsid w:val="00786DE1"/>
    <w:rsid w:val="00786E96"/>
    <w:rsid w:val="00787054"/>
    <w:rsid w:val="007870A1"/>
    <w:rsid w:val="007870A8"/>
    <w:rsid w:val="007870BC"/>
    <w:rsid w:val="0078716B"/>
    <w:rsid w:val="007871B9"/>
    <w:rsid w:val="007871BE"/>
    <w:rsid w:val="0078727B"/>
    <w:rsid w:val="00787291"/>
    <w:rsid w:val="00787296"/>
    <w:rsid w:val="007872E6"/>
    <w:rsid w:val="00787448"/>
    <w:rsid w:val="0078746D"/>
    <w:rsid w:val="00787503"/>
    <w:rsid w:val="007875ED"/>
    <w:rsid w:val="0078767B"/>
    <w:rsid w:val="0078770B"/>
    <w:rsid w:val="00787779"/>
    <w:rsid w:val="0078777E"/>
    <w:rsid w:val="007877C1"/>
    <w:rsid w:val="00787817"/>
    <w:rsid w:val="00787849"/>
    <w:rsid w:val="007878ED"/>
    <w:rsid w:val="007878FE"/>
    <w:rsid w:val="00787944"/>
    <w:rsid w:val="007879E3"/>
    <w:rsid w:val="00787A1F"/>
    <w:rsid w:val="00787AA7"/>
    <w:rsid w:val="00787B0E"/>
    <w:rsid w:val="00787B21"/>
    <w:rsid w:val="00787B32"/>
    <w:rsid w:val="00787B56"/>
    <w:rsid w:val="00787B5D"/>
    <w:rsid w:val="00787B93"/>
    <w:rsid w:val="00787C0B"/>
    <w:rsid w:val="00787C4C"/>
    <w:rsid w:val="00787C60"/>
    <w:rsid w:val="00787D0E"/>
    <w:rsid w:val="00787D43"/>
    <w:rsid w:val="00787DF7"/>
    <w:rsid w:val="00787F75"/>
    <w:rsid w:val="00787F87"/>
    <w:rsid w:val="0079003F"/>
    <w:rsid w:val="007900B4"/>
    <w:rsid w:val="007900F2"/>
    <w:rsid w:val="00790209"/>
    <w:rsid w:val="00790225"/>
    <w:rsid w:val="00790239"/>
    <w:rsid w:val="007902FB"/>
    <w:rsid w:val="00790394"/>
    <w:rsid w:val="0079039C"/>
    <w:rsid w:val="007903A0"/>
    <w:rsid w:val="007903DB"/>
    <w:rsid w:val="00790437"/>
    <w:rsid w:val="0079045C"/>
    <w:rsid w:val="0079060A"/>
    <w:rsid w:val="0079062D"/>
    <w:rsid w:val="0079063C"/>
    <w:rsid w:val="007906E8"/>
    <w:rsid w:val="00790793"/>
    <w:rsid w:val="007907EC"/>
    <w:rsid w:val="0079093F"/>
    <w:rsid w:val="007909CC"/>
    <w:rsid w:val="007909FE"/>
    <w:rsid w:val="00790A64"/>
    <w:rsid w:val="00790A6A"/>
    <w:rsid w:val="00790A6C"/>
    <w:rsid w:val="00790A75"/>
    <w:rsid w:val="00790BB7"/>
    <w:rsid w:val="00790D37"/>
    <w:rsid w:val="00790DA1"/>
    <w:rsid w:val="00790DAA"/>
    <w:rsid w:val="00790E49"/>
    <w:rsid w:val="00790FAD"/>
    <w:rsid w:val="00790FD8"/>
    <w:rsid w:val="00790FF4"/>
    <w:rsid w:val="00791004"/>
    <w:rsid w:val="0079103D"/>
    <w:rsid w:val="00791099"/>
    <w:rsid w:val="007910F0"/>
    <w:rsid w:val="007910FA"/>
    <w:rsid w:val="0079115D"/>
    <w:rsid w:val="007911A2"/>
    <w:rsid w:val="00791217"/>
    <w:rsid w:val="007912EF"/>
    <w:rsid w:val="007913FD"/>
    <w:rsid w:val="00791412"/>
    <w:rsid w:val="00791443"/>
    <w:rsid w:val="007914D7"/>
    <w:rsid w:val="00791524"/>
    <w:rsid w:val="00791596"/>
    <w:rsid w:val="0079159F"/>
    <w:rsid w:val="007915CB"/>
    <w:rsid w:val="00791703"/>
    <w:rsid w:val="00791707"/>
    <w:rsid w:val="00791755"/>
    <w:rsid w:val="007917BA"/>
    <w:rsid w:val="00791804"/>
    <w:rsid w:val="0079188F"/>
    <w:rsid w:val="00791968"/>
    <w:rsid w:val="007919B8"/>
    <w:rsid w:val="007919EC"/>
    <w:rsid w:val="00791B0E"/>
    <w:rsid w:val="00791B17"/>
    <w:rsid w:val="00791BA7"/>
    <w:rsid w:val="00791C86"/>
    <w:rsid w:val="00791CAA"/>
    <w:rsid w:val="00791CCB"/>
    <w:rsid w:val="00791CFD"/>
    <w:rsid w:val="00791D72"/>
    <w:rsid w:val="00791DD1"/>
    <w:rsid w:val="00791DEE"/>
    <w:rsid w:val="00791E15"/>
    <w:rsid w:val="00791F98"/>
    <w:rsid w:val="00791FE0"/>
    <w:rsid w:val="0079200E"/>
    <w:rsid w:val="007920E0"/>
    <w:rsid w:val="007920F5"/>
    <w:rsid w:val="0079210C"/>
    <w:rsid w:val="007921AB"/>
    <w:rsid w:val="007921DB"/>
    <w:rsid w:val="00792217"/>
    <w:rsid w:val="00792220"/>
    <w:rsid w:val="00792269"/>
    <w:rsid w:val="00792353"/>
    <w:rsid w:val="0079235D"/>
    <w:rsid w:val="00792381"/>
    <w:rsid w:val="007923C9"/>
    <w:rsid w:val="0079246F"/>
    <w:rsid w:val="00792478"/>
    <w:rsid w:val="007924B8"/>
    <w:rsid w:val="007924D9"/>
    <w:rsid w:val="00792535"/>
    <w:rsid w:val="007925AA"/>
    <w:rsid w:val="007925D4"/>
    <w:rsid w:val="007925E9"/>
    <w:rsid w:val="0079265F"/>
    <w:rsid w:val="00792668"/>
    <w:rsid w:val="007926D8"/>
    <w:rsid w:val="00792707"/>
    <w:rsid w:val="00792722"/>
    <w:rsid w:val="00792756"/>
    <w:rsid w:val="00792817"/>
    <w:rsid w:val="007928C5"/>
    <w:rsid w:val="00792914"/>
    <w:rsid w:val="00792995"/>
    <w:rsid w:val="00792B28"/>
    <w:rsid w:val="00792B3D"/>
    <w:rsid w:val="00792C05"/>
    <w:rsid w:val="00792D7B"/>
    <w:rsid w:val="00792F3B"/>
    <w:rsid w:val="00793010"/>
    <w:rsid w:val="0079311A"/>
    <w:rsid w:val="00793153"/>
    <w:rsid w:val="0079315A"/>
    <w:rsid w:val="007931D2"/>
    <w:rsid w:val="00793315"/>
    <w:rsid w:val="0079333A"/>
    <w:rsid w:val="0079336D"/>
    <w:rsid w:val="007933B3"/>
    <w:rsid w:val="007933B8"/>
    <w:rsid w:val="007933FD"/>
    <w:rsid w:val="0079357D"/>
    <w:rsid w:val="007936E3"/>
    <w:rsid w:val="0079370E"/>
    <w:rsid w:val="00793765"/>
    <w:rsid w:val="0079376B"/>
    <w:rsid w:val="007937A9"/>
    <w:rsid w:val="00793807"/>
    <w:rsid w:val="00793858"/>
    <w:rsid w:val="0079385C"/>
    <w:rsid w:val="007938AE"/>
    <w:rsid w:val="007938E9"/>
    <w:rsid w:val="007938FA"/>
    <w:rsid w:val="00793A7E"/>
    <w:rsid w:val="00793B40"/>
    <w:rsid w:val="00793B6F"/>
    <w:rsid w:val="00793B9D"/>
    <w:rsid w:val="00793C32"/>
    <w:rsid w:val="00793C34"/>
    <w:rsid w:val="00793C3D"/>
    <w:rsid w:val="00793CC1"/>
    <w:rsid w:val="00793DBB"/>
    <w:rsid w:val="00793DE8"/>
    <w:rsid w:val="00793DFC"/>
    <w:rsid w:val="00793E16"/>
    <w:rsid w:val="00793E78"/>
    <w:rsid w:val="00793EF4"/>
    <w:rsid w:val="00793F0B"/>
    <w:rsid w:val="00793FDA"/>
    <w:rsid w:val="00793FF7"/>
    <w:rsid w:val="0079403A"/>
    <w:rsid w:val="0079415B"/>
    <w:rsid w:val="00794162"/>
    <w:rsid w:val="007941D6"/>
    <w:rsid w:val="007941E0"/>
    <w:rsid w:val="00794246"/>
    <w:rsid w:val="00794249"/>
    <w:rsid w:val="0079431B"/>
    <w:rsid w:val="007943F1"/>
    <w:rsid w:val="0079442A"/>
    <w:rsid w:val="0079443B"/>
    <w:rsid w:val="007944A7"/>
    <w:rsid w:val="007944EB"/>
    <w:rsid w:val="0079455C"/>
    <w:rsid w:val="0079457D"/>
    <w:rsid w:val="00794588"/>
    <w:rsid w:val="007945EC"/>
    <w:rsid w:val="00794657"/>
    <w:rsid w:val="00794664"/>
    <w:rsid w:val="007946FA"/>
    <w:rsid w:val="00794709"/>
    <w:rsid w:val="0079471C"/>
    <w:rsid w:val="00794749"/>
    <w:rsid w:val="00794798"/>
    <w:rsid w:val="007947A3"/>
    <w:rsid w:val="00794802"/>
    <w:rsid w:val="00794875"/>
    <w:rsid w:val="00794998"/>
    <w:rsid w:val="00794A19"/>
    <w:rsid w:val="00794A21"/>
    <w:rsid w:val="00794AFE"/>
    <w:rsid w:val="00794B43"/>
    <w:rsid w:val="00794B4B"/>
    <w:rsid w:val="00794B50"/>
    <w:rsid w:val="00794B95"/>
    <w:rsid w:val="00794CA9"/>
    <w:rsid w:val="00794CE8"/>
    <w:rsid w:val="00794D06"/>
    <w:rsid w:val="00794D0C"/>
    <w:rsid w:val="00794D10"/>
    <w:rsid w:val="00794D59"/>
    <w:rsid w:val="00794D68"/>
    <w:rsid w:val="00794EC9"/>
    <w:rsid w:val="00794F3E"/>
    <w:rsid w:val="00794FE7"/>
    <w:rsid w:val="0079503E"/>
    <w:rsid w:val="00795061"/>
    <w:rsid w:val="007950BC"/>
    <w:rsid w:val="007950C1"/>
    <w:rsid w:val="00795118"/>
    <w:rsid w:val="00795142"/>
    <w:rsid w:val="0079514E"/>
    <w:rsid w:val="0079519F"/>
    <w:rsid w:val="007951A6"/>
    <w:rsid w:val="007951F1"/>
    <w:rsid w:val="00795216"/>
    <w:rsid w:val="0079527F"/>
    <w:rsid w:val="007952FF"/>
    <w:rsid w:val="00795324"/>
    <w:rsid w:val="00795373"/>
    <w:rsid w:val="0079547C"/>
    <w:rsid w:val="007956F3"/>
    <w:rsid w:val="0079579A"/>
    <w:rsid w:val="00795815"/>
    <w:rsid w:val="007958FD"/>
    <w:rsid w:val="00795912"/>
    <w:rsid w:val="0079592E"/>
    <w:rsid w:val="007959FA"/>
    <w:rsid w:val="00795AA1"/>
    <w:rsid w:val="00795AA4"/>
    <w:rsid w:val="00795ABD"/>
    <w:rsid w:val="00795AC4"/>
    <w:rsid w:val="00795B2A"/>
    <w:rsid w:val="00795B56"/>
    <w:rsid w:val="00795B59"/>
    <w:rsid w:val="00795B9D"/>
    <w:rsid w:val="00795C53"/>
    <w:rsid w:val="00795CAD"/>
    <w:rsid w:val="00795CC9"/>
    <w:rsid w:val="00795D1D"/>
    <w:rsid w:val="00795DA2"/>
    <w:rsid w:val="00795E05"/>
    <w:rsid w:val="00795E5F"/>
    <w:rsid w:val="00795F8A"/>
    <w:rsid w:val="007960F5"/>
    <w:rsid w:val="007961C3"/>
    <w:rsid w:val="007961EB"/>
    <w:rsid w:val="007962AE"/>
    <w:rsid w:val="007962C1"/>
    <w:rsid w:val="007962CA"/>
    <w:rsid w:val="0079632A"/>
    <w:rsid w:val="0079635D"/>
    <w:rsid w:val="0079637D"/>
    <w:rsid w:val="007963AA"/>
    <w:rsid w:val="0079644E"/>
    <w:rsid w:val="00796469"/>
    <w:rsid w:val="0079647C"/>
    <w:rsid w:val="007964D3"/>
    <w:rsid w:val="007964E5"/>
    <w:rsid w:val="00796569"/>
    <w:rsid w:val="007965D9"/>
    <w:rsid w:val="007965DA"/>
    <w:rsid w:val="00796605"/>
    <w:rsid w:val="0079661D"/>
    <w:rsid w:val="0079665D"/>
    <w:rsid w:val="007966CD"/>
    <w:rsid w:val="00796745"/>
    <w:rsid w:val="00796754"/>
    <w:rsid w:val="00796786"/>
    <w:rsid w:val="007967D6"/>
    <w:rsid w:val="007967F6"/>
    <w:rsid w:val="00796818"/>
    <w:rsid w:val="0079683B"/>
    <w:rsid w:val="00796876"/>
    <w:rsid w:val="0079689D"/>
    <w:rsid w:val="007968C7"/>
    <w:rsid w:val="0079699F"/>
    <w:rsid w:val="007969A4"/>
    <w:rsid w:val="007969B6"/>
    <w:rsid w:val="007969BF"/>
    <w:rsid w:val="00796A0B"/>
    <w:rsid w:val="00796BB2"/>
    <w:rsid w:val="00796CA4"/>
    <w:rsid w:val="00796CF9"/>
    <w:rsid w:val="00796CFA"/>
    <w:rsid w:val="00796D1B"/>
    <w:rsid w:val="00796D7C"/>
    <w:rsid w:val="00796E3D"/>
    <w:rsid w:val="00796E44"/>
    <w:rsid w:val="00796E56"/>
    <w:rsid w:val="00796EF7"/>
    <w:rsid w:val="00796F14"/>
    <w:rsid w:val="00797086"/>
    <w:rsid w:val="00797224"/>
    <w:rsid w:val="00797247"/>
    <w:rsid w:val="0079725F"/>
    <w:rsid w:val="00797298"/>
    <w:rsid w:val="007972C3"/>
    <w:rsid w:val="007972E7"/>
    <w:rsid w:val="007973F1"/>
    <w:rsid w:val="007973F4"/>
    <w:rsid w:val="00797470"/>
    <w:rsid w:val="0079755E"/>
    <w:rsid w:val="0079756C"/>
    <w:rsid w:val="007975BA"/>
    <w:rsid w:val="0079764C"/>
    <w:rsid w:val="00797790"/>
    <w:rsid w:val="007977CD"/>
    <w:rsid w:val="0079780A"/>
    <w:rsid w:val="00797858"/>
    <w:rsid w:val="007978FA"/>
    <w:rsid w:val="00797921"/>
    <w:rsid w:val="00797989"/>
    <w:rsid w:val="00797995"/>
    <w:rsid w:val="00797998"/>
    <w:rsid w:val="0079799D"/>
    <w:rsid w:val="00797A5D"/>
    <w:rsid w:val="00797BBC"/>
    <w:rsid w:val="00797D8F"/>
    <w:rsid w:val="00797E7D"/>
    <w:rsid w:val="00797E83"/>
    <w:rsid w:val="00797EC2"/>
    <w:rsid w:val="00797EDA"/>
    <w:rsid w:val="00797EE1"/>
    <w:rsid w:val="00797F37"/>
    <w:rsid w:val="007A006B"/>
    <w:rsid w:val="007A010C"/>
    <w:rsid w:val="007A0163"/>
    <w:rsid w:val="007A017E"/>
    <w:rsid w:val="007A019F"/>
    <w:rsid w:val="007A01D4"/>
    <w:rsid w:val="007A0276"/>
    <w:rsid w:val="007A034D"/>
    <w:rsid w:val="007A035D"/>
    <w:rsid w:val="007A03AA"/>
    <w:rsid w:val="007A03CA"/>
    <w:rsid w:val="007A03F1"/>
    <w:rsid w:val="007A03FB"/>
    <w:rsid w:val="007A04A5"/>
    <w:rsid w:val="007A0586"/>
    <w:rsid w:val="007A0590"/>
    <w:rsid w:val="007A05E9"/>
    <w:rsid w:val="007A0602"/>
    <w:rsid w:val="007A068B"/>
    <w:rsid w:val="007A0697"/>
    <w:rsid w:val="007A07DE"/>
    <w:rsid w:val="007A07E5"/>
    <w:rsid w:val="007A084E"/>
    <w:rsid w:val="007A08E8"/>
    <w:rsid w:val="007A091C"/>
    <w:rsid w:val="007A097E"/>
    <w:rsid w:val="007A09CA"/>
    <w:rsid w:val="007A0ACF"/>
    <w:rsid w:val="007A0AEE"/>
    <w:rsid w:val="007A0B3F"/>
    <w:rsid w:val="007A0B40"/>
    <w:rsid w:val="007A0B53"/>
    <w:rsid w:val="007A0BC0"/>
    <w:rsid w:val="007A0BE9"/>
    <w:rsid w:val="007A0C46"/>
    <w:rsid w:val="007A0C5C"/>
    <w:rsid w:val="007A0D45"/>
    <w:rsid w:val="007A0D5B"/>
    <w:rsid w:val="007A0E01"/>
    <w:rsid w:val="007A0E81"/>
    <w:rsid w:val="007A0E8E"/>
    <w:rsid w:val="007A0F5A"/>
    <w:rsid w:val="007A0FCC"/>
    <w:rsid w:val="007A0FEE"/>
    <w:rsid w:val="007A102C"/>
    <w:rsid w:val="007A1074"/>
    <w:rsid w:val="007A1082"/>
    <w:rsid w:val="007A10D0"/>
    <w:rsid w:val="007A1106"/>
    <w:rsid w:val="007A118A"/>
    <w:rsid w:val="007A11AC"/>
    <w:rsid w:val="007A11D2"/>
    <w:rsid w:val="007A11F1"/>
    <w:rsid w:val="007A13F1"/>
    <w:rsid w:val="007A14A9"/>
    <w:rsid w:val="007A15C9"/>
    <w:rsid w:val="007A15CC"/>
    <w:rsid w:val="007A1648"/>
    <w:rsid w:val="007A1701"/>
    <w:rsid w:val="007A17AE"/>
    <w:rsid w:val="007A17C3"/>
    <w:rsid w:val="007A1827"/>
    <w:rsid w:val="007A187B"/>
    <w:rsid w:val="007A187E"/>
    <w:rsid w:val="007A18AF"/>
    <w:rsid w:val="007A18B4"/>
    <w:rsid w:val="007A1915"/>
    <w:rsid w:val="007A19B6"/>
    <w:rsid w:val="007A19EC"/>
    <w:rsid w:val="007A1A14"/>
    <w:rsid w:val="007A1A2F"/>
    <w:rsid w:val="007A1A54"/>
    <w:rsid w:val="007A1A6A"/>
    <w:rsid w:val="007A1A8A"/>
    <w:rsid w:val="007A1B65"/>
    <w:rsid w:val="007A1C4D"/>
    <w:rsid w:val="007A1C6A"/>
    <w:rsid w:val="007A1DE0"/>
    <w:rsid w:val="007A1E36"/>
    <w:rsid w:val="007A1E93"/>
    <w:rsid w:val="007A1ED1"/>
    <w:rsid w:val="007A1F35"/>
    <w:rsid w:val="007A1FFC"/>
    <w:rsid w:val="007A2025"/>
    <w:rsid w:val="007A2044"/>
    <w:rsid w:val="007A2054"/>
    <w:rsid w:val="007A20F0"/>
    <w:rsid w:val="007A211B"/>
    <w:rsid w:val="007A2152"/>
    <w:rsid w:val="007A2189"/>
    <w:rsid w:val="007A2288"/>
    <w:rsid w:val="007A234A"/>
    <w:rsid w:val="007A23E5"/>
    <w:rsid w:val="007A2470"/>
    <w:rsid w:val="007A2474"/>
    <w:rsid w:val="007A247F"/>
    <w:rsid w:val="007A24C8"/>
    <w:rsid w:val="007A25ED"/>
    <w:rsid w:val="007A266F"/>
    <w:rsid w:val="007A26BC"/>
    <w:rsid w:val="007A26D3"/>
    <w:rsid w:val="007A2788"/>
    <w:rsid w:val="007A27B0"/>
    <w:rsid w:val="007A27D2"/>
    <w:rsid w:val="007A27D4"/>
    <w:rsid w:val="007A2858"/>
    <w:rsid w:val="007A2863"/>
    <w:rsid w:val="007A28C9"/>
    <w:rsid w:val="007A292C"/>
    <w:rsid w:val="007A292E"/>
    <w:rsid w:val="007A29C3"/>
    <w:rsid w:val="007A2B1E"/>
    <w:rsid w:val="007A2B54"/>
    <w:rsid w:val="007A2B58"/>
    <w:rsid w:val="007A2B79"/>
    <w:rsid w:val="007A2BD9"/>
    <w:rsid w:val="007A2BF8"/>
    <w:rsid w:val="007A2CA6"/>
    <w:rsid w:val="007A2CC4"/>
    <w:rsid w:val="007A2D82"/>
    <w:rsid w:val="007A2E27"/>
    <w:rsid w:val="007A2E95"/>
    <w:rsid w:val="007A2EB9"/>
    <w:rsid w:val="007A2F47"/>
    <w:rsid w:val="007A2FB0"/>
    <w:rsid w:val="007A2FB9"/>
    <w:rsid w:val="007A2FCD"/>
    <w:rsid w:val="007A30B2"/>
    <w:rsid w:val="007A30E4"/>
    <w:rsid w:val="007A311E"/>
    <w:rsid w:val="007A3143"/>
    <w:rsid w:val="007A3155"/>
    <w:rsid w:val="007A3171"/>
    <w:rsid w:val="007A31D8"/>
    <w:rsid w:val="007A32FF"/>
    <w:rsid w:val="007A333A"/>
    <w:rsid w:val="007A33A8"/>
    <w:rsid w:val="007A33B4"/>
    <w:rsid w:val="007A33CD"/>
    <w:rsid w:val="007A33FD"/>
    <w:rsid w:val="007A3405"/>
    <w:rsid w:val="007A348E"/>
    <w:rsid w:val="007A34CB"/>
    <w:rsid w:val="007A3508"/>
    <w:rsid w:val="007A355D"/>
    <w:rsid w:val="007A35A2"/>
    <w:rsid w:val="007A35FA"/>
    <w:rsid w:val="007A36F6"/>
    <w:rsid w:val="007A3709"/>
    <w:rsid w:val="007A3746"/>
    <w:rsid w:val="007A38D8"/>
    <w:rsid w:val="007A38E6"/>
    <w:rsid w:val="007A38F1"/>
    <w:rsid w:val="007A391E"/>
    <w:rsid w:val="007A3926"/>
    <w:rsid w:val="007A3941"/>
    <w:rsid w:val="007A3966"/>
    <w:rsid w:val="007A3988"/>
    <w:rsid w:val="007A39CD"/>
    <w:rsid w:val="007A3A30"/>
    <w:rsid w:val="007A3B66"/>
    <w:rsid w:val="007A3BD8"/>
    <w:rsid w:val="007A3C02"/>
    <w:rsid w:val="007A3C3E"/>
    <w:rsid w:val="007A3C41"/>
    <w:rsid w:val="007A3C48"/>
    <w:rsid w:val="007A3C7F"/>
    <w:rsid w:val="007A3C91"/>
    <w:rsid w:val="007A3CAF"/>
    <w:rsid w:val="007A3CF6"/>
    <w:rsid w:val="007A3D1C"/>
    <w:rsid w:val="007A3D42"/>
    <w:rsid w:val="007A3E08"/>
    <w:rsid w:val="007A3E0B"/>
    <w:rsid w:val="007A3E2A"/>
    <w:rsid w:val="007A3E7F"/>
    <w:rsid w:val="007A3EA2"/>
    <w:rsid w:val="007A3EB3"/>
    <w:rsid w:val="007A404F"/>
    <w:rsid w:val="007A43A3"/>
    <w:rsid w:val="007A4483"/>
    <w:rsid w:val="007A45A2"/>
    <w:rsid w:val="007A465D"/>
    <w:rsid w:val="007A4663"/>
    <w:rsid w:val="007A4690"/>
    <w:rsid w:val="007A46B6"/>
    <w:rsid w:val="007A4710"/>
    <w:rsid w:val="007A4751"/>
    <w:rsid w:val="007A47EA"/>
    <w:rsid w:val="007A47EF"/>
    <w:rsid w:val="007A484C"/>
    <w:rsid w:val="007A48D7"/>
    <w:rsid w:val="007A48EF"/>
    <w:rsid w:val="007A48FC"/>
    <w:rsid w:val="007A4959"/>
    <w:rsid w:val="007A49EB"/>
    <w:rsid w:val="007A4A11"/>
    <w:rsid w:val="007A4A27"/>
    <w:rsid w:val="007A4BFF"/>
    <w:rsid w:val="007A4CB1"/>
    <w:rsid w:val="007A4CCF"/>
    <w:rsid w:val="007A4DA1"/>
    <w:rsid w:val="007A4E1B"/>
    <w:rsid w:val="007A4F95"/>
    <w:rsid w:val="007A4FAB"/>
    <w:rsid w:val="007A4FD4"/>
    <w:rsid w:val="007A4FE1"/>
    <w:rsid w:val="007A4FED"/>
    <w:rsid w:val="007A5054"/>
    <w:rsid w:val="007A5087"/>
    <w:rsid w:val="007A511B"/>
    <w:rsid w:val="007A5136"/>
    <w:rsid w:val="007A5150"/>
    <w:rsid w:val="007A51C3"/>
    <w:rsid w:val="007A520B"/>
    <w:rsid w:val="007A52AF"/>
    <w:rsid w:val="007A52B8"/>
    <w:rsid w:val="007A537A"/>
    <w:rsid w:val="007A539A"/>
    <w:rsid w:val="007A5438"/>
    <w:rsid w:val="007A54B9"/>
    <w:rsid w:val="007A554A"/>
    <w:rsid w:val="007A55BC"/>
    <w:rsid w:val="007A55D7"/>
    <w:rsid w:val="007A55DC"/>
    <w:rsid w:val="007A567F"/>
    <w:rsid w:val="007A56DB"/>
    <w:rsid w:val="007A56FB"/>
    <w:rsid w:val="007A5712"/>
    <w:rsid w:val="007A5724"/>
    <w:rsid w:val="007A5752"/>
    <w:rsid w:val="007A57F5"/>
    <w:rsid w:val="007A5818"/>
    <w:rsid w:val="007A583F"/>
    <w:rsid w:val="007A590A"/>
    <w:rsid w:val="007A590E"/>
    <w:rsid w:val="007A5931"/>
    <w:rsid w:val="007A599A"/>
    <w:rsid w:val="007A59F3"/>
    <w:rsid w:val="007A5A0D"/>
    <w:rsid w:val="007A5A83"/>
    <w:rsid w:val="007A5AE6"/>
    <w:rsid w:val="007A5AE8"/>
    <w:rsid w:val="007A5AEA"/>
    <w:rsid w:val="007A5B2C"/>
    <w:rsid w:val="007A5B83"/>
    <w:rsid w:val="007A5B94"/>
    <w:rsid w:val="007A5C76"/>
    <w:rsid w:val="007A5C98"/>
    <w:rsid w:val="007A5CF2"/>
    <w:rsid w:val="007A5D34"/>
    <w:rsid w:val="007A5D44"/>
    <w:rsid w:val="007A5D69"/>
    <w:rsid w:val="007A5DD3"/>
    <w:rsid w:val="007A5E4F"/>
    <w:rsid w:val="007A5F33"/>
    <w:rsid w:val="007A5F3E"/>
    <w:rsid w:val="007A5F4B"/>
    <w:rsid w:val="007A5F51"/>
    <w:rsid w:val="007A5FC6"/>
    <w:rsid w:val="007A603F"/>
    <w:rsid w:val="007A60C0"/>
    <w:rsid w:val="007A6101"/>
    <w:rsid w:val="007A614B"/>
    <w:rsid w:val="007A6176"/>
    <w:rsid w:val="007A617D"/>
    <w:rsid w:val="007A61AE"/>
    <w:rsid w:val="007A61D3"/>
    <w:rsid w:val="007A61EA"/>
    <w:rsid w:val="007A62BF"/>
    <w:rsid w:val="007A62FF"/>
    <w:rsid w:val="007A63C6"/>
    <w:rsid w:val="007A63DA"/>
    <w:rsid w:val="007A63F1"/>
    <w:rsid w:val="007A64FB"/>
    <w:rsid w:val="007A6549"/>
    <w:rsid w:val="007A6550"/>
    <w:rsid w:val="007A661C"/>
    <w:rsid w:val="007A6734"/>
    <w:rsid w:val="007A679E"/>
    <w:rsid w:val="007A67DD"/>
    <w:rsid w:val="007A686B"/>
    <w:rsid w:val="007A6876"/>
    <w:rsid w:val="007A68F8"/>
    <w:rsid w:val="007A692F"/>
    <w:rsid w:val="007A6AC3"/>
    <w:rsid w:val="007A6BBC"/>
    <w:rsid w:val="007A6C3F"/>
    <w:rsid w:val="007A6D40"/>
    <w:rsid w:val="007A6E40"/>
    <w:rsid w:val="007A6E6E"/>
    <w:rsid w:val="007A6F8B"/>
    <w:rsid w:val="007A6F93"/>
    <w:rsid w:val="007A6FA4"/>
    <w:rsid w:val="007A7038"/>
    <w:rsid w:val="007A709B"/>
    <w:rsid w:val="007A70F5"/>
    <w:rsid w:val="007A7133"/>
    <w:rsid w:val="007A7150"/>
    <w:rsid w:val="007A716B"/>
    <w:rsid w:val="007A720D"/>
    <w:rsid w:val="007A722E"/>
    <w:rsid w:val="007A7340"/>
    <w:rsid w:val="007A73EB"/>
    <w:rsid w:val="007A7403"/>
    <w:rsid w:val="007A74BC"/>
    <w:rsid w:val="007A758A"/>
    <w:rsid w:val="007A75E3"/>
    <w:rsid w:val="007A76D5"/>
    <w:rsid w:val="007A7762"/>
    <w:rsid w:val="007A77C6"/>
    <w:rsid w:val="007A77F4"/>
    <w:rsid w:val="007A780F"/>
    <w:rsid w:val="007A781A"/>
    <w:rsid w:val="007A783E"/>
    <w:rsid w:val="007A78B5"/>
    <w:rsid w:val="007A78ED"/>
    <w:rsid w:val="007A78F3"/>
    <w:rsid w:val="007A7923"/>
    <w:rsid w:val="007A792B"/>
    <w:rsid w:val="007A7931"/>
    <w:rsid w:val="007A7A8A"/>
    <w:rsid w:val="007A7AB4"/>
    <w:rsid w:val="007A7AB8"/>
    <w:rsid w:val="007A7B3A"/>
    <w:rsid w:val="007A7BFA"/>
    <w:rsid w:val="007A7BFD"/>
    <w:rsid w:val="007A7D35"/>
    <w:rsid w:val="007A7D4D"/>
    <w:rsid w:val="007A7D76"/>
    <w:rsid w:val="007A7D81"/>
    <w:rsid w:val="007A7D9B"/>
    <w:rsid w:val="007A7DC3"/>
    <w:rsid w:val="007A7DD4"/>
    <w:rsid w:val="007A7DE5"/>
    <w:rsid w:val="007A7E58"/>
    <w:rsid w:val="007A7E75"/>
    <w:rsid w:val="007A7E96"/>
    <w:rsid w:val="007A7EC1"/>
    <w:rsid w:val="007A7EDA"/>
    <w:rsid w:val="007A7F40"/>
    <w:rsid w:val="007A7F87"/>
    <w:rsid w:val="007B0074"/>
    <w:rsid w:val="007B007A"/>
    <w:rsid w:val="007B00BC"/>
    <w:rsid w:val="007B016D"/>
    <w:rsid w:val="007B0175"/>
    <w:rsid w:val="007B017C"/>
    <w:rsid w:val="007B0202"/>
    <w:rsid w:val="007B028C"/>
    <w:rsid w:val="007B0297"/>
    <w:rsid w:val="007B02EC"/>
    <w:rsid w:val="007B02F8"/>
    <w:rsid w:val="007B0323"/>
    <w:rsid w:val="007B0363"/>
    <w:rsid w:val="007B03A9"/>
    <w:rsid w:val="007B03C6"/>
    <w:rsid w:val="007B0409"/>
    <w:rsid w:val="007B042E"/>
    <w:rsid w:val="007B0451"/>
    <w:rsid w:val="007B047E"/>
    <w:rsid w:val="007B0524"/>
    <w:rsid w:val="007B05CF"/>
    <w:rsid w:val="007B05E1"/>
    <w:rsid w:val="007B05EA"/>
    <w:rsid w:val="007B06ED"/>
    <w:rsid w:val="007B0764"/>
    <w:rsid w:val="007B0769"/>
    <w:rsid w:val="007B079A"/>
    <w:rsid w:val="007B07EF"/>
    <w:rsid w:val="007B08FD"/>
    <w:rsid w:val="007B092E"/>
    <w:rsid w:val="007B09AC"/>
    <w:rsid w:val="007B0A0B"/>
    <w:rsid w:val="007B0A36"/>
    <w:rsid w:val="007B0A41"/>
    <w:rsid w:val="007B0A89"/>
    <w:rsid w:val="007B0AE9"/>
    <w:rsid w:val="007B0B3C"/>
    <w:rsid w:val="007B0B8D"/>
    <w:rsid w:val="007B0B97"/>
    <w:rsid w:val="007B0C5A"/>
    <w:rsid w:val="007B0D90"/>
    <w:rsid w:val="007B0DDA"/>
    <w:rsid w:val="007B0E6B"/>
    <w:rsid w:val="007B0E90"/>
    <w:rsid w:val="007B0F02"/>
    <w:rsid w:val="007B0F04"/>
    <w:rsid w:val="007B0F53"/>
    <w:rsid w:val="007B10A7"/>
    <w:rsid w:val="007B10B3"/>
    <w:rsid w:val="007B10CD"/>
    <w:rsid w:val="007B11A2"/>
    <w:rsid w:val="007B11D8"/>
    <w:rsid w:val="007B11DF"/>
    <w:rsid w:val="007B12AB"/>
    <w:rsid w:val="007B1449"/>
    <w:rsid w:val="007B145D"/>
    <w:rsid w:val="007B14A8"/>
    <w:rsid w:val="007B14DC"/>
    <w:rsid w:val="007B1536"/>
    <w:rsid w:val="007B15AB"/>
    <w:rsid w:val="007B15B4"/>
    <w:rsid w:val="007B15D7"/>
    <w:rsid w:val="007B1664"/>
    <w:rsid w:val="007B1688"/>
    <w:rsid w:val="007B1778"/>
    <w:rsid w:val="007B17D7"/>
    <w:rsid w:val="007B17E9"/>
    <w:rsid w:val="007B180F"/>
    <w:rsid w:val="007B18CF"/>
    <w:rsid w:val="007B1904"/>
    <w:rsid w:val="007B1909"/>
    <w:rsid w:val="007B1927"/>
    <w:rsid w:val="007B193A"/>
    <w:rsid w:val="007B19CA"/>
    <w:rsid w:val="007B19EE"/>
    <w:rsid w:val="007B19FC"/>
    <w:rsid w:val="007B1A32"/>
    <w:rsid w:val="007B1B01"/>
    <w:rsid w:val="007B1B29"/>
    <w:rsid w:val="007B1B51"/>
    <w:rsid w:val="007B1CC8"/>
    <w:rsid w:val="007B1CD1"/>
    <w:rsid w:val="007B1D1D"/>
    <w:rsid w:val="007B1D8A"/>
    <w:rsid w:val="007B1DB0"/>
    <w:rsid w:val="007B1E24"/>
    <w:rsid w:val="007B1ED1"/>
    <w:rsid w:val="007B1EEF"/>
    <w:rsid w:val="007B1F6B"/>
    <w:rsid w:val="007B1FE1"/>
    <w:rsid w:val="007B201F"/>
    <w:rsid w:val="007B205B"/>
    <w:rsid w:val="007B20CF"/>
    <w:rsid w:val="007B20F0"/>
    <w:rsid w:val="007B21AE"/>
    <w:rsid w:val="007B224A"/>
    <w:rsid w:val="007B22BC"/>
    <w:rsid w:val="007B22D0"/>
    <w:rsid w:val="007B22F8"/>
    <w:rsid w:val="007B232E"/>
    <w:rsid w:val="007B2438"/>
    <w:rsid w:val="007B24B3"/>
    <w:rsid w:val="007B24F5"/>
    <w:rsid w:val="007B2514"/>
    <w:rsid w:val="007B2558"/>
    <w:rsid w:val="007B2569"/>
    <w:rsid w:val="007B25AD"/>
    <w:rsid w:val="007B25B5"/>
    <w:rsid w:val="007B25FB"/>
    <w:rsid w:val="007B2602"/>
    <w:rsid w:val="007B26EE"/>
    <w:rsid w:val="007B27A7"/>
    <w:rsid w:val="007B2944"/>
    <w:rsid w:val="007B2946"/>
    <w:rsid w:val="007B297E"/>
    <w:rsid w:val="007B29DD"/>
    <w:rsid w:val="007B2A17"/>
    <w:rsid w:val="007B2A46"/>
    <w:rsid w:val="007B2A5C"/>
    <w:rsid w:val="007B2A67"/>
    <w:rsid w:val="007B2A6D"/>
    <w:rsid w:val="007B2B1F"/>
    <w:rsid w:val="007B2B76"/>
    <w:rsid w:val="007B2D59"/>
    <w:rsid w:val="007B2E6E"/>
    <w:rsid w:val="007B2EC0"/>
    <w:rsid w:val="007B2F16"/>
    <w:rsid w:val="007B2F71"/>
    <w:rsid w:val="007B2FAC"/>
    <w:rsid w:val="007B301E"/>
    <w:rsid w:val="007B3092"/>
    <w:rsid w:val="007B30D6"/>
    <w:rsid w:val="007B30F1"/>
    <w:rsid w:val="007B3139"/>
    <w:rsid w:val="007B3150"/>
    <w:rsid w:val="007B3170"/>
    <w:rsid w:val="007B3184"/>
    <w:rsid w:val="007B31B5"/>
    <w:rsid w:val="007B31EC"/>
    <w:rsid w:val="007B320B"/>
    <w:rsid w:val="007B3281"/>
    <w:rsid w:val="007B32C7"/>
    <w:rsid w:val="007B32EB"/>
    <w:rsid w:val="007B3348"/>
    <w:rsid w:val="007B3457"/>
    <w:rsid w:val="007B348A"/>
    <w:rsid w:val="007B356E"/>
    <w:rsid w:val="007B3669"/>
    <w:rsid w:val="007B36AD"/>
    <w:rsid w:val="007B3733"/>
    <w:rsid w:val="007B3781"/>
    <w:rsid w:val="007B37A9"/>
    <w:rsid w:val="007B37C1"/>
    <w:rsid w:val="007B3898"/>
    <w:rsid w:val="007B38B3"/>
    <w:rsid w:val="007B38E8"/>
    <w:rsid w:val="007B3918"/>
    <w:rsid w:val="007B396B"/>
    <w:rsid w:val="007B396E"/>
    <w:rsid w:val="007B39E7"/>
    <w:rsid w:val="007B3A25"/>
    <w:rsid w:val="007B3A4D"/>
    <w:rsid w:val="007B3A5C"/>
    <w:rsid w:val="007B3B91"/>
    <w:rsid w:val="007B3BED"/>
    <w:rsid w:val="007B3C03"/>
    <w:rsid w:val="007B3C2C"/>
    <w:rsid w:val="007B3C5F"/>
    <w:rsid w:val="007B3D55"/>
    <w:rsid w:val="007B3D8B"/>
    <w:rsid w:val="007B3DCF"/>
    <w:rsid w:val="007B3E35"/>
    <w:rsid w:val="007B3E4E"/>
    <w:rsid w:val="007B3EB0"/>
    <w:rsid w:val="007B3F50"/>
    <w:rsid w:val="007B3FA4"/>
    <w:rsid w:val="007B3FCD"/>
    <w:rsid w:val="007B40CC"/>
    <w:rsid w:val="007B416B"/>
    <w:rsid w:val="007B4279"/>
    <w:rsid w:val="007B42A3"/>
    <w:rsid w:val="007B4332"/>
    <w:rsid w:val="007B43E2"/>
    <w:rsid w:val="007B4419"/>
    <w:rsid w:val="007B456E"/>
    <w:rsid w:val="007B4600"/>
    <w:rsid w:val="007B4615"/>
    <w:rsid w:val="007B4675"/>
    <w:rsid w:val="007B46D9"/>
    <w:rsid w:val="007B46F7"/>
    <w:rsid w:val="007B470A"/>
    <w:rsid w:val="007B478D"/>
    <w:rsid w:val="007B47C9"/>
    <w:rsid w:val="007B47CC"/>
    <w:rsid w:val="007B4849"/>
    <w:rsid w:val="007B484F"/>
    <w:rsid w:val="007B4854"/>
    <w:rsid w:val="007B48D6"/>
    <w:rsid w:val="007B48F6"/>
    <w:rsid w:val="007B494F"/>
    <w:rsid w:val="007B4A52"/>
    <w:rsid w:val="007B4A67"/>
    <w:rsid w:val="007B4AA1"/>
    <w:rsid w:val="007B4AD6"/>
    <w:rsid w:val="007B4ADE"/>
    <w:rsid w:val="007B4B89"/>
    <w:rsid w:val="007B4BB8"/>
    <w:rsid w:val="007B4C8D"/>
    <w:rsid w:val="007B4CA1"/>
    <w:rsid w:val="007B4D28"/>
    <w:rsid w:val="007B4D60"/>
    <w:rsid w:val="007B4D77"/>
    <w:rsid w:val="007B4D81"/>
    <w:rsid w:val="007B4DA6"/>
    <w:rsid w:val="007B4E53"/>
    <w:rsid w:val="007B501F"/>
    <w:rsid w:val="007B5063"/>
    <w:rsid w:val="007B5185"/>
    <w:rsid w:val="007B5207"/>
    <w:rsid w:val="007B520B"/>
    <w:rsid w:val="007B521C"/>
    <w:rsid w:val="007B5231"/>
    <w:rsid w:val="007B523C"/>
    <w:rsid w:val="007B524A"/>
    <w:rsid w:val="007B5279"/>
    <w:rsid w:val="007B52C3"/>
    <w:rsid w:val="007B52D0"/>
    <w:rsid w:val="007B5337"/>
    <w:rsid w:val="007B5369"/>
    <w:rsid w:val="007B537F"/>
    <w:rsid w:val="007B5463"/>
    <w:rsid w:val="007B54C7"/>
    <w:rsid w:val="007B5533"/>
    <w:rsid w:val="007B573A"/>
    <w:rsid w:val="007B574F"/>
    <w:rsid w:val="007B57FE"/>
    <w:rsid w:val="007B5810"/>
    <w:rsid w:val="007B581E"/>
    <w:rsid w:val="007B5851"/>
    <w:rsid w:val="007B58CE"/>
    <w:rsid w:val="007B5938"/>
    <w:rsid w:val="007B5939"/>
    <w:rsid w:val="007B5985"/>
    <w:rsid w:val="007B59BF"/>
    <w:rsid w:val="007B5AF1"/>
    <w:rsid w:val="007B5B73"/>
    <w:rsid w:val="007B5BA2"/>
    <w:rsid w:val="007B5BD4"/>
    <w:rsid w:val="007B5D38"/>
    <w:rsid w:val="007B5D3B"/>
    <w:rsid w:val="007B5D4D"/>
    <w:rsid w:val="007B5D97"/>
    <w:rsid w:val="007B5D9F"/>
    <w:rsid w:val="007B5F09"/>
    <w:rsid w:val="007B5F33"/>
    <w:rsid w:val="007B5F3D"/>
    <w:rsid w:val="007B607D"/>
    <w:rsid w:val="007B60B4"/>
    <w:rsid w:val="007B60BA"/>
    <w:rsid w:val="007B60E9"/>
    <w:rsid w:val="007B614D"/>
    <w:rsid w:val="007B61AC"/>
    <w:rsid w:val="007B621F"/>
    <w:rsid w:val="007B6241"/>
    <w:rsid w:val="007B624C"/>
    <w:rsid w:val="007B630E"/>
    <w:rsid w:val="007B635D"/>
    <w:rsid w:val="007B6373"/>
    <w:rsid w:val="007B63BA"/>
    <w:rsid w:val="007B63F0"/>
    <w:rsid w:val="007B6409"/>
    <w:rsid w:val="007B642C"/>
    <w:rsid w:val="007B64AF"/>
    <w:rsid w:val="007B64CC"/>
    <w:rsid w:val="007B64D8"/>
    <w:rsid w:val="007B6571"/>
    <w:rsid w:val="007B65B6"/>
    <w:rsid w:val="007B65CD"/>
    <w:rsid w:val="007B66D5"/>
    <w:rsid w:val="007B670C"/>
    <w:rsid w:val="007B6730"/>
    <w:rsid w:val="007B67F5"/>
    <w:rsid w:val="007B682F"/>
    <w:rsid w:val="007B6861"/>
    <w:rsid w:val="007B68EE"/>
    <w:rsid w:val="007B68F3"/>
    <w:rsid w:val="007B690A"/>
    <w:rsid w:val="007B6922"/>
    <w:rsid w:val="007B693E"/>
    <w:rsid w:val="007B695D"/>
    <w:rsid w:val="007B6A49"/>
    <w:rsid w:val="007B6A99"/>
    <w:rsid w:val="007B6AAD"/>
    <w:rsid w:val="007B6AEC"/>
    <w:rsid w:val="007B6B7F"/>
    <w:rsid w:val="007B6B83"/>
    <w:rsid w:val="007B6C17"/>
    <w:rsid w:val="007B6C8F"/>
    <w:rsid w:val="007B6CDA"/>
    <w:rsid w:val="007B6E02"/>
    <w:rsid w:val="007B6E05"/>
    <w:rsid w:val="007B6E14"/>
    <w:rsid w:val="007B6E1F"/>
    <w:rsid w:val="007B6E36"/>
    <w:rsid w:val="007B6E41"/>
    <w:rsid w:val="007B6EFD"/>
    <w:rsid w:val="007B6F75"/>
    <w:rsid w:val="007B6FE3"/>
    <w:rsid w:val="007B704D"/>
    <w:rsid w:val="007B7065"/>
    <w:rsid w:val="007B70A0"/>
    <w:rsid w:val="007B70A5"/>
    <w:rsid w:val="007B70DA"/>
    <w:rsid w:val="007B710D"/>
    <w:rsid w:val="007B7146"/>
    <w:rsid w:val="007B717B"/>
    <w:rsid w:val="007B71A5"/>
    <w:rsid w:val="007B73C9"/>
    <w:rsid w:val="007B73DE"/>
    <w:rsid w:val="007B7419"/>
    <w:rsid w:val="007B7442"/>
    <w:rsid w:val="007B74A1"/>
    <w:rsid w:val="007B74DA"/>
    <w:rsid w:val="007B74DB"/>
    <w:rsid w:val="007B74EB"/>
    <w:rsid w:val="007B74EE"/>
    <w:rsid w:val="007B760E"/>
    <w:rsid w:val="007B771D"/>
    <w:rsid w:val="007B772E"/>
    <w:rsid w:val="007B783B"/>
    <w:rsid w:val="007B79BA"/>
    <w:rsid w:val="007B79C3"/>
    <w:rsid w:val="007B79D3"/>
    <w:rsid w:val="007B7A1B"/>
    <w:rsid w:val="007B7A3E"/>
    <w:rsid w:val="007B7A90"/>
    <w:rsid w:val="007B7A9D"/>
    <w:rsid w:val="007B7AB0"/>
    <w:rsid w:val="007B7BBB"/>
    <w:rsid w:val="007B7BF9"/>
    <w:rsid w:val="007B7C48"/>
    <w:rsid w:val="007B7C53"/>
    <w:rsid w:val="007B7C5F"/>
    <w:rsid w:val="007B7C87"/>
    <w:rsid w:val="007B7D28"/>
    <w:rsid w:val="007B7DB9"/>
    <w:rsid w:val="007B7EDF"/>
    <w:rsid w:val="007B7FB6"/>
    <w:rsid w:val="007B7FBF"/>
    <w:rsid w:val="007B7FCD"/>
    <w:rsid w:val="007B7FD5"/>
    <w:rsid w:val="007C0001"/>
    <w:rsid w:val="007C0006"/>
    <w:rsid w:val="007C0026"/>
    <w:rsid w:val="007C00C8"/>
    <w:rsid w:val="007C00E5"/>
    <w:rsid w:val="007C0153"/>
    <w:rsid w:val="007C0203"/>
    <w:rsid w:val="007C025E"/>
    <w:rsid w:val="007C0340"/>
    <w:rsid w:val="007C0350"/>
    <w:rsid w:val="007C037D"/>
    <w:rsid w:val="007C037F"/>
    <w:rsid w:val="007C03A9"/>
    <w:rsid w:val="007C03B2"/>
    <w:rsid w:val="007C03F9"/>
    <w:rsid w:val="007C03FA"/>
    <w:rsid w:val="007C0446"/>
    <w:rsid w:val="007C051C"/>
    <w:rsid w:val="007C0546"/>
    <w:rsid w:val="007C0590"/>
    <w:rsid w:val="007C05D3"/>
    <w:rsid w:val="007C06E8"/>
    <w:rsid w:val="007C0708"/>
    <w:rsid w:val="007C0724"/>
    <w:rsid w:val="007C074C"/>
    <w:rsid w:val="007C0759"/>
    <w:rsid w:val="007C07F9"/>
    <w:rsid w:val="007C0811"/>
    <w:rsid w:val="007C082C"/>
    <w:rsid w:val="007C0870"/>
    <w:rsid w:val="007C08C7"/>
    <w:rsid w:val="007C093F"/>
    <w:rsid w:val="007C0956"/>
    <w:rsid w:val="007C09BE"/>
    <w:rsid w:val="007C09D8"/>
    <w:rsid w:val="007C09DE"/>
    <w:rsid w:val="007C0A01"/>
    <w:rsid w:val="007C0A81"/>
    <w:rsid w:val="007C0ADA"/>
    <w:rsid w:val="007C0AE0"/>
    <w:rsid w:val="007C0B4B"/>
    <w:rsid w:val="007C0B80"/>
    <w:rsid w:val="007C0C35"/>
    <w:rsid w:val="007C0C4B"/>
    <w:rsid w:val="007C0C5F"/>
    <w:rsid w:val="007C0C7B"/>
    <w:rsid w:val="007C0D93"/>
    <w:rsid w:val="007C0DCC"/>
    <w:rsid w:val="007C0DD3"/>
    <w:rsid w:val="007C0DF6"/>
    <w:rsid w:val="007C0EA0"/>
    <w:rsid w:val="007C0EF8"/>
    <w:rsid w:val="007C0FEF"/>
    <w:rsid w:val="007C102E"/>
    <w:rsid w:val="007C1173"/>
    <w:rsid w:val="007C11C8"/>
    <w:rsid w:val="007C11F7"/>
    <w:rsid w:val="007C1250"/>
    <w:rsid w:val="007C12F2"/>
    <w:rsid w:val="007C1347"/>
    <w:rsid w:val="007C13A9"/>
    <w:rsid w:val="007C1439"/>
    <w:rsid w:val="007C143D"/>
    <w:rsid w:val="007C1453"/>
    <w:rsid w:val="007C15D8"/>
    <w:rsid w:val="007C160E"/>
    <w:rsid w:val="007C163E"/>
    <w:rsid w:val="007C16C2"/>
    <w:rsid w:val="007C16D5"/>
    <w:rsid w:val="007C1724"/>
    <w:rsid w:val="007C173F"/>
    <w:rsid w:val="007C1784"/>
    <w:rsid w:val="007C17B5"/>
    <w:rsid w:val="007C1804"/>
    <w:rsid w:val="007C181F"/>
    <w:rsid w:val="007C1830"/>
    <w:rsid w:val="007C185A"/>
    <w:rsid w:val="007C18F7"/>
    <w:rsid w:val="007C190E"/>
    <w:rsid w:val="007C19AE"/>
    <w:rsid w:val="007C1A2E"/>
    <w:rsid w:val="007C1A93"/>
    <w:rsid w:val="007C1AD0"/>
    <w:rsid w:val="007C1AE9"/>
    <w:rsid w:val="007C1B07"/>
    <w:rsid w:val="007C1B70"/>
    <w:rsid w:val="007C1C1D"/>
    <w:rsid w:val="007C1C40"/>
    <w:rsid w:val="007C1CBB"/>
    <w:rsid w:val="007C1D12"/>
    <w:rsid w:val="007C1D34"/>
    <w:rsid w:val="007C1D81"/>
    <w:rsid w:val="007C1D96"/>
    <w:rsid w:val="007C1EA0"/>
    <w:rsid w:val="007C1EB7"/>
    <w:rsid w:val="007C1F34"/>
    <w:rsid w:val="007C1FD5"/>
    <w:rsid w:val="007C2022"/>
    <w:rsid w:val="007C2081"/>
    <w:rsid w:val="007C2279"/>
    <w:rsid w:val="007C2285"/>
    <w:rsid w:val="007C22A5"/>
    <w:rsid w:val="007C2320"/>
    <w:rsid w:val="007C2397"/>
    <w:rsid w:val="007C2475"/>
    <w:rsid w:val="007C24FB"/>
    <w:rsid w:val="007C263D"/>
    <w:rsid w:val="007C2652"/>
    <w:rsid w:val="007C266D"/>
    <w:rsid w:val="007C27F8"/>
    <w:rsid w:val="007C27FF"/>
    <w:rsid w:val="007C2848"/>
    <w:rsid w:val="007C2868"/>
    <w:rsid w:val="007C28E8"/>
    <w:rsid w:val="007C28FF"/>
    <w:rsid w:val="007C2918"/>
    <w:rsid w:val="007C2923"/>
    <w:rsid w:val="007C292B"/>
    <w:rsid w:val="007C29AF"/>
    <w:rsid w:val="007C2A1A"/>
    <w:rsid w:val="007C2A90"/>
    <w:rsid w:val="007C2B44"/>
    <w:rsid w:val="007C2B65"/>
    <w:rsid w:val="007C2BF6"/>
    <w:rsid w:val="007C2C11"/>
    <w:rsid w:val="007C2C5A"/>
    <w:rsid w:val="007C2C5F"/>
    <w:rsid w:val="007C2CCC"/>
    <w:rsid w:val="007C2D04"/>
    <w:rsid w:val="007C2D33"/>
    <w:rsid w:val="007C2D34"/>
    <w:rsid w:val="007C2D5B"/>
    <w:rsid w:val="007C2DEA"/>
    <w:rsid w:val="007C2E01"/>
    <w:rsid w:val="007C2E52"/>
    <w:rsid w:val="007C2F24"/>
    <w:rsid w:val="007C30AF"/>
    <w:rsid w:val="007C30DC"/>
    <w:rsid w:val="007C311F"/>
    <w:rsid w:val="007C3142"/>
    <w:rsid w:val="007C318B"/>
    <w:rsid w:val="007C319E"/>
    <w:rsid w:val="007C31A0"/>
    <w:rsid w:val="007C3213"/>
    <w:rsid w:val="007C325E"/>
    <w:rsid w:val="007C328C"/>
    <w:rsid w:val="007C32AC"/>
    <w:rsid w:val="007C334C"/>
    <w:rsid w:val="007C33D4"/>
    <w:rsid w:val="007C33DB"/>
    <w:rsid w:val="007C3495"/>
    <w:rsid w:val="007C34B2"/>
    <w:rsid w:val="007C34F1"/>
    <w:rsid w:val="007C35FC"/>
    <w:rsid w:val="007C36DA"/>
    <w:rsid w:val="007C3720"/>
    <w:rsid w:val="007C3792"/>
    <w:rsid w:val="007C37AC"/>
    <w:rsid w:val="007C38C8"/>
    <w:rsid w:val="007C3929"/>
    <w:rsid w:val="007C3A14"/>
    <w:rsid w:val="007C3A8F"/>
    <w:rsid w:val="007C3C09"/>
    <w:rsid w:val="007C3C29"/>
    <w:rsid w:val="007C3C86"/>
    <w:rsid w:val="007C3C98"/>
    <w:rsid w:val="007C3D53"/>
    <w:rsid w:val="007C3DAE"/>
    <w:rsid w:val="007C3E5C"/>
    <w:rsid w:val="007C3EAE"/>
    <w:rsid w:val="007C3EC4"/>
    <w:rsid w:val="007C3EEC"/>
    <w:rsid w:val="007C3F22"/>
    <w:rsid w:val="007C3F93"/>
    <w:rsid w:val="007C3FFF"/>
    <w:rsid w:val="007C4035"/>
    <w:rsid w:val="007C404E"/>
    <w:rsid w:val="007C4259"/>
    <w:rsid w:val="007C4296"/>
    <w:rsid w:val="007C4404"/>
    <w:rsid w:val="007C44BA"/>
    <w:rsid w:val="007C453A"/>
    <w:rsid w:val="007C454B"/>
    <w:rsid w:val="007C4659"/>
    <w:rsid w:val="007C466F"/>
    <w:rsid w:val="007C46D3"/>
    <w:rsid w:val="007C46D5"/>
    <w:rsid w:val="007C46DA"/>
    <w:rsid w:val="007C46F5"/>
    <w:rsid w:val="007C4723"/>
    <w:rsid w:val="007C478E"/>
    <w:rsid w:val="007C4845"/>
    <w:rsid w:val="007C48C6"/>
    <w:rsid w:val="007C498A"/>
    <w:rsid w:val="007C49D7"/>
    <w:rsid w:val="007C4A80"/>
    <w:rsid w:val="007C4ACC"/>
    <w:rsid w:val="007C4BFB"/>
    <w:rsid w:val="007C4C2E"/>
    <w:rsid w:val="007C4CD2"/>
    <w:rsid w:val="007C4D8E"/>
    <w:rsid w:val="007C4E17"/>
    <w:rsid w:val="007C4E65"/>
    <w:rsid w:val="007C4EE4"/>
    <w:rsid w:val="007C4EE6"/>
    <w:rsid w:val="007C4F0E"/>
    <w:rsid w:val="007C4F78"/>
    <w:rsid w:val="007C4F90"/>
    <w:rsid w:val="007C4FF3"/>
    <w:rsid w:val="007C5029"/>
    <w:rsid w:val="007C504B"/>
    <w:rsid w:val="007C518E"/>
    <w:rsid w:val="007C52A7"/>
    <w:rsid w:val="007C5333"/>
    <w:rsid w:val="007C533D"/>
    <w:rsid w:val="007C53CE"/>
    <w:rsid w:val="007C53D7"/>
    <w:rsid w:val="007C5463"/>
    <w:rsid w:val="007C54A3"/>
    <w:rsid w:val="007C5507"/>
    <w:rsid w:val="007C559A"/>
    <w:rsid w:val="007C578E"/>
    <w:rsid w:val="007C5825"/>
    <w:rsid w:val="007C58AF"/>
    <w:rsid w:val="007C597E"/>
    <w:rsid w:val="007C59B5"/>
    <w:rsid w:val="007C59C7"/>
    <w:rsid w:val="007C59FA"/>
    <w:rsid w:val="007C5AD0"/>
    <w:rsid w:val="007C5B46"/>
    <w:rsid w:val="007C5B61"/>
    <w:rsid w:val="007C5BA1"/>
    <w:rsid w:val="007C5BCF"/>
    <w:rsid w:val="007C5BD4"/>
    <w:rsid w:val="007C5C21"/>
    <w:rsid w:val="007C5C6D"/>
    <w:rsid w:val="007C5CC2"/>
    <w:rsid w:val="007C5DDF"/>
    <w:rsid w:val="007C5E12"/>
    <w:rsid w:val="007C5E55"/>
    <w:rsid w:val="007C5EB6"/>
    <w:rsid w:val="007C5F81"/>
    <w:rsid w:val="007C5F98"/>
    <w:rsid w:val="007C5F99"/>
    <w:rsid w:val="007C5FB3"/>
    <w:rsid w:val="007C6024"/>
    <w:rsid w:val="007C606B"/>
    <w:rsid w:val="007C60A7"/>
    <w:rsid w:val="007C60B6"/>
    <w:rsid w:val="007C6183"/>
    <w:rsid w:val="007C61C6"/>
    <w:rsid w:val="007C6277"/>
    <w:rsid w:val="007C6316"/>
    <w:rsid w:val="007C631E"/>
    <w:rsid w:val="007C6345"/>
    <w:rsid w:val="007C6358"/>
    <w:rsid w:val="007C63C8"/>
    <w:rsid w:val="007C64DC"/>
    <w:rsid w:val="007C64DE"/>
    <w:rsid w:val="007C6512"/>
    <w:rsid w:val="007C6555"/>
    <w:rsid w:val="007C65D2"/>
    <w:rsid w:val="007C6604"/>
    <w:rsid w:val="007C663C"/>
    <w:rsid w:val="007C667C"/>
    <w:rsid w:val="007C66A2"/>
    <w:rsid w:val="007C66B2"/>
    <w:rsid w:val="007C66B7"/>
    <w:rsid w:val="007C66F4"/>
    <w:rsid w:val="007C670A"/>
    <w:rsid w:val="007C670D"/>
    <w:rsid w:val="007C6743"/>
    <w:rsid w:val="007C6784"/>
    <w:rsid w:val="007C67B3"/>
    <w:rsid w:val="007C686E"/>
    <w:rsid w:val="007C688D"/>
    <w:rsid w:val="007C689F"/>
    <w:rsid w:val="007C68D7"/>
    <w:rsid w:val="007C68E0"/>
    <w:rsid w:val="007C68FE"/>
    <w:rsid w:val="007C6907"/>
    <w:rsid w:val="007C6969"/>
    <w:rsid w:val="007C6987"/>
    <w:rsid w:val="007C69C8"/>
    <w:rsid w:val="007C69FD"/>
    <w:rsid w:val="007C6A61"/>
    <w:rsid w:val="007C6B71"/>
    <w:rsid w:val="007C6BCC"/>
    <w:rsid w:val="007C6C18"/>
    <w:rsid w:val="007C6C8E"/>
    <w:rsid w:val="007C6CDD"/>
    <w:rsid w:val="007C6D06"/>
    <w:rsid w:val="007C6D52"/>
    <w:rsid w:val="007C6D7A"/>
    <w:rsid w:val="007C6D8A"/>
    <w:rsid w:val="007C6D8E"/>
    <w:rsid w:val="007C6D9C"/>
    <w:rsid w:val="007C6DCB"/>
    <w:rsid w:val="007C6EC3"/>
    <w:rsid w:val="007C6ED3"/>
    <w:rsid w:val="007C6F16"/>
    <w:rsid w:val="007C6F74"/>
    <w:rsid w:val="007C6F89"/>
    <w:rsid w:val="007C6FA8"/>
    <w:rsid w:val="007C703B"/>
    <w:rsid w:val="007C7195"/>
    <w:rsid w:val="007C719D"/>
    <w:rsid w:val="007C71C3"/>
    <w:rsid w:val="007C71E4"/>
    <w:rsid w:val="007C723E"/>
    <w:rsid w:val="007C73C6"/>
    <w:rsid w:val="007C73D8"/>
    <w:rsid w:val="007C7481"/>
    <w:rsid w:val="007C751D"/>
    <w:rsid w:val="007C756A"/>
    <w:rsid w:val="007C756F"/>
    <w:rsid w:val="007C75F2"/>
    <w:rsid w:val="007C77E7"/>
    <w:rsid w:val="007C7819"/>
    <w:rsid w:val="007C7882"/>
    <w:rsid w:val="007C78D5"/>
    <w:rsid w:val="007C790B"/>
    <w:rsid w:val="007C7975"/>
    <w:rsid w:val="007C79CA"/>
    <w:rsid w:val="007C7AD8"/>
    <w:rsid w:val="007C7ADF"/>
    <w:rsid w:val="007C7B68"/>
    <w:rsid w:val="007C7BA3"/>
    <w:rsid w:val="007C7C48"/>
    <w:rsid w:val="007C7CC4"/>
    <w:rsid w:val="007C7DCC"/>
    <w:rsid w:val="007C7E07"/>
    <w:rsid w:val="007D00DF"/>
    <w:rsid w:val="007D00FC"/>
    <w:rsid w:val="007D014B"/>
    <w:rsid w:val="007D014E"/>
    <w:rsid w:val="007D018A"/>
    <w:rsid w:val="007D018C"/>
    <w:rsid w:val="007D021C"/>
    <w:rsid w:val="007D025A"/>
    <w:rsid w:val="007D025D"/>
    <w:rsid w:val="007D028A"/>
    <w:rsid w:val="007D02B5"/>
    <w:rsid w:val="007D0323"/>
    <w:rsid w:val="007D03A0"/>
    <w:rsid w:val="007D03C7"/>
    <w:rsid w:val="007D03D0"/>
    <w:rsid w:val="007D0547"/>
    <w:rsid w:val="007D05BD"/>
    <w:rsid w:val="007D06FD"/>
    <w:rsid w:val="007D07AE"/>
    <w:rsid w:val="007D07C9"/>
    <w:rsid w:val="007D07D0"/>
    <w:rsid w:val="007D07D9"/>
    <w:rsid w:val="007D0850"/>
    <w:rsid w:val="007D0992"/>
    <w:rsid w:val="007D0A49"/>
    <w:rsid w:val="007D0AA3"/>
    <w:rsid w:val="007D0AB3"/>
    <w:rsid w:val="007D0AB8"/>
    <w:rsid w:val="007D0B00"/>
    <w:rsid w:val="007D0B08"/>
    <w:rsid w:val="007D0B29"/>
    <w:rsid w:val="007D0C3F"/>
    <w:rsid w:val="007D0CA1"/>
    <w:rsid w:val="007D0D7E"/>
    <w:rsid w:val="007D0D90"/>
    <w:rsid w:val="007D0D91"/>
    <w:rsid w:val="007D0E21"/>
    <w:rsid w:val="007D0E4B"/>
    <w:rsid w:val="007D0EC0"/>
    <w:rsid w:val="007D0EFF"/>
    <w:rsid w:val="007D0F42"/>
    <w:rsid w:val="007D0F51"/>
    <w:rsid w:val="007D0F7C"/>
    <w:rsid w:val="007D1027"/>
    <w:rsid w:val="007D10EB"/>
    <w:rsid w:val="007D1162"/>
    <w:rsid w:val="007D11AE"/>
    <w:rsid w:val="007D1203"/>
    <w:rsid w:val="007D1256"/>
    <w:rsid w:val="007D12B6"/>
    <w:rsid w:val="007D1323"/>
    <w:rsid w:val="007D1328"/>
    <w:rsid w:val="007D1363"/>
    <w:rsid w:val="007D144F"/>
    <w:rsid w:val="007D1494"/>
    <w:rsid w:val="007D1502"/>
    <w:rsid w:val="007D15A7"/>
    <w:rsid w:val="007D169C"/>
    <w:rsid w:val="007D16D9"/>
    <w:rsid w:val="007D1721"/>
    <w:rsid w:val="007D1754"/>
    <w:rsid w:val="007D1830"/>
    <w:rsid w:val="007D18AE"/>
    <w:rsid w:val="007D18DF"/>
    <w:rsid w:val="007D18F1"/>
    <w:rsid w:val="007D195D"/>
    <w:rsid w:val="007D1A6B"/>
    <w:rsid w:val="007D1AC0"/>
    <w:rsid w:val="007D1B62"/>
    <w:rsid w:val="007D1BDC"/>
    <w:rsid w:val="007D1C2C"/>
    <w:rsid w:val="007D1C72"/>
    <w:rsid w:val="007D1C76"/>
    <w:rsid w:val="007D1C7B"/>
    <w:rsid w:val="007D1CF2"/>
    <w:rsid w:val="007D1D0D"/>
    <w:rsid w:val="007D1D41"/>
    <w:rsid w:val="007D1D48"/>
    <w:rsid w:val="007D1D49"/>
    <w:rsid w:val="007D1D81"/>
    <w:rsid w:val="007D1D94"/>
    <w:rsid w:val="007D1DC7"/>
    <w:rsid w:val="007D1E7E"/>
    <w:rsid w:val="007D1ED8"/>
    <w:rsid w:val="007D200C"/>
    <w:rsid w:val="007D20E3"/>
    <w:rsid w:val="007D221A"/>
    <w:rsid w:val="007D22E5"/>
    <w:rsid w:val="007D2403"/>
    <w:rsid w:val="007D24A0"/>
    <w:rsid w:val="007D24CE"/>
    <w:rsid w:val="007D25B2"/>
    <w:rsid w:val="007D25FA"/>
    <w:rsid w:val="007D2613"/>
    <w:rsid w:val="007D2617"/>
    <w:rsid w:val="007D267E"/>
    <w:rsid w:val="007D2696"/>
    <w:rsid w:val="007D269F"/>
    <w:rsid w:val="007D26A8"/>
    <w:rsid w:val="007D26B9"/>
    <w:rsid w:val="007D26BB"/>
    <w:rsid w:val="007D2769"/>
    <w:rsid w:val="007D279F"/>
    <w:rsid w:val="007D27C1"/>
    <w:rsid w:val="007D2846"/>
    <w:rsid w:val="007D2886"/>
    <w:rsid w:val="007D28CB"/>
    <w:rsid w:val="007D28CE"/>
    <w:rsid w:val="007D28E2"/>
    <w:rsid w:val="007D28ED"/>
    <w:rsid w:val="007D2945"/>
    <w:rsid w:val="007D2990"/>
    <w:rsid w:val="007D29B7"/>
    <w:rsid w:val="007D29D7"/>
    <w:rsid w:val="007D29F0"/>
    <w:rsid w:val="007D29FB"/>
    <w:rsid w:val="007D2A5C"/>
    <w:rsid w:val="007D2B61"/>
    <w:rsid w:val="007D2C1B"/>
    <w:rsid w:val="007D2C1D"/>
    <w:rsid w:val="007D2CC1"/>
    <w:rsid w:val="007D2CFC"/>
    <w:rsid w:val="007D2D18"/>
    <w:rsid w:val="007D2D25"/>
    <w:rsid w:val="007D2D6F"/>
    <w:rsid w:val="007D2E22"/>
    <w:rsid w:val="007D2E62"/>
    <w:rsid w:val="007D2E64"/>
    <w:rsid w:val="007D2ECB"/>
    <w:rsid w:val="007D2EDB"/>
    <w:rsid w:val="007D2F2F"/>
    <w:rsid w:val="007D2FF8"/>
    <w:rsid w:val="007D307C"/>
    <w:rsid w:val="007D30CD"/>
    <w:rsid w:val="007D31E3"/>
    <w:rsid w:val="007D31F9"/>
    <w:rsid w:val="007D3299"/>
    <w:rsid w:val="007D32E7"/>
    <w:rsid w:val="007D32ED"/>
    <w:rsid w:val="007D3307"/>
    <w:rsid w:val="007D333B"/>
    <w:rsid w:val="007D3394"/>
    <w:rsid w:val="007D33DA"/>
    <w:rsid w:val="007D33FD"/>
    <w:rsid w:val="007D347A"/>
    <w:rsid w:val="007D355A"/>
    <w:rsid w:val="007D359C"/>
    <w:rsid w:val="007D365E"/>
    <w:rsid w:val="007D3664"/>
    <w:rsid w:val="007D36A4"/>
    <w:rsid w:val="007D36DF"/>
    <w:rsid w:val="007D374E"/>
    <w:rsid w:val="007D376D"/>
    <w:rsid w:val="007D3790"/>
    <w:rsid w:val="007D3ABE"/>
    <w:rsid w:val="007D3ACD"/>
    <w:rsid w:val="007D3ACE"/>
    <w:rsid w:val="007D3AF6"/>
    <w:rsid w:val="007D3BA6"/>
    <w:rsid w:val="007D3BC6"/>
    <w:rsid w:val="007D3C34"/>
    <w:rsid w:val="007D3C76"/>
    <w:rsid w:val="007D3CA7"/>
    <w:rsid w:val="007D3E5E"/>
    <w:rsid w:val="007D3E66"/>
    <w:rsid w:val="007D3E67"/>
    <w:rsid w:val="007D3F21"/>
    <w:rsid w:val="007D3F37"/>
    <w:rsid w:val="007D3F4A"/>
    <w:rsid w:val="007D40E2"/>
    <w:rsid w:val="007D4127"/>
    <w:rsid w:val="007D4146"/>
    <w:rsid w:val="007D4175"/>
    <w:rsid w:val="007D4197"/>
    <w:rsid w:val="007D41BF"/>
    <w:rsid w:val="007D41E8"/>
    <w:rsid w:val="007D41F1"/>
    <w:rsid w:val="007D4208"/>
    <w:rsid w:val="007D436E"/>
    <w:rsid w:val="007D444A"/>
    <w:rsid w:val="007D44F9"/>
    <w:rsid w:val="007D456A"/>
    <w:rsid w:val="007D458C"/>
    <w:rsid w:val="007D45BC"/>
    <w:rsid w:val="007D46B2"/>
    <w:rsid w:val="007D46F5"/>
    <w:rsid w:val="007D4732"/>
    <w:rsid w:val="007D4738"/>
    <w:rsid w:val="007D475F"/>
    <w:rsid w:val="007D477A"/>
    <w:rsid w:val="007D4796"/>
    <w:rsid w:val="007D4801"/>
    <w:rsid w:val="007D4853"/>
    <w:rsid w:val="007D488B"/>
    <w:rsid w:val="007D4893"/>
    <w:rsid w:val="007D4956"/>
    <w:rsid w:val="007D4991"/>
    <w:rsid w:val="007D49B7"/>
    <w:rsid w:val="007D49BB"/>
    <w:rsid w:val="007D49D6"/>
    <w:rsid w:val="007D49D7"/>
    <w:rsid w:val="007D4A42"/>
    <w:rsid w:val="007D4A8F"/>
    <w:rsid w:val="007D4AB9"/>
    <w:rsid w:val="007D4B22"/>
    <w:rsid w:val="007D4B38"/>
    <w:rsid w:val="007D4B82"/>
    <w:rsid w:val="007D4B98"/>
    <w:rsid w:val="007D4BCD"/>
    <w:rsid w:val="007D4BDF"/>
    <w:rsid w:val="007D4C65"/>
    <w:rsid w:val="007D4D3E"/>
    <w:rsid w:val="007D4D43"/>
    <w:rsid w:val="007D4D4D"/>
    <w:rsid w:val="007D4DCF"/>
    <w:rsid w:val="007D4DE0"/>
    <w:rsid w:val="007D4ED8"/>
    <w:rsid w:val="007D4F62"/>
    <w:rsid w:val="007D4FE5"/>
    <w:rsid w:val="007D5031"/>
    <w:rsid w:val="007D505F"/>
    <w:rsid w:val="007D50A6"/>
    <w:rsid w:val="007D5119"/>
    <w:rsid w:val="007D5124"/>
    <w:rsid w:val="007D512A"/>
    <w:rsid w:val="007D5158"/>
    <w:rsid w:val="007D5161"/>
    <w:rsid w:val="007D51F6"/>
    <w:rsid w:val="007D5213"/>
    <w:rsid w:val="007D5264"/>
    <w:rsid w:val="007D5348"/>
    <w:rsid w:val="007D5380"/>
    <w:rsid w:val="007D539D"/>
    <w:rsid w:val="007D53B2"/>
    <w:rsid w:val="007D5404"/>
    <w:rsid w:val="007D5408"/>
    <w:rsid w:val="007D5450"/>
    <w:rsid w:val="007D54B5"/>
    <w:rsid w:val="007D54EB"/>
    <w:rsid w:val="007D551A"/>
    <w:rsid w:val="007D5588"/>
    <w:rsid w:val="007D5593"/>
    <w:rsid w:val="007D55E6"/>
    <w:rsid w:val="007D5713"/>
    <w:rsid w:val="007D577D"/>
    <w:rsid w:val="007D5844"/>
    <w:rsid w:val="007D584A"/>
    <w:rsid w:val="007D5857"/>
    <w:rsid w:val="007D58C6"/>
    <w:rsid w:val="007D58D9"/>
    <w:rsid w:val="007D590C"/>
    <w:rsid w:val="007D590F"/>
    <w:rsid w:val="007D597A"/>
    <w:rsid w:val="007D598D"/>
    <w:rsid w:val="007D59D0"/>
    <w:rsid w:val="007D5A06"/>
    <w:rsid w:val="007D5A33"/>
    <w:rsid w:val="007D5A39"/>
    <w:rsid w:val="007D5A44"/>
    <w:rsid w:val="007D5AFD"/>
    <w:rsid w:val="007D5B47"/>
    <w:rsid w:val="007D5B6B"/>
    <w:rsid w:val="007D5BC0"/>
    <w:rsid w:val="007D5C1D"/>
    <w:rsid w:val="007D5CB5"/>
    <w:rsid w:val="007D5D5C"/>
    <w:rsid w:val="007D5E3B"/>
    <w:rsid w:val="007D5E3F"/>
    <w:rsid w:val="007D5E73"/>
    <w:rsid w:val="007D5EA2"/>
    <w:rsid w:val="007D5EA9"/>
    <w:rsid w:val="007D5F16"/>
    <w:rsid w:val="007D5F1B"/>
    <w:rsid w:val="007D60E8"/>
    <w:rsid w:val="007D61C8"/>
    <w:rsid w:val="007D61D1"/>
    <w:rsid w:val="007D621D"/>
    <w:rsid w:val="007D6226"/>
    <w:rsid w:val="007D622F"/>
    <w:rsid w:val="007D6235"/>
    <w:rsid w:val="007D6259"/>
    <w:rsid w:val="007D62DF"/>
    <w:rsid w:val="007D6417"/>
    <w:rsid w:val="007D6499"/>
    <w:rsid w:val="007D64D4"/>
    <w:rsid w:val="007D64E4"/>
    <w:rsid w:val="007D64F2"/>
    <w:rsid w:val="007D655B"/>
    <w:rsid w:val="007D6574"/>
    <w:rsid w:val="007D65CB"/>
    <w:rsid w:val="007D68D0"/>
    <w:rsid w:val="007D68DA"/>
    <w:rsid w:val="007D68DE"/>
    <w:rsid w:val="007D68EA"/>
    <w:rsid w:val="007D6909"/>
    <w:rsid w:val="007D691E"/>
    <w:rsid w:val="007D6920"/>
    <w:rsid w:val="007D6921"/>
    <w:rsid w:val="007D6939"/>
    <w:rsid w:val="007D69B9"/>
    <w:rsid w:val="007D69CE"/>
    <w:rsid w:val="007D6AD1"/>
    <w:rsid w:val="007D6BFA"/>
    <w:rsid w:val="007D6C3A"/>
    <w:rsid w:val="007D6C41"/>
    <w:rsid w:val="007D6E5F"/>
    <w:rsid w:val="007D6EE4"/>
    <w:rsid w:val="007D6F6C"/>
    <w:rsid w:val="007D6F7D"/>
    <w:rsid w:val="007D7035"/>
    <w:rsid w:val="007D70B1"/>
    <w:rsid w:val="007D713D"/>
    <w:rsid w:val="007D7177"/>
    <w:rsid w:val="007D71AA"/>
    <w:rsid w:val="007D7262"/>
    <w:rsid w:val="007D72D4"/>
    <w:rsid w:val="007D730C"/>
    <w:rsid w:val="007D7403"/>
    <w:rsid w:val="007D743C"/>
    <w:rsid w:val="007D7499"/>
    <w:rsid w:val="007D74BA"/>
    <w:rsid w:val="007D74DA"/>
    <w:rsid w:val="007D754F"/>
    <w:rsid w:val="007D755B"/>
    <w:rsid w:val="007D75B1"/>
    <w:rsid w:val="007D75BF"/>
    <w:rsid w:val="007D7684"/>
    <w:rsid w:val="007D76FE"/>
    <w:rsid w:val="007D772D"/>
    <w:rsid w:val="007D7770"/>
    <w:rsid w:val="007D7785"/>
    <w:rsid w:val="007D78F2"/>
    <w:rsid w:val="007D7941"/>
    <w:rsid w:val="007D7961"/>
    <w:rsid w:val="007D79EB"/>
    <w:rsid w:val="007D7A11"/>
    <w:rsid w:val="007D7A25"/>
    <w:rsid w:val="007D7A31"/>
    <w:rsid w:val="007D7A59"/>
    <w:rsid w:val="007D7A7A"/>
    <w:rsid w:val="007D7B47"/>
    <w:rsid w:val="007D7BBE"/>
    <w:rsid w:val="007D7BFE"/>
    <w:rsid w:val="007D7CA5"/>
    <w:rsid w:val="007D7D1D"/>
    <w:rsid w:val="007D7DA6"/>
    <w:rsid w:val="007D7E15"/>
    <w:rsid w:val="007D7E36"/>
    <w:rsid w:val="007D7E4F"/>
    <w:rsid w:val="007D7F5C"/>
    <w:rsid w:val="007D7F78"/>
    <w:rsid w:val="007D7F7E"/>
    <w:rsid w:val="007D7FDF"/>
    <w:rsid w:val="007E0034"/>
    <w:rsid w:val="007E0052"/>
    <w:rsid w:val="007E0053"/>
    <w:rsid w:val="007E00CF"/>
    <w:rsid w:val="007E00DE"/>
    <w:rsid w:val="007E00FE"/>
    <w:rsid w:val="007E0105"/>
    <w:rsid w:val="007E0295"/>
    <w:rsid w:val="007E02CA"/>
    <w:rsid w:val="007E0304"/>
    <w:rsid w:val="007E0325"/>
    <w:rsid w:val="007E0326"/>
    <w:rsid w:val="007E0386"/>
    <w:rsid w:val="007E03C9"/>
    <w:rsid w:val="007E048A"/>
    <w:rsid w:val="007E04D8"/>
    <w:rsid w:val="007E0556"/>
    <w:rsid w:val="007E05F8"/>
    <w:rsid w:val="007E06DB"/>
    <w:rsid w:val="007E0720"/>
    <w:rsid w:val="007E0723"/>
    <w:rsid w:val="007E0766"/>
    <w:rsid w:val="007E07F8"/>
    <w:rsid w:val="007E0839"/>
    <w:rsid w:val="007E0856"/>
    <w:rsid w:val="007E0864"/>
    <w:rsid w:val="007E0866"/>
    <w:rsid w:val="007E09C8"/>
    <w:rsid w:val="007E0A0A"/>
    <w:rsid w:val="007E0A88"/>
    <w:rsid w:val="007E0C71"/>
    <w:rsid w:val="007E0CBA"/>
    <w:rsid w:val="007E0CF4"/>
    <w:rsid w:val="007E0D3C"/>
    <w:rsid w:val="007E0D45"/>
    <w:rsid w:val="007E0F17"/>
    <w:rsid w:val="007E0F28"/>
    <w:rsid w:val="007E104E"/>
    <w:rsid w:val="007E1056"/>
    <w:rsid w:val="007E10D0"/>
    <w:rsid w:val="007E1127"/>
    <w:rsid w:val="007E1132"/>
    <w:rsid w:val="007E11AF"/>
    <w:rsid w:val="007E11B2"/>
    <w:rsid w:val="007E11D6"/>
    <w:rsid w:val="007E1250"/>
    <w:rsid w:val="007E12A1"/>
    <w:rsid w:val="007E132A"/>
    <w:rsid w:val="007E138A"/>
    <w:rsid w:val="007E13A5"/>
    <w:rsid w:val="007E1400"/>
    <w:rsid w:val="007E144F"/>
    <w:rsid w:val="007E1468"/>
    <w:rsid w:val="007E1473"/>
    <w:rsid w:val="007E14A8"/>
    <w:rsid w:val="007E14AC"/>
    <w:rsid w:val="007E14D7"/>
    <w:rsid w:val="007E14DC"/>
    <w:rsid w:val="007E155A"/>
    <w:rsid w:val="007E162A"/>
    <w:rsid w:val="007E166D"/>
    <w:rsid w:val="007E1702"/>
    <w:rsid w:val="007E1773"/>
    <w:rsid w:val="007E177A"/>
    <w:rsid w:val="007E18F6"/>
    <w:rsid w:val="007E1931"/>
    <w:rsid w:val="007E193D"/>
    <w:rsid w:val="007E19F0"/>
    <w:rsid w:val="007E19F3"/>
    <w:rsid w:val="007E1A78"/>
    <w:rsid w:val="007E1A9C"/>
    <w:rsid w:val="007E1B55"/>
    <w:rsid w:val="007E1B56"/>
    <w:rsid w:val="007E1BBF"/>
    <w:rsid w:val="007E1BF2"/>
    <w:rsid w:val="007E1C46"/>
    <w:rsid w:val="007E1D6A"/>
    <w:rsid w:val="007E1E12"/>
    <w:rsid w:val="007E1E45"/>
    <w:rsid w:val="007E1E61"/>
    <w:rsid w:val="007E1F64"/>
    <w:rsid w:val="007E200B"/>
    <w:rsid w:val="007E2037"/>
    <w:rsid w:val="007E21AD"/>
    <w:rsid w:val="007E21CB"/>
    <w:rsid w:val="007E21E9"/>
    <w:rsid w:val="007E2318"/>
    <w:rsid w:val="007E2492"/>
    <w:rsid w:val="007E24C7"/>
    <w:rsid w:val="007E24CF"/>
    <w:rsid w:val="007E25B4"/>
    <w:rsid w:val="007E2742"/>
    <w:rsid w:val="007E274E"/>
    <w:rsid w:val="007E282B"/>
    <w:rsid w:val="007E2867"/>
    <w:rsid w:val="007E286B"/>
    <w:rsid w:val="007E2887"/>
    <w:rsid w:val="007E2975"/>
    <w:rsid w:val="007E29B1"/>
    <w:rsid w:val="007E2A1D"/>
    <w:rsid w:val="007E2AAD"/>
    <w:rsid w:val="007E2B09"/>
    <w:rsid w:val="007E2B1C"/>
    <w:rsid w:val="007E2B74"/>
    <w:rsid w:val="007E2B96"/>
    <w:rsid w:val="007E2BE0"/>
    <w:rsid w:val="007E2CB8"/>
    <w:rsid w:val="007E2CD0"/>
    <w:rsid w:val="007E2D80"/>
    <w:rsid w:val="007E2D94"/>
    <w:rsid w:val="007E2E34"/>
    <w:rsid w:val="007E2F62"/>
    <w:rsid w:val="007E2F91"/>
    <w:rsid w:val="007E2FCA"/>
    <w:rsid w:val="007E309A"/>
    <w:rsid w:val="007E313E"/>
    <w:rsid w:val="007E31DC"/>
    <w:rsid w:val="007E320D"/>
    <w:rsid w:val="007E32CA"/>
    <w:rsid w:val="007E32E4"/>
    <w:rsid w:val="007E3313"/>
    <w:rsid w:val="007E331B"/>
    <w:rsid w:val="007E3382"/>
    <w:rsid w:val="007E3534"/>
    <w:rsid w:val="007E353B"/>
    <w:rsid w:val="007E355A"/>
    <w:rsid w:val="007E3609"/>
    <w:rsid w:val="007E367B"/>
    <w:rsid w:val="007E36FB"/>
    <w:rsid w:val="007E37BB"/>
    <w:rsid w:val="007E37EF"/>
    <w:rsid w:val="007E3852"/>
    <w:rsid w:val="007E38F3"/>
    <w:rsid w:val="007E38FA"/>
    <w:rsid w:val="007E3A3B"/>
    <w:rsid w:val="007E3A3D"/>
    <w:rsid w:val="007E3A7C"/>
    <w:rsid w:val="007E3AD0"/>
    <w:rsid w:val="007E3ADB"/>
    <w:rsid w:val="007E3AFE"/>
    <w:rsid w:val="007E3AFF"/>
    <w:rsid w:val="007E3B41"/>
    <w:rsid w:val="007E3B7B"/>
    <w:rsid w:val="007E3B93"/>
    <w:rsid w:val="007E3CC3"/>
    <w:rsid w:val="007E3CCC"/>
    <w:rsid w:val="007E3CE9"/>
    <w:rsid w:val="007E3CFF"/>
    <w:rsid w:val="007E3D88"/>
    <w:rsid w:val="007E3EA1"/>
    <w:rsid w:val="007E3EB3"/>
    <w:rsid w:val="007E3EEA"/>
    <w:rsid w:val="007E3F38"/>
    <w:rsid w:val="007E3F8D"/>
    <w:rsid w:val="007E4068"/>
    <w:rsid w:val="007E409A"/>
    <w:rsid w:val="007E4189"/>
    <w:rsid w:val="007E4191"/>
    <w:rsid w:val="007E421E"/>
    <w:rsid w:val="007E42B4"/>
    <w:rsid w:val="007E42DA"/>
    <w:rsid w:val="007E436A"/>
    <w:rsid w:val="007E4469"/>
    <w:rsid w:val="007E4528"/>
    <w:rsid w:val="007E45F7"/>
    <w:rsid w:val="007E460F"/>
    <w:rsid w:val="007E467F"/>
    <w:rsid w:val="007E46FE"/>
    <w:rsid w:val="007E4714"/>
    <w:rsid w:val="007E4737"/>
    <w:rsid w:val="007E4766"/>
    <w:rsid w:val="007E47AE"/>
    <w:rsid w:val="007E4A53"/>
    <w:rsid w:val="007E4AA3"/>
    <w:rsid w:val="007E4AD7"/>
    <w:rsid w:val="007E4AE3"/>
    <w:rsid w:val="007E4C08"/>
    <w:rsid w:val="007E4D3C"/>
    <w:rsid w:val="007E4D71"/>
    <w:rsid w:val="007E4DB6"/>
    <w:rsid w:val="007E4E30"/>
    <w:rsid w:val="007E4EFD"/>
    <w:rsid w:val="007E4F9F"/>
    <w:rsid w:val="007E50EE"/>
    <w:rsid w:val="007E511D"/>
    <w:rsid w:val="007E5161"/>
    <w:rsid w:val="007E51A9"/>
    <w:rsid w:val="007E51B3"/>
    <w:rsid w:val="007E51D4"/>
    <w:rsid w:val="007E51DD"/>
    <w:rsid w:val="007E5230"/>
    <w:rsid w:val="007E5274"/>
    <w:rsid w:val="007E52BF"/>
    <w:rsid w:val="007E52F2"/>
    <w:rsid w:val="007E5307"/>
    <w:rsid w:val="007E5356"/>
    <w:rsid w:val="007E5464"/>
    <w:rsid w:val="007E5465"/>
    <w:rsid w:val="007E547B"/>
    <w:rsid w:val="007E54F2"/>
    <w:rsid w:val="007E55EA"/>
    <w:rsid w:val="007E56CB"/>
    <w:rsid w:val="007E5742"/>
    <w:rsid w:val="007E576E"/>
    <w:rsid w:val="007E5775"/>
    <w:rsid w:val="007E581D"/>
    <w:rsid w:val="007E58A3"/>
    <w:rsid w:val="007E5900"/>
    <w:rsid w:val="007E5945"/>
    <w:rsid w:val="007E594D"/>
    <w:rsid w:val="007E5A0F"/>
    <w:rsid w:val="007E5BA3"/>
    <w:rsid w:val="007E5BA9"/>
    <w:rsid w:val="007E5C30"/>
    <w:rsid w:val="007E5C4B"/>
    <w:rsid w:val="007E5D83"/>
    <w:rsid w:val="007E5DE0"/>
    <w:rsid w:val="007E5E89"/>
    <w:rsid w:val="007E5EAB"/>
    <w:rsid w:val="007E5EB6"/>
    <w:rsid w:val="007E5F12"/>
    <w:rsid w:val="007E5F46"/>
    <w:rsid w:val="007E5FF1"/>
    <w:rsid w:val="007E6046"/>
    <w:rsid w:val="007E60CF"/>
    <w:rsid w:val="007E610C"/>
    <w:rsid w:val="007E6188"/>
    <w:rsid w:val="007E61B6"/>
    <w:rsid w:val="007E62A9"/>
    <w:rsid w:val="007E62D6"/>
    <w:rsid w:val="007E639F"/>
    <w:rsid w:val="007E63BD"/>
    <w:rsid w:val="007E63C1"/>
    <w:rsid w:val="007E63D8"/>
    <w:rsid w:val="007E644B"/>
    <w:rsid w:val="007E64D8"/>
    <w:rsid w:val="007E650F"/>
    <w:rsid w:val="007E651E"/>
    <w:rsid w:val="007E6565"/>
    <w:rsid w:val="007E65E9"/>
    <w:rsid w:val="007E66F4"/>
    <w:rsid w:val="007E6794"/>
    <w:rsid w:val="007E67B4"/>
    <w:rsid w:val="007E67D0"/>
    <w:rsid w:val="007E6876"/>
    <w:rsid w:val="007E68AB"/>
    <w:rsid w:val="007E693C"/>
    <w:rsid w:val="007E69D0"/>
    <w:rsid w:val="007E69ED"/>
    <w:rsid w:val="007E6A33"/>
    <w:rsid w:val="007E6AD0"/>
    <w:rsid w:val="007E6ADD"/>
    <w:rsid w:val="007E6B72"/>
    <w:rsid w:val="007E6CEF"/>
    <w:rsid w:val="007E6D80"/>
    <w:rsid w:val="007E6E7B"/>
    <w:rsid w:val="007E6F26"/>
    <w:rsid w:val="007E6F60"/>
    <w:rsid w:val="007E7031"/>
    <w:rsid w:val="007E70BE"/>
    <w:rsid w:val="007E7119"/>
    <w:rsid w:val="007E7137"/>
    <w:rsid w:val="007E715A"/>
    <w:rsid w:val="007E718D"/>
    <w:rsid w:val="007E71D1"/>
    <w:rsid w:val="007E727B"/>
    <w:rsid w:val="007E7291"/>
    <w:rsid w:val="007E72D8"/>
    <w:rsid w:val="007E732C"/>
    <w:rsid w:val="007E7342"/>
    <w:rsid w:val="007E737E"/>
    <w:rsid w:val="007E738F"/>
    <w:rsid w:val="007E741D"/>
    <w:rsid w:val="007E744A"/>
    <w:rsid w:val="007E7452"/>
    <w:rsid w:val="007E7477"/>
    <w:rsid w:val="007E74B7"/>
    <w:rsid w:val="007E7535"/>
    <w:rsid w:val="007E7541"/>
    <w:rsid w:val="007E75C3"/>
    <w:rsid w:val="007E75C6"/>
    <w:rsid w:val="007E7612"/>
    <w:rsid w:val="007E763A"/>
    <w:rsid w:val="007E773C"/>
    <w:rsid w:val="007E77B7"/>
    <w:rsid w:val="007E77FC"/>
    <w:rsid w:val="007E78CA"/>
    <w:rsid w:val="007E7985"/>
    <w:rsid w:val="007E79F1"/>
    <w:rsid w:val="007E7A03"/>
    <w:rsid w:val="007E7A58"/>
    <w:rsid w:val="007E7A99"/>
    <w:rsid w:val="007E7AB8"/>
    <w:rsid w:val="007E7B28"/>
    <w:rsid w:val="007E7CCB"/>
    <w:rsid w:val="007E7D20"/>
    <w:rsid w:val="007E7D58"/>
    <w:rsid w:val="007E7E40"/>
    <w:rsid w:val="007E7E7A"/>
    <w:rsid w:val="007E7EB3"/>
    <w:rsid w:val="007E7F74"/>
    <w:rsid w:val="007E7F98"/>
    <w:rsid w:val="007E7FBD"/>
    <w:rsid w:val="007F0089"/>
    <w:rsid w:val="007F009E"/>
    <w:rsid w:val="007F00DF"/>
    <w:rsid w:val="007F0177"/>
    <w:rsid w:val="007F0180"/>
    <w:rsid w:val="007F01DD"/>
    <w:rsid w:val="007F023C"/>
    <w:rsid w:val="007F028B"/>
    <w:rsid w:val="007F02A5"/>
    <w:rsid w:val="007F02EC"/>
    <w:rsid w:val="007F034F"/>
    <w:rsid w:val="007F0350"/>
    <w:rsid w:val="007F0374"/>
    <w:rsid w:val="007F03C4"/>
    <w:rsid w:val="007F03CD"/>
    <w:rsid w:val="007F0400"/>
    <w:rsid w:val="007F044C"/>
    <w:rsid w:val="007F0454"/>
    <w:rsid w:val="007F04FA"/>
    <w:rsid w:val="007F0549"/>
    <w:rsid w:val="007F0731"/>
    <w:rsid w:val="007F0795"/>
    <w:rsid w:val="007F0816"/>
    <w:rsid w:val="007F0832"/>
    <w:rsid w:val="007F0848"/>
    <w:rsid w:val="007F0928"/>
    <w:rsid w:val="007F092A"/>
    <w:rsid w:val="007F092B"/>
    <w:rsid w:val="007F0994"/>
    <w:rsid w:val="007F09A2"/>
    <w:rsid w:val="007F0A09"/>
    <w:rsid w:val="007F0A3A"/>
    <w:rsid w:val="007F0A60"/>
    <w:rsid w:val="007F0AB5"/>
    <w:rsid w:val="007F0AEC"/>
    <w:rsid w:val="007F0B9F"/>
    <w:rsid w:val="007F0C21"/>
    <w:rsid w:val="007F0C52"/>
    <w:rsid w:val="007F0C8B"/>
    <w:rsid w:val="007F0CEC"/>
    <w:rsid w:val="007F0D6A"/>
    <w:rsid w:val="007F0D75"/>
    <w:rsid w:val="007F0D90"/>
    <w:rsid w:val="007F0E2C"/>
    <w:rsid w:val="007F0E45"/>
    <w:rsid w:val="007F0E7C"/>
    <w:rsid w:val="007F0F24"/>
    <w:rsid w:val="007F0F30"/>
    <w:rsid w:val="007F0FF2"/>
    <w:rsid w:val="007F10A8"/>
    <w:rsid w:val="007F10B7"/>
    <w:rsid w:val="007F10C2"/>
    <w:rsid w:val="007F10F2"/>
    <w:rsid w:val="007F1116"/>
    <w:rsid w:val="007F111A"/>
    <w:rsid w:val="007F11E8"/>
    <w:rsid w:val="007F121B"/>
    <w:rsid w:val="007F124B"/>
    <w:rsid w:val="007F12F3"/>
    <w:rsid w:val="007F153F"/>
    <w:rsid w:val="007F1563"/>
    <w:rsid w:val="007F160C"/>
    <w:rsid w:val="007F1641"/>
    <w:rsid w:val="007F16A8"/>
    <w:rsid w:val="007F16F7"/>
    <w:rsid w:val="007F1798"/>
    <w:rsid w:val="007F17B2"/>
    <w:rsid w:val="007F1820"/>
    <w:rsid w:val="007F189B"/>
    <w:rsid w:val="007F18B8"/>
    <w:rsid w:val="007F1957"/>
    <w:rsid w:val="007F1962"/>
    <w:rsid w:val="007F19F3"/>
    <w:rsid w:val="007F1A6E"/>
    <w:rsid w:val="007F1A7E"/>
    <w:rsid w:val="007F1AAA"/>
    <w:rsid w:val="007F1AE1"/>
    <w:rsid w:val="007F1B4A"/>
    <w:rsid w:val="007F1BAC"/>
    <w:rsid w:val="007F1BAD"/>
    <w:rsid w:val="007F1BE8"/>
    <w:rsid w:val="007F1C4C"/>
    <w:rsid w:val="007F1CD6"/>
    <w:rsid w:val="007F1CD8"/>
    <w:rsid w:val="007F1CDD"/>
    <w:rsid w:val="007F1D79"/>
    <w:rsid w:val="007F1DA9"/>
    <w:rsid w:val="007F1EA7"/>
    <w:rsid w:val="007F1EBF"/>
    <w:rsid w:val="007F1EEA"/>
    <w:rsid w:val="007F1F2E"/>
    <w:rsid w:val="007F1F75"/>
    <w:rsid w:val="007F1F7B"/>
    <w:rsid w:val="007F1FBC"/>
    <w:rsid w:val="007F21C6"/>
    <w:rsid w:val="007F222C"/>
    <w:rsid w:val="007F226E"/>
    <w:rsid w:val="007F22BF"/>
    <w:rsid w:val="007F23C7"/>
    <w:rsid w:val="007F23F5"/>
    <w:rsid w:val="007F24D8"/>
    <w:rsid w:val="007F2567"/>
    <w:rsid w:val="007F259B"/>
    <w:rsid w:val="007F25C8"/>
    <w:rsid w:val="007F2616"/>
    <w:rsid w:val="007F264F"/>
    <w:rsid w:val="007F268E"/>
    <w:rsid w:val="007F26BA"/>
    <w:rsid w:val="007F27D4"/>
    <w:rsid w:val="007F2825"/>
    <w:rsid w:val="007F2854"/>
    <w:rsid w:val="007F2920"/>
    <w:rsid w:val="007F2997"/>
    <w:rsid w:val="007F29C2"/>
    <w:rsid w:val="007F2AE3"/>
    <w:rsid w:val="007F2B91"/>
    <w:rsid w:val="007F2BEA"/>
    <w:rsid w:val="007F2BF3"/>
    <w:rsid w:val="007F2CAF"/>
    <w:rsid w:val="007F2CD9"/>
    <w:rsid w:val="007F2CED"/>
    <w:rsid w:val="007F2D18"/>
    <w:rsid w:val="007F2D22"/>
    <w:rsid w:val="007F2D79"/>
    <w:rsid w:val="007F2DBE"/>
    <w:rsid w:val="007F2DDF"/>
    <w:rsid w:val="007F2DE3"/>
    <w:rsid w:val="007F2E25"/>
    <w:rsid w:val="007F2E91"/>
    <w:rsid w:val="007F2EBB"/>
    <w:rsid w:val="007F2F18"/>
    <w:rsid w:val="007F2F62"/>
    <w:rsid w:val="007F2F82"/>
    <w:rsid w:val="007F2FB4"/>
    <w:rsid w:val="007F2FB8"/>
    <w:rsid w:val="007F2FF4"/>
    <w:rsid w:val="007F3104"/>
    <w:rsid w:val="007F325E"/>
    <w:rsid w:val="007F330A"/>
    <w:rsid w:val="007F3493"/>
    <w:rsid w:val="007F34A4"/>
    <w:rsid w:val="007F34F1"/>
    <w:rsid w:val="007F352B"/>
    <w:rsid w:val="007F3547"/>
    <w:rsid w:val="007F35DA"/>
    <w:rsid w:val="007F375C"/>
    <w:rsid w:val="007F37D7"/>
    <w:rsid w:val="007F37E6"/>
    <w:rsid w:val="007F3971"/>
    <w:rsid w:val="007F39BC"/>
    <w:rsid w:val="007F39F9"/>
    <w:rsid w:val="007F3A15"/>
    <w:rsid w:val="007F3B2E"/>
    <w:rsid w:val="007F3BE2"/>
    <w:rsid w:val="007F3C76"/>
    <w:rsid w:val="007F3C77"/>
    <w:rsid w:val="007F3C7F"/>
    <w:rsid w:val="007F3CD4"/>
    <w:rsid w:val="007F3D04"/>
    <w:rsid w:val="007F3D3B"/>
    <w:rsid w:val="007F3D43"/>
    <w:rsid w:val="007F3D48"/>
    <w:rsid w:val="007F3DB5"/>
    <w:rsid w:val="007F3E1E"/>
    <w:rsid w:val="007F3EE9"/>
    <w:rsid w:val="007F3EEA"/>
    <w:rsid w:val="007F3FBE"/>
    <w:rsid w:val="007F4087"/>
    <w:rsid w:val="007F40B9"/>
    <w:rsid w:val="007F40C2"/>
    <w:rsid w:val="007F413F"/>
    <w:rsid w:val="007F4147"/>
    <w:rsid w:val="007F41B6"/>
    <w:rsid w:val="007F41ED"/>
    <w:rsid w:val="007F41F7"/>
    <w:rsid w:val="007F437B"/>
    <w:rsid w:val="007F43D5"/>
    <w:rsid w:val="007F444D"/>
    <w:rsid w:val="007F44E6"/>
    <w:rsid w:val="007F453F"/>
    <w:rsid w:val="007F456E"/>
    <w:rsid w:val="007F457D"/>
    <w:rsid w:val="007F465E"/>
    <w:rsid w:val="007F46D0"/>
    <w:rsid w:val="007F46EC"/>
    <w:rsid w:val="007F473A"/>
    <w:rsid w:val="007F4745"/>
    <w:rsid w:val="007F47A3"/>
    <w:rsid w:val="007F48A2"/>
    <w:rsid w:val="007F4950"/>
    <w:rsid w:val="007F497A"/>
    <w:rsid w:val="007F4A7C"/>
    <w:rsid w:val="007F4B6C"/>
    <w:rsid w:val="007F4BA7"/>
    <w:rsid w:val="007F4C19"/>
    <w:rsid w:val="007F4C23"/>
    <w:rsid w:val="007F4D4C"/>
    <w:rsid w:val="007F4D88"/>
    <w:rsid w:val="007F4E96"/>
    <w:rsid w:val="007F4F7A"/>
    <w:rsid w:val="007F4FA7"/>
    <w:rsid w:val="007F5017"/>
    <w:rsid w:val="007F5100"/>
    <w:rsid w:val="007F5139"/>
    <w:rsid w:val="007F5285"/>
    <w:rsid w:val="007F52B8"/>
    <w:rsid w:val="007F52BA"/>
    <w:rsid w:val="007F52C9"/>
    <w:rsid w:val="007F5307"/>
    <w:rsid w:val="007F5537"/>
    <w:rsid w:val="007F55CF"/>
    <w:rsid w:val="007F560E"/>
    <w:rsid w:val="007F56C1"/>
    <w:rsid w:val="007F56EA"/>
    <w:rsid w:val="007F5702"/>
    <w:rsid w:val="007F5743"/>
    <w:rsid w:val="007F574B"/>
    <w:rsid w:val="007F574D"/>
    <w:rsid w:val="007F5754"/>
    <w:rsid w:val="007F579A"/>
    <w:rsid w:val="007F57BE"/>
    <w:rsid w:val="007F57E0"/>
    <w:rsid w:val="007F57FE"/>
    <w:rsid w:val="007F583A"/>
    <w:rsid w:val="007F584F"/>
    <w:rsid w:val="007F5876"/>
    <w:rsid w:val="007F5886"/>
    <w:rsid w:val="007F58F2"/>
    <w:rsid w:val="007F5A45"/>
    <w:rsid w:val="007F5AA1"/>
    <w:rsid w:val="007F5B3C"/>
    <w:rsid w:val="007F5CBD"/>
    <w:rsid w:val="007F5D06"/>
    <w:rsid w:val="007F5D5B"/>
    <w:rsid w:val="007F5D6C"/>
    <w:rsid w:val="007F5DEB"/>
    <w:rsid w:val="007F5E3B"/>
    <w:rsid w:val="007F5EAC"/>
    <w:rsid w:val="007F5ED6"/>
    <w:rsid w:val="007F5EFD"/>
    <w:rsid w:val="007F60F3"/>
    <w:rsid w:val="007F61BF"/>
    <w:rsid w:val="007F6276"/>
    <w:rsid w:val="007F6419"/>
    <w:rsid w:val="007F64BF"/>
    <w:rsid w:val="007F655D"/>
    <w:rsid w:val="007F6608"/>
    <w:rsid w:val="007F6714"/>
    <w:rsid w:val="007F676E"/>
    <w:rsid w:val="007F6789"/>
    <w:rsid w:val="007F67D9"/>
    <w:rsid w:val="007F67F8"/>
    <w:rsid w:val="007F6833"/>
    <w:rsid w:val="007F6838"/>
    <w:rsid w:val="007F68EE"/>
    <w:rsid w:val="007F6965"/>
    <w:rsid w:val="007F6970"/>
    <w:rsid w:val="007F698A"/>
    <w:rsid w:val="007F6AF7"/>
    <w:rsid w:val="007F6B1A"/>
    <w:rsid w:val="007F6B1B"/>
    <w:rsid w:val="007F6B2A"/>
    <w:rsid w:val="007F6B45"/>
    <w:rsid w:val="007F6B4A"/>
    <w:rsid w:val="007F6B5E"/>
    <w:rsid w:val="007F6BEB"/>
    <w:rsid w:val="007F6BFA"/>
    <w:rsid w:val="007F6C04"/>
    <w:rsid w:val="007F6C88"/>
    <w:rsid w:val="007F6CFB"/>
    <w:rsid w:val="007F6D0D"/>
    <w:rsid w:val="007F6D32"/>
    <w:rsid w:val="007F6DFE"/>
    <w:rsid w:val="007F6E47"/>
    <w:rsid w:val="007F6E5C"/>
    <w:rsid w:val="007F6F2F"/>
    <w:rsid w:val="007F6F66"/>
    <w:rsid w:val="007F702E"/>
    <w:rsid w:val="007F703E"/>
    <w:rsid w:val="007F70A6"/>
    <w:rsid w:val="007F70CD"/>
    <w:rsid w:val="007F7212"/>
    <w:rsid w:val="007F7222"/>
    <w:rsid w:val="007F7227"/>
    <w:rsid w:val="007F725A"/>
    <w:rsid w:val="007F725D"/>
    <w:rsid w:val="007F727E"/>
    <w:rsid w:val="007F7365"/>
    <w:rsid w:val="007F7374"/>
    <w:rsid w:val="007F737D"/>
    <w:rsid w:val="007F73A2"/>
    <w:rsid w:val="007F74EC"/>
    <w:rsid w:val="007F74FE"/>
    <w:rsid w:val="007F7534"/>
    <w:rsid w:val="007F7552"/>
    <w:rsid w:val="007F7554"/>
    <w:rsid w:val="007F756A"/>
    <w:rsid w:val="007F758B"/>
    <w:rsid w:val="007F75CF"/>
    <w:rsid w:val="007F7627"/>
    <w:rsid w:val="007F7643"/>
    <w:rsid w:val="007F769E"/>
    <w:rsid w:val="007F7714"/>
    <w:rsid w:val="007F7811"/>
    <w:rsid w:val="007F7822"/>
    <w:rsid w:val="007F794D"/>
    <w:rsid w:val="007F79C8"/>
    <w:rsid w:val="007F7AFE"/>
    <w:rsid w:val="007F7B3B"/>
    <w:rsid w:val="007F7B55"/>
    <w:rsid w:val="007F7C68"/>
    <w:rsid w:val="007F7CA7"/>
    <w:rsid w:val="007F7CCB"/>
    <w:rsid w:val="007F7D15"/>
    <w:rsid w:val="007F7D2D"/>
    <w:rsid w:val="007F7DBC"/>
    <w:rsid w:val="007F7DBD"/>
    <w:rsid w:val="007F7DDD"/>
    <w:rsid w:val="007F7E36"/>
    <w:rsid w:val="007F7E83"/>
    <w:rsid w:val="007F7EE3"/>
    <w:rsid w:val="007F7EFE"/>
    <w:rsid w:val="007F7F28"/>
    <w:rsid w:val="007F7F8E"/>
    <w:rsid w:val="007F7FC9"/>
    <w:rsid w:val="007F7FE2"/>
    <w:rsid w:val="0080006A"/>
    <w:rsid w:val="008000BC"/>
    <w:rsid w:val="00800142"/>
    <w:rsid w:val="00800166"/>
    <w:rsid w:val="0080016A"/>
    <w:rsid w:val="008001A8"/>
    <w:rsid w:val="00800208"/>
    <w:rsid w:val="0080026B"/>
    <w:rsid w:val="00800276"/>
    <w:rsid w:val="00800410"/>
    <w:rsid w:val="008004B8"/>
    <w:rsid w:val="008004C0"/>
    <w:rsid w:val="008004D8"/>
    <w:rsid w:val="008004F0"/>
    <w:rsid w:val="00800500"/>
    <w:rsid w:val="00800666"/>
    <w:rsid w:val="00800681"/>
    <w:rsid w:val="00800727"/>
    <w:rsid w:val="00800870"/>
    <w:rsid w:val="008008F5"/>
    <w:rsid w:val="0080095F"/>
    <w:rsid w:val="00800AA8"/>
    <w:rsid w:val="00800AE0"/>
    <w:rsid w:val="00800B62"/>
    <w:rsid w:val="00800BBC"/>
    <w:rsid w:val="00800BC3"/>
    <w:rsid w:val="00800C3C"/>
    <w:rsid w:val="00800C98"/>
    <w:rsid w:val="00800CAA"/>
    <w:rsid w:val="00800DAF"/>
    <w:rsid w:val="00800E0B"/>
    <w:rsid w:val="00800E53"/>
    <w:rsid w:val="00800E61"/>
    <w:rsid w:val="00800EB8"/>
    <w:rsid w:val="00800EF8"/>
    <w:rsid w:val="00801092"/>
    <w:rsid w:val="008010A7"/>
    <w:rsid w:val="008010BE"/>
    <w:rsid w:val="008010D3"/>
    <w:rsid w:val="008010E1"/>
    <w:rsid w:val="00801100"/>
    <w:rsid w:val="00801268"/>
    <w:rsid w:val="00801272"/>
    <w:rsid w:val="00801280"/>
    <w:rsid w:val="0080131A"/>
    <w:rsid w:val="00801384"/>
    <w:rsid w:val="0080138B"/>
    <w:rsid w:val="008013A3"/>
    <w:rsid w:val="008013AF"/>
    <w:rsid w:val="008013C7"/>
    <w:rsid w:val="008013E9"/>
    <w:rsid w:val="0080140D"/>
    <w:rsid w:val="0080143C"/>
    <w:rsid w:val="0080147F"/>
    <w:rsid w:val="00801529"/>
    <w:rsid w:val="0080154E"/>
    <w:rsid w:val="0080157C"/>
    <w:rsid w:val="0080163F"/>
    <w:rsid w:val="0080168F"/>
    <w:rsid w:val="0080169A"/>
    <w:rsid w:val="008016B4"/>
    <w:rsid w:val="00801743"/>
    <w:rsid w:val="008017F4"/>
    <w:rsid w:val="0080182B"/>
    <w:rsid w:val="00801947"/>
    <w:rsid w:val="00801A74"/>
    <w:rsid w:val="00801B76"/>
    <w:rsid w:val="00801BD2"/>
    <w:rsid w:val="00801C2B"/>
    <w:rsid w:val="00801C49"/>
    <w:rsid w:val="00801D79"/>
    <w:rsid w:val="00801D7C"/>
    <w:rsid w:val="00801EE0"/>
    <w:rsid w:val="00801F93"/>
    <w:rsid w:val="00801FB2"/>
    <w:rsid w:val="00801FCC"/>
    <w:rsid w:val="00802081"/>
    <w:rsid w:val="0080209D"/>
    <w:rsid w:val="008020E5"/>
    <w:rsid w:val="008020F9"/>
    <w:rsid w:val="00802112"/>
    <w:rsid w:val="00802141"/>
    <w:rsid w:val="00802219"/>
    <w:rsid w:val="00802236"/>
    <w:rsid w:val="0080226E"/>
    <w:rsid w:val="0080231F"/>
    <w:rsid w:val="00802345"/>
    <w:rsid w:val="0080234C"/>
    <w:rsid w:val="0080236E"/>
    <w:rsid w:val="00802460"/>
    <w:rsid w:val="00802469"/>
    <w:rsid w:val="008024EE"/>
    <w:rsid w:val="00802537"/>
    <w:rsid w:val="0080258C"/>
    <w:rsid w:val="00802658"/>
    <w:rsid w:val="00802672"/>
    <w:rsid w:val="008026BF"/>
    <w:rsid w:val="00802759"/>
    <w:rsid w:val="008027FE"/>
    <w:rsid w:val="0080287C"/>
    <w:rsid w:val="008028AF"/>
    <w:rsid w:val="008028DD"/>
    <w:rsid w:val="00802909"/>
    <w:rsid w:val="00802929"/>
    <w:rsid w:val="008029A9"/>
    <w:rsid w:val="00802A32"/>
    <w:rsid w:val="00802A6F"/>
    <w:rsid w:val="00802A9A"/>
    <w:rsid w:val="00802AC7"/>
    <w:rsid w:val="00802ACF"/>
    <w:rsid w:val="00802AF6"/>
    <w:rsid w:val="00802C3D"/>
    <w:rsid w:val="00802CD6"/>
    <w:rsid w:val="00802CEE"/>
    <w:rsid w:val="00802D15"/>
    <w:rsid w:val="00802EEB"/>
    <w:rsid w:val="00802EF6"/>
    <w:rsid w:val="00803181"/>
    <w:rsid w:val="008031AE"/>
    <w:rsid w:val="0080328F"/>
    <w:rsid w:val="008032BE"/>
    <w:rsid w:val="00803306"/>
    <w:rsid w:val="0080333F"/>
    <w:rsid w:val="00803361"/>
    <w:rsid w:val="008033F3"/>
    <w:rsid w:val="008034C9"/>
    <w:rsid w:val="00803576"/>
    <w:rsid w:val="0080357C"/>
    <w:rsid w:val="00803599"/>
    <w:rsid w:val="008035FD"/>
    <w:rsid w:val="00803699"/>
    <w:rsid w:val="0080369A"/>
    <w:rsid w:val="00803709"/>
    <w:rsid w:val="0080389A"/>
    <w:rsid w:val="0080393A"/>
    <w:rsid w:val="008039E9"/>
    <w:rsid w:val="00803A04"/>
    <w:rsid w:val="00803A57"/>
    <w:rsid w:val="00803B31"/>
    <w:rsid w:val="00803C44"/>
    <w:rsid w:val="00803C6B"/>
    <w:rsid w:val="00803C86"/>
    <w:rsid w:val="00803C88"/>
    <w:rsid w:val="00803C96"/>
    <w:rsid w:val="00803CB0"/>
    <w:rsid w:val="00803D45"/>
    <w:rsid w:val="00803E1D"/>
    <w:rsid w:val="00803E23"/>
    <w:rsid w:val="00803E5F"/>
    <w:rsid w:val="00803EFF"/>
    <w:rsid w:val="00803F69"/>
    <w:rsid w:val="00803F95"/>
    <w:rsid w:val="00803F9F"/>
    <w:rsid w:val="00803FEF"/>
    <w:rsid w:val="00804039"/>
    <w:rsid w:val="008040AA"/>
    <w:rsid w:val="008040BD"/>
    <w:rsid w:val="00804223"/>
    <w:rsid w:val="0080427D"/>
    <w:rsid w:val="0080427E"/>
    <w:rsid w:val="00804320"/>
    <w:rsid w:val="008043C3"/>
    <w:rsid w:val="00804430"/>
    <w:rsid w:val="008044C9"/>
    <w:rsid w:val="008044E6"/>
    <w:rsid w:val="00804518"/>
    <w:rsid w:val="008045FA"/>
    <w:rsid w:val="008047BE"/>
    <w:rsid w:val="00804890"/>
    <w:rsid w:val="008048A8"/>
    <w:rsid w:val="008048D0"/>
    <w:rsid w:val="0080498D"/>
    <w:rsid w:val="0080498F"/>
    <w:rsid w:val="00804995"/>
    <w:rsid w:val="008049B6"/>
    <w:rsid w:val="00804A17"/>
    <w:rsid w:val="00804A2B"/>
    <w:rsid w:val="00804A2C"/>
    <w:rsid w:val="00804A53"/>
    <w:rsid w:val="00804AC8"/>
    <w:rsid w:val="00804B58"/>
    <w:rsid w:val="00804B86"/>
    <w:rsid w:val="00804C28"/>
    <w:rsid w:val="00804C95"/>
    <w:rsid w:val="00804CD5"/>
    <w:rsid w:val="00804CEC"/>
    <w:rsid w:val="00804D0A"/>
    <w:rsid w:val="00804D62"/>
    <w:rsid w:val="00804EF8"/>
    <w:rsid w:val="00804F1D"/>
    <w:rsid w:val="00804F8F"/>
    <w:rsid w:val="00805096"/>
    <w:rsid w:val="008050C4"/>
    <w:rsid w:val="008050FE"/>
    <w:rsid w:val="0080510E"/>
    <w:rsid w:val="008051EF"/>
    <w:rsid w:val="00805211"/>
    <w:rsid w:val="008052A5"/>
    <w:rsid w:val="00805327"/>
    <w:rsid w:val="008054BA"/>
    <w:rsid w:val="008054C1"/>
    <w:rsid w:val="008054DE"/>
    <w:rsid w:val="0080559D"/>
    <w:rsid w:val="008055B5"/>
    <w:rsid w:val="008055E8"/>
    <w:rsid w:val="008055EB"/>
    <w:rsid w:val="0080566C"/>
    <w:rsid w:val="00805790"/>
    <w:rsid w:val="008057E0"/>
    <w:rsid w:val="00805914"/>
    <w:rsid w:val="00805961"/>
    <w:rsid w:val="00805967"/>
    <w:rsid w:val="0080596A"/>
    <w:rsid w:val="0080599D"/>
    <w:rsid w:val="00805A6F"/>
    <w:rsid w:val="00805A71"/>
    <w:rsid w:val="00805A91"/>
    <w:rsid w:val="00805ABC"/>
    <w:rsid w:val="00805AF9"/>
    <w:rsid w:val="00805B01"/>
    <w:rsid w:val="00805B18"/>
    <w:rsid w:val="00805C71"/>
    <w:rsid w:val="00805CC0"/>
    <w:rsid w:val="00805CC6"/>
    <w:rsid w:val="00805CCC"/>
    <w:rsid w:val="00805CE1"/>
    <w:rsid w:val="00805D2E"/>
    <w:rsid w:val="00805DB4"/>
    <w:rsid w:val="00805E75"/>
    <w:rsid w:val="00805EFC"/>
    <w:rsid w:val="00805F0D"/>
    <w:rsid w:val="00805F18"/>
    <w:rsid w:val="00805F6D"/>
    <w:rsid w:val="00805F8D"/>
    <w:rsid w:val="00806170"/>
    <w:rsid w:val="0080626D"/>
    <w:rsid w:val="00806393"/>
    <w:rsid w:val="008063B1"/>
    <w:rsid w:val="008063FE"/>
    <w:rsid w:val="0080643D"/>
    <w:rsid w:val="008064A5"/>
    <w:rsid w:val="00806503"/>
    <w:rsid w:val="00806504"/>
    <w:rsid w:val="00806515"/>
    <w:rsid w:val="008065A5"/>
    <w:rsid w:val="00806626"/>
    <w:rsid w:val="00806688"/>
    <w:rsid w:val="0080668E"/>
    <w:rsid w:val="0080669D"/>
    <w:rsid w:val="008066C4"/>
    <w:rsid w:val="008067A3"/>
    <w:rsid w:val="00806831"/>
    <w:rsid w:val="00806909"/>
    <w:rsid w:val="0080692A"/>
    <w:rsid w:val="0080693C"/>
    <w:rsid w:val="00806949"/>
    <w:rsid w:val="00806990"/>
    <w:rsid w:val="008069C6"/>
    <w:rsid w:val="00806A2A"/>
    <w:rsid w:val="00806A2F"/>
    <w:rsid w:val="00806AA6"/>
    <w:rsid w:val="00806AC3"/>
    <w:rsid w:val="00806AFA"/>
    <w:rsid w:val="00806B19"/>
    <w:rsid w:val="00806B1C"/>
    <w:rsid w:val="00806B35"/>
    <w:rsid w:val="00806B88"/>
    <w:rsid w:val="00806BAC"/>
    <w:rsid w:val="00806CA3"/>
    <w:rsid w:val="00806D06"/>
    <w:rsid w:val="00806D5C"/>
    <w:rsid w:val="00806D8F"/>
    <w:rsid w:val="00806E5D"/>
    <w:rsid w:val="00806E9E"/>
    <w:rsid w:val="00806EB4"/>
    <w:rsid w:val="00806EC2"/>
    <w:rsid w:val="00806ECF"/>
    <w:rsid w:val="00806EDC"/>
    <w:rsid w:val="00806F13"/>
    <w:rsid w:val="00806F97"/>
    <w:rsid w:val="0080703F"/>
    <w:rsid w:val="008070C7"/>
    <w:rsid w:val="008070DF"/>
    <w:rsid w:val="008071C8"/>
    <w:rsid w:val="0080720E"/>
    <w:rsid w:val="0080726D"/>
    <w:rsid w:val="0080732B"/>
    <w:rsid w:val="0080732D"/>
    <w:rsid w:val="00807360"/>
    <w:rsid w:val="008073D5"/>
    <w:rsid w:val="008073E8"/>
    <w:rsid w:val="0080741F"/>
    <w:rsid w:val="008074FF"/>
    <w:rsid w:val="00807568"/>
    <w:rsid w:val="00807592"/>
    <w:rsid w:val="00807608"/>
    <w:rsid w:val="008076A7"/>
    <w:rsid w:val="008076DD"/>
    <w:rsid w:val="0080771C"/>
    <w:rsid w:val="00807770"/>
    <w:rsid w:val="008077F0"/>
    <w:rsid w:val="00807801"/>
    <w:rsid w:val="0080784E"/>
    <w:rsid w:val="008078FF"/>
    <w:rsid w:val="00807909"/>
    <w:rsid w:val="0080792F"/>
    <w:rsid w:val="00807A7E"/>
    <w:rsid w:val="00807A9C"/>
    <w:rsid w:val="00807B14"/>
    <w:rsid w:val="00807B16"/>
    <w:rsid w:val="00807B61"/>
    <w:rsid w:val="00807BEA"/>
    <w:rsid w:val="00807C79"/>
    <w:rsid w:val="00807C92"/>
    <w:rsid w:val="00807C9C"/>
    <w:rsid w:val="00807CFB"/>
    <w:rsid w:val="00807D42"/>
    <w:rsid w:val="00807D7B"/>
    <w:rsid w:val="00807DAF"/>
    <w:rsid w:val="00807E89"/>
    <w:rsid w:val="00807EE5"/>
    <w:rsid w:val="00807F17"/>
    <w:rsid w:val="00807F66"/>
    <w:rsid w:val="00807FBD"/>
    <w:rsid w:val="00807FC1"/>
    <w:rsid w:val="00807FCB"/>
    <w:rsid w:val="0081006E"/>
    <w:rsid w:val="00810273"/>
    <w:rsid w:val="00810322"/>
    <w:rsid w:val="00810325"/>
    <w:rsid w:val="00810372"/>
    <w:rsid w:val="008103A7"/>
    <w:rsid w:val="0081045F"/>
    <w:rsid w:val="008105A4"/>
    <w:rsid w:val="008105B5"/>
    <w:rsid w:val="0081061A"/>
    <w:rsid w:val="0081066B"/>
    <w:rsid w:val="0081066C"/>
    <w:rsid w:val="00810696"/>
    <w:rsid w:val="0081074B"/>
    <w:rsid w:val="00810769"/>
    <w:rsid w:val="0081077F"/>
    <w:rsid w:val="00810850"/>
    <w:rsid w:val="008108A6"/>
    <w:rsid w:val="008108C7"/>
    <w:rsid w:val="00810971"/>
    <w:rsid w:val="00810B14"/>
    <w:rsid w:val="00810B60"/>
    <w:rsid w:val="00810BA0"/>
    <w:rsid w:val="00810BA9"/>
    <w:rsid w:val="00810BEA"/>
    <w:rsid w:val="00810C0D"/>
    <w:rsid w:val="00810C1B"/>
    <w:rsid w:val="00810C1C"/>
    <w:rsid w:val="00810C27"/>
    <w:rsid w:val="00810CCA"/>
    <w:rsid w:val="00810DC5"/>
    <w:rsid w:val="00810DE7"/>
    <w:rsid w:val="00810E8D"/>
    <w:rsid w:val="00810FF4"/>
    <w:rsid w:val="0081101D"/>
    <w:rsid w:val="0081108C"/>
    <w:rsid w:val="008110C1"/>
    <w:rsid w:val="00811141"/>
    <w:rsid w:val="00811147"/>
    <w:rsid w:val="0081115E"/>
    <w:rsid w:val="00811176"/>
    <w:rsid w:val="0081117F"/>
    <w:rsid w:val="00811213"/>
    <w:rsid w:val="00811290"/>
    <w:rsid w:val="008112A7"/>
    <w:rsid w:val="008112DC"/>
    <w:rsid w:val="008112EC"/>
    <w:rsid w:val="00811330"/>
    <w:rsid w:val="00811372"/>
    <w:rsid w:val="0081144B"/>
    <w:rsid w:val="0081144C"/>
    <w:rsid w:val="00811492"/>
    <w:rsid w:val="008114E2"/>
    <w:rsid w:val="0081159C"/>
    <w:rsid w:val="008115D3"/>
    <w:rsid w:val="00811694"/>
    <w:rsid w:val="008116E5"/>
    <w:rsid w:val="0081170C"/>
    <w:rsid w:val="008117A2"/>
    <w:rsid w:val="0081185C"/>
    <w:rsid w:val="00811905"/>
    <w:rsid w:val="0081195A"/>
    <w:rsid w:val="008119F6"/>
    <w:rsid w:val="00811A48"/>
    <w:rsid w:val="00811AC4"/>
    <w:rsid w:val="00811ACE"/>
    <w:rsid w:val="00811B53"/>
    <w:rsid w:val="00811B80"/>
    <w:rsid w:val="00811BFF"/>
    <w:rsid w:val="00811C02"/>
    <w:rsid w:val="00811C51"/>
    <w:rsid w:val="00811C83"/>
    <w:rsid w:val="00811C9B"/>
    <w:rsid w:val="00811D00"/>
    <w:rsid w:val="00811DE8"/>
    <w:rsid w:val="00811E18"/>
    <w:rsid w:val="00811E51"/>
    <w:rsid w:val="00811EA6"/>
    <w:rsid w:val="00811EF2"/>
    <w:rsid w:val="00811F5A"/>
    <w:rsid w:val="00812017"/>
    <w:rsid w:val="008120F0"/>
    <w:rsid w:val="008120F5"/>
    <w:rsid w:val="008120F7"/>
    <w:rsid w:val="0081216F"/>
    <w:rsid w:val="008121AE"/>
    <w:rsid w:val="00812223"/>
    <w:rsid w:val="00812242"/>
    <w:rsid w:val="00812360"/>
    <w:rsid w:val="008123E1"/>
    <w:rsid w:val="008123F6"/>
    <w:rsid w:val="0081249E"/>
    <w:rsid w:val="008124D6"/>
    <w:rsid w:val="00812528"/>
    <w:rsid w:val="00812628"/>
    <w:rsid w:val="00812826"/>
    <w:rsid w:val="008128FA"/>
    <w:rsid w:val="0081293D"/>
    <w:rsid w:val="008129EA"/>
    <w:rsid w:val="00812A1D"/>
    <w:rsid w:val="00812B2E"/>
    <w:rsid w:val="00812B9D"/>
    <w:rsid w:val="00812C05"/>
    <w:rsid w:val="00812C0B"/>
    <w:rsid w:val="00812C35"/>
    <w:rsid w:val="00812CEC"/>
    <w:rsid w:val="00812D3C"/>
    <w:rsid w:val="00812D55"/>
    <w:rsid w:val="00812E19"/>
    <w:rsid w:val="00812E5B"/>
    <w:rsid w:val="00812EDF"/>
    <w:rsid w:val="00812EF7"/>
    <w:rsid w:val="00812FC9"/>
    <w:rsid w:val="008130CE"/>
    <w:rsid w:val="008130D1"/>
    <w:rsid w:val="00813153"/>
    <w:rsid w:val="008131A6"/>
    <w:rsid w:val="00813264"/>
    <w:rsid w:val="0081334D"/>
    <w:rsid w:val="0081343C"/>
    <w:rsid w:val="00813468"/>
    <w:rsid w:val="008134B7"/>
    <w:rsid w:val="00813526"/>
    <w:rsid w:val="00813541"/>
    <w:rsid w:val="00813595"/>
    <w:rsid w:val="00813677"/>
    <w:rsid w:val="0081367F"/>
    <w:rsid w:val="008136D4"/>
    <w:rsid w:val="008137FC"/>
    <w:rsid w:val="00813872"/>
    <w:rsid w:val="008138E3"/>
    <w:rsid w:val="008138EA"/>
    <w:rsid w:val="00813999"/>
    <w:rsid w:val="008139AF"/>
    <w:rsid w:val="00813A40"/>
    <w:rsid w:val="00813A6C"/>
    <w:rsid w:val="00813A7D"/>
    <w:rsid w:val="00813B9E"/>
    <w:rsid w:val="00813BEB"/>
    <w:rsid w:val="00813CAB"/>
    <w:rsid w:val="00813D22"/>
    <w:rsid w:val="00813D49"/>
    <w:rsid w:val="00813DDA"/>
    <w:rsid w:val="00813E2D"/>
    <w:rsid w:val="00813EC9"/>
    <w:rsid w:val="00813F88"/>
    <w:rsid w:val="00813FF4"/>
    <w:rsid w:val="00814008"/>
    <w:rsid w:val="0081405F"/>
    <w:rsid w:val="00814097"/>
    <w:rsid w:val="008141CB"/>
    <w:rsid w:val="00814267"/>
    <w:rsid w:val="008142BD"/>
    <w:rsid w:val="008142F0"/>
    <w:rsid w:val="00814350"/>
    <w:rsid w:val="008145AD"/>
    <w:rsid w:val="00814634"/>
    <w:rsid w:val="008146AA"/>
    <w:rsid w:val="008146F9"/>
    <w:rsid w:val="00814708"/>
    <w:rsid w:val="0081471E"/>
    <w:rsid w:val="0081474F"/>
    <w:rsid w:val="008147A4"/>
    <w:rsid w:val="008147CF"/>
    <w:rsid w:val="008147FA"/>
    <w:rsid w:val="008148BB"/>
    <w:rsid w:val="0081499C"/>
    <w:rsid w:val="008149AD"/>
    <w:rsid w:val="008149C1"/>
    <w:rsid w:val="00814AAF"/>
    <w:rsid w:val="00814AC5"/>
    <w:rsid w:val="00814B3B"/>
    <w:rsid w:val="00814B61"/>
    <w:rsid w:val="00814B74"/>
    <w:rsid w:val="00814B8A"/>
    <w:rsid w:val="00814CDB"/>
    <w:rsid w:val="00814D22"/>
    <w:rsid w:val="00814D2C"/>
    <w:rsid w:val="00814D41"/>
    <w:rsid w:val="00814EA6"/>
    <w:rsid w:val="00814F08"/>
    <w:rsid w:val="00814F5E"/>
    <w:rsid w:val="00814FBA"/>
    <w:rsid w:val="00814FFA"/>
    <w:rsid w:val="00815013"/>
    <w:rsid w:val="00815076"/>
    <w:rsid w:val="008151BF"/>
    <w:rsid w:val="008151DC"/>
    <w:rsid w:val="0081537A"/>
    <w:rsid w:val="008153CE"/>
    <w:rsid w:val="008154D8"/>
    <w:rsid w:val="008155FC"/>
    <w:rsid w:val="00815629"/>
    <w:rsid w:val="00815665"/>
    <w:rsid w:val="008156DB"/>
    <w:rsid w:val="00815762"/>
    <w:rsid w:val="008157A2"/>
    <w:rsid w:val="008157D7"/>
    <w:rsid w:val="008158D0"/>
    <w:rsid w:val="008158D9"/>
    <w:rsid w:val="00815901"/>
    <w:rsid w:val="00815924"/>
    <w:rsid w:val="008159E1"/>
    <w:rsid w:val="00815A14"/>
    <w:rsid w:val="00815A2C"/>
    <w:rsid w:val="00815A5D"/>
    <w:rsid w:val="00815AF8"/>
    <w:rsid w:val="00815B2E"/>
    <w:rsid w:val="00815BB4"/>
    <w:rsid w:val="00815C05"/>
    <w:rsid w:val="00815CE3"/>
    <w:rsid w:val="00815D0B"/>
    <w:rsid w:val="00815D6D"/>
    <w:rsid w:val="00815D95"/>
    <w:rsid w:val="00815DA7"/>
    <w:rsid w:val="00815E00"/>
    <w:rsid w:val="00815EF0"/>
    <w:rsid w:val="00815FA1"/>
    <w:rsid w:val="00815FA7"/>
    <w:rsid w:val="00815FB0"/>
    <w:rsid w:val="00815FEF"/>
    <w:rsid w:val="00816017"/>
    <w:rsid w:val="00816092"/>
    <w:rsid w:val="0081609F"/>
    <w:rsid w:val="008160F7"/>
    <w:rsid w:val="0081613D"/>
    <w:rsid w:val="00816176"/>
    <w:rsid w:val="008161D7"/>
    <w:rsid w:val="00816216"/>
    <w:rsid w:val="008163B3"/>
    <w:rsid w:val="00816436"/>
    <w:rsid w:val="0081649C"/>
    <w:rsid w:val="0081651B"/>
    <w:rsid w:val="00816563"/>
    <w:rsid w:val="0081657E"/>
    <w:rsid w:val="00816585"/>
    <w:rsid w:val="0081663B"/>
    <w:rsid w:val="00816665"/>
    <w:rsid w:val="008166CE"/>
    <w:rsid w:val="008166E2"/>
    <w:rsid w:val="008166F6"/>
    <w:rsid w:val="00816769"/>
    <w:rsid w:val="008167D0"/>
    <w:rsid w:val="0081682E"/>
    <w:rsid w:val="00816844"/>
    <w:rsid w:val="008168FD"/>
    <w:rsid w:val="00816930"/>
    <w:rsid w:val="0081693D"/>
    <w:rsid w:val="00816944"/>
    <w:rsid w:val="008169D0"/>
    <w:rsid w:val="008169DE"/>
    <w:rsid w:val="00816A6D"/>
    <w:rsid w:val="00816A85"/>
    <w:rsid w:val="00816ADA"/>
    <w:rsid w:val="00816AE5"/>
    <w:rsid w:val="00816B49"/>
    <w:rsid w:val="00816B56"/>
    <w:rsid w:val="00816B95"/>
    <w:rsid w:val="00816BDE"/>
    <w:rsid w:val="00816C3A"/>
    <w:rsid w:val="00816CC6"/>
    <w:rsid w:val="00816D01"/>
    <w:rsid w:val="00816D20"/>
    <w:rsid w:val="00816D57"/>
    <w:rsid w:val="00816D66"/>
    <w:rsid w:val="00816D68"/>
    <w:rsid w:val="00816DA9"/>
    <w:rsid w:val="00816DC0"/>
    <w:rsid w:val="00816DC1"/>
    <w:rsid w:val="00816E99"/>
    <w:rsid w:val="00816EED"/>
    <w:rsid w:val="00816EF8"/>
    <w:rsid w:val="00817067"/>
    <w:rsid w:val="008170C4"/>
    <w:rsid w:val="00817142"/>
    <w:rsid w:val="00817174"/>
    <w:rsid w:val="00817230"/>
    <w:rsid w:val="008173BE"/>
    <w:rsid w:val="0081754B"/>
    <w:rsid w:val="008175C1"/>
    <w:rsid w:val="00817623"/>
    <w:rsid w:val="008178BA"/>
    <w:rsid w:val="008178F5"/>
    <w:rsid w:val="008178FD"/>
    <w:rsid w:val="0081792F"/>
    <w:rsid w:val="00817938"/>
    <w:rsid w:val="0081793F"/>
    <w:rsid w:val="00817941"/>
    <w:rsid w:val="0081797A"/>
    <w:rsid w:val="00817996"/>
    <w:rsid w:val="008179BC"/>
    <w:rsid w:val="00817A2E"/>
    <w:rsid w:val="00817A41"/>
    <w:rsid w:val="00817A9D"/>
    <w:rsid w:val="00817AD1"/>
    <w:rsid w:val="00817AD3"/>
    <w:rsid w:val="00817B63"/>
    <w:rsid w:val="00817B6E"/>
    <w:rsid w:val="00817C5A"/>
    <w:rsid w:val="00817C69"/>
    <w:rsid w:val="00817C81"/>
    <w:rsid w:val="00817C90"/>
    <w:rsid w:val="00817CD2"/>
    <w:rsid w:val="00817D63"/>
    <w:rsid w:val="00817D65"/>
    <w:rsid w:val="00817DAC"/>
    <w:rsid w:val="00817E36"/>
    <w:rsid w:val="00817F5C"/>
    <w:rsid w:val="00817FA6"/>
    <w:rsid w:val="00820047"/>
    <w:rsid w:val="008200B5"/>
    <w:rsid w:val="0082011D"/>
    <w:rsid w:val="0082013D"/>
    <w:rsid w:val="0082015D"/>
    <w:rsid w:val="0082019F"/>
    <w:rsid w:val="008201A4"/>
    <w:rsid w:val="008201DD"/>
    <w:rsid w:val="008201DF"/>
    <w:rsid w:val="0082024A"/>
    <w:rsid w:val="008202A8"/>
    <w:rsid w:val="00820354"/>
    <w:rsid w:val="00820362"/>
    <w:rsid w:val="008203C0"/>
    <w:rsid w:val="0082046C"/>
    <w:rsid w:val="008204F7"/>
    <w:rsid w:val="00820530"/>
    <w:rsid w:val="00820531"/>
    <w:rsid w:val="0082055C"/>
    <w:rsid w:val="0082065D"/>
    <w:rsid w:val="00820670"/>
    <w:rsid w:val="00820677"/>
    <w:rsid w:val="008206C0"/>
    <w:rsid w:val="008207BE"/>
    <w:rsid w:val="008207FD"/>
    <w:rsid w:val="008208CD"/>
    <w:rsid w:val="008208D3"/>
    <w:rsid w:val="00820909"/>
    <w:rsid w:val="00820945"/>
    <w:rsid w:val="00820948"/>
    <w:rsid w:val="008209C1"/>
    <w:rsid w:val="008209CF"/>
    <w:rsid w:val="00820A3C"/>
    <w:rsid w:val="00820A85"/>
    <w:rsid w:val="00820AE9"/>
    <w:rsid w:val="00820AEF"/>
    <w:rsid w:val="00820B3B"/>
    <w:rsid w:val="00820B4D"/>
    <w:rsid w:val="00820B5B"/>
    <w:rsid w:val="00820BBF"/>
    <w:rsid w:val="00820BC7"/>
    <w:rsid w:val="00820C9C"/>
    <w:rsid w:val="00820CC3"/>
    <w:rsid w:val="00820DCA"/>
    <w:rsid w:val="00820DD9"/>
    <w:rsid w:val="00820E6C"/>
    <w:rsid w:val="00820F75"/>
    <w:rsid w:val="00820FBD"/>
    <w:rsid w:val="00821092"/>
    <w:rsid w:val="00821202"/>
    <w:rsid w:val="00821298"/>
    <w:rsid w:val="0082132F"/>
    <w:rsid w:val="00821367"/>
    <w:rsid w:val="008213A1"/>
    <w:rsid w:val="008213C0"/>
    <w:rsid w:val="00821405"/>
    <w:rsid w:val="00821468"/>
    <w:rsid w:val="00821658"/>
    <w:rsid w:val="0082167E"/>
    <w:rsid w:val="0082169C"/>
    <w:rsid w:val="008216E3"/>
    <w:rsid w:val="00821733"/>
    <w:rsid w:val="00821740"/>
    <w:rsid w:val="0082181D"/>
    <w:rsid w:val="00821846"/>
    <w:rsid w:val="0082194A"/>
    <w:rsid w:val="00821955"/>
    <w:rsid w:val="008219D3"/>
    <w:rsid w:val="00821A84"/>
    <w:rsid w:val="00821AAD"/>
    <w:rsid w:val="00821AE9"/>
    <w:rsid w:val="00821B22"/>
    <w:rsid w:val="00821B7D"/>
    <w:rsid w:val="00821C61"/>
    <w:rsid w:val="00821C7A"/>
    <w:rsid w:val="00821D0E"/>
    <w:rsid w:val="00821D53"/>
    <w:rsid w:val="00821E2E"/>
    <w:rsid w:val="00821EA7"/>
    <w:rsid w:val="00821EDC"/>
    <w:rsid w:val="00821F5A"/>
    <w:rsid w:val="00821FB3"/>
    <w:rsid w:val="00821FC0"/>
    <w:rsid w:val="00821FE1"/>
    <w:rsid w:val="00821FEA"/>
    <w:rsid w:val="00821FF5"/>
    <w:rsid w:val="00822117"/>
    <w:rsid w:val="00822189"/>
    <w:rsid w:val="008221A0"/>
    <w:rsid w:val="008221A7"/>
    <w:rsid w:val="008221AE"/>
    <w:rsid w:val="008221C4"/>
    <w:rsid w:val="008221CA"/>
    <w:rsid w:val="00822201"/>
    <w:rsid w:val="008222AD"/>
    <w:rsid w:val="008222C5"/>
    <w:rsid w:val="008222C7"/>
    <w:rsid w:val="008222F3"/>
    <w:rsid w:val="00822447"/>
    <w:rsid w:val="0082247A"/>
    <w:rsid w:val="00822573"/>
    <w:rsid w:val="008225A1"/>
    <w:rsid w:val="008225D5"/>
    <w:rsid w:val="008225D6"/>
    <w:rsid w:val="00822608"/>
    <w:rsid w:val="0082261A"/>
    <w:rsid w:val="00822631"/>
    <w:rsid w:val="0082269C"/>
    <w:rsid w:val="008226B9"/>
    <w:rsid w:val="00822740"/>
    <w:rsid w:val="00822770"/>
    <w:rsid w:val="00822877"/>
    <w:rsid w:val="00822899"/>
    <w:rsid w:val="008228B3"/>
    <w:rsid w:val="008228DC"/>
    <w:rsid w:val="00822927"/>
    <w:rsid w:val="00822954"/>
    <w:rsid w:val="00822974"/>
    <w:rsid w:val="00822991"/>
    <w:rsid w:val="00822A17"/>
    <w:rsid w:val="00822A90"/>
    <w:rsid w:val="00822AC9"/>
    <w:rsid w:val="00822AE0"/>
    <w:rsid w:val="00822B25"/>
    <w:rsid w:val="00822B8E"/>
    <w:rsid w:val="00822BB6"/>
    <w:rsid w:val="00822C55"/>
    <w:rsid w:val="00822C5E"/>
    <w:rsid w:val="00822CCC"/>
    <w:rsid w:val="00822D35"/>
    <w:rsid w:val="00822D6F"/>
    <w:rsid w:val="00822DEA"/>
    <w:rsid w:val="00822EC5"/>
    <w:rsid w:val="00822FC2"/>
    <w:rsid w:val="00822FF1"/>
    <w:rsid w:val="00823009"/>
    <w:rsid w:val="00823045"/>
    <w:rsid w:val="00823084"/>
    <w:rsid w:val="00823085"/>
    <w:rsid w:val="0082310A"/>
    <w:rsid w:val="00823153"/>
    <w:rsid w:val="0082317D"/>
    <w:rsid w:val="0082318F"/>
    <w:rsid w:val="008231A1"/>
    <w:rsid w:val="008231DE"/>
    <w:rsid w:val="00823230"/>
    <w:rsid w:val="008232E9"/>
    <w:rsid w:val="00823300"/>
    <w:rsid w:val="00823474"/>
    <w:rsid w:val="00823480"/>
    <w:rsid w:val="00823485"/>
    <w:rsid w:val="008234A1"/>
    <w:rsid w:val="008234C7"/>
    <w:rsid w:val="00823544"/>
    <w:rsid w:val="0082360D"/>
    <w:rsid w:val="00823690"/>
    <w:rsid w:val="0082371A"/>
    <w:rsid w:val="0082377A"/>
    <w:rsid w:val="008237CA"/>
    <w:rsid w:val="008237DD"/>
    <w:rsid w:val="008238AF"/>
    <w:rsid w:val="00823901"/>
    <w:rsid w:val="0082395B"/>
    <w:rsid w:val="00823A37"/>
    <w:rsid w:val="00823A6F"/>
    <w:rsid w:val="00823AC9"/>
    <w:rsid w:val="00823AE9"/>
    <w:rsid w:val="00823AEF"/>
    <w:rsid w:val="00823C73"/>
    <w:rsid w:val="00823D01"/>
    <w:rsid w:val="00823E03"/>
    <w:rsid w:val="00823EAB"/>
    <w:rsid w:val="00823F01"/>
    <w:rsid w:val="00823F6B"/>
    <w:rsid w:val="00823FAD"/>
    <w:rsid w:val="00823FC1"/>
    <w:rsid w:val="00823FE1"/>
    <w:rsid w:val="00823FF0"/>
    <w:rsid w:val="00823FF6"/>
    <w:rsid w:val="008240B8"/>
    <w:rsid w:val="008240CD"/>
    <w:rsid w:val="00824137"/>
    <w:rsid w:val="00824176"/>
    <w:rsid w:val="008241FF"/>
    <w:rsid w:val="00824225"/>
    <w:rsid w:val="00824247"/>
    <w:rsid w:val="0082426B"/>
    <w:rsid w:val="008242D8"/>
    <w:rsid w:val="00824345"/>
    <w:rsid w:val="0082438E"/>
    <w:rsid w:val="008243C6"/>
    <w:rsid w:val="00824406"/>
    <w:rsid w:val="00824679"/>
    <w:rsid w:val="00824688"/>
    <w:rsid w:val="00824698"/>
    <w:rsid w:val="0082469E"/>
    <w:rsid w:val="00824761"/>
    <w:rsid w:val="0082476E"/>
    <w:rsid w:val="00824798"/>
    <w:rsid w:val="00824951"/>
    <w:rsid w:val="00824973"/>
    <w:rsid w:val="00824A5B"/>
    <w:rsid w:val="00824AA3"/>
    <w:rsid w:val="00824AD2"/>
    <w:rsid w:val="00824B1E"/>
    <w:rsid w:val="00824B22"/>
    <w:rsid w:val="00824B26"/>
    <w:rsid w:val="00824B3F"/>
    <w:rsid w:val="00824B84"/>
    <w:rsid w:val="00824B86"/>
    <w:rsid w:val="00824C13"/>
    <w:rsid w:val="00824C96"/>
    <w:rsid w:val="00824CC8"/>
    <w:rsid w:val="00824D21"/>
    <w:rsid w:val="00824D78"/>
    <w:rsid w:val="00824DDD"/>
    <w:rsid w:val="00824DF4"/>
    <w:rsid w:val="00824E8C"/>
    <w:rsid w:val="00824EA7"/>
    <w:rsid w:val="00824EB6"/>
    <w:rsid w:val="00824ED8"/>
    <w:rsid w:val="00824EE8"/>
    <w:rsid w:val="00824F21"/>
    <w:rsid w:val="00824FB6"/>
    <w:rsid w:val="00824FE1"/>
    <w:rsid w:val="0082515D"/>
    <w:rsid w:val="00825197"/>
    <w:rsid w:val="0082523A"/>
    <w:rsid w:val="008252EE"/>
    <w:rsid w:val="00825349"/>
    <w:rsid w:val="00825389"/>
    <w:rsid w:val="00825401"/>
    <w:rsid w:val="00825430"/>
    <w:rsid w:val="00825447"/>
    <w:rsid w:val="008254A6"/>
    <w:rsid w:val="008254EB"/>
    <w:rsid w:val="00825598"/>
    <w:rsid w:val="008255D4"/>
    <w:rsid w:val="00825660"/>
    <w:rsid w:val="00825663"/>
    <w:rsid w:val="008256DA"/>
    <w:rsid w:val="008257DC"/>
    <w:rsid w:val="008257EF"/>
    <w:rsid w:val="0082589F"/>
    <w:rsid w:val="008258F6"/>
    <w:rsid w:val="008259E6"/>
    <w:rsid w:val="008259ED"/>
    <w:rsid w:val="008259EE"/>
    <w:rsid w:val="00825A4F"/>
    <w:rsid w:val="00825AB2"/>
    <w:rsid w:val="00825AB8"/>
    <w:rsid w:val="00825B00"/>
    <w:rsid w:val="00825B0D"/>
    <w:rsid w:val="00825B3C"/>
    <w:rsid w:val="00825B9C"/>
    <w:rsid w:val="00825C24"/>
    <w:rsid w:val="00825CE2"/>
    <w:rsid w:val="00825D0F"/>
    <w:rsid w:val="00825D23"/>
    <w:rsid w:val="00825DFC"/>
    <w:rsid w:val="00825E0C"/>
    <w:rsid w:val="00825F3E"/>
    <w:rsid w:val="00825F42"/>
    <w:rsid w:val="00825F61"/>
    <w:rsid w:val="0082600E"/>
    <w:rsid w:val="0082608E"/>
    <w:rsid w:val="008260B1"/>
    <w:rsid w:val="00826119"/>
    <w:rsid w:val="008261D5"/>
    <w:rsid w:val="008261ED"/>
    <w:rsid w:val="0082623B"/>
    <w:rsid w:val="00826317"/>
    <w:rsid w:val="00826389"/>
    <w:rsid w:val="0082638C"/>
    <w:rsid w:val="008263D9"/>
    <w:rsid w:val="008263E3"/>
    <w:rsid w:val="0082649E"/>
    <w:rsid w:val="0082656C"/>
    <w:rsid w:val="00826689"/>
    <w:rsid w:val="008266C8"/>
    <w:rsid w:val="008266CE"/>
    <w:rsid w:val="008266DC"/>
    <w:rsid w:val="00826705"/>
    <w:rsid w:val="00826760"/>
    <w:rsid w:val="00826785"/>
    <w:rsid w:val="008267B9"/>
    <w:rsid w:val="00826823"/>
    <w:rsid w:val="008268C7"/>
    <w:rsid w:val="00826911"/>
    <w:rsid w:val="0082692C"/>
    <w:rsid w:val="00826996"/>
    <w:rsid w:val="008269A4"/>
    <w:rsid w:val="00826A47"/>
    <w:rsid w:val="00826A57"/>
    <w:rsid w:val="00826A5C"/>
    <w:rsid w:val="00826B06"/>
    <w:rsid w:val="00826B38"/>
    <w:rsid w:val="00826C72"/>
    <w:rsid w:val="00826CDF"/>
    <w:rsid w:val="00826D27"/>
    <w:rsid w:val="00826D4E"/>
    <w:rsid w:val="00826D58"/>
    <w:rsid w:val="00826D70"/>
    <w:rsid w:val="00826D97"/>
    <w:rsid w:val="00826DA6"/>
    <w:rsid w:val="00826DDD"/>
    <w:rsid w:val="00826E1C"/>
    <w:rsid w:val="00826E6A"/>
    <w:rsid w:val="00826F0A"/>
    <w:rsid w:val="00826F28"/>
    <w:rsid w:val="00826F41"/>
    <w:rsid w:val="00827014"/>
    <w:rsid w:val="00827027"/>
    <w:rsid w:val="00827033"/>
    <w:rsid w:val="00827056"/>
    <w:rsid w:val="00827092"/>
    <w:rsid w:val="0082709D"/>
    <w:rsid w:val="0082713B"/>
    <w:rsid w:val="00827146"/>
    <w:rsid w:val="00827185"/>
    <w:rsid w:val="008271A5"/>
    <w:rsid w:val="008271B1"/>
    <w:rsid w:val="00827216"/>
    <w:rsid w:val="0082729D"/>
    <w:rsid w:val="0082734D"/>
    <w:rsid w:val="00827357"/>
    <w:rsid w:val="00827362"/>
    <w:rsid w:val="008274A2"/>
    <w:rsid w:val="008274CE"/>
    <w:rsid w:val="008274D4"/>
    <w:rsid w:val="0082751C"/>
    <w:rsid w:val="00827520"/>
    <w:rsid w:val="00827548"/>
    <w:rsid w:val="00827574"/>
    <w:rsid w:val="008275D1"/>
    <w:rsid w:val="008275FB"/>
    <w:rsid w:val="00827638"/>
    <w:rsid w:val="0082767E"/>
    <w:rsid w:val="00827747"/>
    <w:rsid w:val="00827794"/>
    <w:rsid w:val="008277C4"/>
    <w:rsid w:val="00827802"/>
    <w:rsid w:val="00827807"/>
    <w:rsid w:val="00827833"/>
    <w:rsid w:val="008278DA"/>
    <w:rsid w:val="00827A24"/>
    <w:rsid w:val="00827A5C"/>
    <w:rsid w:val="00827A71"/>
    <w:rsid w:val="00827AF1"/>
    <w:rsid w:val="00827B8A"/>
    <w:rsid w:val="00827B9A"/>
    <w:rsid w:val="00827BFA"/>
    <w:rsid w:val="00827C20"/>
    <w:rsid w:val="00827C67"/>
    <w:rsid w:val="00827CA2"/>
    <w:rsid w:val="00827CAA"/>
    <w:rsid w:val="00827CDD"/>
    <w:rsid w:val="00827DC2"/>
    <w:rsid w:val="00827DCB"/>
    <w:rsid w:val="00827E5E"/>
    <w:rsid w:val="00827EB8"/>
    <w:rsid w:val="00827F06"/>
    <w:rsid w:val="00827F97"/>
    <w:rsid w:val="008300D5"/>
    <w:rsid w:val="008300F4"/>
    <w:rsid w:val="0083012F"/>
    <w:rsid w:val="0083018C"/>
    <w:rsid w:val="008301B2"/>
    <w:rsid w:val="008301BC"/>
    <w:rsid w:val="00830217"/>
    <w:rsid w:val="00830258"/>
    <w:rsid w:val="0083029C"/>
    <w:rsid w:val="008302EE"/>
    <w:rsid w:val="0083041B"/>
    <w:rsid w:val="00830512"/>
    <w:rsid w:val="0083053D"/>
    <w:rsid w:val="008305CB"/>
    <w:rsid w:val="008305E3"/>
    <w:rsid w:val="008305E4"/>
    <w:rsid w:val="00830618"/>
    <w:rsid w:val="0083065C"/>
    <w:rsid w:val="00830687"/>
    <w:rsid w:val="008306E2"/>
    <w:rsid w:val="00830730"/>
    <w:rsid w:val="0083073F"/>
    <w:rsid w:val="00830797"/>
    <w:rsid w:val="00830869"/>
    <w:rsid w:val="00830990"/>
    <w:rsid w:val="00830A76"/>
    <w:rsid w:val="00830A8C"/>
    <w:rsid w:val="00830BE7"/>
    <w:rsid w:val="00830D29"/>
    <w:rsid w:val="00830DCA"/>
    <w:rsid w:val="00830DF6"/>
    <w:rsid w:val="00830E0B"/>
    <w:rsid w:val="00830E11"/>
    <w:rsid w:val="00830E8C"/>
    <w:rsid w:val="00830E92"/>
    <w:rsid w:val="00830F3A"/>
    <w:rsid w:val="00830F7D"/>
    <w:rsid w:val="00830F9C"/>
    <w:rsid w:val="00831049"/>
    <w:rsid w:val="008310CF"/>
    <w:rsid w:val="008310F6"/>
    <w:rsid w:val="00831143"/>
    <w:rsid w:val="00831145"/>
    <w:rsid w:val="00831315"/>
    <w:rsid w:val="008314FC"/>
    <w:rsid w:val="008315EC"/>
    <w:rsid w:val="0083161B"/>
    <w:rsid w:val="0083163A"/>
    <w:rsid w:val="00831667"/>
    <w:rsid w:val="00831693"/>
    <w:rsid w:val="008316B1"/>
    <w:rsid w:val="00831738"/>
    <w:rsid w:val="00831753"/>
    <w:rsid w:val="008317D8"/>
    <w:rsid w:val="008317DE"/>
    <w:rsid w:val="0083185D"/>
    <w:rsid w:val="00831870"/>
    <w:rsid w:val="00831920"/>
    <w:rsid w:val="0083194A"/>
    <w:rsid w:val="0083195C"/>
    <w:rsid w:val="00831990"/>
    <w:rsid w:val="0083199D"/>
    <w:rsid w:val="008319F0"/>
    <w:rsid w:val="00831A1C"/>
    <w:rsid w:val="00831AC2"/>
    <w:rsid w:val="00831AE3"/>
    <w:rsid w:val="00831B7B"/>
    <w:rsid w:val="00831C1E"/>
    <w:rsid w:val="00831C39"/>
    <w:rsid w:val="00831E38"/>
    <w:rsid w:val="00831E4C"/>
    <w:rsid w:val="00831E65"/>
    <w:rsid w:val="00831E88"/>
    <w:rsid w:val="00832012"/>
    <w:rsid w:val="00832020"/>
    <w:rsid w:val="00832066"/>
    <w:rsid w:val="00832076"/>
    <w:rsid w:val="00832099"/>
    <w:rsid w:val="00832119"/>
    <w:rsid w:val="008321F7"/>
    <w:rsid w:val="0083225B"/>
    <w:rsid w:val="00832273"/>
    <w:rsid w:val="008322FB"/>
    <w:rsid w:val="00832326"/>
    <w:rsid w:val="00832458"/>
    <w:rsid w:val="0083246E"/>
    <w:rsid w:val="0083247F"/>
    <w:rsid w:val="00832567"/>
    <w:rsid w:val="008325B8"/>
    <w:rsid w:val="0083267B"/>
    <w:rsid w:val="008326CB"/>
    <w:rsid w:val="00832705"/>
    <w:rsid w:val="0083271B"/>
    <w:rsid w:val="00832737"/>
    <w:rsid w:val="00832772"/>
    <w:rsid w:val="0083277A"/>
    <w:rsid w:val="00832846"/>
    <w:rsid w:val="00832892"/>
    <w:rsid w:val="00832A3B"/>
    <w:rsid w:val="00832A43"/>
    <w:rsid w:val="00832A66"/>
    <w:rsid w:val="00832A7D"/>
    <w:rsid w:val="00832A96"/>
    <w:rsid w:val="00832AB1"/>
    <w:rsid w:val="00832AF1"/>
    <w:rsid w:val="00832B0E"/>
    <w:rsid w:val="00832B6B"/>
    <w:rsid w:val="00832BB7"/>
    <w:rsid w:val="00832C71"/>
    <w:rsid w:val="00832C7E"/>
    <w:rsid w:val="00832CBC"/>
    <w:rsid w:val="00832DA0"/>
    <w:rsid w:val="00832DC0"/>
    <w:rsid w:val="00832DD2"/>
    <w:rsid w:val="00832DE0"/>
    <w:rsid w:val="00832E14"/>
    <w:rsid w:val="00832EB1"/>
    <w:rsid w:val="00832EC7"/>
    <w:rsid w:val="00832F56"/>
    <w:rsid w:val="00832F6D"/>
    <w:rsid w:val="00832F96"/>
    <w:rsid w:val="00833028"/>
    <w:rsid w:val="00833106"/>
    <w:rsid w:val="0083327F"/>
    <w:rsid w:val="008332A2"/>
    <w:rsid w:val="0083340B"/>
    <w:rsid w:val="008334EE"/>
    <w:rsid w:val="00833581"/>
    <w:rsid w:val="00833585"/>
    <w:rsid w:val="00833588"/>
    <w:rsid w:val="008335A8"/>
    <w:rsid w:val="0083366E"/>
    <w:rsid w:val="0083369C"/>
    <w:rsid w:val="008336DD"/>
    <w:rsid w:val="00833730"/>
    <w:rsid w:val="00833737"/>
    <w:rsid w:val="008338DB"/>
    <w:rsid w:val="00833A18"/>
    <w:rsid w:val="00833A6E"/>
    <w:rsid w:val="00833AE6"/>
    <w:rsid w:val="00833AFB"/>
    <w:rsid w:val="00833B48"/>
    <w:rsid w:val="00833C21"/>
    <w:rsid w:val="00833C3B"/>
    <w:rsid w:val="00833C64"/>
    <w:rsid w:val="00833C6C"/>
    <w:rsid w:val="00833C86"/>
    <w:rsid w:val="00833CB4"/>
    <w:rsid w:val="00833CED"/>
    <w:rsid w:val="00833D09"/>
    <w:rsid w:val="00833D83"/>
    <w:rsid w:val="00833E88"/>
    <w:rsid w:val="00833ECB"/>
    <w:rsid w:val="00833F07"/>
    <w:rsid w:val="00833F98"/>
    <w:rsid w:val="00833FAA"/>
    <w:rsid w:val="00833FF2"/>
    <w:rsid w:val="00833FF3"/>
    <w:rsid w:val="00834085"/>
    <w:rsid w:val="00834150"/>
    <w:rsid w:val="00834167"/>
    <w:rsid w:val="00834185"/>
    <w:rsid w:val="00834215"/>
    <w:rsid w:val="00834248"/>
    <w:rsid w:val="0083424D"/>
    <w:rsid w:val="00834283"/>
    <w:rsid w:val="008342E5"/>
    <w:rsid w:val="008343E7"/>
    <w:rsid w:val="00834409"/>
    <w:rsid w:val="008344FF"/>
    <w:rsid w:val="0083465C"/>
    <w:rsid w:val="00834692"/>
    <w:rsid w:val="008346A6"/>
    <w:rsid w:val="008346AD"/>
    <w:rsid w:val="0083485A"/>
    <w:rsid w:val="0083489C"/>
    <w:rsid w:val="008348DA"/>
    <w:rsid w:val="00834987"/>
    <w:rsid w:val="00834A3E"/>
    <w:rsid w:val="00834B90"/>
    <w:rsid w:val="00834C2B"/>
    <w:rsid w:val="00834D04"/>
    <w:rsid w:val="00834D13"/>
    <w:rsid w:val="00834D3F"/>
    <w:rsid w:val="00834D46"/>
    <w:rsid w:val="00834DF2"/>
    <w:rsid w:val="00834E41"/>
    <w:rsid w:val="00834ED3"/>
    <w:rsid w:val="00834F3B"/>
    <w:rsid w:val="00834FD9"/>
    <w:rsid w:val="0083504F"/>
    <w:rsid w:val="0083513D"/>
    <w:rsid w:val="00835161"/>
    <w:rsid w:val="00835180"/>
    <w:rsid w:val="008351CA"/>
    <w:rsid w:val="008351D9"/>
    <w:rsid w:val="00835246"/>
    <w:rsid w:val="0083524E"/>
    <w:rsid w:val="0083525F"/>
    <w:rsid w:val="0083527E"/>
    <w:rsid w:val="0083528A"/>
    <w:rsid w:val="00835311"/>
    <w:rsid w:val="00835326"/>
    <w:rsid w:val="0083543E"/>
    <w:rsid w:val="00835454"/>
    <w:rsid w:val="00835471"/>
    <w:rsid w:val="00835628"/>
    <w:rsid w:val="00835685"/>
    <w:rsid w:val="00835727"/>
    <w:rsid w:val="0083573C"/>
    <w:rsid w:val="00835765"/>
    <w:rsid w:val="0083578E"/>
    <w:rsid w:val="008357DC"/>
    <w:rsid w:val="00835850"/>
    <w:rsid w:val="008358A2"/>
    <w:rsid w:val="008358B2"/>
    <w:rsid w:val="00835971"/>
    <w:rsid w:val="0083599E"/>
    <w:rsid w:val="00835A30"/>
    <w:rsid w:val="00835AC4"/>
    <w:rsid w:val="00835AED"/>
    <w:rsid w:val="00835CDF"/>
    <w:rsid w:val="00835CED"/>
    <w:rsid w:val="00835D12"/>
    <w:rsid w:val="00835D16"/>
    <w:rsid w:val="00835DFA"/>
    <w:rsid w:val="00835E48"/>
    <w:rsid w:val="00835E69"/>
    <w:rsid w:val="00835E75"/>
    <w:rsid w:val="00835FB2"/>
    <w:rsid w:val="00836049"/>
    <w:rsid w:val="0083605B"/>
    <w:rsid w:val="00836085"/>
    <w:rsid w:val="008360C5"/>
    <w:rsid w:val="008361BF"/>
    <w:rsid w:val="0083624A"/>
    <w:rsid w:val="00836296"/>
    <w:rsid w:val="008362F6"/>
    <w:rsid w:val="0083630D"/>
    <w:rsid w:val="0083639A"/>
    <w:rsid w:val="00836448"/>
    <w:rsid w:val="0083644F"/>
    <w:rsid w:val="00836496"/>
    <w:rsid w:val="00836504"/>
    <w:rsid w:val="008365D2"/>
    <w:rsid w:val="0083662A"/>
    <w:rsid w:val="008366B7"/>
    <w:rsid w:val="008366C6"/>
    <w:rsid w:val="008367E0"/>
    <w:rsid w:val="00836923"/>
    <w:rsid w:val="0083695E"/>
    <w:rsid w:val="00836986"/>
    <w:rsid w:val="00836A40"/>
    <w:rsid w:val="00836A9E"/>
    <w:rsid w:val="00836B3D"/>
    <w:rsid w:val="00836B69"/>
    <w:rsid w:val="00836BD3"/>
    <w:rsid w:val="00836BEA"/>
    <w:rsid w:val="00836C93"/>
    <w:rsid w:val="00836D00"/>
    <w:rsid w:val="00836D77"/>
    <w:rsid w:val="00836DBB"/>
    <w:rsid w:val="00836E18"/>
    <w:rsid w:val="00836E2B"/>
    <w:rsid w:val="00836E39"/>
    <w:rsid w:val="00836E94"/>
    <w:rsid w:val="00836EF0"/>
    <w:rsid w:val="00836EFA"/>
    <w:rsid w:val="00836F42"/>
    <w:rsid w:val="00836F5F"/>
    <w:rsid w:val="00836F94"/>
    <w:rsid w:val="00836FFC"/>
    <w:rsid w:val="0083705F"/>
    <w:rsid w:val="00837130"/>
    <w:rsid w:val="008371A2"/>
    <w:rsid w:val="0083722E"/>
    <w:rsid w:val="008372FD"/>
    <w:rsid w:val="00837333"/>
    <w:rsid w:val="0083733E"/>
    <w:rsid w:val="00837362"/>
    <w:rsid w:val="008373A4"/>
    <w:rsid w:val="0083741A"/>
    <w:rsid w:val="008374F0"/>
    <w:rsid w:val="0083760A"/>
    <w:rsid w:val="00837631"/>
    <w:rsid w:val="00837713"/>
    <w:rsid w:val="0083771E"/>
    <w:rsid w:val="008377BC"/>
    <w:rsid w:val="008377F5"/>
    <w:rsid w:val="00837847"/>
    <w:rsid w:val="00837852"/>
    <w:rsid w:val="008378A7"/>
    <w:rsid w:val="008378B1"/>
    <w:rsid w:val="008378CD"/>
    <w:rsid w:val="00837924"/>
    <w:rsid w:val="00837930"/>
    <w:rsid w:val="00837935"/>
    <w:rsid w:val="00837B68"/>
    <w:rsid w:val="00837B93"/>
    <w:rsid w:val="00837BB2"/>
    <w:rsid w:val="00837C2D"/>
    <w:rsid w:val="00837C42"/>
    <w:rsid w:val="00837C9C"/>
    <w:rsid w:val="00837D1F"/>
    <w:rsid w:val="00837D40"/>
    <w:rsid w:val="00837D62"/>
    <w:rsid w:val="00837D6D"/>
    <w:rsid w:val="00837E89"/>
    <w:rsid w:val="00837EB0"/>
    <w:rsid w:val="00840031"/>
    <w:rsid w:val="00840033"/>
    <w:rsid w:val="0084003F"/>
    <w:rsid w:val="0084019A"/>
    <w:rsid w:val="0084019B"/>
    <w:rsid w:val="008401DC"/>
    <w:rsid w:val="008401FD"/>
    <w:rsid w:val="00840204"/>
    <w:rsid w:val="0084020B"/>
    <w:rsid w:val="0084022B"/>
    <w:rsid w:val="008402C0"/>
    <w:rsid w:val="008402C1"/>
    <w:rsid w:val="00840312"/>
    <w:rsid w:val="00840314"/>
    <w:rsid w:val="0084032D"/>
    <w:rsid w:val="00840338"/>
    <w:rsid w:val="00840353"/>
    <w:rsid w:val="00840363"/>
    <w:rsid w:val="00840385"/>
    <w:rsid w:val="00840392"/>
    <w:rsid w:val="008403A5"/>
    <w:rsid w:val="008404ED"/>
    <w:rsid w:val="0084050C"/>
    <w:rsid w:val="008405C8"/>
    <w:rsid w:val="008405F1"/>
    <w:rsid w:val="008405F5"/>
    <w:rsid w:val="00840606"/>
    <w:rsid w:val="008407BB"/>
    <w:rsid w:val="008408C9"/>
    <w:rsid w:val="008408F1"/>
    <w:rsid w:val="008409FA"/>
    <w:rsid w:val="008409FC"/>
    <w:rsid w:val="00840A03"/>
    <w:rsid w:val="00840A12"/>
    <w:rsid w:val="00840A28"/>
    <w:rsid w:val="00840A2D"/>
    <w:rsid w:val="00840A5D"/>
    <w:rsid w:val="00840AFC"/>
    <w:rsid w:val="00840B54"/>
    <w:rsid w:val="00840B80"/>
    <w:rsid w:val="00840C48"/>
    <w:rsid w:val="00840C5D"/>
    <w:rsid w:val="00840C8B"/>
    <w:rsid w:val="00840D3E"/>
    <w:rsid w:val="00840F3F"/>
    <w:rsid w:val="00840F67"/>
    <w:rsid w:val="00840FA7"/>
    <w:rsid w:val="0084105E"/>
    <w:rsid w:val="0084106C"/>
    <w:rsid w:val="0084108C"/>
    <w:rsid w:val="008410BB"/>
    <w:rsid w:val="00841174"/>
    <w:rsid w:val="00841186"/>
    <w:rsid w:val="00841197"/>
    <w:rsid w:val="008411BA"/>
    <w:rsid w:val="00841307"/>
    <w:rsid w:val="0084131A"/>
    <w:rsid w:val="00841324"/>
    <w:rsid w:val="00841351"/>
    <w:rsid w:val="00841389"/>
    <w:rsid w:val="00841400"/>
    <w:rsid w:val="00841414"/>
    <w:rsid w:val="00841476"/>
    <w:rsid w:val="00841563"/>
    <w:rsid w:val="00841577"/>
    <w:rsid w:val="00841580"/>
    <w:rsid w:val="008415CD"/>
    <w:rsid w:val="0084165F"/>
    <w:rsid w:val="008416C2"/>
    <w:rsid w:val="008416D8"/>
    <w:rsid w:val="008416E8"/>
    <w:rsid w:val="0084178D"/>
    <w:rsid w:val="008417BF"/>
    <w:rsid w:val="008417CF"/>
    <w:rsid w:val="008418E7"/>
    <w:rsid w:val="0084192B"/>
    <w:rsid w:val="008419D9"/>
    <w:rsid w:val="008419ED"/>
    <w:rsid w:val="00841A15"/>
    <w:rsid w:val="00841A79"/>
    <w:rsid w:val="00841B09"/>
    <w:rsid w:val="00841B17"/>
    <w:rsid w:val="00841B6D"/>
    <w:rsid w:val="00841B74"/>
    <w:rsid w:val="00841BB1"/>
    <w:rsid w:val="00841C14"/>
    <w:rsid w:val="00841C2B"/>
    <w:rsid w:val="00841CDD"/>
    <w:rsid w:val="00841DDB"/>
    <w:rsid w:val="00841E97"/>
    <w:rsid w:val="00841ED4"/>
    <w:rsid w:val="00841F79"/>
    <w:rsid w:val="00841F84"/>
    <w:rsid w:val="00841F8B"/>
    <w:rsid w:val="00841F94"/>
    <w:rsid w:val="00841FC9"/>
    <w:rsid w:val="008420A6"/>
    <w:rsid w:val="0084213C"/>
    <w:rsid w:val="0084222B"/>
    <w:rsid w:val="0084224D"/>
    <w:rsid w:val="008422A5"/>
    <w:rsid w:val="008422F8"/>
    <w:rsid w:val="0084237D"/>
    <w:rsid w:val="00842560"/>
    <w:rsid w:val="00842639"/>
    <w:rsid w:val="008426E5"/>
    <w:rsid w:val="0084272C"/>
    <w:rsid w:val="00842734"/>
    <w:rsid w:val="0084275E"/>
    <w:rsid w:val="0084276F"/>
    <w:rsid w:val="0084279D"/>
    <w:rsid w:val="008427D3"/>
    <w:rsid w:val="008427DF"/>
    <w:rsid w:val="008427F3"/>
    <w:rsid w:val="008427FD"/>
    <w:rsid w:val="0084280E"/>
    <w:rsid w:val="00842861"/>
    <w:rsid w:val="0084286D"/>
    <w:rsid w:val="008428D2"/>
    <w:rsid w:val="00842950"/>
    <w:rsid w:val="008429CE"/>
    <w:rsid w:val="008429FA"/>
    <w:rsid w:val="00842A0D"/>
    <w:rsid w:val="00842A18"/>
    <w:rsid w:val="00842AB3"/>
    <w:rsid w:val="00842B5F"/>
    <w:rsid w:val="00842C33"/>
    <w:rsid w:val="00842CA4"/>
    <w:rsid w:val="00842CD9"/>
    <w:rsid w:val="00842D5F"/>
    <w:rsid w:val="00842DD5"/>
    <w:rsid w:val="00842F39"/>
    <w:rsid w:val="00842F8F"/>
    <w:rsid w:val="00842F9B"/>
    <w:rsid w:val="00842FFC"/>
    <w:rsid w:val="00843032"/>
    <w:rsid w:val="008430B4"/>
    <w:rsid w:val="008430F8"/>
    <w:rsid w:val="00843351"/>
    <w:rsid w:val="00843379"/>
    <w:rsid w:val="008433AA"/>
    <w:rsid w:val="00843429"/>
    <w:rsid w:val="00843448"/>
    <w:rsid w:val="0084345F"/>
    <w:rsid w:val="00843465"/>
    <w:rsid w:val="0084348F"/>
    <w:rsid w:val="008435B6"/>
    <w:rsid w:val="008435BB"/>
    <w:rsid w:val="008435F2"/>
    <w:rsid w:val="008436B1"/>
    <w:rsid w:val="00843719"/>
    <w:rsid w:val="0084377B"/>
    <w:rsid w:val="00843789"/>
    <w:rsid w:val="00843797"/>
    <w:rsid w:val="008437A9"/>
    <w:rsid w:val="00843847"/>
    <w:rsid w:val="00843928"/>
    <w:rsid w:val="0084393D"/>
    <w:rsid w:val="00843950"/>
    <w:rsid w:val="0084397C"/>
    <w:rsid w:val="008439C3"/>
    <w:rsid w:val="008439D7"/>
    <w:rsid w:val="008439E9"/>
    <w:rsid w:val="00843A54"/>
    <w:rsid w:val="00843ABE"/>
    <w:rsid w:val="00843ADE"/>
    <w:rsid w:val="00843AE2"/>
    <w:rsid w:val="00843B35"/>
    <w:rsid w:val="00843B4C"/>
    <w:rsid w:val="00843BB4"/>
    <w:rsid w:val="00843BF0"/>
    <w:rsid w:val="00843C1E"/>
    <w:rsid w:val="00843DAB"/>
    <w:rsid w:val="00843DD6"/>
    <w:rsid w:val="00843ECE"/>
    <w:rsid w:val="00843F13"/>
    <w:rsid w:val="00843F33"/>
    <w:rsid w:val="00843FC2"/>
    <w:rsid w:val="00843FDC"/>
    <w:rsid w:val="0084406C"/>
    <w:rsid w:val="00844076"/>
    <w:rsid w:val="008440D2"/>
    <w:rsid w:val="008441C9"/>
    <w:rsid w:val="008441E1"/>
    <w:rsid w:val="00844229"/>
    <w:rsid w:val="0084427C"/>
    <w:rsid w:val="0084429D"/>
    <w:rsid w:val="00844311"/>
    <w:rsid w:val="00844374"/>
    <w:rsid w:val="008443D4"/>
    <w:rsid w:val="008443FB"/>
    <w:rsid w:val="0084440C"/>
    <w:rsid w:val="00844435"/>
    <w:rsid w:val="00844481"/>
    <w:rsid w:val="008444F6"/>
    <w:rsid w:val="0084453E"/>
    <w:rsid w:val="0084458E"/>
    <w:rsid w:val="00844642"/>
    <w:rsid w:val="00844649"/>
    <w:rsid w:val="00844687"/>
    <w:rsid w:val="0084469E"/>
    <w:rsid w:val="008446BF"/>
    <w:rsid w:val="00844709"/>
    <w:rsid w:val="0084472A"/>
    <w:rsid w:val="008447ED"/>
    <w:rsid w:val="0084482F"/>
    <w:rsid w:val="00844851"/>
    <w:rsid w:val="00844928"/>
    <w:rsid w:val="00844978"/>
    <w:rsid w:val="0084498E"/>
    <w:rsid w:val="008449E7"/>
    <w:rsid w:val="00844A59"/>
    <w:rsid w:val="00844ADD"/>
    <w:rsid w:val="00844B03"/>
    <w:rsid w:val="00844B94"/>
    <w:rsid w:val="00844C4E"/>
    <w:rsid w:val="00844C98"/>
    <w:rsid w:val="00844CE7"/>
    <w:rsid w:val="00844CEB"/>
    <w:rsid w:val="00844DB2"/>
    <w:rsid w:val="00844E0B"/>
    <w:rsid w:val="00844E11"/>
    <w:rsid w:val="00844E7F"/>
    <w:rsid w:val="00844EFC"/>
    <w:rsid w:val="00844F5D"/>
    <w:rsid w:val="00844F98"/>
    <w:rsid w:val="0084501F"/>
    <w:rsid w:val="0084504C"/>
    <w:rsid w:val="00845054"/>
    <w:rsid w:val="008450C2"/>
    <w:rsid w:val="008450C4"/>
    <w:rsid w:val="008450C9"/>
    <w:rsid w:val="008451C7"/>
    <w:rsid w:val="008451CE"/>
    <w:rsid w:val="00845213"/>
    <w:rsid w:val="00845291"/>
    <w:rsid w:val="00845299"/>
    <w:rsid w:val="008452E5"/>
    <w:rsid w:val="00845405"/>
    <w:rsid w:val="0084547B"/>
    <w:rsid w:val="008454B3"/>
    <w:rsid w:val="008454E5"/>
    <w:rsid w:val="008454E7"/>
    <w:rsid w:val="00845527"/>
    <w:rsid w:val="00845780"/>
    <w:rsid w:val="0084579C"/>
    <w:rsid w:val="0084597E"/>
    <w:rsid w:val="00845984"/>
    <w:rsid w:val="00845A22"/>
    <w:rsid w:val="00845A52"/>
    <w:rsid w:val="00845A76"/>
    <w:rsid w:val="00845A80"/>
    <w:rsid w:val="00845B5F"/>
    <w:rsid w:val="00845B9D"/>
    <w:rsid w:val="00845C49"/>
    <w:rsid w:val="00845D95"/>
    <w:rsid w:val="00845DC1"/>
    <w:rsid w:val="00845E24"/>
    <w:rsid w:val="00845EF5"/>
    <w:rsid w:val="00845F7A"/>
    <w:rsid w:val="00845FBB"/>
    <w:rsid w:val="0084600F"/>
    <w:rsid w:val="0084606B"/>
    <w:rsid w:val="00846076"/>
    <w:rsid w:val="0084609B"/>
    <w:rsid w:val="008460D2"/>
    <w:rsid w:val="008460D3"/>
    <w:rsid w:val="008461C0"/>
    <w:rsid w:val="008461C8"/>
    <w:rsid w:val="008461DA"/>
    <w:rsid w:val="008461EA"/>
    <w:rsid w:val="00846294"/>
    <w:rsid w:val="008462AA"/>
    <w:rsid w:val="008462B1"/>
    <w:rsid w:val="008462FA"/>
    <w:rsid w:val="00846316"/>
    <w:rsid w:val="008463AF"/>
    <w:rsid w:val="008463C4"/>
    <w:rsid w:val="0084645E"/>
    <w:rsid w:val="008464FE"/>
    <w:rsid w:val="0084658D"/>
    <w:rsid w:val="008465B3"/>
    <w:rsid w:val="00846645"/>
    <w:rsid w:val="0084664E"/>
    <w:rsid w:val="00846737"/>
    <w:rsid w:val="00846783"/>
    <w:rsid w:val="00846795"/>
    <w:rsid w:val="0084682C"/>
    <w:rsid w:val="0084687D"/>
    <w:rsid w:val="00846899"/>
    <w:rsid w:val="00846911"/>
    <w:rsid w:val="00846920"/>
    <w:rsid w:val="0084693B"/>
    <w:rsid w:val="00846979"/>
    <w:rsid w:val="008469C8"/>
    <w:rsid w:val="00846B21"/>
    <w:rsid w:val="00846B79"/>
    <w:rsid w:val="00846C3C"/>
    <w:rsid w:val="00846C71"/>
    <w:rsid w:val="00846C84"/>
    <w:rsid w:val="00846CBF"/>
    <w:rsid w:val="00846F74"/>
    <w:rsid w:val="00846F80"/>
    <w:rsid w:val="00846FE6"/>
    <w:rsid w:val="00847028"/>
    <w:rsid w:val="00847080"/>
    <w:rsid w:val="0084711A"/>
    <w:rsid w:val="0084712F"/>
    <w:rsid w:val="00847152"/>
    <w:rsid w:val="008471E2"/>
    <w:rsid w:val="008471FE"/>
    <w:rsid w:val="00847233"/>
    <w:rsid w:val="00847251"/>
    <w:rsid w:val="00847295"/>
    <w:rsid w:val="0084748A"/>
    <w:rsid w:val="008474A5"/>
    <w:rsid w:val="008474DF"/>
    <w:rsid w:val="008475DC"/>
    <w:rsid w:val="00847754"/>
    <w:rsid w:val="00847781"/>
    <w:rsid w:val="00847785"/>
    <w:rsid w:val="0084781E"/>
    <w:rsid w:val="008479BE"/>
    <w:rsid w:val="00847A1D"/>
    <w:rsid w:val="00847A5E"/>
    <w:rsid w:val="00847AEF"/>
    <w:rsid w:val="00847B0C"/>
    <w:rsid w:val="00847B0E"/>
    <w:rsid w:val="00847BF1"/>
    <w:rsid w:val="00847C02"/>
    <w:rsid w:val="00847C05"/>
    <w:rsid w:val="00847C93"/>
    <w:rsid w:val="00847D40"/>
    <w:rsid w:val="00847DC3"/>
    <w:rsid w:val="00847DC6"/>
    <w:rsid w:val="00847E19"/>
    <w:rsid w:val="00847E31"/>
    <w:rsid w:val="00847E5E"/>
    <w:rsid w:val="00847E64"/>
    <w:rsid w:val="00847F0C"/>
    <w:rsid w:val="00847F66"/>
    <w:rsid w:val="00847F8E"/>
    <w:rsid w:val="00847FAF"/>
    <w:rsid w:val="00850031"/>
    <w:rsid w:val="00850092"/>
    <w:rsid w:val="008500C3"/>
    <w:rsid w:val="00850172"/>
    <w:rsid w:val="00850177"/>
    <w:rsid w:val="0085017A"/>
    <w:rsid w:val="008501B8"/>
    <w:rsid w:val="008502BE"/>
    <w:rsid w:val="008502D4"/>
    <w:rsid w:val="00850355"/>
    <w:rsid w:val="008503B0"/>
    <w:rsid w:val="0085047E"/>
    <w:rsid w:val="008504A5"/>
    <w:rsid w:val="008504F1"/>
    <w:rsid w:val="0085057D"/>
    <w:rsid w:val="008505A5"/>
    <w:rsid w:val="008505BB"/>
    <w:rsid w:val="008505E5"/>
    <w:rsid w:val="0085061B"/>
    <w:rsid w:val="0085067F"/>
    <w:rsid w:val="008506D5"/>
    <w:rsid w:val="00850757"/>
    <w:rsid w:val="008508DA"/>
    <w:rsid w:val="008509AD"/>
    <w:rsid w:val="008509FD"/>
    <w:rsid w:val="00850A5D"/>
    <w:rsid w:val="00850AA5"/>
    <w:rsid w:val="00850AE4"/>
    <w:rsid w:val="00850C43"/>
    <w:rsid w:val="00850C65"/>
    <w:rsid w:val="00850CF9"/>
    <w:rsid w:val="00850D05"/>
    <w:rsid w:val="00850D63"/>
    <w:rsid w:val="00850DB8"/>
    <w:rsid w:val="00850E01"/>
    <w:rsid w:val="00850F11"/>
    <w:rsid w:val="00850FAE"/>
    <w:rsid w:val="00850FD5"/>
    <w:rsid w:val="00850FE6"/>
    <w:rsid w:val="00851070"/>
    <w:rsid w:val="008510D3"/>
    <w:rsid w:val="008510F0"/>
    <w:rsid w:val="00851110"/>
    <w:rsid w:val="00851153"/>
    <w:rsid w:val="008511CA"/>
    <w:rsid w:val="0085120F"/>
    <w:rsid w:val="0085128F"/>
    <w:rsid w:val="00851310"/>
    <w:rsid w:val="00851316"/>
    <w:rsid w:val="00851328"/>
    <w:rsid w:val="00851381"/>
    <w:rsid w:val="008513C3"/>
    <w:rsid w:val="008513E0"/>
    <w:rsid w:val="00851462"/>
    <w:rsid w:val="00851480"/>
    <w:rsid w:val="0085152F"/>
    <w:rsid w:val="00851549"/>
    <w:rsid w:val="008515A9"/>
    <w:rsid w:val="008515B5"/>
    <w:rsid w:val="008515F5"/>
    <w:rsid w:val="00851640"/>
    <w:rsid w:val="00851660"/>
    <w:rsid w:val="0085171B"/>
    <w:rsid w:val="00851727"/>
    <w:rsid w:val="00851728"/>
    <w:rsid w:val="00851784"/>
    <w:rsid w:val="008517D8"/>
    <w:rsid w:val="008517FA"/>
    <w:rsid w:val="008518E1"/>
    <w:rsid w:val="008519E8"/>
    <w:rsid w:val="008519F3"/>
    <w:rsid w:val="00851A65"/>
    <w:rsid w:val="00851A93"/>
    <w:rsid w:val="00851ABD"/>
    <w:rsid w:val="00851B99"/>
    <w:rsid w:val="00851C71"/>
    <w:rsid w:val="00851CA5"/>
    <w:rsid w:val="00851D1E"/>
    <w:rsid w:val="00851D50"/>
    <w:rsid w:val="00851D69"/>
    <w:rsid w:val="00851D7C"/>
    <w:rsid w:val="00851DB4"/>
    <w:rsid w:val="00851DFB"/>
    <w:rsid w:val="00851E3C"/>
    <w:rsid w:val="00851E4B"/>
    <w:rsid w:val="00851E5D"/>
    <w:rsid w:val="00851FE1"/>
    <w:rsid w:val="0085209C"/>
    <w:rsid w:val="008520EF"/>
    <w:rsid w:val="00852104"/>
    <w:rsid w:val="00852136"/>
    <w:rsid w:val="008521CD"/>
    <w:rsid w:val="008522E3"/>
    <w:rsid w:val="00852338"/>
    <w:rsid w:val="00852347"/>
    <w:rsid w:val="0085239E"/>
    <w:rsid w:val="008523E8"/>
    <w:rsid w:val="00852463"/>
    <w:rsid w:val="00852515"/>
    <w:rsid w:val="008526B4"/>
    <w:rsid w:val="008526BE"/>
    <w:rsid w:val="008526C8"/>
    <w:rsid w:val="00852736"/>
    <w:rsid w:val="00852766"/>
    <w:rsid w:val="008527EB"/>
    <w:rsid w:val="00852800"/>
    <w:rsid w:val="0085289A"/>
    <w:rsid w:val="008528E5"/>
    <w:rsid w:val="00852947"/>
    <w:rsid w:val="00852959"/>
    <w:rsid w:val="008529C7"/>
    <w:rsid w:val="00852A8E"/>
    <w:rsid w:val="00852AA1"/>
    <w:rsid w:val="00852BF8"/>
    <w:rsid w:val="00852C10"/>
    <w:rsid w:val="00852C91"/>
    <w:rsid w:val="00852C9B"/>
    <w:rsid w:val="00852CA0"/>
    <w:rsid w:val="00852CAC"/>
    <w:rsid w:val="00852CF8"/>
    <w:rsid w:val="00852D7F"/>
    <w:rsid w:val="00852DF7"/>
    <w:rsid w:val="00852E4F"/>
    <w:rsid w:val="00852EDD"/>
    <w:rsid w:val="00852F61"/>
    <w:rsid w:val="00852F65"/>
    <w:rsid w:val="00852FB0"/>
    <w:rsid w:val="00853044"/>
    <w:rsid w:val="00853078"/>
    <w:rsid w:val="0085314A"/>
    <w:rsid w:val="0085315D"/>
    <w:rsid w:val="008531A6"/>
    <w:rsid w:val="008531C1"/>
    <w:rsid w:val="00853290"/>
    <w:rsid w:val="008532B6"/>
    <w:rsid w:val="00853315"/>
    <w:rsid w:val="00853388"/>
    <w:rsid w:val="00853456"/>
    <w:rsid w:val="008534A7"/>
    <w:rsid w:val="008534D1"/>
    <w:rsid w:val="008534DD"/>
    <w:rsid w:val="00853643"/>
    <w:rsid w:val="00853658"/>
    <w:rsid w:val="00853680"/>
    <w:rsid w:val="00853797"/>
    <w:rsid w:val="008537E0"/>
    <w:rsid w:val="00853851"/>
    <w:rsid w:val="00853874"/>
    <w:rsid w:val="0085391C"/>
    <w:rsid w:val="00853963"/>
    <w:rsid w:val="00853974"/>
    <w:rsid w:val="00853993"/>
    <w:rsid w:val="008539D7"/>
    <w:rsid w:val="00853A20"/>
    <w:rsid w:val="00853A26"/>
    <w:rsid w:val="00853A73"/>
    <w:rsid w:val="00853B36"/>
    <w:rsid w:val="00853B66"/>
    <w:rsid w:val="00853B81"/>
    <w:rsid w:val="00853C0E"/>
    <w:rsid w:val="00853CDF"/>
    <w:rsid w:val="00853D16"/>
    <w:rsid w:val="00853D26"/>
    <w:rsid w:val="00853D70"/>
    <w:rsid w:val="00853D75"/>
    <w:rsid w:val="00853DD8"/>
    <w:rsid w:val="00853DFD"/>
    <w:rsid w:val="00853E0A"/>
    <w:rsid w:val="00853FAB"/>
    <w:rsid w:val="00853FD2"/>
    <w:rsid w:val="0085404A"/>
    <w:rsid w:val="00854063"/>
    <w:rsid w:val="008540DC"/>
    <w:rsid w:val="00854107"/>
    <w:rsid w:val="00854140"/>
    <w:rsid w:val="00854164"/>
    <w:rsid w:val="008541A3"/>
    <w:rsid w:val="0085420C"/>
    <w:rsid w:val="008542C5"/>
    <w:rsid w:val="008542ED"/>
    <w:rsid w:val="0085430B"/>
    <w:rsid w:val="008543B7"/>
    <w:rsid w:val="008543DF"/>
    <w:rsid w:val="0085448C"/>
    <w:rsid w:val="008545BA"/>
    <w:rsid w:val="00854606"/>
    <w:rsid w:val="0085460D"/>
    <w:rsid w:val="0085460F"/>
    <w:rsid w:val="0085462E"/>
    <w:rsid w:val="0085463E"/>
    <w:rsid w:val="0085464E"/>
    <w:rsid w:val="00854651"/>
    <w:rsid w:val="00854681"/>
    <w:rsid w:val="0085469C"/>
    <w:rsid w:val="00854704"/>
    <w:rsid w:val="00854735"/>
    <w:rsid w:val="00854757"/>
    <w:rsid w:val="00854819"/>
    <w:rsid w:val="00854A5E"/>
    <w:rsid w:val="00854A60"/>
    <w:rsid w:val="00854A76"/>
    <w:rsid w:val="00854A89"/>
    <w:rsid w:val="00854A8C"/>
    <w:rsid w:val="00854ADC"/>
    <w:rsid w:val="00854B17"/>
    <w:rsid w:val="00854B2C"/>
    <w:rsid w:val="00854B79"/>
    <w:rsid w:val="00854BC1"/>
    <w:rsid w:val="00854BE8"/>
    <w:rsid w:val="00854C3F"/>
    <w:rsid w:val="00854D46"/>
    <w:rsid w:val="00854E25"/>
    <w:rsid w:val="00854E4A"/>
    <w:rsid w:val="00854EA1"/>
    <w:rsid w:val="00854EAD"/>
    <w:rsid w:val="00854F94"/>
    <w:rsid w:val="00855014"/>
    <w:rsid w:val="00855059"/>
    <w:rsid w:val="0085506F"/>
    <w:rsid w:val="0085508D"/>
    <w:rsid w:val="008550D9"/>
    <w:rsid w:val="00855144"/>
    <w:rsid w:val="0085517D"/>
    <w:rsid w:val="00855202"/>
    <w:rsid w:val="008552CB"/>
    <w:rsid w:val="0085536D"/>
    <w:rsid w:val="008553A8"/>
    <w:rsid w:val="008553B5"/>
    <w:rsid w:val="00855408"/>
    <w:rsid w:val="008554F2"/>
    <w:rsid w:val="00855630"/>
    <w:rsid w:val="0085570A"/>
    <w:rsid w:val="00855858"/>
    <w:rsid w:val="0085586D"/>
    <w:rsid w:val="008558E0"/>
    <w:rsid w:val="0085595C"/>
    <w:rsid w:val="008559DA"/>
    <w:rsid w:val="00855B0B"/>
    <w:rsid w:val="00855BC0"/>
    <w:rsid w:val="00855BD8"/>
    <w:rsid w:val="00855DD2"/>
    <w:rsid w:val="00855F18"/>
    <w:rsid w:val="00855F2C"/>
    <w:rsid w:val="00855F68"/>
    <w:rsid w:val="00856010"/>
    <w:rsid w:val="0085604B"/>
    <w:rsid w:val="008560C7"/>
    <w:rsid w:val="00856114"/>
    <w:rsid w:val="0085611C"/>
    <w:rsid w:val="008561E7"/>
    <w:rsid w:val="00856244"/>
    <w:rsid w:val="00856264"/>
    <w:rsid w:val="008562EF"/>
    <w:rsid w:val="00856304"/>
    <w:rsid w:val="00856333"/>
    <w:rsid w:val="00856393"/>
    <w:rsid w:val="008563B9"/>
    <w:rsid w:val="008563BB"/>
    <w:rsid w:val="008563C2"/>
    <w:rsid w:val="00856424"/>
    <w:rsid w:val="00856480"/>
    <w:rsid w:val="0085652E"/>
    <w:rsid w:val="00856593"/>
    <w:rsid w:val="008565D2"/>
    <w:rsid w:val="00856645"/>
    <w:rsid w:val="00856653"/>
    <w:rsid w:val="00856673"/>
    <w:rsid w:val="008567C9"/>
    <w:rsid w:val="008567E6"/>
    <w:rsid w:val="00856846"/>
    <w:rsid w:val="00856920"/>
    <w:rsid w:val="00856927"/>
    <w:rsid w:val="0085693D"/>
    <w:rsid w:val="00856951"/>
    <w:rsid w:val="00856954"/>
    <w:rsid w:val="008569ED"/>
    <w:rsid w:val="008569F0"/>
    <w:rsid w:val="00856A70"/>
    <w:rsid w:val="00856BFB"/>
    <w:rsid w:val="00856C41"/>
    <w:rsid w:val="00856C4B"/>
    <w:rsid w:val="00856C74"/>
    <w:rsid w:val="00856CD8"/>
    <w:rsid w:val="00856D78"/>
    <w:rsid w:val="00856DCC"/>
    <w:rsid w:val="00856E62"/>
    <w:rsid w:val="00856E80"/>
    <w:rsid w:val="00856EEF"/>
    <w:rsid w:val="00856EFB"/>
    <w:rsid w:val="0085700F"/>
    <w:rsid w:val="00857047"/>
    <w:rsid w:val="008570A0"/>
    <w:rsid w:val="008570BA"/>
    <w:rsid w:val="0085726C"/>
    <w:rsid w:val="00857270"/>
    <w:rsid w:val="008572B7"/>
    <w:rsid w:val="00857360"/>
    <w:rsid w:val="00857410"/>
    <w:rsid w:val="008574C3"/>
    <w:rsid w:val="008574FF"/>
    <w:rsid w:val="0085753B"/>
    <w:rsid w:val="008575C1"/>
    <w:rsid w:val="008575D1"/>
    <w:rsid w:val="008575E1"/>
    <w:rsid w:val="00857628"/>
    <w:rsid w:val="00857679"/>
    <w:rsid w:val="008576D5"/>
    <w:rsid w:val="00857713"/>
    <w:rsid w:val="00857748"/>
    <w:rsid w:val="00857763"/>
    <w:rsid w:val="0085778E"/>
    <w:rsid w:val="008577D1"/>
    <w:rsid w:val="00857818"/>
    <w:rsid w:val="00857834"/>
    <w:rsid w:val="00857852"/>
    <w:rsid w:val="00857866"/>
    <w:rsid w:val="008578DD"/>
    <w:rsid w:val="00857982"/>
    <w:rsid w:val="008579AC"/>
    <w:rsid w:val="008579B9"/>
    <w:rsid w:val="008579C4"/>
    <w:rsid w:val="008579EB"/>
    <w:rsid w:val="00857A71"/>
    <w:rsid w:val="00857AE4"/>
    <w:rsid w:val="00857B59"/>
    <w:rsid w:val="00857C5E"/>
    <w:rsid w:val="00857DBF"/>
    <w:rsid w:val="00857E3E"/>
    <w:rsid w:val="00857ED2"/>
    <w:rsid w:val="00857F55"/>
    <w:rsid w:val="00857FBB"/>
    <w:rsid w:val="00860083"/>
    <w:rsid w:val="008600A1"/>
    <w:rsid w:val="008600B6"/>
    <w:rsid w:val="00860106"/>
    <w:rsid w:val="00860124"/>
    <w:rsid w:val="00860197"/>
    <w:rsid w:val="008601B1"/>
    <w:rsid w:val="0086024A"/>
    <w:rsid w:val="008602F7"/>
    <w:rsid w:val="008603BB"/>
    <w:rsid w:val="008603BF"/>
    <w:rsid w:val="0086041D"/>
    <w:rsid w:val="00860463"/>
    <w:rsid w:val="008604AD"/>
    <w:rsid w:val="008604BA"/>
    <w:rsid w:val="008604FD"/>
    <w:rsid w:val="00860508"/>
    <w:rsid w:val="00860582"/>
    <w:rsid w:val="0086067D"/>
    <w:rsid w:val="00860755"/>
    <w:rsid w:val="00860788"/>
    <w:rsid w:val="008607D0"/>
    <w:rsid w:val="0086080F"/>
    <w:rsid w:val="00860908"/>
    <w:rsid w:val="00860915"/>
    <w:rsid w:val="00860919"/>
    <w:rsid w:val="0086093A"/>
    <w:rsid w:val="0086095B"/>
    <w:rsid w:val="008609F1"/>
    <w:rsid w:val="008609FE"/>
    <w:rsid w:val="00860A6C"/>
    <w:rsid w:val="00860A9E"/>
    <w:rsid w:val="00860AB6"/>
    <w:rsid w:val="00860AED"/>
    <w:rsid w:val="00860AF6"/>
    <w:rsid w:val="00860B06"/>
    <w:rsid w:val="00860B6F"/>
    <w:rsid w:val="00860C51"/>
    <w:rsid w:val="00860D16"/>
    <w:rsid w:val="00860D1E"/>
    <w:rsid w:val="00860D5F"/>
    <w:rsid w:val="00860D95"/>
    <w:rsid w:val="00860E4C"/>
    <w:rsid w:val="00860EF9"/>
    <w:rsid w:val="00860F02"/>
    <w:rsid w:val="00860F57"/>
    <w:rsid w:val="00860F65"/>
    <w:rsid w:val="00860F83"/>
    <w:rsid w:val="00860FB4"/>
    <w:rsid w:val="008610B7"/>
    <w:rsid w:val="008611F2"/>
    <w:rsid w:val="008612F7"/>
    <w:rsid w:val="00861339"/>
    <w:rsid w:val="0086143E"/>
    <w:rsid w:val="0086145E"/>
    <w:rsid w:val="0086147F"/>
    <w:rsid w:val="008614CF"/>
    <w:rsid w:val="008614D7"/>
    <w:rsid w:val="00861589"/>
    <w:rsid w:val="00861597"/>
    <w:rsid w:val="008615BE"/>
    <w:rsid w:val="008615C7"/>
    <w:rsid w:val="00861646"/>
    <w:rsid w:val="00861728"/>
    <w:rsid w:val="00861735"/>
    <w:rsid w:val="00861736"/>
    <w:rsid w:val="008617C4"/>
    <w:rsid w:val="008617EC"/>
    <w:rsid w:val="00861854"/>
    <w:rsid w:val="00861870"/>
    <w:rsid w:val="00861884"/>
    <w:rsid w:val="008618DF"/>
    <w:rsid w:val="00861960"/>
    <w:rsid w:val="00861A08"/>
    <w:rsid w:val="00861A93"/>
    <w:rsid w:val="00861A9C"/>
    <w:rsid w:val="00861ADE"/>
    <w:rsid w:val="00861B5C"/>
    <w:rsid w:val="00861BF4"/>
    <w:rsid w:val="00861BF6"/>
    <w:rsid w:val="00861CD8"/>
    <w:rsid w:val="00861D0F"/>
    <w:rsid w:val="00861D79"/>
    <w:rsid w:val="00861DAA"/>
    <w:rsid w:val="00861E5D"/>
    <w:rsid w:val="00861E71"/>
    <w:rsid w:val="00861F41"/>
    <w:rsid w:val="00861F79"/>
    <w:rsid w:val="00861F9D"/>
    <w:rsid w:val="00861F9E"/>
    <w:rsid w:val="00862150"/>
    <w:rsid w:val="00862205"/>
    <w:rsid w:val="0086220B"/>
    <w:rsid w:val="00862344"/>
    <w:rsid w:val="00862398"/>
    <w:rsid w:val="00862449"/>
    <w:rsid w:val="0086244E"/>
    <w:rsid w:val="0086250C"/>
    <w:rsid w:val="00862514"/>
    <w:rsid w:val="0086252E"/>
    <w:rsid w:val="008625A1"/>
    <w:rsid w:val="0086260C"/>
    <w:rsid w:val="00862674"/>
    <w:rsid w:val="008626BC"/>
    <w:rsid w:val="008626F7"/>
    <w:rsid w:val="008626FE"/>
    <w:rsid w:val="00862738"/>
    <w:rsid w:val="00862758"/>
    <w:rsid w:val="008627CA"/>
    <w:rsid w:val="00862904"/>
    <w:rsid w:val="008629AD"/>
    <w:rsid w:val="00862A60"/>
    <w:rsid w:val="00862B6E"/>
    <w:rsid w:val="00862BAA"/>
    <w:rsid w:val="00862BCF"/>
    <w:rsid w:val="00862BED"/>
    <w:rsid w:val="00862C04"/>
    <w:rsid w:val="00862C20"/>
    <w:rsid w:val="00862D32"/>
    <w:rsid w:val="00862D7E"/>
    <w:rsid w:val="00862E46"/>
    <w:rsid w:val="00862E69"/>
    <w:rsid w:val="00862E8D"/>
    <w:rsid w:val="00862F4F"/>
    <w:rsid w:val="00862F5B"/>
    <w:rsid w:val="00862FB7"/>
    <w:rsid w:val="00862FB9"/>
    <w:rsid w:val="00862FED"/>
    <w:rsid w:val="00863066"/>
    <w:rsid w:val="0086309A"/>
    <w:rsid w:val="00863123"/>
    <w:rsid w:val="008631F1"/>
    <w:rsid w:val="0086323A"/>
    <w:rsid w:val="00863313"/>
    <w:rsid w:val="00863366"/>
    <w:rsid w:val="0086337C"/>
    <w:rsid w:val="008633A9"/>
    <w:rsid w:val="008634B3"/>
    <w:rsid w:val="008634B9"/>
    <w:rsid w:val="008634C4"/>
    <w:rsid w:val="008634CE"/>
    <w:rsid w:val="008635B6"/>
    <w:rsid w:val="0086360E"/>
    <w:rsid w:val="0086365D"/>
    <w:rsid w:val="008636E7"/>
    <w:rsid w:val="0086375A"/>
    <w:rsid w:val="00863791"/>
    <w:rsid w:val="008637C7"/>
    <w:rsid w:val="008637D2"/>
    <w:rsid w:val="008637E1"/>
    <w:rsid w:val="008638B6"/>
    <w:rsid w:val="008638BB"/>
    <w:rsid w:val="008638D8"/>
    <w:rsid w:val="008638D9"/>
    <w:rsid w:val="008638F0"/>
    <w:rsid w:val="00863A58"/>
    <w:rsid w:val="00863B0B"/>
    <w:rsid w:val="00863B57"/>
    <w:rsid w:val="00863B67"/>
    <w:rsid w:val="00863C09"/>
    <w:rsid w:val="00863C26"/>
    <w:rsid w:val="00863C91"/>
    <w:rsid w:val="00863D83"/>
    <w:rsid w:val="00863DB8"/>
    <w:rsid w:val="00863DBC"/>
    <w:rsid w:val="00863DE2"/>
    <w:rsid w:val="00863E3E"/>
    <w:rsid w:val="00863E3F"/>
    <w:rsid w:val="00863ECD"/>
    <w:rsid w:val="00863EFC"/>
    <w:rsid w:val="00863F2A"/>
    <w:rsid w:val="00863F76"/>
    <w:rsid w:val="00863FB9"/>
    <w:rsid w:val="00863FF4"/>
    <w:rsid w:val="00863FFF"/>
    <w:rsid w:val="008640F7"/>
    <w:rsid w:val="008641AC"/>
    <w:rsid w:val="008641B5"/>
    <w:rsid w:val="00864221"/>
    <w:rsid w:val="00864229"/>
    <w:rsid w:val="008642BA"/>
    <w:rsid w:val="0086433F"/>
    <w:rsid w:val="0086436D"/>
    <w:rsid w:val="008643C8"/>
    <w:rsid w:val="008643CE"/>
    <w:rsid w:val="0086441B"/>
    <w:rsid w:val="0086457A"/>
    <w:rsid w:val="00864634"/>
    <w:rsid w:val="00864645"/>
    <w:rsid w:val="0086467B"/>
    <w:rsid w:val="0086468B"/>
    <w:rsid w:val="008646A3"/>
    <w:rsid w:val="008646D2"/>
    <w:rsid w:val="0086471F"/>
    <w:rsid w:val="00864821"/>
    <w:rsid w:val="008648B2"/>
    <w:rsid w:val="008648D5"/>
    <w:rsid w:val="00864913"/>
    <w:rsid w:val="00864941"/>
    <w:rsid w:val="0086498C"/>
    <w:rsid w:val="008649C0"/>
    <w:rsid w:val="008649D9"/>
    <w:rsid w:val="00864A2C"/>
    <w:rsid w:val="00864A5E"/>
    <w:rsid w:val="00864A5F"/>
    <w:rsid w:val="00864A73"/>
    <w:rsid w:val="00864ABB"/>
    <w:rsid w:val="00864ADC"/>
    <w:rsid w:val="00864B23"/>
    <w:rsid w:val="00864B26"/>
    <w:rsid w:val="00864B33"/>
    <w:rsid w:val="00864B9C"/>
    <w:rsid w:val="00864D2E"/>
    <w:rsid w:val="00864D36"/>
    <w:rsid w:val="00864D85"/>
    <w:rsid w:val="00864D99"/>
    <w:rsid w:val="00864E6D"/>
    <w:rsid w:val="00864E91"/>
    <w:rsid w:val="00864EB8"/>
    <w:rsid w:val="00864EE5"/>
    <w:rsid w:val="00864EF1"/>
    <w:rsid w:val="00864F75"/>
    <w:rsid w:val="00865038"/>
    <w:rsid w:val="0086503D"/>
    <w:rsid w:val="008650ED"/>
    <w:rsid w:val="00865117"/>
    <w:rsid w:val="00865118"/>
    <w:rsid w:val="008651A3"/>
    <w:rsid w:val="008651A7"/>
    <w:rsid w:val="008651C7"/>
    <w:rsid w:val="008651E2"/>
    <w:rsid w:val="008651F1"/>
    <w:rsid w:val="008652CD"/>
    <w:rsid w:val="008652EA"/>
    <w:rsid w:val="00865461"/>
    <w:rsid w:val="00865475"/>
    <w:rsid w:val="0086551C"/>
    <w:rsid w:val="0086552A"/>
    <w:rsid w:val="0086560F"/>
    <w:rsid w:val="0086566D"/>
    <w:rsid w:val="008656D2"/>
    <w:rsid w:val="008656F6"/>
    <w:rsid w:val="00865793"/>
    <w:rsid w:val="008657D8"/>
    <w:rsid w:val="008658A1"/>
    <w:rsid w:val="008658A2"/>
    <w:rsid w:val="0086594D"/>
    <w:rsid w:val="00865962"/>
    <w:rsid w:val="008659A4"/>
    <w:rsid w:val="008659A9"/>
    <w:rsid w:val="00865A7A"/>
    <w:rsid w:val="00865AC8"/>
    <w:rsid w:val="00865AD7"/>
    <w:rsid w:val="00865B04"/>
    <w:rsid w:val="00865B7D"/>
    <w:rsid w:val="00865CA9"/>
    <w:rsid w:val="00865E0E"/>
    <w:rsid w:val="00865E32"/>
    <w:rsid w:val="00865EDB"/>
    <w:rsid w:val="00865F7A"/>
    <w:rsid w:val="00865FE9"/>
    <w:rsid w:val="00866120"/>
    <w:rsid w:val="00866174"/>
    <w:rsid w:val="0086620A"/>
    <w:rsid w:val="0086627C"/>
    <w:rsid w:val="008662E4"/>
    <w:rsid w:val="00866324"/>
    <w:rsid w:val="0086639A"/>
    <w:rsid w:val="008663DA"/>
    <w:rsid w:val="0086643F"/>
    <w:rsid w:val="00866498"/>
    <w:rsid w:val="008664E6"/>
    <w:rsid w:val="008664ED"/>
    <w:rsid w:val="00866542"/>
    <w:rsid w:val="00866550"/>
    <w:rsid w:val="0086655B"/>
    <w:rsid w:val="0086655E"/>
    <w:rsid w:val="008665AF"/>
    <w:rsid w:val="008665B4"/>
    <w:rsid w:val="008665D0"/>
    <w:rsid w:val="0086662B"/>
    <w:rsid w:val="00866652"/>
    <w:rsid w:val="0086666C"/>
    <w:rsid w:val="00866689"/>
    <w:rsid w:val="008666FC"/>
    <w:rsid w:val="00866771"/>
    <w:rsid w:val="00866794"/>
    <w:rsid w:val="00866840"/>
    <w:rsid w:val="008668B8"/>
    <w:rsid w:val="008668FB"/>
    <w:rsid w:val="0086695D"/>
    <w:rsid w:val="008669AE"/>
    <w:rsid w:val="008669D0"/>
    <w:rsid w:val="008669DC"/>
    <w:rsid w:val="00866A90"/>
    <w:rsid w:val="00866A94"/>
    <w:rsid w:val="00866AA2"/>
    <w:rsid w:val="00866B01"/>
    <w:rsid w:val="00866C21"/>
    <w:rsid w:val="00866C4A"/>
    <w:rsid w:val="00866C60"/>
    <w:rsid w:val="00866C63"/>
    <w:rsid w:val="00866DC6"/>
    <w:rsid w:val="00866DF9"/>
    <w:rsid w:val="00866E08"/>
    <w:rsid w:val="00866E36"/>
    <w:rsid w:val="00866EBD"/>
    <w:rsid w:val="00866F4C"/>
    <w:rsid w:val="00866F4F"/>
    <w:rsid w:val="00866F8E"/>
    <w:rsid w:val="00866FDC"/>
    <w:rsid w:val="008671B9"/>
    <w:rsid w:val="008672C3"/>
    <w:rsid w:val="008672D8"/>
    <w:rsid w:val="00867369"/>
    <w:rsid w:val="0086740B"/>
    <w:rsid w:val="008674B0"/>
    <w:rsid w:val="008674C3"/>
    <w:rsid w:val="00867608"/>
    <w:rsid w:val="00867657"/>
    <w:rsid w:val="008676E8"/>
    <w:rsid w:val="00867711"/>
    <w:rsid w:val="00867817"/>
    <w:rsid w:val="00867833"/>
    <w:rsid w:val="0086785D"/>
    <w:rsid w:val="008679AF"/>
    <w:rsid w:val="008679C0"/>
    <w:rsid w:val="00867A53"/>
    <w:rsid w:val="00867A71"/>
    <w:rsid w:val="00867A9A"/>
    <w:rsid w:val="00867AA6"/>
    <w:rsid w:val="00867B62"/>
    <w:rsid w:val="00867B66"/>
    <w:rsid w:val="00867BE8"/>
    <w:rsid w:val="00867BFF"/>
    <w:rsid w:val="00867C34"/>
    <w:rsid w:val="00867C6C"/>
    <w:rsid w:val="00867D94"/>
    <w:rsid w:val="00867DA5"/>
    <w:rsid w:val="00867F19"/>
    <w:rsid w:val="00867FE7"/>
    <w:rsid w:val="00870063"/>
    <w:rsid w:val="00870093"/>
    <w:rsid w:val="00870097"/>
    <w:rsid w:val="008700BA"/>
    <w:rsid w:val="008700CA"/>
    <w:rsid w:val="00870171"/>
    <w:rsid w:val="008702E1"/>
    <w:rsid w:val="008702FD"/>
    <w:rsid w:val="008703C8"/>
    <w:rsid w:val="00870403"/>
    <w:rsid w:val="0087049D"/>
    <w:rsid w:val="0087051E"/>
    <w:rsid w:val="0087057B"/>
    <w:rsid w:val="00870688"/>
    <w:rsid w:val="008706DA"/>
    <w:rsid w:val="00870795"/>
    <w:rsid w:val="00870806"/>
    <w:rsid w:val="0087085D"/>
    <w:rsid w:val="0087088F"/>
    <w:rsid w:val="008709D1"/>
    <w:rsid w:val="00870A7B"/>
    <w:rsid w:val="00870ACC"/>
    <w:rsid w:val="00870B37"/>
    <w:rsid w:val="00870C02"/>
    <w:rsid w:val="00870C96"/>
    <w:rsid w:val="00870D64"/>
    <w:rsid w:val="00870D6A"/>
    <w:rsid w:val="00870E05"/>
    <w:rsid w:val="00870E40"/>
    <w:rsid w:val="00870EC8"/>
    <w:rsid w:val="00870F2F"/>
    <w:rsid w:val="00870FAA"/>
    <w:rsid w:val="00870FC6"/>
    <w:rsid w:val="0087107F"/>
    <w:rsid w:val="00871103"/>
    <w:rsid w:val="00871106"/>
    <w:rsid w:val="0087112D"/>
    <w:rsid w:val="00871136"/>
    <w:rsid w:val="0087120E"/>
    <w:rsid w:val="00871225"/>
    <w:rsid w:val="00871245"/>
    <w:rsid w:val="00871315"/>
    <w:rsid w:val="00871351"/>
    <w:rsid w:val="0087148F"/>
    <w:rsid w:val="008714B9"/>
    <w:rsid w:val="0087158C"/>
    <w:rsid w:val="0087168E"/>
    <w:rsid w:val="0087168F"/>
    <w:rsid w:val="0087169E"/>
    <w:rsid w:val="008716F1"/>
    <w:rsid w:val="00871706"/>
    <w:rsid w:val="008717DC"/>
    <w:rsid w:val="00871810"/>
    <w:rsid w:val="0087181D"/>
    <w:rsid w:val="0087183A"/>
    <w:rsid w:val="008718F5"/>
    <w:rsid w:val="008718F7"/>
    <w:rsid w:val="008719A3"/>
    <w:rsid w:val="008719BB"/>
    <w:rsid w:val="00871AA8"/>
    <w:rsid w:val="00871AB4"/>
    <w:rsid w:val="00871B07"/>
    <w:rsid w:val="00871B19"/>
    <w:rsid w:val="00871B43"/>
    <w:rsid w:val="00871C3E"/>
    <w:rsid w:val="00871C61"/>
    <w:rsid w:val="00871C83"/>
    <w:rsid w:val="00871C8D"/>
    <w:rsid w:val="00871D9B"/>
    <w:rsid w:val="00871E62"/>
    <w:rsid w:val="00871EBE"/>
    <w:rsid w:val="00871ED3"/>
    <w:rsid w:val="00872011"/>
    <w:rsid w:val="00872021"/>
    <w:rsid w:val="0087207F"/>
    <w:rsid w:val="00872081"/>
    <w:rsid w:val="00872086"/>
    <w:rsid w:val="008720C4"/>
    <w:rsid w:val="00872173"/>
    <w:rsid w:val="0087218D"/>
    <w:rsid w:val="008722B0"/>
    <w:rsid w:val="008723CC"/>
    <w:rsid w:val="008724BD"/>
    <w:rsid w:val="008724F8"/>
    <w:rsid w:val="0087258A"/>
    <w:rsid w:val="00872598"/>
    <w:rsid w:val="008725AB"/>
    <w:rsid w:val="0087267B"/>
    <w:rsid w:val="0087267C"/>
    <w:rsid w:val="0087272C"/>
    <w:rsid w:val="0087279D"/>
    <w:rsid w:val="00872875"/>
    <w:rsid w:val="008728DF"/>
    <w:rsid w:val="00872900"/>
    <w:rsid w:val="0087296F"/>
    <w:rsid w:val="0087299B"/>
    <w:rsid w:val="008729B4"/>
    <w:rsid w:val="00872A1F"/>
    <w:rsid w:val="00872A48"/>
    <w:rsid w:val="00872A4A"/>
    <w:rsid w:val="00872AC1"/>
    <w:rsid w:val="00872B1D"/>
    <w:rsid w:val="00872C02"/>
    <w:rsid w:val="00872CCE"/>
    <w:rsid w:val="00872CE2"/>
    <w:rsid w:val="00872CFC"/>
    <w:rsid w:val="00872D62"/>
    <w:rsid w:val="00872E0B"/>
    <w:rsid w:val="00872E58"/>
    <w:rsid w:val="00872EAC"/>
    <w:rsid w:val="00872EEA"/>
    <w:rsid w:val="00872F38"/>
    <w:rsid w:val="00872F3D"/>
    <w:rsid w:val="00873006"/>
    <w:rsid w:val="00873016"/>
    <w:rsid w:val="008730E0"/>
    <w:rsid w:val="00873217"/>
    <w:rsid w:val="00873252"/>
    <w:rsid w:val="008732B6"/>
    <w:rsid w:val="008732F4"/>
    <w:rsid w:val="00873323"/>
    <w:rsid w:val="00873374"/>
    <w:rsid w:val="0087337F"/>
    <w:rsid w:val="00873406"/>
    <w:rsid w:val="0087340A"/>
    <w:rsid w:val="0087341E"/>
    <w:rsid w:val="0087347A"/>
    <w:rsid w:val="00873496"/>
    <w:rsid w:val="008734B4"/>
    <w:rsid w:val="0087355A"/>
    <w:rsid w:val="0087356C"/>
    <w:rsid w:val="0087359E"/>
    <w:rsid w:val="008735B0"/>
    <w:rsid w:val="008735E6"/>
    <w:rsid w:val="008735F7"/>
    <w:rsid w:val="0087362E"/>
    <w:rsid w:val="0087366F"/>
    <w:rsid w:val="008736A7"/>
    <w:rsid w:val="008736D3"/>
    <w:rsid w:val="00873891"/>
    <w:rsid w:val="008738F6"/>
    <w:rsid w:val="008738FE"/>
    <w:rsid w:val="0087391C"/>
    <w:rsid w:val="00873AE8"/>
    <w:rsid w:val="00873B1A"/>
    <w:rsid w:val="00873B55"/>
    <w:rsid w:val="00873B57"/>
    <w:rsid w:val="00873B9D"/>
    <w:rsid w:val="00873BF2"/>
    <w:rsid w:val="00873C4F"/>
    <w:rsid w:val="00873C69"/>
    <w:rsid w:val="00873D88"/>
    <w:rsid w:val="00873E15"/>
    <w:rsid w:val="00873E40"/>
    <w:rsid w:val="00873E9F"/>
    <w:rsid w:val="00873F22"/>
    <w:rsid w:val="00873F83"/>
    <w:rsid w:val="00873FB2"/>
    <w:rsid w:val="00873FC0"/>
    <w:rsid w:val="00874028"/>
    <w:rsid w:val="00874093"/>
    <w:rsid w:val="008741CA"/>
    <w:rsid w:val="00874205"/>
    <w:rsid w:val="00874234"/>
    <w:rsid w:val="008742F0"/>
    <w:rsid w:val="0087439A"/>
    <w:rsid w:val="008743D5"/>
    <w:rsid w:val="0087443C"/>
    <w:rsid w:val="00874498"/>
    <w:rsid w:val="008744B5"/>
    <w:rsid w:val="008745FF"/>
    <w:rsid w:val="0087464E"/>
    <w:rsid w:val="008746E1"/>
    <w:rsid w:val="0087489F"/>
    <w:rsid w:val="008748A7"/>
    <w:rsid w:val="008748AB"/>
    <w:rsid w:val="008748F7"/>
    <w:rsid w:val="00874905"/>
    <w:rsid w:val="00874942"/>
    <w:rsid w:val="008749BE"/>
    <w:rsid w:val="00874A9B"/>
    <w:rsid w:val="00874AFD"/>
    <w:rsid w:val="00874B19"/>
    <w:rsid w:val="00874B25"/>
    <w:rsid w:val="00874B5E"/>
    <w:rsid w:val="00874B80"/>
    <w:rsid w:val="00874BAB"/>
    <w:rsid w:val="00874E6E"/>
    <w:rsid w:val="00874EB4"/>
    <w:rsid w:val="00874F5A"/>
    <w:rsid w:val="00875035"/>
    <w:rsid w:val="00875053"/>
    <w:rsid w:val="00875097"/>
    <w:rsid w:val="0087509E"/>
    <w:rsid w:val="008750B1"/>
    <w:rsid w:val="00875132"/>
    <w:rsid w:val="0087519B"/>
    <w:rsid w:val="008751B8"/>
    <w:rsid w:val="008751E0"/>
    <w:rsid w:val="00875209"/>
    <w:rsid w:val="00875232"/>
    <w:rsid w:val="0087524B"/>
    <w:rsid w:val="00875260"/>
    <w:rsid w:val="008752BA"/>
    <w:rsid w:val="008752C7"/>
    <w:rsid w:val="00875376"/>
    <w:rsid w:val="00875383"/>
    <w:rsid w:val="008753BF"/>
    <w:rsid w:val="008753F7"/>
    <w:rsid w:val="00875432"/>
    <w:rsid w:val="00875438"/>
    <w:rsid w:val="008754A0"/>
    <w:rsid w:val="008754C3"/>
    <w:rsid w:val="008754D3"/>
    <w:rsid w:val="00875614"/>
    <w:rsid w:val="008756E3"/>
    <w:rsid w:val="008756F8"/>
    <w:rsid w:val="00875791"/>
    <w:rsid w:val="008757C8"/>
    <w:rsid w:val="008757DB"/>
    <w:rsid w:val="008758C0"/>
    <w:rsid w:val="008758D5"/>
    <w:rsid w:val="008758FD"/>
    <w:rsid w:val="00875A4F"/>
    <w:rsid w:val="00875AEF"/>
    <w:rsid w:val="00875B17"/>
    <w:rsid w:val="00875B29"/>
    <w:rsid w:val="00875B52"/>
    <w:rsid w:val="00875B58"/>
    <w:rsid w:val="00875B71"/>
    <w:rsid w:val="00875BDC"/>
    <w:rsid w:val="00875C9A"/>
    <w:rsid w:val="00875D59"/>
    <w:rsid w:val="00875D5A"/>
    <w:rsid w:val="00875D5D"/>
    <w:rsid w:val="00875D75"/>
    <w:rsid w:val="00875DCA"/>
    <w:rsid w:val="00875E5A"/>
    <w:rsid w:val="00875EC0"/>
    <w:rsid w:val="00875ED3"/>
    <w:rsid w:val="00875F02"/>
    <w:rsid w:val="00875F0F"/>
    <w:rsid w:val="00875FA8"/>
    <w:rsid w:val="008760CE"/>
    <w:rsid w:val="00876152"/>
    <w:rsid w:val="0087618C"/>
    <w:rsid w:val="008761B7"/>
    <w:rsid w:val="008761D7"/>
    <w:rsid w:val="008761EB"/>
    <w:rsid w:val="00876272"/>
    <w:rsid w:val="008763DA"/>
    <w:rsid w:val="008763E5"/>
    <w:rsid w:val="008763E6"/>
    <w:rsid w:val="0087643D"/>
    <w:rsid w:val="00876500"/>
    <w:rsid w:val="00876564"/>
    <w:rsid w:val="00876633"/>
    <w:rsid w:val="008766BE"/>
    <w:rsid w:val="0087680F"/>
    <w:rsid w:val="0087686F"/>
    <w:rsid w:val="00876899"/>
    <w:rsid w:val="008768BD"/>
    <w:rsid w:val="008768EE"/>
    <w:rsid w:val="00876994"/>
    <w:rsid w:val="00876A1C"/>
    <w:rsid w:val="00876A64"/>
    <w:rsid w:val="00876AAD"/>
    <w:rsid w:val="00876B70"/>
    <w:rsid w:val="00876BD0"/>
    <w:rsid w:val="00876BEB"/>
    <w:rsid w:val="00876D08"/>
    <w:rsid w:val="00876D35"/>
    <w:rsid w:val="00876DAC"/>
    <w:rsid w:val="00876DE9"/>
    <w:rsid w:val="00876EBB"/>
    <w:rsid w:val="00876EE1"/>
    <w:rsid w:val="00876F64"/>
    <w:rsid w:val="00876F9D"/>
    <w:rsid w:val="00876FC6"/>
    <w:rsid w:val="0087707C"/>
    <w:rsid w:val="0087710F"/>
    <w:rsid w:val="00877364"/>
    <w:rsid w:val="0087739B"/>
    <w:rsid w:val="0087742D"/>
    <w:rsid w:val="008774B4"/>
    <w:rsid w:val="0087757C"/>
    <w:rsid w:val="008775DE"/>
    <w:rsid w:val="00877623"/>
    <w:rsid w:val="00877648"/>
    <w:rsid w:val="00877708"/>
    <w:rsid w:val="00877710"/>
    <w:rsid w:val="008777B5"/>
    <w:rsid w:val="00877967"/>
    <w:rsid w:val="00877A88"/>
    <w:rsid w:val="00877AA1"/>
    <w:rsid w:val="00877AC2"/>
    <w:rsid w:val="00877BB6"/>
    <w:rsid w:val="00877CD9"/>
    <w:rsid w:val="00877D13"/>
    <w:rsid w:val="00877D43"/>
    <w:rsid w:val="00877DC8"/>
    <w:rsid w:val="00877ECC"/>
    <w:rsid w:val="00877F4E"/>
    <w:rsid w:val="00880096"/>
    <w:rsid w:val="0088009A"/>
    <w:rsid w:val="008800E1"/>
    <w:rsid w:val="008800F4"/>
    <w:rsid w:val="00880156"/>
    <w:rsid w:val="008801AA"/>
    <w:rsid w:val="00880234"/>
    <w:rsid w:val="0088027B"/>
    <w:rsid w:val="00880352"/>
    <w:rsid w:val="00880391"/>
    <w:rsid w:val="008803AD"/>
    <w:rsid w:val="0088045A"/>
    <w:rsid w:val="008804E4"/>
    <w:rsid w:val="0088051E"/>
    <w:rsid w:val="00880598"/>
    <w:rsid w:val="00880611"/>
    <w:rsid w:val="008806AD"/>
    <w:rsid w:val="0088073C"/>
    <w:rsid w:val="00880813"/>
    <w:rsid w:val="00880815"/>
    <w:rsid w:val="008808AC"/>
    <w:rsid w:val="00880901"/>
    <w:rsid w:val="008809C0"/>
    <w:rsid w:val="008809CA"/>
    <w:rsid w:val="008809DB"/>
    <w:rsid w:val="00880A30"/>
    <w:rsid w:val="00880B40"/>
    <w:rsid w:val="00880B53"/>
    <w:rsid w:val="00880B5E"/>
    <w:rsid w:val="00880C1B"/>
    <w:rsid w:val="00880C2C"/>
    <w:rsid w:val="00880C62"/>
    <w:rsid w:val="00880C76"/>
    <w:rsid w:val="00880CF9"/>
    <w:rsid w:val="00880D46"/>
    <w:rsid w:val="00880D9B"/>
    <w:rsid w:val="00880DB8"/>
    <w:rsid w:val="00880DD6"/>
    <w:rsid w:val="00880DF8"/>
    <w:rsid w:val="00880E84"/>
    <w:rsid w:val="00880E8E"/>
    <w:rsid w:val="00880E9D"/>
    <w:rsid w:val="00880F00"/>
    <w:rsid w:val="00880F12"/>
    <w:rsid w:val="00880F35"/>
    <w:rsid w:val="00880FCF"/>
    <w:rsid w:val="00880FDF"/>
    <w:rsid w:val="00880FEE"/>
    <w:rsid w:val="00881029"/>
    <w:rsid w:val="00881045"/>
    <w:rsid w:val="00881057"/>
    <w:rsid w:val="008810C0"/>
    <w:rsid w:val="0088111E"/>
    <w:rsid w:val="00881131"/>
    <w:rsid w:val="008811B2"/>
    <w:rsid w:val="008811C2"/>
    <w:rsid w:val="0088120E"/>
    <w:rsid w:val="0088124D"/>
    <w:rsid w:val="008812D3"/>
    <w:rsid w:val="0088134A"/>
    <w:rsid w:val="008813F4"/>
    <w:rsid w:val="008816AB"/>
    <w:rsid w:val="008817B6"/>
    <w:rsid w:val="0088182C"/>
    <w:rsid w:val="008818D1"/>
    <w:rsid w:val="008818D4"/>
    <w:rsid w:val="008819E1"/>
    <w:rsid w:val="00881A70"/>
    <w:rsid w:val="00881AB8"/>
    <w:rsid w:val="00881ACF"/>
    <w:rsid w:val="00881AEE"/>
    <w:rsid w:val="00881B36"/>
    <w:rsid w:val="00881B98"/>
    <w:rsid w:val="00881BA2"/>
    <w:rsid w:val="00881CB0"/>
    <w:rsid w:val="00881CE4"/>
    <w:rsid w:val="00881D7C"/>
    <w:rsid w:val="00881DC9"/>
    <w:rsid w:val="00881E1E"/>
    <w:rsid w:val="00881E74"/>
    <w:rsid w:val="00881EEC"/>
    <w:rsid w:val="00881F31"/>
    <w:rsid w:val="00881F7A"/>
    <w:rsid w:val="00882029"/>
    <w:rsid w:val="0088204E"/>
    <w:rsid w:val="008820F0"/>
    <w:rsid w:val="008820FA"/>
    <w:rsid w:val="00882108"/>
    <w:rsid w:val="00882275"/>
    <w:rsid w:val="00882284"/>
    <w:rsid w:val="008822D9"/>
    <w:rsid w:val="008822EE"/>
    <w:rsid w:val="00882440"/>
    <w:rsid w:val="00882459"/>
    <w:rsid w:val="008824CA"/>
    <w:rsid w:val="008824F3"/>
    <w:rsid w:val="00882587"/>
    <w:rsid w:val="0088260C"/>
    <w:rsid w:val="0088279B"/>
    <w:rsid w:val="008827D3"/>
    <w:rsid w:val="008827F6"/>
    <w:rsid w:val="00882816"/>
    <w:rsid w:val="0088283A"/>
    <w:rsid w:val="008828A0"/>
    <w:rsid w:val="00882908"/>
    <w:rsid w:val="00882967"/>
    <w:rsid w:val="00882978"/>
    <w:rsid w:val="00882A11"/>
    <w:rsid w:val="00882A1D"/>
    <w:rsid w:val="00882A2D"/>
    <w:rsid w:val="00882A92"/>
    <w:rsid w:val="00882B1C"/>
    <w:rsid w:val="00882BC6"/>
    <w:rsid w:val="00882BE4"/>
    <w:rsid w:val="00882CA7"/>
    <w:rsid w:val="00882D04"/>
    <w:rsid w:val="00882D5D"/>
    <w:rsid w:val="00882E3B"/>
    <w:rsid w:val="00882E6E"/>
    <w:rsid w:val="00883000"/>
    <w:rsid w:val="0088303D"/>
    <w:rsid w:val="008830A0"/>
    <w:rsid w:val="008830D0"/>
    <w:rsid w:val="008830E3"/>
    <w:rsid w:val="0088321F"/>
    <w:rsid w:val="00883321"/>
    <w:rsid w:val="00883355"/>
    <w:rsid w:val="0088337E"/>
    <w:rsid w:val="008833AA"/>
    <w:rsid w:val="0088341E"/>
    <w:rsid w:val="0088354E"/>
    <w:rsid w:val="00883592"/>
    <w:rsid w:val="008835CF"/>
    <w:rsid w:val="008835E1"/>
    <w:rsid w:val="008835F8"/>
    <w:rsid w:val="0088369B"/>
    <w:rsid w:val="00883750"/>
    <w:rsid w:val="00883789"/>
    <w:rsid w:val="008837D3"/>
    <w:rsid w:val="00883850"/>
    <w:rsid w:val="00883A09"/>
    <w:rsid w:val="00883A0E"/>
    <w:rsid w:val="00883A2C"/>
    <w:rsid w:val="00883A33"/>
    <w:rsid w:val="00883A6A"/>
    <w:rsid w:val="00883AEE"/>
    <w:rsid w:val="00883AF6"/>
    <w:rsid w:val="00883B65"/>
    <w:rsid w:val="00883BAF"/>
    <w:rsid w:val="00883BBB"/>
    <w:rsid w:val="00883BCC"/>
    <w:rsid w:val="00883D67"/>
    <w:rsid w:val="00883D90"/>
    <w:rsid w:val="00883E5F"/>
    <w:rsid w:val="00883EE3"/>
    <w:rsid w:val="00883F00"/>
    <w:rsid w:val="00883F21"/>
    <w:rsid w:val="00883FD2"/>
    <w:rsid w:val="00884025"/>
    <w:rsid w:val="0088404F"/>
    <w:rsid w:val="00884098"/>
    <w:rsid w:val="0088414F"/>
    <w:rsid w:val="00884186"/>
    <w:rsid w:val="008841EB"/>
    <w:rsid w:val="00884290"/>
    <w:rsid w:val="00884353"/>
    <w:rsid w:val="00884387"/>
    <w:rsid w:val="008843A9"/>
    <w:rsid w:val="00884426"/>
    <w:rsid w:val="008844CD"/>
    <w:rsid w:val="008844F8"/>
    <w:rsid w:val="00884553"/>
    <w:rsid w:val="00884568"/>
    <w:rsid w:val="008845E9"/>
    <w:rsid w:val="00884635"/>
    <w:rsid w:val="00884728"/>
    <w:rsid w:val="0088478D"/>
    <w:rsid w:val="008847B6"/>
    <w:rsid w:val="00884819"/>
    <w:rsid w:val="00884834"/>
    <w:rsid w:val="00884853"/>
    <w:rsid w:val="008848FA"/>
    <w:rsid w:val="00884914"/>
    <w:rsid w:val="00884932"/>
    <w:rsid w:val="0088493B"/>
    <w:rsid w:val="00884962"/>
    <w:rsid w:val="00884A00"/>
    <w:rsid w:val="00884A2B"/>
    <w:rsid w:val="00884A6A"/>
    <w:rsid w:val="00884B9C"/>
    <w:rsid w:val="00884BA2"/>
    <w:rsid w:val="00884C46"/>
    <w:rsid w:val="00884C4B"/>
    <w:rsid w:val="00884C65"/>
    <w:rsid w:val="00884CA3"/>
    <w:rsid w:val="00884CD6"/>
    <w:rsid w:val="00884D73"/>
    <w:rsid w:val="00884DBC"/>
    <w:rsid w:val="00884E1E"/>
    <w:rsid w:val="00884F05"/>
    <w:rsid w:val="00884F73"/>
    <w:rsid w:val="00884FDA"/>
    <w:rsid w:val="00885073"/>
    <w:rsid w:val="0088507A"/>
    <w:rsid w:val="00885089"/>
    <w:rsid w:val="0088512C"/>
    <w:rsid w:val="00885179"/>
    <w:rsid w:val="0088523D"/>
    <w:rsid w:val="00885341"/>
    <w:rsid w:val="00885345"/>
    <w:rsid w:val="00885381"/>
    <w:rsid w:val="0088541D"/>
    <w:rsid w:val="008854BD"/>
    <w:rsid w:val="008854F4"/>
    <w:rsid w:val="00885511"/>
    <w:rsid w:val="0088551E"/>
    <w:rsid w:val="00885552"/>
    <w:rsid w:val="008855BF"/>
    <w:rsid w:val="00885659"/>
    <w:rsid w:val="00885662"/>
    <w:rsid w:val="00885680"/>
    <w:rsid w:val="008856A2"/>
    <w:rsid w:val="0088575A"/>
    <w:rsid w:val="008857AD"/>
    <w:rsid w:val="00885805"/>
    <w:rsid w:val="00885810"/>
    <w:rsid w:val="0088586E"/>
    <w:rsid w:val="008858C9"/>
    <w:rsid w:val="008858FD"/>
    <w:rsid w:val="008859A2"/>
    <w:rsid w:val="008859D9"/>
    <w:rsid w:val="00885A3E"/>
    <w:rsid w:val="00885AA5"/>
    <w:rsid w:val="00885BE2"/>
    <w:rsid w:val="00885C09"/>
    <w:rsid w:val="00885C81"/>
    <w:rsid w:val="00885CBC"/>
    <w:rsid w:val="00885CCC"/>
    <w:rsid w:val="00885D25"/>
    <w:rsid w:val="00885D46"/>
    <w:rsid w:val="00885D4C"/>
    <w:rsid w:val="00885DD4"/>
    <w:rsid w:val="00885DEB"/>
    <w:rsid w:val="00885E12"/>
    <w:rsid w:val="00885E17"/>
    <w:rsid w:val="00885EAF"/>
    <w:rsid w:val="00885EB5"/>
    <w:rsid w:val="00885EE6"/>
    <w:rsid w:val="00885EF6"/>
    <w:rsid w:val="00885F05"/>
    <w:rsid w:val="00885FDB"/>
    <w:rsid w:val="00886056"/>
    <w:rsid w:val="00886115"/>
    <w:rsid w:val="00886141"/>
    <w:rsid w:val="008861E6"/>
    <w:rsid w:val="008862C0"/>
    <w:rsid w:val="00886321"/>
    <w:rsid w:val="00886373"/>
    <w:rsid w:val="00886402"/>
    <w:rsid w:val="008864C7"/>
    <w:rsid w:val="008864F5"/>
    <w:rsid w:val="0088652D"/>
    <w:rsid w:val="0088656D"/>
    <w:rsid w:val="00886621"/>
    <w:rsid w:val="0088664A"/>
    <w:rsid w:val="008866C9"/>
    <w:rsid w:val="00886821"/>
    <w:rsid w:val="00886838"/>
    <w:rsid w:val="00886843"/>
    <w:rsid w:val="00886928"/>
    <w:rsid w:val="008869C2"/>
    <w:rsid w:val="00886A38"/>
    <w:rsid w:val="00886A4F"/>
    <w:rsid w:val="00886AA7"/>
    <w:rsid w:val="00886B45"/>
    <w:rsid w:val="00886C23"/>
    <w:rsid w:val="00886E02"/>
    <w:rsid w:val="00886EB9"/>
    <w:rsid w:val="00886ED6"/>
    <w:rsid w:val="00886F06"/>
    <w:rsid w:val="00886F85"/>
    <w:rsid w:val="00886F9C"/>
    <w:rsid w:val="008870EB"/>
    <w:rsid w:val="00887102"/>
    <w:rsid w:val="00887235"/>
    <w:rsid w:val="0088723D"/>
    <w:rsid w:val="00887275"/>
    <w:rsid w:val="00887283"/>
    <w:rsid w:val="0088729B"/>
    <w:rsid w:val="00887307"/>
    <w:rsid w:val="00887365"/>
    <w:rsid w:val="00887409"/>
    <w:rsid w:val="0088757C"/>
    <w:rsid w:val="0088757D"/>
    <w:rsid w:val="008875AA"/>
    <w:rsid w:val="00887668"/>
    <w:rsid w:val="0088766B"/>
    <w:rsid w:val="008876AA"/>
    <w:rsid w:val="008876EF"/>
    <w:rsid w:val="00887731"/>
    <w:rsid w:val="008877DF"/>
    <w:rsid w:val="008877FD"/>
    <w:rsid w:val="0088782F"/>
    <w:rsid w:val="0088787E"/>
    <w:rsid w:val="00887896"/>
    <w:rsid w:val="0088789B"/>
    <w:rsid w:val="008878B1"/>
    <w:rsid w:val="00887929"/>
    <w:rsid w:val="00887A2F"/>
    <w:rsid w:val="00887A4F"/>
    <w:rsid w:val="00887A58"/>
    <w:rsid w:val="00887AA8"/>
    <w:rsid w:val="00887AC2"/>
    <w:rsid w:val="00887B1A"/>
    <w:rsid w:val="00887BB5"/>
    <w:rsid w:val="00887BF6"/>
    <w:rsid w:val="00887C2C"/>
    <w:rsid w:val="00887C42"/>
    <w:rsid w:val="00887CEA"/>
    <w:rsid w:val="00887D84"/>
    <w:rsid w:val="00887EAB"/>
    <w:rsid w:val="00887FED"/>
    <w:rsid w:val="00887FFA"/>
    <w:rsid w:val="0089017F"/>
    <w:rsid w:val="00890336"/>
    <w:rsid w:val="00890345"/>
    <w:rsid w:val="008903B3"/>
    <w:rsid w:val="008903D5"/>
    <w:rsid w:val="008903F7"/>
    <w:rsid w:val="00890461"/>
    <w:rsid w:val="008904CF"/>
    <w:rsid w:val="00890505"/>
    <w:rsid w:val="00890576"/>
    <w:rsid w:val="0089057E"/>
    <w:rsid w:val="008905ED"/>
    <w:rsid w:val="008906BB"/>
    <w:rsid w:val="008906EE"/>
    <w:rsid w:val="008907CA"/>
    <w:rsid w:val="008907D3"/>
    <w:rsid w:val="008907F8"/>
    <w:rsid w:val="00890890"/>
    <w:rsid w:val="0089096A"/>
    <w:rsid w:val="008909A5"/>
    <w:rsid w:val="00890B67"/>
    <w:rsid w:val="00890B96"/>
    <w:rsid w:val="00890BBD"/>
    <w:rsid w:val="00890C3E"/>
    <w:rsid w:val="00890C89"/>
    <w:rsid w:val="00890CB6"/>
    <w:rsid w:val="00890D1E"/>
    <w:rsid w:val="00890D28"/>
    <w:rsid w:val="00890D7D"/>
    <w:rsid w:val="00890D9C"/>
    <w:rsid w:val="00890DC1"/>
    <w:rsid w:val="00890DF2"/>
    <w:rsid w:val="00890DF6"/>
    <w:rsid w:val="00890FC6"/>
    <w:rsid w:val="00891038"/>
    <w:rsid w:val="00891083"/>
    <w:rsid w:val="008910B5"/>
    <w:rsid w:val="00891130"/>
    <w:rsid w:val="0089113A"/>
    <w:rsid w:val="0089119C"/>
    <w:rsid w:val="008911A3"/>
    <w:rsid w:val="008911D3"/>
    <w:rsid w:val="008911E4"/>
    <w:rsid w:val="00891302"/>
    <w:rsid w:val="00891307"/>
    <w:rsid w:val="0089131A"/>
    <w:rsid w:val="0089136B"/>
    <w:rsid w:val="0089157B"/>
    <w:rsid w:val="0089164A"/>
    <w:rsid w:val="0089165F"/>
    <w:rsid w:val="0089167F"/>
    <w:rsid w:val="008916F2"/>
    <w:rsid w:val="008917D6"/>
    <w:rsid w:val="008917DB"/>
    <w:rsid w:val="0089180B"/>
    <w:rsid w:val="0089190F"/>
    <w:rsid w:val="00891945"/>
    <w:rsid w:val="0089198C"/>
    <w:rsid w:val="008919BC"/>
    <w:rsid w:val="00891A0C"/>
    <w:rsid w:val="00891A3E"/>
    <w:rsid w:val="00891A49"/>
    <w:rsid w:val="00891B3E"/>
    <w:rsid w:val="00891B4E"/>
    <w:rsid w:val="00891BF5"/>
    <w:rsid w:val="00891C8A"/>
    <w:rsid w:val="00891C8B"/>
    <w:rsid w:val="00891DB9"/>
    <w:rsid w:val="00891DFB"/>
    <w:rsid w:val="00891F43"/>
    <w:rsid w:val="00891F4A"/>
    <w:rsid w:val="00891F77"/>
    <w:rsid w:val="00891F81"/>
    <w:rsid w:val="00891FD0"/>
    <w:rsid w:val="00891FD2"/>
    <w:rsid w:val="00891FF2"/>
    <w:rsid w:val="00892048"/>
    <w:rsid w:val="0089205E"/>
    <w:rsid w:val="00892063"/>
    <w:rsid w:val="008920EE"/>
    <w:rsid w:val="008921BC"/>
    <w:rsid w:val="008921DF"/>
    <w:rsid w:val="0089225E"/>
    <w:rsid w:val="00892261"/>
    <w:rsid w:val="008922E4"/>
    <w:rsid w:val="008922F5"/>
    <w:rsid w:val="00892326"/>
    <w:rsid w:val="008923A0"/>
    <w:rsid w:val="008924DD"/>
    <w:rsid w:val="0089253A"/>
    <w:rsid w:val="0089254B"/>
    <w:rsid w:val="0089256B"/>
    <w:rsid w:val="0089261A"/>
    <w:rsid w:val="0089261F"/>
    <w:rsid w:val="00892742"/>
    <w:rsid w:val="008927D8"/>
    <w:rsid w:val="00892892"/>
    <w:rsid w:val="008928C9"/>
    <w:rsid w:val="0089290F"/>
    <w:rsid w:val="00892953"/>
    <w:rsid w:val="00892CF8"/>
    <w:rsid w:val="00892CFE"/>
    <w:rsid w:val="00892D36"/>
    <w:rsid w:val="00892D96"/>
    <w:rsid w:val="00892DB0"/>
    <w:rsid w:val="00892E68"/>
    <w:rsid w:val="00892FD4"/>
    <w:rsid w:val="00893028"/>
    <w:rsid w:val="00893042"/>
    <w:rsid w:val="00893046"/>
    <w:rsid w:val="008930A3"/>
    <w:rsid w:val="008930DD"/>
    <w:rsid w:val="008930F7"/>
    <w:rsid w:val="0089313E"/>
    <w:rsid w:val="00893181"/>
    <w:rsid w:val="008931DE"/>
    <w:rsid w:val="008931E0"/>
    <w:rsid w:val="008931E1"/>
    <w:rsid w:val="008932B9"/>
    <w:rsid w:val="00893376"/>
    <w:rsid w:val="008933CB"/>
    <w:rsid w:val="0089340A"/>
    <w:rsid w:val="00893453"/>
    <w:rsid w:val="00893460"/>
    <w:rsid w:val="0089354D"/>
    <w:rsid w:val="008935E8"/>
    <w:rsid w:val="0089363D"/>
    <w:rsid w:val="00893643"/>
    <w:rsid w:val="008936A7"/>
    <w:rsid w:val="008936DD"/>
    <w:rsid w:val="008937AB"/>
    <w:rsid w:val="008938B4"/>
    <w:rsid w:val="008938C0"/>
    <w:rsid w:val="0089392B"/>
    <w:rsid w:val="00893935"/>
    <w:rsid w:val="00893936"/>
    <w:rsid w:val="0089393A"/>
    <w:rsid w:val="008939C0"/>
    <w:rsid w:val="00893A61"/>
    <w:rsid w:val="00893A83"/>
    <w:rsid w:val="00893AC3"/>
    <w:rsid w:val="00893B49"/>
    <w:rsid w:val="00893C32"/>
    <w:rsid w:val="00893C34"/>
    <w:rsid w:val="00893C4E"/>
    <w:rsid w:val="00893C7B"/>
    <w:rsid w:val="00893CEB"/>
    <w:rsid w:val="00893D5A"/>
    <w:rsid w:val="00893E02"/>
    <w:rsid w:val="00893EF0"/>
    <w:rsid w:val="00893F72"/>
    <w:rsid w:val="00893FAE"/>
    <w:rsid w:val="0089400C"/>
    <w:rsid w:val="0089402B"/>
    <w:rsid w:val="008940E5"/>
    <w:rsid w:val="008940E6"/>
    <w:rsid w:val="008941E0"/>
    <w:rsid w:val="00894222"/>
    <w:rsid w:val="00894237"/>
    <w:rsid w:val="0089432F"/>
    <w:rsid w:val="0089434F"/>
    <w:rsid w:val="00894478"/>
    <w:rsid w:val="00894504"/>
    <w:rsid w:val="00894523"/>
    <w:rsid w:val="00894580"/>
    <w:rsid w:val="0089463B"/>
    <w:rsid w:val="0089467D"/>
    <w:rsid w:val="008946B1"/>
    <w:rsid w:val="008946C5"/>
    <w:rsid w:val="0089474A"/>
    <w:rsid w:val="00894791"/>
    <w:rsid w:val="008947BE"/>
    <w:rsid w:val="0089486D"/>
    <w:rsid w:val="0089489B"/>
    <w:rsid w:val="008948E0"/>
    <w:rsid w:val="00894956"/>
    <w:rsid w:val="00894983"/>
    <w:rsid w:val="0089498E"/>
    <w:rsid w:val="008949BE"/>
    <w:rsid w:val="008949CC"/>
    <w:rsid w:val="00894AEA"/>
    <w:rsid w:val="00894B7C"/>
    <w:rsid w:val="00894B8F"/>
    <w:rsid w:val="00894B9C"/>
    <w:rsid w:val="00894BAD"/>
    <w:rsid w:val="00894C1B"/>
    <w:rsid w:val="00894C37"/>
    <w:rsid w:val="00894D32"/>
    <w:rsid w:val="00894D5D"/>
    <w:rsid w:val="00894DA1"/>
    <w:rsid w:val="00894E16"/>
    <w:rsid w:val="00894E3D"/>
    <w:rsid w:val="00894E6F"/>
    <w:rsid w:val="00894ED5"/>
    <w:rsid w:val="00894F64"/>
    <w:rsid w:val="00894FA3"/>
    <w:rsid w:val="00894FAD"/>
    <w:rsid w:val="0089504C"/>
    <w:rsid w:val="00895090"/>
    <w:rsid w:val="00895152"/>
    <w:rsid w:val="00895195"/>
    <w:rsid w:val="008951A1"/>
    <w:rsid w:val="0089521E"/>
    <w:rsid w:val="00895319"/>
    <w:rsid w:val="0089550D"/>
    <w:rsid w:val="00895512"/>
    <w:rsid w:val="0089551D"/>
    <w:rsid w:val="00895523"/>
    <w:rsid w:val="00895531"/>
    <w:rsid w:val="0089558D"/>
    <w:rsid w:val="00895594"/>
    <w:rsid w:val="00895732"/>
    <w:rsid w:val="008957E0"/>
    <w:rsid w:val="0089585F"/>
    <w:rsid w:val="0089590F"/>
    <w:rsid w:val="008959D9"/>
    <w:rsid w:val="00895A07"/>
    <w:rsid w:val="00895B51"/>
    <w:rsid w:val="00895D53"/>
    <w:rsid w:val="00895FB0"/>
    <w:rsid w:val="00895FC4"/>
    <w:rsid w:val="00895FCE"/>
    <w:rsid w:val="0089601D"/>
    <w:rsid w:val="00896094"/>
    <w:rsid w:val="008960AD"/>
    <w:rsid w:val="00896185"/>
    <w:rsid w:val="0089620E"/>
    <w:rsid w:val="0089623F"/>
    <w:rsid w:val="00896290"/>
    <w:rsid w:val="008962B5"/>
    <w:rsid w:val="00896327"/>
    <w:rsid w:val="00896330"/>
    <w:rsid w:val="00896355"/>
    <w:rsid w:val="008963EF"/>
    <w:rsid w:val="008963F9"/>
    <w:rsid w:val="008964A4"/>
    <w:rsid w:val="008964F4"/>
    <w:rsid w:val="00896523"/>
    <w:rsid w:val="0089659D"/>
    <w:rsid w:val="008966AC"/>
    <w:rsid w:val="00896787"/>
    <w:rsid w:val="008967DD"/>
    <w:rsid w:val="00896815"/>
    <w:rsid w:val="0089684E"/>
    <w:rsid w:val="0089689D"/>
    <w:rsid w:val="008969DC"/>
    <w:rsid w:val="00896A92"/>
    <w:rsid w:val="00896AD9"/>
    <w:rsid w:val="00896AF0"/>
    <w:rsid w:val="00896AF9"/>
    <w:rsid w:val="00896B16"/>
    <w:rsid w:val="00896B18"/>
    <w:rsid w:val="00896C9D"/>
    <w:rsid w:val="00896CCD"/>
    <w:rsid w:val="00896DD0"/>
    <w:rsid w:val="00896E00"/>
    <w:rsid w:val="00896EAD"/>
    <w:rsid w:val="00896F20"/>
    <w:rsid w:val="00896FBE"/>
    <w:rsid w:val="0089706C"/>
    <w:rsid w:val="008970DE"/>
    <w:rsid w:val="008970FC"/>
    <w:rsid w:val="00897118"/>
    <w:rsid w:val="00897120"/>
    <w:rsid w:val="0089714A"/>
    <w:rsid w:val="00897179"/>
    <w:rsid w:val="00897194"/>
    <w:rsid w:val="008971BD"/>
    <w:rsid w:val="008971C8"/>
    <w:rsid w:val="008971F0"/>
    <w:rsid w:val="0089722C"/>
    <w:rsid w:val="00897291"/>
    <w:rsid w:val="008972BE"/>
    <w:rsid w:val="00897335"/>
    <w:rsid w:val="00897339"/>
    <w:rsid w:val="00897372"/>
    <w:rsid w:val="0089739C"/>
    <w:rsid w:val="008973B5"/>
    <w:rsid w:val="008973C4"/>
    <w:rsid w:val="008973EB"/>
    <w:rsid w:val="008975AA"/>
    <w:rsid w:val="008976AD"/>
    <w:rsid w:val="008976E4"/>
    <w:rsid w:val="008976E5"/>
    <w:rsid w:val="00897725"/>
    <w:rsid w:val="008977E9"/>
    <w:rsid w:val="008978A0"/>
    <w:rsid w:val="00897909"/>
    <w:rsid w:val="00897929"/>
    <w:rsid w:val="00897951"/>
    <w:rsid w:val="00897975"/>
    <w:rsid w:val="00897A5B"/>
    <w:rsid w:val="00897ACD"/>
    <w:rsid w:val="00897B17"/>
    <w:rsid w:val="00897B23"/>
    <w:rsid w:val="00897B2E"/>
    <w:rsid w:val="00897B33"/>
    <w:rsid w:val="00897BC9"/>
    <w:rsid w:val="00897C70"/>
    <w:rsid w:val="00897C88"/>
    <w:rsid w:val="00897CFF"/>
    <w:rsid w:val="00897DBC"/>
    <w:rsid w:val="00897DEF"/>
    <w:rsid w:val="00897E37"/>
    <w:rsid w:val="00897E82"/>
    <w:rsid w:val="00897EA5"/>
    <w:rsid w:val="00897F25"/>
    <w:rsid w:val="00897FAE"/>
    <w:rsid w:val="00897FB5"/>
    <w:rsid w:val="00897FC8"/>
    <w:rsid w:val="008A0111"/>
    <w:rsid w:val="008A0118"/>
    <w:rsid w:val="008A017E"/>
    <w:rsid w:val="008A0213"/>
    <w:rsid w:val="008A021E"/>
    <w:rsid w:val="008A02AA"/>
    <w:rsid w:val="008A02D4"/>
    <w:rsid w:val="008A0318"/>
    <w:rsid w:val="008A0347"/>
    <w:rsid w:val="008A0415"/>
    <w:rsid w:val="008A0471"/>
    <w:rsid w:val="008A0487"/>
    <w:rsid w:val="008A04BF"/>
    <w:rsid w:val="008A0527"/>
    <w:rsid w:val="008A0539"/>
    <w:rsid w:val="008A0619"/>
    <w:rsid w:val="008A0683"/>
    <w:rsid w:val="008A081F"/>
    <w:rsid w:val="008A085F"/>
    <w:rsid w:val="008A0941"/>
    <w:rsid w:val="008A09BE"/>
    <w:rsid w:val="008A0A2E"/>
    <w:rsid w:val="008A0AAF"/>
    <w:rsid w:val="008A0AB3"/>
    <w:rsid w:val="008A0AF6"/>
    <w:rsid w:val="008A0B44"/>
    <w:rsid w:val="008A0B57"/>
    <w:rsid w:val="008A0CCB"/>
    <w:rsid w:val="008A0CE3"/>
    <w:rsid w:val="008A0D58"/>
    <w:rsid w:val="008A0DDD"/>
    <w:rsid w:val="008A0E7F"/>
    <w:rsid w:val="008A0F6D"/>
    <w:rsid w:val="008A0FC8"/>
    <w:rsid w:val="008A1007"/>
    <w:rsid w:val="008A1009"/>
    <w:rsid w:val="008A1031"/>
    <w:rsid w:val="008A10C3"/>
    <w:rsid w:val="008A1133"/>
    <w:rsid w:val="008A113D"/>
    <w:rsid w:val="008A1168"/>
    <w:rsid w:val="008A1291"/>
    <w:rsid w:val="008A12BE"/>
    <w:rsid w:val="008A133D"/>
    <w:rsid w:val="008A13FE"/>
    <w:rsid w:val="008A1418"/>
    <w:rsid w:val="008A143B"/>
    <w:rsid w:val="008A15BD"/>
    <w:rsid w:val="008A15FF"/>
    <w:rsid w:val="008A16DA"/>
    <w:rsid w:val="008A1708"/>
    <w:rsid w:val="008A1767"/>
    <w:rsid w:val="008A17A4"/>
    <w:rsid w:val="008A17E6"/>
    <w:rsid w:val="008A18E7"/>
    <w:rsid w:val="008A192E"/>
    <w:rsid w:val="008A1BA4"/>
    <w:rsid w:val="008A1BB1"/>
    <w:rsid w:val="008A1BD4"/>
    <w:rsid w:val="008A1BDC"/>
    <w:rsid w:val="008A1BE5"/>
    <w:rsid w:val="008A1BEF"/>
    <w:rsid w:val="008A1C46"/>
    <w:rsid w:val="008A1C83"/>
    <w:rsid w:val="008A1D7E"/>
    <w:rsid w:val="008A1D98"/>
    <w:rsid w:val="008A1EC7"/>
    <w:rsid w:val="008A1ED6"/>
    <w:rsid w:val="008A1F16"/>
    <w:rsid w:val="008A1F63"/>
    <w:rsid w:val="008A1F71"/>
    <w:rsid w:val="008A2029"/>
    <w:rsid w:val="008A2083"/>
    <w:rsid w:val="008A20B1"/>
    <w:rsid w:val="008A20DE"/>
    <w:rsid w:val="008A2172"/>
    <w:rsid w:val="008A2189"/>
    <w:rsid w:val="008A21D2"/>
    <w:rsid w:val="008A2251"/>
    <w:rsid w:val="008A233C"/>
    <w:rsid w:val="008A233F"/>
    <w:rsid w:val="008A235F"/>
    <w:rsid w:val="008A2459"/>
    <w:rsid w:val="008A24FF"/>
    <w:rsid w:val="008A2563"/>
    <w:rsid w:val="008A256C"/>
    <w:rsid w:val="008A2574"/>
    <w:rsid w:val="008A2575"/>
    <w:rsid w:val="008A2631"/>
    <w:rsid w:val="008A2649"/>
    <w:rsid w:val="008A269E"/>
    <w:rsid w:val="008A26C2"/>
    <w:rsid w:val="008A26EB"/>
    <w:rsid w:val="008A2784"/>
    <w:rsid w:val="008A27BF"/>
    <w:rsid w:val="008A27D5"/>
    <w:rsid w:val="008A27E0"/>
    <w:rsid w:val="008A2875"/>
    <w:rsid w:val="008A28B2"/>
    <w:rsid w:val="008A28D9"/>
    <w:rsid w:val="008A29AF"/>
    <w:rsid w:val="008A29D3"/>
    <w:rsid w:val="008A2B49"/>
    <w:rsid w:val="008A2B56"/>
    <w:rsid w:val="008A2B92"/>
    <w:rsid w:val="008A2BD2"/>
    <w:rsid w:val="008A2C7B"/>
    <w:rsid w:val="008A2C83"/>
    <w:rsid w:val="008A2C8E"/>
    <w:rsid w:val="008A2CE3"/>
    <w:rsid w:val="008A2DA7"/>
    <w:rsid w:val="008A2DA9"/>
    <w:rsid w:val="008A2DB9"/>
    <w:rsid w:val="008A2DBC"/>
    <w:rsid w:val="008A2E32"/>
    <w:rsid w:val="008A2E82"/>
    <w:rsid w:val="008A2E85"/>
    <w:rsid w:val="008A2EA9"/>
    <w:rsid w:val="008A2F06"/>
    <w:rsid w:val="008A2F39"/>
    <w:rsid w:val="008A3020"/>
    <w:rsid w:val="008A30D8"/>
    <w:rsid w:val="008A3203"/>
    <w:rsid w:val="008A3207"/>
    <w:rsid w:val="008A3217"/>
    <w:rsid w:val="008A326B"/>
    <w:rsid w:val="008A3292"/>
    <w:rsid w:val="008A32EA"/>
    <w:rsid w:val="008A3335"/>
    <w:rsid w:val="008A33A4"/>
    <w:rsid w:val="008A33EB"/>
    <w:rsid w:val="008A3425"/>
    <w:rsid w:val="008A3476"/>
    <w:rsid w:val="008A3511"/>
    <w:rsid w:val="008A3576"/>
    <w:rsid w:val="008A35C2"/>
    <w:rsid w:val="008A35D5"/>
    <w:rsid w:val="008A35F2"/>
    <w:rsid w:val="008A3700"/>
    <w:rsid w:val="008A37C0"/>
    <w:rsid w:val="008A3898"/>
    <w:rsid w:val="008A38C3"/>
    <w:rsid w:val="008A3907"/>
    <w:rsid w:val="008A392A"/>
    <w:rsid w:val="008A3930"/>
    <w:rsid w:val="008A39A1"/>
    <w:rsid w:val="008A3A08"/>
    <w:rsid w:val="008A3A67"/>
    <w:rsid w:val="008A3BA3"/>
    <w:rsid w:val="008A3BA8"/>
    <w:rsid w:val="008A3BC4"/>
    <w:rsid w:val="008A3BFF"/>
    <w:rsid w:val="008A3CB6"/>
    <w:rsid w:val="008A3D6D"/>
    <w:rsid w:val="008A3D7A"/>
    <w:rsid w:val="008A3D92"/>
    <w:rsid w:val="008A3E21"/>
    <w:rsid w:val="008A3E37"/>
    <w:rsid w:val="008A3F2A"/>
    <w:rsid w:val="008A3F73"/>
    <w:rsid w:val="008A4059"/>
    <w:rsid w:val="008A405C"/>
    <w:rsid w:val="008A4063"/>
    <w:rsid w:val="008A40A5"/>
    <w:rsid w:val="008A4123"/>
    <w:rsid w:val="008A41A2"/>
    <w:rsid w:val="008A42A4"/>
    <w:rsid w:val="008A42EA"/>
    <w:rsid w:val="008A43D7"/>
    <w:rsid w:val="008A4470"/>
    <w:rsid w:val="008A449E"/>
    <w:rsid w:val="008A452E"/>
    <w:rsid w:val="008A4655"/>
    <w:rsid w:val="008A4731"/>
    <w:rsid w:val="008A4782"/>
    <w:rsid w:val="008A4846"/>
    <w:rsid w:val="008A486A"/>
    <w:rsid w:val="008A48AA"/>
    <w:rsid w:val="008A48BB"/>
    <w:rsid w:val="008A490B"/>
    <w:rsid w:val="008A4919"/>
    <w:rsid w:val="008A4943"/>
    <w:rsid w:val="008A49AB"/>
    <w:rsid w:val="008A4A48"/>
    <w:rsid w:val="008A4A77"/>
    <w:rsid w:val="008A4AF8"/>
    <w:rsid w:val="008A4B7B"/>
    <w:rsid w:val="008A4C46"/>
    <w:rsid w:val="008A4C5C"/>
    <w:rsid w:val="008A4C8C"/>
    <w:rsid w:val="008A4CA7"/>
    <w:rsid w:val="008A4CAB"/>
    <w:rsid w:val="008A4CCE"/>
    <w:rsid w:val="008A4CE8"/>
    <w:rsid w:val="008A4DA5"/>
    <w:rsid w:val="008A4E10"/>
    <w:rsid w:val="008A4EE8"/>
    <w:rsid w:val="008A4F8E"/>
    <w:rsid w:val="008A504F"/>
    <w:rsid w:val="008A51EB"/>
    <w:rsid w:val="008A522F"/>
    <w:rsid w:val="008A52C9"/>
    <w:rsid w:val="008A52D9"/>
    <w:rsid w:val="008A53B0"/>
    <w:rsid w:val="008A53B8"/>
    <w:rsid w:val="008A5412"/>
    <w:rsid w:val="008A541A"/>
    <w:rsid w:val="008A54C6"/>
    <w:rsid w:val="008A56F4"/>
    <w:rsid w:val="008A57A5"/>
    <w:rsid w:val="008A5819"/>
    <w:rsid w:val="008A5823"/>
    <w:rsid w:val="008A58B3"/>
    <w:rsid w:val="008A58D1"/>
    <w:rsid w:val="008A58EC"/>
    <w:rsid w:val="008A5907"/>
    <w:rsid w:val="008A590A"/>
    <w:rsid w:val="008A59AA"/>
    <w:rsid w:val="008A59B6"/>
    <w:rsid w:val="008A5B6B"/>
    <w:rsid w:val="008A5BFF"/>
    <w:rsid w:val="008A5C6B"/>
    <w:rsid w:val="008A5C74"/>
    <w:rsid w:val="008A5C75"/>
    <w:rsid w:val="008A5CF3"/>
    <w:rsid w:val="008A5DEA"/>
    <w:rsid w:val="008A5EB3"/>
    <w:rsid w:val="008A5ED8"/>
    <w:rsid w:val="008A5F89"/>
    <w:rsid w:val="008A6043"/>
    <w:rsid w:val="008A6067"/>
    <w:rsid w:val="008A60E4"/>
    <w:rsid w:val="008A617C"/>
    <w:rsid w:val="008A61AD"/>
    <w:rsid w:val="008A63A9"/>
    <w:rsid w:val="008A640A"/>
    <w:rsid w:val="008A6468"/>
    <w:rsid w:val="008A64F9"/>
    <w:rsid w:val="008A652E"/>
    <w:rsid w:val="008A65D6"/>
    <w:rsid w:val="008A6609"/>
    <w:rsid w:val="008A6666"/>
    <w:rsid w:val="008A6674"/>
    <w:rsid w:val="008A673E"/>
    <w:rsid w:val="008A68CE"/>
    <w:rsid w:val="008A698D"/>
    <w:rsid w:val="008A6A45"/>
    <w:rsid w:val="008A6A7C"/>
    <w:rsid w:val="008A6C52"/>
    <w:rsid w:val="008A6C56"/>
    <w:rsid w:val="008A6CDF"/>
    <w:rsid w:val="008A6CE7"/>
    <w:rsid w:val="008A6CF3"/>
    <w:rsid w:val="008A6D3B"/>
    <w:rsid w:val="008A6E19"/>
    <w:rsid w:val="008A6FA6"/>
    <w:rsid w:val="008A702F"/>
    <w:rsid w:val="008A7062"/>
    <w:rsid w:val="008A7079"/>
    <w:rsid w:val="008A70A9"/>
    <w:rsid w:val="008A70C0"/>
    <w:rsid w:val="008A70C7"/>
    <w:rsid w:val="008A70F0"/>
    <w:rsid w:val="008A710C"/>
    <w:rsid w:val="008A7167"/>
    <w:rsid w:val="008A71C9"/>
    <w:rsid w:val="008A71DC"/>
    <w:rsid w:val="008A724F"/>
    <w:rsid w:val="008A72C4"/>
    <w:rsid w:val="008A7332"/>
    <w:rsid w:val="008A7421"/>
    <w:rsid w:val="008A748D"/>
    <w:rsid w:val="008A75D0"/>
    <w:rsid w:val="008A75E3"/>
    <w:rsid w:val="008A75EC"/>
    <w:rsid w:val="008A761D"/>
    <w:rsid w:val="008A7674"/>
    <w:rsid w:val="008A769A"/>
    <w:rsid w:val="008A770F"/>
    <w:rsid w:val="008A776B"/>
    <w:rsid w:val="008A77A0"/>
    <w:rsid w:val="008A77B2"/>
    <w:rsid w:val="008A77BE"/>
    <w:rsid w:val="008A77CC"/>
    <w:rsid w:val="008A77D6"/>
    <w:rsid w:val="008A782C"/>
    <w:rsid w:val="008A7989"/>
    <w:rsid w:val="008A79F9"/>
    <w:rsid w:val="008A7A1E"/>
    <w:rsid w:val="008A7A65"/>
    <w:rsid w:val="008A7B1C"/>
    <w:rsid w:val="008A7B69"/>
    <w:rsid w:val="008A7BA2"/>
    <w:rsid w:val="008A7C1B"/>
    <w:rsid w:val="008A7D01"/>
    <w:rsid w:val="008A7D20"/>
    <w:rsid w:val="008A7D21"/>
    <w:rsid w:val="008A7D5E"/>
    <w:rsid w:val="008A7D6E"/>
    <w:rsid w:val="008A7D7E"/>
    <w:rsid w:val="008A7E83"/>
    <w:rsid w:val="008A7EA0"/>
    <w:rsid w:val="008A7EC2"/>
    <w:rsid w:val="008B0159"/>
    <w:rsid w:val="008B0386"/>
    <w:rsid w:val="008B03F8"/>
    <w:rsid w:val="008B0446"/>
    <w:rsid w:val="008B0470"/>
    <w:rsid w:val="008B0569"/>
    <w:rsid w:val="008B0573"/>
    <w:rsid w:val="008B058D"/>
    <w:rsid w:val="008B05D7"/>
    <w:rsid w:val="008B05FB"/>
    <w:rsid w:val="008B0645"/>
    <w:rsid w:val="008B065D"/>
    <w:rsid w:val="008B06B0"/>
    <w:rsid w:val="008B06E8"/>
    <w:rsid w:val="008B071D"/>
    <w:rsid w:val="008B0741"/>
    <w:rsid w:val="008B075B"/>
    <w:rsid w:val="008B0769"/>
    <w:rsid w:val="008B07D9"/>
    <w:rsid w:val="008B0873"/>
    <w:rsid w:val="008B08CF"/>
    <w:rsid w:val="008B08DB"/>
    <w:rsid w:val="008B091E"/>
    <w:rsid w:val="008B0921"/>
    <w:rsid w:val="008B0937"/>
    <w:rsid w:val="008B0951"/>
    <w:rsid w:val="008B09B8"/>
    <w:rsid w:val="008B09EF"/>
    <w:rsid w:val="008B0AB2"/>
    <w:rsid w:val="008B0B99"/>
    <w:rsid w:val="008B0BAF"/>
    <w:rsid w:val="008B0BF0"/>
    <w:rsid w:val="008B0C50"/>
    <w:rsid w:val="008B0C63"/>
    <w:rsid w:val="008B0D65"/>
    <w:rsid w:val="008B0D85"/>
    <w:rsid w:val="008B0E96"/>
    <w:rsid w:val="008B0F00"/>
    <w:rsid w:val="008B0F1F"/>
    <w:rsid w:val="008B0FA4"/>
    <w:rsid w:val="008B1001"/>
    <w:rsid w:val="008B100E"/>
    <w:rsid w:val="008B1139"/>
    <w:rsid w:val="008B118F"/>
    <w:rsid w:val="008B119B"/>
    <w:rsid w:val="008B11E9"/>
    <w:rsid w:val="008B12FB"/>
    <w:rsid w:val="008B15C6"/>
    <w:rsid w:val="008B1635"/>
    <w:rsid w:val="008B1660"/>
    <w:rsid w:val="008B16A8"/>
    <w:rsid w:val="008B1742"/>
    <w:rsid w:val="008B175A"/>
    <w:rsid w:val="008B1772"/>
    <w:rsid w:val="008B18D6"/>
    <w:rsid w:val="008B1956"/>
    <w:rsid w:val="008B19A8"/>
    <w:rsid w:val="008B19E3"/>
    <w:rsid w:val="008B1A08"/>
    <w:rsid w:val="008B1A9F"/>
    <w:rsid w:val="008B1B08"/>
    <w:rsid w:val="008B1B33"/>
    <w:rsid w:val="008B1C06"/>
    <w:rsid w:val="008B1C57"/>
    <w:rsid w:val="008B1D05"/>
    <w:rsid w:val="008B1D07"/>
    <w:rsid w:val="008B1D74"/>
    <w:rsid w:val="008B1DD7"/>
    <w:rsid w:val="008B1DF6"/>
    <w:rsid w:val="008B1E31"/>
    <w:rsid w:val="008B1EEE"/>
    <w:rsid w:val="008B1F31"/>
    <w:rsid w:val="008B1F6A"/>
    <w:rsid w:val="008B1F95"/>
    <w:rsid w:val="008B1FA4"/>
    <w:rsid w:val="008B20BE"/>
    <w:rsid w:val="008B215F"/>
    <w:rsid w:val="008B21ED"/>
    <w:rsid w:val="008B21FB"/>
    <w:rsid w:val="008B224A"/>
    <w:rsid w:val="008B224D"/>
    <w:rsid w:val="008B23D8"/>
    <w:rsid w:val="008B240A"/>
    <w:rsid w:val="008B2519"/>
    <w:rsid w:val="008B2551"/>
    <w:rsid w:val="008B256B"/>
    <w:rsid w:val="008B25C7"/>
    <w:rsid w:val="008B25D4"/>
    <w:rsid w:val="008B25FF"/>
    <w:rsid w:val="008B2617"/>
    <w:rsid w:val="008B265A"/>
    <w:rsid w:val="008B266C"/>
    <w:rsid w:val="008B2721"/>
    <w:rsid w:val="008B276C"/>
    <w:rsid w:val="008B2773"/>
    <w:rsid w:val="008B27E0"/>
    <w:rsid w:val="008B28E6"/>
    <w:rsid w:val="008B28FC"/>
    <w:rsid w:val="008B2932"/>
    <w:rsid w:val="008B2935"/>
    <w:rsid w:val="008B2948"/>
    <w:rsid w:val="008B29B3"/>
    <w:rsid w:val="008B2B00"/>
    <w:rsid w:val="008B2B76"/>
    <w:rsid w:val="008B2C2D"/>
    <w:rsid w:val="008B2C99"/>
    <w:rsid w:val="008B2CF1"/>
    <w:rsid w:val="008B2D0D"/>
    <w:rsid w:val="008B2D35"/>
    <w:rsid w:val="008B2DE8"/>
    <w:rsid w:val="008B2E51"/>
    <w:rsid w:val="008B2E5F"/>
    <w:rsid w:val="008B2F99"/>
    <w:rsid w:val="008B3074"/>
    <w:rsid w:val="008B3085"/>
    <w:rsid w:val="008B30F8"/>
    <w:rsid w:val="008B312D"/>
    <w:rsid w:val="008B317D"/>
    <w:rsid w:val="008B325F"/>
    <w:rsid w:val="008B32C6"/>
    <w:rsid w:val="008B32C9"/>
    <w:rsid w:val="008B32D6"/>
    <w:rsid w:val="008B332D"/>
    <w:rsid w:val="008B336C"/>
    <w:rsid w:val="008B33B0"/>
    <w:rsid w:val="008B344D"/>
    <w:rsid w:val="008B3557"/>
    <w:rsid w:val="008B358B"/>
    <w:rsid w:val="008B35C7"/>
    <w:rsid w:val="008B3687"/>
    <w:rsid w:val="008B36C2"/>
    <w:rsid w:val="008B36FF"/>
    <w:rsid w:val="008B370B"/>
    <w:rsid w:val="008B370C"/>
    <w:rsid w:val="008B3718"/>
    <w:rsid w:val="008B3798"/>
    <w:rsid w:val="008B3799"/>
    <w:rsid w:val="008B37D7"/>
    <w:rsid w:val="008B37F3"/>
    <w:rsid w:val="008B3813"/>
    <w:rsid w:val="008B3844"/>
    <w:rsid w:val="008B3856"/>
    <w:rsid w:val="008B385C"/>
    <w:rsid w:val="008B3887"/>
    <w:rsid w:val="008B38B3"/>
    <w:rsid w:val="008B38D2"/>
    <w:rsid w:val="008B38E5"/>
    <w:rsid w:val="008B3954"/>
    <w:rsid w:val="008B395C"/>
    <w:rsid w:val="008B39C4"/>
    <w:rsid w:val="008B3A11"/>
    <w:rsid w:val="008B3A34"/>
    <w:rsid w:val="008B3A36"/>
    <w:rsid w:val="008B3A62"/>
    <w:rsid w:val="008B3A8A"/>
    <w:rsid w:val="008B3ACD"/>
    <w:rsid w:val="008B3ADB"/>
    <w:rsid w:val="008B3BD1"/>
    <w:rsid w:val="008B3BD6"/>
    <w:rsid w:val="008B3D0E"/>
    <w:rsid w:val="008B3D25"/>
    <w:rsid w:val="008B3D5F"/>
    <w:rsid w:val="008B3E0D"/>
    <w:rsid w:val="008B3E46"/>
    <w:rsid w:val="008B3E90"/>
    <w:rsid w:val="008B3EE4"/>
    <w:rsid w:val="008B3F1E"/>
    <w:rsid w:val="008B3F2A"/>
    <w:rsid w:val="008B3F86"/>
    <w:rsid w:val="008B3FA3"/>
    <w:rsid w:val="008B3FFC"/>
    <w:rsid w:val="008B40E5"/>
    <w:rsid w:val="008B41B8"/>
    <w:rsid w:val="008B421D"/>
    <w:rsid w:val="008B4270"/>
    <w:rsid w:val="008B42C9"/>
    <w:rsid w:val="008B42DF"/>
    <w:rsid w:val="008B432A"/>
    <w:rsid w:val="008B439F"/>
    <w:rsid w:val="008B44CD"/>
    <w:rsid w:val="008B4509"/>
    <w:rsid w:val="008B450E"/>
    <w:rsid w:val="008B4594"/>
    <w:rsid w:val="008B45A5"/>
    <w:rsid w:val="008B46E7"/>
    <w:rsid w:val="008B48B3"/>
    <w:rsid w:val="008B4953"/>
    <w:rsid w:val="008B49CB"/>
    <w:rsid w:val="008B4A2C"/>
    <w:rsid w:val="008B4A35"/>
    <w:rsid w:val="008B4A5C"/>
    <w:rsid w:val="008B4AA1"/>
    <w:rsid w:val="008B4AD9"/>
    <w:rsid w:val="008B4BB5"/>
    <w:rsid w:val="008B4C05"/>
    <w:rsid w:val="008B4C4D"/>
    <w:rsid w:val="008B4E18"/>
    <w:rsid w:val="008B4EFD"/>
    <w:rsid w:val="008B4F14"/>
    <w:rsid w:val="008B4F1B"/>
    <w:rsid w:val="008B4F29"/>
    <w:rsid w:val="008B4F86"/>
    <w:rsid w:val="008B4FAC"/>
    <w:rsid w:val="008B4FBC"/>
    <w:rsid w:val="008B4FFE"/>
    <w:rsid w:val="008B504B"/>
    <w:rsid w:val="008B50A7"/>
    <w:rsid w:val="008B5119"/>
    <w:rsid w:val="008B51B5"/>
    <w:rsid w:val="008B5204"/>
    <w:rsid w:val="008B52DC"/>
    <w:rsid w:val="008B5312"/>
    <w:rsid w:val="008B534A"/>
    <w:rsid w:val="008B54DC"/>
    <w:rsid w:val="008B54F4"/>
    <w:rsid w:val="008B556C"/>
    <w:rsid w:val="008B55C5"/>
    <w:rsid w:val="008B55EA"/>
    <w:rsid w:val="008B5645"/>
    <w:rsid w:val="008B58C9"/>
    <w:rsid w:val="008B5913"/>
    <w:rsid w:val="008B5922"/>
    <w:rsid w:val="008B59CA"/>
    <w:rsid w:val="008B5A2C"/>
    <w:rsid w:val="008B5A83"/>
    <w:rsid w:val="008B5B12"/>
    <w:rsid w:val="008B5B54"/>
    <w:rsid w:val="008B5B62"/>
    <w:rsid w:val="008B5BE2"/>
    <w:rsid w:val="008B5C05"/>
    <w:rsid w:val="008B5C44"/>
    <w:rsid w:val="008B5C65"/>
    <w:rsid w:val="008B5CCE"/>
    <w:rsid w:val="008B5D54"/>
    <w:rsid w:val="008B5E16"/>
    <w:rsid w:val="008B60A4"/>
    <w:rsid w:val="008B6136"/>
    <w:rsid w:val="008B6158"/>
    <w:rsid w:val="008B6189"/>
    <w:rsid w:val="008B6198"/>
    <w:rsid w:val="008B61EF"/>
    <w:rsid w:val="008B6240"/>
    <w:rsid w:val="008B6283"/>
    <w:rsid w:val="008B629E"/>
    <w:rsid w:val="008B62CA"/>
    <w:rsid w:val="008B63A9"/>
    <w:rsid w:val="008B6451"/>
    <w:rsid w:val="008B6503"/>
    <w:rsid w:val="008B657D"/>
    <w:rsid w:val="008B65B9"/>
    <w:rsid w:val="008B65C7"/>
    <w:rsid w:val="008B6635"/>
    <w:rsid w:val="008B6663"/>
    <w:rsid w:val="008B666D"/>
    <w:rsid w:val="008B66B1"/>
    <w:rsid w:val="008B6714"/>
    <w:rsid w:val="008B6723"/>
    <w:rsid w:val="008B683B"/>
    <w:rsid w:val="008B6889"/>
    <w:rsid w:val="008B69FC"/>
    <w:rsid w:val="008B6A12"/>
    <w:rsid w:val="008B6B02"/>
    <w:rsid w:val="008B6B6B"/>
    <w:rsid w:val="008B6BC9"/>
    <w:rsid w:val="008B6C1D"/>
    <w:rsid w:val="008B6C81"/>
    <w:rsid w:val="008B6C93"/>
    <w:rsid w:val="008B6CFF"/>
    <w:rsid w:val="008B6D25"/>
    <w:rsid w:val="008B6D38"/>
    <w:rsid w:val="008B6D75"/>
    <w:rsid w:val="008B6D94"/>
    <w:rsid w:val="008B6DDF"/>
    <w:rsid w:val="008B6E13"/>
    <w:rsid w:val="008B6F0E"/>
    <w:rsid w:val="008B6F3A"/>
    <w:rsid w:val="008B7044"/>
    <w:rsid w:val="008B7050"/>
    <w:rsid w:val="008B7070"/>
    <w:rsid w:val="008B7090"/>
    <w:rsid w:val="008B719F"/>
    <w:rsid w:val="008B71BA"/>
    <w:rsid w:val="008B7380"/>
    <w:rsid w:val="008B739F"/>
    <w:rsid w:val="008B7461"/>
    <w:rsid w:val="008B74C1"/>
    <w:rsid w:val="008B74DB"/>
    <w:rsid w:val="008B7572"/>
    <w:rsid w:val="008B758A"/>
    <w:rsid w:val="008B7805"/>
    <w:rsid w:val="008B7811"/>
    <w:rsid w:val="008B78E6"/>
    <w:rsid w:val="008B7908"/>
    <w:rsid w:val="008B7920"/>
    <w:rsid w:val="008B7948"/>
    <w:rsid w:val="008B7A35"/>
    <w:rsid w:val="008B7A73"/>
    <w:rsid w:val="008B7ACF"/>
    <w:rsid w:val="008B7B30"/>
    <w:rsid w:val="008B7B67"/>
    <w:rsid w:val="008B7B7D"/>
    <w:rsid w:val="008B7B8C"/>
    <w:rsid w:val="008B7BBE"/>
    <w:rsid w:val="008B7BEF"/>
    <w:rsid w:val="008B7CDF"/>
    <w:rsid w:val="008B7CE5"/>
    <w:rsid w:val="008B7D85"/>
    <w:rsid w:val="008B7DE8"/>
    <w:rsid w:val="008B7E7E"/>
    <w:rsid w:val="008B7E94"/>
    <w:rsid w:val="008B7EAE"/>
    <w:rsid w:val="008B7F39"/>
    <w:rsid w:val="008B7F3F"/>
    <w:rsid w:val="008B7F44"/>
    <w:rsid w:val="008B7FE2"/>
    <w:rsid w:val="008C000B"/>
    <w:rsid w:val="008C0069"/>
    <w:rsid w:val="008C025A"/>
    <w:rsid w:val="008C02B2"/>
    <w:rsid w:val="008C02C3"/>
    <w:rsid w:val="008C02C5"/>
    <w:rsid w:val="008C0408"/>
    <w:rsid w:val="008C0409"/>
    <w:rsid w:val="008C0440"/>
    <w:rsid w:val="008C049A"/>
    <w:rsid w:val="008C05DD"/>
    <w:rsid w:val="008C0611"/>
    <w:rsid w:val="008C064D"/>
    <w:rsid w:val="008C07CB"/>
    <w:rsid w:val="008C07D7"/>
    <w:rsid w:val="008C08D5"/>
    <w:rsid w:val="008C08DE"/>
    <w:rsid w:val="008C0959"/>
    <w:rsid w:val="008C0980"/>
    <w:rsid w:val="008C0987"/>
    <w:rsid w:val="008C099F"/>
    <w:rsid w:val="008C09BE"/>
    <w:rsid w:val="008C0A07"/>
    <w:rsid w:val="008C0AA8"/>
    <w:rsid w:val="008C0B1D"/>
    <w:rsid w:val="008C0B3E"/>
    <w:rsid w:val="008C0B93"/>
    <w:rsid w:val="008C0D1D"/>
    <w:rsid w:val="008C0D5A"/>
    <w:rsid w:val="008C0D7F"/>
    <w:rsid w:val="008C0DC5"/>
    <w:rsid w:val="008C0DFA"/>
    <w:rsid w:val="008C0E04"/>
    <w:rsid w:val="008C0E58"/>
    <w:rsid w:val="008C0F20"/>
    <w:rsid w:val="008C0F57"/>
    <w:rsid w:val="008C0F9B"/>
    <w:rsid w:val="008C0FB6"/>
    <w:rsid w:val="008C101B"/>
    <w:rsid w:val="008C1031"/>
    <w:rsid w:val="008C1106"/>
    <w:rsid w:val="008C110A"/>
    <w:rsid w:val="008C1112"/>
    <w:rsid w:val="008C111C"/>
    <w:rsid w:val="008C1198"/>
    <w:rsid w:val="008C1280"/>
    <w:rsid w:val="008C1314"/>
    <w:rsid w:val="008C1321"/>
    <w:rsid w:val="008C133B"/>
    <w:rsid w:val="008C1351"/>
    <w:rsid w:val="008C1387"/>
    <w:rsid w:val="008C13B0"/>
    <w:rsid w:val="008C13E9"/>
    <w:rsid w:val="008C13EE"/>
    <w:rsid w:val="008C13FC"/>
    <w:rsid w:val="008C14A3"/>
    <w:rsid w:val="008C14E0"/>
    <w:rsid w:val="008C14F8"/>
    <w:rsid w:val="008C15AA"/>
    <w:rsid w:val="008C15B5"/>
    <w:rsid w:val="008C1606"/>
    <w:rsid w:val="008C16A1"/>
    <w:rsid w:val="008C17AC"/>
    <w:rsid w:val="008C18DC"/>
    <w:rsid w:val="008C193F"/>
    <w:rsid w:val="008C1983"/>
    <w:rsid w:val="008C199B"/>
    <w:rsid w:val="008C1A06"/>
    <w:rsid w:val="008C1B39"/>
    <w:rsid w:val="008C1B93"/>
    <w:rsid w:val="008C1B98"/>
    <w:rsid w:val="008C1C0E"/>
    <w:rsid w:val="008C1C8E"/>
    <w:rsid w:val="008C1CBD"/>
    <w:rsid w:val="008C1CCA"/>
    <w:rsid w:val="008C1D2E"/>
    <w:rsid w:val="008C1D6B"/>
    <w:rsid w:val="008C1D74"/>
    <w:rsid w:val="008C1F08"/>
    <w:rsid w:val="008C1F81"/>
    <w:rsid w:val="008C1FE2"/>
    <w:rsid w:val="008C2008"/>
    <w:rsid w:val="008C201C"/>
    <w:rsid w:val="008C20A5"/>
    <w:rsid w:val="008C20BD"/>
    <w:rsid w:val="008C20D2"/>
    <w:rsid w:val="008C20F3"/>
    <w:rsid w:val="008C20FE"/>
    <w:rsid w:val="008C2139"/>
    <w:rsid w:val="008C218E"/>
    <w:rsid w:val="008C2197"/>
    <w:rsid w:val="008C21A5"/>
    <w:rsid w:val="008C21CE"/>
    <w:rsid w:val="008C2243"/>
    <w:rsid w:val="008C225D"/>
    <w:rsid w:val="008C2306"/>
    <w:rsid w:val="008C2343"/>
    <w:rsid w:val="008C2379"/>
    <w:rsid w:val="008C2433"/>
    <w:rsid w:val="008C2448"/>
    <w:rsid w:val="008C2459"/>
    <w:rsid w:val="008C249F"/>
    <w:rsid w:val="008C24B7"/>
    <w:rsid w:val="008C24DD"/>
    <w:rsid w:val="008C24E2"/>
    <w:rsid w:val="008C2629"/>
    <w:rsid w:val="008C264A"/>
    <w:rsid w:val="008C26B6"/>
    <w:rsid w:val="008C2754"/>
    <w:rsid w:val="008C27DD"/>
    <w:rsid w:val="008C2826"/>
    <w:rsid w:val="008C2881"/>
    <w:rsid w:val="008C29E2"/>
    <w:rsid w:val="008C2A19"/>
    <w:rsid w:val="008C2A73"/>
    <w:rsid w:val="008C2A81"/>
    <w:rsid w:val="008C2AB0"/>
    <w:rsid w:val="008C2ABB"/>
    <w:rsid w:val="008C2B14"/>
    <w:rsid w:val="008C2B4A"/>
    <w:rsid w:val="008C2B65"/>
    <w:rsid w:val="008C2B77"/>
    <w:rsid w:val="008C2B8D"/>
    <w:rsid w:val="008C2C41"/>
    <w:rsid w:val="008C2C6E"/>
    <w:rsid w:val="008C2CC0"/>
    <w:rsid w:val="008C2CC8"/>
    <w:rsid w:val="008C2D1F"/>
    <w:rsid w:val="008C2D53"/>
    <w:rsid w:val="008C2D77"/>
    <w:rsid w:val="008C2DBE"/>
    <w:rsid w:val="008C2EAD"/>
    <w:rsid w:val="008C2EF7"/>
    <w:rsid w:val="008C2F0B"/>
    <w:rsid w:val="008C2F75"/>
    <w:rsid w:val="008C3057"/>
    <w:rsid w:val="008C3060"/>
    <w:rsid w:val="008C3071"/>
    <w:rsid w:val="008C30A1"/>
    <w:rsid w:val="008C320E"/>
    <w:rsid w:val="008C325A"/>
    <w:rsid w:val="008C327C"/>
    <w:rsid w:val="008C32BA"/>
    <w:rsid w:val="008C32F1"/>
    <w:rsid w:val="008C32F3"/>
    <w:rsid w:val="008C3376"/>
    <w:rsid w:val="008C3412"/>
    <w:rsid w:val="008C345B"/>
    <w:rsid w:val="008C3465"/>
    <w:rsid w:val="008C3478"/>
    <w:rsid w:val="008C34A0"/>
    <w:rsid w:val="008C34A2"/>
    <w:rsid w:val="008C34BD"/>
    <w:rsid w:val="008C3517"/>
    <w:rsid w:val="008C3520"/>
    <w:rsid w:val="008C354A"/>
    <w:rsid w:val="008C357D"/>
    <w:rsid w:val="008C3595"/>
    <w:rsid w:val="008C35A3"/>
    <w:rsid w:val="008C35DD"/>
    <w:rsid w:val="008C3679"/>
    <w:rsid w:val="008C3758"/>
    <w:rsid w:val="008C379E"/>
    <w:rsid w:val="008C381E"/>
    <w:rsid w:val="008C382E"/>
    <w:rsid w:val="008C3831"/>
    <w:rsid w:val="008C3931"/>
    <w:rsid w:val="008C398C"/>
    <w:rsid w:val="008C398E"/>
    <w:rsid w:val="008C39F7"/>
    <w:rsid w:val="008C3C3F"/>
    <w:rsid w:val="008C3CF6"/>
    <w:rsid w:val="008C3D33"/>
    <w:rsid w:val="008C3D3A"/>
    <w:rsid w:val="008C3D45"/>
    <w:rsid w:val="008C3DE4"/>
    <w:rsid w:val="008C3E4A"/>
    <w:rsid w:val="008C3E60"/>
    <w:rsid w:val="008C3E63"/>
    <w:rsid w:val="008C3FC4"/>
    <w:rsid w:val="008C4034"/>
    <w:rsid w:val="008C4065"/>
    <w:rsid w:val="008C40C3"/>
    <w:rsid w:val="008C40DE"/>
    <w:rsid w:val="008C414F"/>
    <w:rsid w:val="008C4239"/>
    <w:rsid w:val="008C431B"/>
    <w:rsid w:val="008C4338"/>
    <w:rsid w:val="008C447B"/>
    <w:rsid w:val="008C4493"/>
    <w:rsid w:val="008C4497"/>
    <w:rsid w:val="008C44EB"/>
    <w:rsid w:val="008C455D"/>
    <w:rsid w:val="008C4595"/>
    <w:rsid w:val="008C45B7"/>
    <w:rsid w:val="008C45CD"/>
    <w:rsid w:val="008C4602"/>
    <w:rsid w:val="008C4649"/>
    <w:rsid w:val="008C46CA"/>
    <w:rsid w:val="008C475A"/>
    <w:rsid w:val="008C481A"/>
    <w:rsid w:val="008C48CC"/>
    <w:rsid w:val="008C4959"/>
    <w:rsid w:val="008C4963"/>
    <w:rsid w:val="008C499B"/>
    <w:rsid w:val="008C4A3D"/>
    <w:rsid w:val="008C4ADC"/>
    <w:rsid w:val="008C4B16"/>
    <w:rsid w:val="008C4B7D"/>
    <w:rsid w:val="008C4BD8"/>
    <w:rsid w:val="008C4C64"/>
    <w:rsid w:val="008C4C66"/>
    <w:rsid w:val="008C4D37"/>
    <w:rsid w:val="008C4D4A"/>
    <w:rsid w:val="008C4DB5"/>
    <w:rsid w:val="008C4DD0"/>
    <w:rsid w:val="008C4E00"/>
    <w:rsid w:val="008C4E35"/>
    <w:rsid w:val="008C4E6D"/>
    <w:rsid w:val="008C4EEF"/>
    <w:rsid w:val="008C4F49"/>
    <w:rsid w:val="008C4F56"/>
    <w:rsid w:val="008C504F"/>
    <w:rsid w:val="008C5088"/>
    <w:rsid w:val="008C50EA"/>
    <w:rsid w:val="008C5112"/>
    <w:rsid w:val="008C514A"/>
    <w:rsid w:val="008C517A"/>
    <w:rsid w:val="008C51BC"/>
    <w:rsid w:val="008C51FF"/>
    <w:rsid w:val="008C522F"/>
    <w:rsid w:val="008C5261"/>
    <w:rsid w:val="008C52A1"/>
    <w:rsid w:val="008C52CF"/>
    <w:rsid w:val="008C5335"/>
    <w:rsid w:val="008C538D"/>
    <w:rsid w:val="008C53C4"/>
    <w:rsid w:val="008C5411"/>
    <w:rsid w:val="008C5526"/>
    <w:rsid w:val="008C5528"/>
    <w:rsid w:val="008C5561"/>
    <w:rsid w:val="008C5618"/>
    <w:rsid w:val="008C5653"/>
    <w:rsid w:val="008C5672"/>
    <w:rsid w:val="008C56C2"/>
    <w:rsid w:val="008C5724"/>
    <w:rsid w:val="008C5779"/>
    <w:rsid w:val="008C5789"/>
    <w:rsid w:val="008C579F"/>
    <w:rsid w:val="008C5861"/>
    <w:rsid w:val="008C58C3"/>
    <w:rsid w:val="008C58DD"/>
    <w:rsid w:val="008C5906"/>
    <w:rsid w:val="008C5958"/>
    <w:rsid w:val="008C59F6"/>
    <w:rsid w:val="008C5A33"/>
    <w:rsid w:val="008C5A9A"/>
    <w:rsid w:val="008C5B15"/>
    <w:rsid w:val="008C5BA3"/>
    <w:rsid w:val="008C5BDC"/>
    <w:rsid w:val="008C5C51"/>
    <w:rsid w:val="008C5C7F"/>
    <w:rsid w:val="008C5C82"/>
    <w:rsid w:val="008C5CC4"/>
    <w:rsid w:val="008C5CE4"/>
    <w:rsid w:val="008C5D08"/>
    <w:rsid w:val="008C5D35"/>
    <w:rsid w:val="008C5D51"/>
    <w:rsid w:val="008C5DAF"/>
    <w:rsid w:val="008C5DC5"/>
    <w:rsid w:val="008C5E34"/>
    <w:rsid w:val="008C5EA7"/>
    <w:rsid w:val="008C6036"/>
    <w:rsid w:val="008C615B"/>
    <w:rsid w:val="008C62D4"/>
    <w:rsid w:val="008C62FF"/>
    <w:rsid w:val="008C632C"/>
    <w:rsid w:val="008C6367"/>
    <w:rsid w:val="008C636D"/>
    <w:rsid w:val="008C6431"/>
    <w:rsid w:val="008C6527"/>
    <w:rsid w:val="008C6583"/>
    <w:rsid w:val="008C658A"/>
    <w:rsid w:val="008C65DE"/>
    <w:rsid w:val="008C665E"/>
    <w:rsid w:val="008C6695"/>
    <w:rsid w:val="008C671C"/>
    <w:rsid w:val="008C67A7"/>
    <w:rsid w:val="008C6934"/>
    <w:rsid w:val="008C6968"/>
    <w:rsid w:val="008C69BB"/>
    <w:rsid w:val="008C69F9"/>
    <w:rsid w:val="008C6A11"/>
    <w:rsid w:val="008C6A79"/>
    <w:rsid w:val="008C6A80"/>
    <w:rsid w:val="008C6B6E"/>
    <w:rsid w:val="008C6BB7"/>
    <w:rsid w:val="008C6C26"/>
    <w:rsid w:val="008C6C57"/>
    <w:rsid w:val="008C6C74"/>
    <w:rsid w:val="008C6CFE"/>
    <w:rsid w:val="008C6D8C"/>
    <w:rsid w:val="008C6D9D"/>
    <w:rsid w:val="008C6E65"/>
    <w:rsid w:val="008C6E77"/>
    <w:rsid w:val="008C6EF4"/>
    <w:rsid w:val="008C6F53"/>
    <w:rsid w:val="008C6FDF"/>
    <w:rsid w:val="008C704D"/>
    <w:rsid w:val="008C7057"/>
    <w:rsid w:val="008C7077"/>
    <w:rsid w:val="008C70C5"/>
    <w:rsid w:val="008C723D"/>
    <w:rsid w:val="008C7268"/>
    <w:rsid w:val="008C72AF"/>
    <w:rsid w:val="008C73E3"/>
    <w:rsid w:val="008C74C3"/>
    <w:rsid w:val="008C75E3"/>
    <w:rsid w:val="008C760B"/>
    <w:rsid w:val="008C76A4"/>
    <w:rsid w:val="008C7715"/>
    <w:rsid w:val="008C7755"/>
    <w:rsid w:val="008C7769"/>
    <w:rsid w:val="008C7776"/>
    <w:rsid w:val="008C778B"/>
    <w:rsid w:val="008C77B9"/>
    <w:rsid w:val="008C77E0"/>
    <w:rsid w:val="008C77E4"/>
    <w:rsid w:val="008C789D"/>
    <w:rsid w:val="008C7934"/>
    <w:rsid w:val="008C794D"/>
    <w:rsid w:val="008C79D5"/>
    <w:rsid w:val="008C79EF"/>
    <w:rsid w:val="008C79F3"/>
    <w:rsid w:val="008C7A91"/>
    <w:rsid w:val="008C7B29"/>
    <w:rsid w:val="008C7B5F"/>
    <w:rsid w:val="008C7BBF"/>
    <w:rsid w:val="008C7BDF"/>
    <w:rsid w:val="008C7C01"/>
    <w:rsid w:val="008C7CA5"/>
    <w:rsid w:val="008C7CE5"/>
    <w:rsid w:val="008C7DBF"/>
    <w:rsid w:val="008C7DD7"/>
    <w:rsid w:val="008C7E4B"/>
    <w:rsid w:val="008C7E99"/>
    <w:rsid w:val="008C7ECE"/>
    <w:rsid w:val="008C7F1D"/>
    <w:rsid w:val="008C7F91"/>
    <w:rsid w:val="008D00DA"/>
    <w:rsid w:val="008D00EB"/>
    <w:rsid w:val="008D0112"/>
    <w:rsid w:val="008D0246"/>
    <w:rsid w:val="008D02A3"/>
    <w:rsid w:val="008D02BB"/>
    <w:rsid w:val="008D0306"/>
    <w:rsid w:val="008D0328"/>
    <w:rsid w:val="008D038C"/>
    <w:rsid w:val="008D03D7"/>
    <w:rsid w:val="008D0430"/>
    <w:rsid w:val="008D053D"/>
    <w:rsid w:val="008D05A3"/>
    <w:rsid w:val="008D0682"/>
    <w:rsid w:val="008D06B7"/>
    <w:rsid w:val="008D06D3"/>
    <w:rsid w:val="008D0714"/>
    <w:rsid w:val="008D076B"/>
    <w:rsid w:val="008D07D0"/>
    <w:rsid w:val="008D07EE"/>
    <w:rsid w:val="008D082C"/>
    <w:rsid w:val="008D08CD"/>
    <w:rsid w:val="008D0906"/>
    <w:rsid w:val="008D0924"/>
    <w:rsid w:val="008D0934"/>
    <w:rsid w:val="008D09BC"/>
    <w:rsid w:val="008D0AAC"/>
    <w:rsid w:val="008D0B05"/>
    <w:rsid w:val="008D0B58"/>
    <w:rsid w:val="008D0BDB"/>
    <w:rsid w:val="008D0CF2"/>
    <w:rsid w:val="008D0D38"/>
    <w:rsid w:val="008D0E19"/>
    <w:rsid w:val="008D0E58"/>
    <w:rsid w:val="008D0E77"/>
    <w:rsid w:val="008D0ED0"/>
    <w:rsid w:val="008D0EFD"/>
    <w:rsid w:val="008D0F29"/>
    <w:rsid w:val="008D0F41"/>
    <w:rsid w:val="008D0F44"/>
    <w:rsid w:val="008D0F57"/>
    <w:rsid w:val="008D0FE7"/>
    <w:rsid w:val="008D1007"/>
    <w:rsid w:val="008D1031"/>
    <w:rsid w:val="008D103A"/>
    <w:rsid w:val="008D1091"/>
    <w:rsid w:val="008D10EA"/>
    <w:rsid w:val="008D11D6"/>
    <w:rsid w:val="008D1208"/>
    <w:rsid w:val="008D1339"/>
    <w:rsid w:val="008D133B"/>
    <w:rsid w:val="008D13BC"/>
    <w:rsid w:val="008D13C7"/>
    <w:rsid w:val="008D1478"/>
    <w:rsid w:val="008D14DD"/>
    <w:rsid w:val="008D15C2"/>
    <w:rsid w:val="008D1639"/>
    <w:rsid w:val="008D168C"/>
    <w:rsid w:val="008D169D"/>
    <w:rsid w:val="008D17C3"/>
    <w:rsid w:val="008D181E"/>
    <w:rsid w:val="008D1A02"/>
    <w:rsid w:val="008D1A44"/>
    <w:rsid w:val="008D1ABF"/>
    <w:rsid w:val="008D1B62"/>
    <w:rsid w:val="008D1B9D"/>
    <w:rsid w:val="008D1C2F"/>
    <w:rsid w:val="008D1C87"/>
    <w:rsid w:val="008D1CEE"/>
    <w:rsid w:val="008D1CF4"/>
    <w:rsid w:val="008D1D00"/>
    <w:rsid w:val="008D1D50"/>
    <w:rsid w:val="008D1DD7"/>
    <w:rsid w:val="008D1DF9"/>
    <w:rsid w:val="008D1E11"/>
    <w:rsid w:val="008D1E32"/>
    <w:rsid w:val="008D1E56"/>
    <w:rsid w:val="008D1E6A"/>
    <w:rsid w:val="008D1F8D"/>
    <w:rsid w:val="008D2012"/>
    <w:rsid w:val="008D20CD"/>
    <w:rsid w:val="008D2120"/>
    <w:rsid w:val="008D2202"/>
    <w:rsid w:val="008D224B"/>
    <w:rsid w:val="008D238B"/>
    <w:rsid w:val="008D239F"/>
    <w:rsid w:val="008D23A2"/>
    <w:rsid w:val="008D240A"/>
    <w:rsid w:val="008D2428"/>
    <w:rsid w:val="008D2483"/>
    <w:rsid w:val="008D2535"/>
    <w:rsid w:val="008D2581"/>
    <w:rsid w:val="008D25EE"/>
    <w:rsid w:val="008D2837"/>
    <w:rsid w:val="008D283F"/>
    <w:rsid w:val="008D28B0"/>
    <w:rsid w:val="008D2929"/>
    <w:rsid w:val="008D29C5"/>
    <w:rsid w:val="008D2A30"/>
    <w:rsid w:val="008D2A78"/>
    <w:rsid w:val="008D2A83"/>
    <w:rsid w:val="008D2BAF"/>
    <w:rsid w:val="008D2C3F"/>
    <w:rsid w:val="008D2C47"/>
    <w:rsid w:val="008D2CC2"/>
    <w:rsid w:val="008D2D2A"/>
    <w:rsid w:val="008D2D2B"/>
    <w:rsid w:val="008D2D72"/>
    <w:rsid w:val="008D2DA6"/>
    <w:rsid w:val="008D2DED"/>
    <w:rsid w:val="008D2E12"/>
    <w:rsid w:val="008D2E5B"/>
    <w:rsid w:val="008D2EBA"/>
    <w:rsid w:val="008D2ED7"/>
    <w:rsid w:val="008D3055"/>
    <w:rsid w:val="008D30DE"/>
    <w:rsid w:val="008D3146"/>
    <w:rsid w:val="008D314F"/>
    <w:rsid w:val="008D316C"/>
    <w:rsid w:val="008D3191"/>
    <w:rsid w:val="008D32DA"/>
    <w:rsid w:val="008D3310"/>
    <w:rsid w:val="008D337F"/>
    <w:rsid w:val="008D33AE"/>
    <w:rsid w:val="008D33CC"/>
    <w:rsid w:val="008D33CF"/>
    <w:rsid w:val="008D341F"/>
    <w:rsid w:val="008D344D"/>
    <w:rsid w:val="008D34BA"/>
    <w:rsid w:val="008D34CA"/>
    <w:rsid w:val="008D34D1"/>
    <w:rsid w:val="008D350D"/>
    <w:rsid w:val="008D350E"/>
    <w:rsid w:val="008D3539"/>
    <w:rsid w:val="008D35C0"/>
    <w:rsid w:val="008D35D2"/>
    <w:rsid w:val="008D35EA"/>
    <w:rsid w:val="008D36EA"/>
    <w:rsid w:val="008D36EF"/>
    <w:rsid w:val="008D3759"/>
    <w:rsid w:val="008D3770"/>
    <w:rsid w:val="008D37AD"/>
    <w:rsid w:val="008D37B4"/>
    <w:rsid w:val="008D37C1"/>
    <w:rsid w:val="008D37E5"/>
    <w:rsid w:val="008D37F3"/>
    <w:rsid w:val="008D3849"/>
    <w:rsid w:val="008D3887"/>
    <w:rsid w:val="008D396E"/>
    <w:rsid w:val="008D3987"/>
    <w:rsid w:val="008D39B1"/>
    <w:rsid w:val="008D39C4"/>
    <w:rsid w:val="008D3A28"/>
    <w:rsid w:val="008D3A6C"/>
    <w:rsid w:val="008D3B44"/>
    <w:rsid w:val="008D3B9E"/>
    <w:rsid w:val="008D3BC0"/>
    <w:rsid w:val="008D3BDE"/>
    <w:rsid w:val="008D3C04"/>
    <w:rsid w:val="008D3CFC"/>
    <w:rsid w:val="008D3D6D"/>
    <w:rsid w:val="008D3D87"/>
    <w:rsid w:val="008D3DC3"/>
    <w:rsid w:val="008D3DEC"/>
    <w:rsid w:val="008D3E34"/>
    <w:rsid w:val="008D3E55"/>
    <w:rsid w:val="008D3EDB"/>
    <w:rsid w:val="008D3F29"/>
    <w:rsid w:val="008D3F3A"/>
    <w:rsid w:val="008D3F3C"/>
    <w:rsid w:val="008D3F6D"/>
    <w:rsid w:val="008D3F94"/>
    <w:rsid w:val="008D3F9B"/>
    <w:rsid w:val="008D401A"/>
    <w:rsid w:val="008D40F4"/>
    <w:rsid w:val="008D4164"/>
    <w:rsid w:val="008D41D3"/>
    <w:rsid w:val="008D4218"/>
    <w:rsid w:val="008D4234"/>
    <w:rsid w:val="008D4273"/>
    <w:rsid w:val="008D42F7"/>
    <w:rsid w:val="008D4304"/>
    <w:rsid w:val="008D43BA"/>
    <w:rsid w:val="008D43CF"/>
    <w:rsid w:val="008D44EA"/>
    <w:rsid w:val="008D44EE"/>
    <w:rsid w:val="008D44FD"/>
    <w:rsid w:val="008D454D"/>
    <w:rsid w:val="008D4551"/>
    <w:rsid w:val="008D46E4"/>
    <w:rsid w:val="008D46F1"/>
    <w:rsid w:val="008D472F"/>
    <w:rsid w:val="008D492F"/>
    <w:rsid w:val="008D4964"/>
    <w:rsid w:val="008D4965"/>
    <w:rsid w:val="008D497D"/>
    <w:rsid w:val="008D4996"/>
    <w:rsid w:val="008D49B5"/>
    <w:rsid w:val="008D4A18"/>
    <w:rsid w:val="008D4A25"/>
    <w:rsid w:val="008D4AF3"/>
    <w:rsid w:val="008D4BEC"/>
    <w:rsid w:val="008D4CE6"/>
    <w:rsid w:val="008D4D20"/>
    <w:rsid w:val="008D4D51"/>
    <w:rsid w:val="008D4D55"/>
    <w:rsid w:val="008D4D5A"/>
    <w:rsid w:val="008D4D89"/>
    <w:rsid w:val="008D4EB3"/>
    <w:rsid w:val="008D4ED8"/>
    <w:rsid w:val="008D4F11"/>
    <w:rsid w:val="008D4F16"/>
    <w:rsid w:val="008D4FA8"/>
    <w:rsid w:val="008D4FAF"/>
    <w:rsid w:val="008D501C"/>
    <w:rsid w:val="008D5058"/>
    <w:rsid w:val="008D5074"/>
    <w:rsid w:val="008D507E"/>
    <w:rsid w:val="008D50DF"/>
    <w:rsid w:val="008D51D2"/>
    <w:rsid w:val="008D51E0"/>
    <w:rsid w:val="008D51FF"/>
    <w:rsid w:val="008D5309"/>
    <w:rsid w:val="008D5330"/>
    <w:rsid w:val="008D5369"/>
    <w:rsid w:val="008D538A"/>
    <w:rsid w:val="008D53E1"/>
    <w:rsid w:val="008D5529"/>
    <w:rsid w:val="008D5531"/>
    <w:rsid w:val="008D5544"/>
    <w:rsid w:val="008D5561"/>
    <w:rsid w:val="008D557B"/>
    <w:rsid w:val="008D5680"/>
    <w:rsid w:val="008D5695"/>
    <w:rsid w:val="008D56DC"/>
    <w:rsid w:val="008D57DF"/>
    <w:rsid w:val="008D5838"/>
    <w:rsid w:val="008D587F"/>
    <w:rsid w:val="008D5924"/>
    <w:rsid w:val="008D592E"/>
    <w:rsid w:val="008D5A60"/>
    <w:rsid w:val="008D5A79"/>
    <w:rsid w:val="008D5A96"/>
    <w:rsid w:val="008D5AA5"/>
    <w:rsid w:val="008D5AD6"/>
    <w:rsid w:val="008D5AE3"/>
    <w:rsid w:val="008D5B47"/>
    <w:rsid w:val="008D5BB9"/>
    <w:rsid w:val="008D5C36"/>
    <w:rsid w:val="008D5D0D"/>
    <w:rsid w:val="008D5D96"/>
    <w:rsid w:val="008D5ED8"/>
    <w:rsid w:val="008D5F4A"/>
    <w:rsid w:val="008D5F55"/>
    <w:rsid w:val="008D5F80"/>
    <w:rsid w:val="008D5F92"/>
    <w:rsid w:val="008D5FCD"/>
    <w:rsid w:val="008D5FD4"/>
    <w:rsid w:val="008D6057"/>
    <w:rsid w:val="008D60AA"/>
    <w:rsid w:val="008D60AC"/>
    <w:rsid w:val="008D60D2"/>
    <w:rsid w:val="008D60F6"/>
    <w:rsid w:val="008D61C9"/>
    <w:rsid w:val="008D62D7"/>
    <w:rsid w:val="008D6382"/>
    <w:rsid w:val="008D647C"/>
    <w:rsid w:val="008D64C1"/>
    <w:rsid w:val="008D64E9"/>
    <w:rsid w:val="008D6561"/>
    <w:rsid w:val="008D6594"/>
    <w:rsid w:val="008D66BB"/>
    <w:rsid w:val="008D66C2"/>
    <w:rsid w:val="008D6797"/>
    <w:rsid w:val="008D6865"/>
    <w:rsid w:val="008D68A9"/>
    <w:rsid w:val="008D68AE"/>
    <w:rsid w:val="008D696C"/>
    <w:rsid w:val="008D69EE"/>
    <w:rsid w:val="008D6A1C"/>
    <w:rsid w:val="008D6A33"/>
    <w:rsid w:val="008D6ABA"/>
    <w:rsid w:val="008D6AC7"/>
    <w:rsid w:val="008D6B1F"/>
    <w:rsid w:val="008D6B34"/>
    <w:rsid w:val="008D6B53"/>
    <w:rsid w:val="008D6B5D"/>
    <w:rsid w:val="008D6C98"/>
    <w:rsid w:val="008D6D3F"/>
    <w:rsid w:val="008D6D9A"/>
    <w:rsid w:val="008D6DBD"/>
    <w:rsid w:val="008D6E01"/>
    <w:rsid w:val="008D6E0A"/>
    <w:rsid w:val="008D6E57"/>
    <w:rsid w:val="008D6EA5"/>
    <w:rsid w:val="008D6EDD"/>
    <w:rsid w:val="008D6EF8"/>
    <w:rsid w:val="008D702D"/>
    <w:rsid w:val="008D71A7"/>
    <w:rsid w:val="008D71AE"/>
    <w:rsid w:val="008D71D4"/>
    <w:rsid w:val="008D71FB"/>
    <w:rsid w:val="008D735F"/>
    <w:rsid w:val="008D746A"/>
    <w:rsid w:val="008D74DF"/>
    <w:rsid w:val="008D751E"/>
    <w:rsid w:val="008D754C"/>
    <w:rsid w:val="008D765B"/>
    <w:rsid w:val="008D7679"/>
    <w:rsid w:val="008D7725"/>
    <w:rsid w:val="008D778C"/>
    <w:rsid w:val="008D77D0"/>
    <w:rsid w:val="008D780D"/>
    <w:rsid w:val="008D78A1"/>
    <w:rsid w:val="008D78EB"/>
    <w:rsid w:val="008D7958"/>
    <w:rsid w:val="008D796D"/>
    <w:rsid w:val="008D7974"/>
    <w:rsid w:val="008D7A07"/>
    <w:rsid w:val="008D7AA8"/>
    <w:rsid w:val="008D7AD5"/>
    <w:rsid w:val="008D7AD9"/>
    <w:rsid w:val="008D7AEF"/>
    <w:rsid w:val="008D7B75"/>
    <w:rsid w:val="008D7CAE"/>
    <w:rsid w:val="008D7D23"/>
    <w:rsid w:val="008D7DB9"/>
    <w:rsid w:val="008D7DFF"/>
    <w:rsid w:val="008D7E97"/>
    <w:rsid w:val="008D7EA9"/>
    <w:rsid w:val="008D7ED6"/>
    <w:rsid w:val="008D7EE2"/>
    <w:rsid w:val="008D7EEF"/>
    <w:rsid w:val="008D7EF5"/>
    <w:rsid w:val="008D7FB8"/>
    <w:rsid w:val="008E013B"/>
    <w:rsid w:val="008E0159"/>
    <w:rsid w:val="008E01C4"/>
    <w:rsid w:val="008E01E3"/>
    <w:rsid w:val="008E0241"/>
    <w:rsid w:val="008E024D"/>
    <w:rsid w:val="008E0312"/>
    <w:rsid w:val="008E0338"/>
    <w:rsid w:val="008E0449"/>
    <w:rsid w:val="008E0461"/>
    <w:rsid w:val="008E0511"/>
    <w:rsid w:val="008E052F"/>
    <w:rsid w:val="008E0535"/>
    <w:rsid w:val="008E0555"/>
    <w:rsid w:val="008E0568"/>
    <w:rsid w:val="008E05AB"/>
    <w:rsid w:val="008E05B0"/>
    <w:rsid w:val="008E05CB"/>
    <w:rsid w:val="008E0665"/>
    <w:rsid w:val="008E067C"/>
    <w:rsid w:val="008E06A0"/>
    <w:rsid w:val="008E077A"/>
    <w:rsid w:val="008E07A7"/>
    <w:rsid w:val="008E07AD"/>
    <w:rsid w:val="008E07C4"/>
    <w:rsid w:val="008E0866"/>
    <w:rsid w:val="008E0927"/>
    <w:rsid w:val="008E094E"/>
    <w:rsid w:val="008E09D5"/>
    <w:rsid w:val="008E09F3"/>
    <w:rsid w:val="008E0A1B"/>
    <w:rsid w:val="008E0A59"/>
    <w:rsid w:val="008E0AD1"/>
    <w:rsid w:val="008E0ADB"/>
    <w:rsid w:val="008E0C3C"/>
    <w:rsid w:val="008E0CC0"/>
    <w:rsid w:val="008E0D79"/>
    <w:rsid w:val="008E0E7D"/>
    <w:rsid w:val="008E0EFE"/>
    <w:rsid w:val="008E0F38"/>
    <w:rsid w:val="008E0F40"/>
    <w:rsid w:val="008E0F56"/>
    <w:rsid w:val="008E0F83"/>
    <w:rsid w:val="008E0FCB"/>
    <w:rsid w:val="008E105D"/>
    <w:rsid w:val="008E1170"/>
    <w:rsid w:val="008E1279"/>
    <w:rsid w:val="008E127C"/>
    <w:rsid w:val="008E1298"/>
    <w:rsid w:val="008E12C6"/>
    <w:rsid w:val="008E1366"/>
    <w:rsid w:val="008E13A8"/>
    <w:rsid w:val="008E1453"/>
    <w:rsid w:val="008E1455"/>
    <w:rsid w:val="008E1491"/>
    <w:rsid w:val="008E1494"/>
    <w:rsid w:val="008E1548"/>
    <w:rsid w:val="008E15AA"/>
    <w:rsid w:val="008E1620"/>
    <w:rsid w:val="008E169F"/>
    <w:rsid w:val="008E1751"/>
    <w:rsid w:val="008E17D4"/>
    <w:rsid w:val="008E17F6"/>
    <w:rsid w:val="008E1889"/>
    <w:rsid w:val="008E188B"/>
    <w:rsid w:val="008E19B5"/>
    <w:rsid w:val="008E1A59"/>
    <w:rsid w:val="008E1AA0"/>
    <w:rsid w:val="008E1B0B"/>
    <w:rsid w:val="008E1BC8"/>
    <w:rsid w:val="008E1BDC"/>
    <w:rsid w:val="008E1C06"/>
    <w:rsid w:val="008E1C76"/>
    <w:rsid w:val="008E1C91"/>
    <w:rsid w:val="008E1E4B"/>
    <w:rsid w:val="008E1E63"/>
    <w:rsid w:val="008E1F32"/>
    <w:rsid w:val="008E201A"/>
    <w:rsid w:val="008E2059"/>
    <w:rsid w:val="008E2135"/>
    <w:rsid w:val="008E21D6"/>
    <w:rsid w:val="008E2297"/>
    <w:rsid w:val="008E22AA"/>
    <w:rsid w:val="008E22B4"/>
    <w:rsid w:val="008E22F2"/>
    <w:rsid w:val="008E2389"/>
    <w:rsid w:val="008E239D"/>
    <w:rsid w:val="008E23B1"/>
    <w:rsid w:val="008E23C0"/>
    <w:rsid w:val="008E23F0"/>
    <w:rsid w:val="008E2629"/>
    <w:rsid w:val="008E2652"/>
    <w:rsid w:val="008E2661"/>
    <w:rsid w:val="008E267E"/>
    <w:rsid w:val="008E2710"/>
    <w:rsid w:val="008E2716"/>
    <w:rsid w:val="008E271E"/>
    <w:rsid w:val="008E2727"/>
    <w:rsid w:val="008E2740"/>
    <w:rsid w:val="008E2778"/>
    <w:rsid w:val="008E278E"/>
    <w:rsid w:val="008E293A"/>
    <w:rsid w:val="008E2A6D"/>
    <w:rsid w:val="008E2B2D"/>
    <w:rsid w:val="008E2B34"/>
    <w:rsid w:val="008E2BFD"/>
    <w:rsid w:val="008E2C0F"/>
    <w:rsid w:val="008E2C4D"/>
    <w:rsid w:val="008E2CB2"/>
    <w:rsid w:val="008E2CCE"/>
    <w:rsid w:val="008E2CED"/>
    <w:rsid w:val="008E2D48"/>
    <w:rsid w:val="008E2ED0"/>
    <w:rsid w:val="008E2EE3"/>
    <w:rsid w:val="008E2F05"/>
    <w:rsid w:val="008E2F88"/>
    <w:rsid w:val="008E2FE3"/>
    <w:rsid w:val="008E30A7"/>
    <w:rsid w:val="008E30B8"/>
    <w:rsid w:val="008E30CC"/>
    <w:rsid w:val="008E30DC"/>
    <w:rsid w:val="008E30EA"/>
    <w:rsid w:val="008E313D"/>
    <w:rsid w:val="008E31DB"/>
    <w:rsid w:val="008E31F0"/>
    <w:rsid w:val="008E321B"/>
    <w:rsid w:val="008E326D"/>
    <w:rsid w:val="008E3330"/>
    <w:rsid w:val="008E333E"/>
    <w:rsid w:val="008E34CD"/>
    <w:rsid w:val="008E35D5"/>
    <w:rsid w:val="008E3620"/>
    <w:rsid w:val="008E3623"/>
    <w:rsid w:val="008E3682"/>
    <w:rsid w:val="008E36A9"/>
    <w:rsid w:val="008E36C9"/>
    <w:rsid w:val="008E37EB"/>
    <w:rsid w:val="008E382C"/>
    <w:rsid w:val="008E382D"/>
    <w:rsid w:val="008E382E"/>
    <w:rsid w:val="008E383A"/>
    <w:rsid w:val="008E3855"/>
    <w:rsid w:val="008E3878"/>
    <w:rsid w:val="008E38A3"/>
    <w:rsid w:val="008E3915"/>
    <w:rsid w:val="008E3949"/>
    <w:rsid w:val="008E398F"/>
    <w:rsid w:val="008E3A99"/>
    <w:rsid w:val="008E3AE9"/>
    <w:rsid w:val="008E3B56"/>
    <w:rsid w:val="008E3BCA"/>
    <w:rsid w:val="008E3C61"/>
    <w:rsid w:val="008E3C9F"/>
    <w:rsid w:val="008E3DDC"/>
    <w:rsid w:val="008E3E58"/>
    <w:rsid w:val="008E3F48"/>
    <w:rsid w:val="008E4018"/>
    <w:rsid w:val="008E40B3"/>
    <w:rsid w:val="008E40E3"/>
    <w:rsid w:val="008E4103"/>
    <w:rsid w:val="008E412A"/>
    <w:rsid w:val="008E425D"/>
    <w:rsid w:val="008E4329"/>
    <w:rsid w:val="008E44B7"/>
    <w:rsid w:val="008E454E"/>
    <w:rsid w:val="008E477B"/>
    <w:rsid w:val="008E47C3"/>
    <w:rsid w:val="008E47C9"/>
    <w:rsid w:val="008E47DB"/>
    <w:rsid w:val="008E487B"/>
    <w:rsid w:val="008E488B"/>
    <w:rsid w:val="008E493E"/>
    <w:rsid w:val="008E497E"/>
    <w:rsid w:val="008E498C"/>
    <w:rsid w:val="008E49DA"/>
    <w:rsid w:val="008E4A14"/>
    <w:rsid w:val="008E4A23"/>
    <w:rsid w:val="008E4A30"/>
    <w:rsid w:val="008E4B59"/>
    <w:rsid w:val="008E4B63"/>
    <w:rsid w:val="008E4B65"/>
    <w:rsid w:val="008E4B99"/>
    <w:rsid w:val="008E4C60"/>
    <w:rsid w:val="008E4E51"/>
    <w:rsid w:val="008E4EAE"/>
    <w:rsid w:val="008E4EC2"/>
    <w:rsid w:val="008E4EFA"/>
    <w:rsid w:val="008E4F77"/>
    <w:rsid w:val="008E4FBF"/>
    <w:rsid w:val="008E5046"/>
    <w:rsid w:val="008E5097"/>
    <w:rsid w:val="008E513B"/>
    <w:rsid w:val="008E51AB"/>
    <w:rsid w:val="008E52E0"/>
    <w:rsid w:val="008E54A0"/>
    <w:rsid w:val="008E54D6"/>
    <w:rsid w:val="008E5523"/>
    <w:rsid w:val="008E553E"/>
    <w:rsid w:val="008E55F4"/>
    <w:rsid w:val="008E5603"/>
    <w:rsid w:val="008E566E"/>
    <w:rsid w:val="008E5676"/>
    <w:rsid w:val="008E569A"/>
    <w:rsid w:val="008E56BA"/>
    <w:rsid w:val="008E56C0"/>
    <w:rsid w:val="008E5722"/>
    <w:rsid w:val="008E57B1"/>
    <w:rsid w:val="008E58F9"/>
    <w:rsid w:val="008E5907"/>
    <w:rsid w:val="008E594A"/>
    <w:rsid w:val="008E5A0D"/>
    <w:rsid w:val="008E5A78"/>
    <w:rsid w:val="008E5AFF"/>
    <w:rsid w:val="008E5B18"/>
    <w:rsid w:val="008E5C4E"/>
    <w:rsid w:val="008E5C65"/>
    <w:rsid w:val="008E5D43"/>
    <w:rsid w:val="008E5D48"/>
    <w:rsid w:val="008E5D92"/>
    <w:rsid w:val="008E5DD1"/>
    <w:rsid w:val="008E5DEA"/>
    <w:rsid w:val="008E5EDD"/>
    <w:rsid w:val="008E5F10"/>
    <w:rsid w:val="008E5FD4"/>
    <w:rsid w:val="008E6032"/>
    <w:rsid w:val="008E61B7"/>
    <w:rsid w:val="008E6201"/>
    <w:rsid w:val="008E6298"/>
    <w:rsid w:val="008E62C2"/>
    <w:rsid w:val="008E633D"/>
    <w:rsid w:val="008E6341"/>
    <w:rsid w:val="008E634C"/>
    <w:rsid w:val="008E6385"/>
    <w:rsid w:val="008E638A"/>
    <w:rsid w:val="008E6435"/>
    <w:rsid w:val="008E6441"/>
    <w:rsid w:val="008E64E0"/>
    <w:rsid w:val="008E654D"/>
    <w:rsid w:val="008E655A"/>
    <w:rsid w:val="008E6570"/>
    <w:rsid w:val="008E664A"/>
    <w:rsid w:val="008E665E"/>
    <w:rsid w:val="008E6685"/>
    <w:rsid w:val="008E6697"/>
    <w:rsid w:val="008E67BE"/>
    <w:rsid w:val="008E68DA"/>
    <w:rsid w:val="008E68E5"/>
    <w:rsid w:val="008E6917"/>
    <w:rsid w:val="008E6926"/>
    <w:rsid w:val="008E6996"/>
    <w:rsid w:val="008E69D2"/>
    <w:rsid w:val="008E69DD"/>
    <w:rsid w:val="008E69E0"/>
    <w:rsid w:val="008E6A52"/>
    <w:rsid w:val="008E6A98"/>
    <w:rsid w:val="008E6AAA"/>
    <w:rsid w:val="008E6B11"/>
    <w:rsid w:val="008E6B5C"/>
    <w:rsid w:val="008E6BC3"/>
    <w:rsid w:val="008E6C3C"/>
    <w:rsid w:val="008E6CAB"/>
    <w:rsid w:val="008E6D43"/>
    <w:rsid w:val="008E6E21"/>
    <w:rsid w:val="008E6E94"/>
    <w:rsid w:val="008E6EA0"/>
    <w:rsid w:val="008E6EDB"/>
    <w:rsid w:val="008E6EEC"/>
    <w:rsid w:val="008E6EF3"/>
    <w:rsid w:val="008E6F8D"/>
    <w:rsid w:val="008E6F8F"/>
    <w:rsid w:val="008E6FD2"/>
    <w:rsid w:val="008E7057"/>
    <w:rsid w:val="008E70B4"/>
    <w:rsid w:val="008E70C4"/>
    <w:rsid w:val="008E710E"/>
    <w:rsid w:val="008E7137"/>
    <w:rsid w:val="008E716D"/>
    <w:rsid w:val="008E71A6"/>
    <w:rsid w:val="008E7287"/>
    <w:rsid w:val="008E72AD"/>
    <w:rsid w:val="008E73D0"/>
    <w:rsid w:val="008E73F1"/>
    <w:rsid w:val="008E7480"/>
    <w:rsid w:val="008E74E0"/>
    <w:rsid w:val="008E7529"/>
    <w:rsid w:val="008E7566"/>
    <w:rsid w:val="008E7576"/>
    <w:rsid w:val="008E75A2"/>
    <w:rsid w:val="008E771D"/>
    <w:rsid w:val="008E7745"/>
    <w:rsid w:val="008E7753"/>
    <w:rsid w:val="008E7757"/>
    <w:rsid w:val="008E7812"/>
    <w:rsid w:val="008E7838"/>
    <w:rsid w:val="008E783B"/>
    <w:rsid w:val="008E7882"/>
    <w:rsid w:val="008E790B"/>
    <w:rsid w:val="008E7950"/>
    <w:rsid w:val="008E79C6"/>
    <w:rsid w:val="008E79FB"/>
    <w:rsid w:val="008E7A3D"/>
    <w:rsid w:val="008E7A4E"/>
    <w:rsid w:val="008E7AA0"/>
    <w:rsid w:val="008E7AD4"/>
    <w:rsid w:val="008E7B8B"/>
    <w:rsid w:val="008E7BDC"/>
    <w:rsid w:val="008E7C5E"/>
    <w:rsid w:val="008E7E34"/>
    <w:rsid w:val="008E7ED7"/>
    <w:rsid w:val="008E7F05"/>
    <w:rsid w:val="008E7F33"/>
    <w:rsid w:val="008E7F89"/>
    <w:rsid w:val="008E7F97"/>
    <w:rsid w:val="008E7FA7"/>
    <w:rsid w:val="008E7FED"/>
    <w:rsid w:val="008F0022"/>
    <w:rsid w:val="008F0067"/>
    <w:rsid w:val="008F008E"/>
    <w:rsid w:val="008F00BF"/>
    <w:rsid w:val="008F01C8"/>
    <w:rsid w:val="008F01CB"/>
    <w:rsid w:val="008F01ED"/>
    <w:rsid w:val="008F0269"/>
    <w:rsid w:val="008F0275"/>
    <w:rsid w:val="008F02E4"/>
    <w:rsid w:val="008F0318"/>
    <w:rsid w:val="008F0466"/>
    <w:rsid w:val="008F04E1"/>
    <w:rsid w:val="008F064D"/>
    <w:rsid w:val="008F06BF"/>
    <w:rsid w:val="008F0751"/>
    <w:rsid w:val="008F0772"/>
    <w:rsid w:val="008F0785"/>
    <w:rsid w:val="008F0817"/>
    <w:rsid w:val="008F0839"/>
    <w:rsid w:val="008F08D0"/>
    <w:rsid w:val="008F092E"/>
    <w:rsid w:val="008F0974"/>
    <w:rsid w:val="008F0A15"/>
    <w:rsid w:val="008F0A98"/>
    <w:rsid w:val="008F0ABE"/>
    <w:rsid w:val="008F0BE3"/>
    <w:rsid w:val="008F0D2B"/>
    <w:rsid w:val="008F0DDF"/>
    <w:rsid w:val="008F0E12"/>
    <w:rsid w:val="008F0E22"/>
    <w:rsid w:val="008F0EDA"/>
    <w:rsid w:val="008F0F13"/>
    <w:rsid w:val="008F0F84"/>
    <w:rsid w:val="008F100C"/>
    <w:rsid w:val="008F10ED"/>
    <w:rsid w:val="008F10FD"/>
    <w:rsid w:val="008F115D"/>
    <w:rsid w:val="008F1165"/>
    <w:rsid w:val="008F118C"/>
    <w:rsid w:val="008F11AF"/>
    <w:rsid w:val="008F12EC"/>
    <w:rsid w:val="008F1325"/>
    <w:rsid w:val="008F135B"/>
    <w:rsid w:val="008F137B"/>
    <w:rsid w:val="008F13B4"/>
    <w:rsid w:val="008F13C4"/>
    <w:rsid w:val="008F14DB"/>
    <w:rsid w:val="008F1536"/>
    <w:rsid w:val="008F1660"/>
    <w:rsid w:val="008F1663"/>
    <w:rsid w:val="008F1778"/>
    <w:rsid w:val="008F17BD"/>
    <w:rsid w:val="008F17C9"/>
    <w:rsid w:val="008F17EA"/>
    <w:rsid w:val="008F17F3"/>
    <w:rsid w:val="008F19C7"/>
    <w:rsid w:val="008F19E4"/>
    <w:rsid w:val="008F1A8B"/>
    <w:rsid w:val="008F1ACA"/>
    <w:rsid w:val="008F1AE1"/>
    <w:rsid w:val="008F1AFA"/>
    <w:rsid w:val="008F1B56"/>
    <w:rsid w:val="008F1B88"/>
    <w:rsid w:val="008F1BDC"/>
    <w:rsid w:val="008F1C8B"/>
    <w:rsid w:val="008F1D29"/>
    <w:rsid w:val="008F1E25"/>
    <w:rsid w:val="008F1EBE"/>
    <w:rsid w:val="008F1F02"/>
    <w:rsid w:val="008F1F23"/>
    <w:rsid w:val="008F1F30"/>
    <w:rsid w:val="008F1F42"/>
    <w:rsid w:val="008F1F43"/>
    <w:rsid w:val="008F1FEA"/>
    <w:rsid w:val="008F202D"/>
    <w:rsid w:val="008F2068"/>
    <w:rsid w:val="008F215B"/>
    <w:rsid w:val="008F21F2"/>
    <w:rsid w:val="008F21FA"/>
    <w:rsid w:val="008F21FD"/>
    <w:rsid w:val="008F2223"/>
    <w:rsid w:val="008F2270"/>
    <w:rsid w:val="008F2271"/>
    <w:rsid w:val="008F22A7"/>
    <w:rsid w:val="008F22C8"/>
    <w:rsid w:val="008F22D2"/>
    <w:rsid w:val="008F230D"/>
    <w:rsid w:val="008F231A"/>
    <w:rsid w:val="008F2329"/>
    <w:rsid w:val="008F235C"/>
    <w:rsid w:val="008F2418"/>
    <w:rsid w:val="008F2437"/>
    <w:rsid w:val="008F2482"/>
    <w:rsid w:val="008F24C1"/>
    <w:rsid w:val="008F24F6"/>
    <w:rsid w:val="008F2606"/>
    <w:rsid w:val="008F2615"/>
    <w:rsid w:val="008F2635"/>
    <w:rsid w:val="008F26BD"/>
    <w:rsid w:val="008F270F"/>
    <w:rsid w:val="008F2752"/>
    <w:rsid w:val="008F27A8"/>
    <w:rsid w:val="008F27B6"/>
    <w:rsid w:val="008F2969"/>
    <w:rsid w:val="008F298A"/>
    <w:rsid w:val="008F298D"/>
    <w:rsid w:val="008F2A5F"/>
    <w:rsid w:val="008F2A9F"/>
    <w:rsid w:val="008F2BA7"/>
    <w:rsid w:val="008F2C1A"/>
    <w:rsid w:val="008F2C31"/>
    <w:rsid w:val="008F2C7F"/>
    <w:rsid w:val="008F2C94"/>
    <w:rsid w:val="008F2C96"/>
    <w:rsid w:val="008F2CA2"/>
    <w:rsid w:val="008F2DA6"/>
    <w:rsid w:val="008F2E58"/>
    <w:rsid w:val="008F2EDE"/>
    <w:rsid w:val="008F2F6D"/>
    <w:rsid w:val="008F2FE6"/>
    <w:rsid w:val="008F3066"/>
    <w:rsid w:val="008F30D3"/>
    <w:rsid w:val="008F31AE"/>
    <w:rsid w:val="008F3209"/>
    <w:rsid w:val="008F3247"/>
    <w:rsid w:val="008F33A4"/>
    <w:rsid w:val="008F33C0"/>
    <w:rsid w:val="008F3443"/>
    <w:rsid w:val="008F349C"/>
    <w:rsid w:val="008F34CE"/>
    <w:rsid w:val="008F351D"/>
    <w:rsid w:val="008F35FA"/>
    <w:rsid w:val="008F3621"/>
    <w:rsid w:val="008F3683"/>
    <w:rsid w:val="008F369B"/>
    <w:rsid w:val="008F36B8"/>
    <w:rsid w:val="008F36C2"/>
    <w:rsid w:val="008F37BD"/>
    <w:rsid w:val="008F37C0"/>
    <w:rsid w:val="008F3850"/>
    <w:rsid w:val="008F38C1"/>
    <w:rsid w:val="008F392E"/>
    <w:rsid w:val="008F3973"/>
    <w:rsid w:val="008F3974"/>
    <w:rsid w:val="008F3A60"/>
    <w:rsid w:val="008F3A6E"/>
    <w:rsid w:val="008F3B20"/>
    <w:rsid w:val="008F3B60"/>
    <w:rsid w:val="008F3CB9"/>
    <w:rsid w:val="008F3CFC"/>
    <w:rsid w:val="008F3D1D"/>
    <w:rsid w:val="008F3E2F"/>
    <w:rsid w:val="008F3E45"/>
    <w:rsid w:val="008F3EB8"/>
    <w:rsid w:val="008F3EF8"/>
    <w:rsid w:val="008F3F0D"/>
    <w:rsid w:val="008F3F41"/>
    <w:rsid w:val="008F3FAC"/>
    <w:rsid w:val="008F3FB4"/>
    <w:rsid w:val="008F3FF5"/>
    <w:rsid w:val="008F4004"/>
    <w:rsid w:val="008F4014"/>
    <w:rsid w:val="008F4038"/>
    <w:rsid w:val="008F4045"/>
    <w:rsid w:val="008F406E"/>
    <w:rsid w:val="008F407B"/>
    <w:rsid w:val="008F4083"/>
    <w:rsid w:val="008F4170"/>
    <w:rsid w:val="008F4175"/>
    <w:rsid w:val="008F41F0"/>
    <w:rsid w:val="008F41F5"/>
    <w:rsid w:val="008F4280"/>
    <w:rsid w:val="008F4387"/>
    <w:rsid w:val="008F43EF"/>
    <w:rsid w:val="008F440B"/>
    <w:rsid w:val="008F4421"/>
    <w:rsid w:val="008F4506"/>
    <w:rsid w:val="008F4579"/>
    <w:rsid w:val="008F4618"/>
    <w:rsid w:val="008F4626"/>
    <w:rsid w:val="008F4685"/>
    <w:rsid w:val="008F46AD"/>
    <w:rsid w:val="008F470A"/>
    <w:rsid w:val="008F471D"/>
    <w:rsid w:val="008F4736"/>
    <w:rsid w:val="008F4829"/>
    <w:rsid w:val="008F484E"/>
    <w:rsid w:val="008F48BE"/>
    <w:rsid w:val="008F4989"/>
    <w:rsid w:val="008F49A8"/>
    <w:rsid w:val="008F4A25"/>
    <w:rsid w:val="008F4ABF"/>
    <w:rsid w:val="008F4AF5"/>
    <w:rsid w:val="008F4B08"/>
    <w:rsid w:val="008F4B4F"/>
    <w:rsid w:val="008F4C34"/>
    <w:rsid w:val="008F4C39"/>
    <w:rsid w:val="008F4C56"/>
    <w:rsid w:val="008F4C72"/>
    <w:rsid w:val="008F4CCC"/>
    <w:rsid w:val="008F4CF6"/>
    <w:rsid w:val="008F4E10"/>
    <w:rsid w:val="008F4F78"/>
    <w:rsid w:val="008F4F86"/>
    <w:rsid w:val="008F4FD1"/>
    <w:rsid w:val="008F5027"/>
    <w:rsid w:val="008F5029"/>
    <w:rsid w:val="008F504E"/>
    <w:rsid w:val="008F5074"/>
    <w:rsid w:val="008F5077"/>
    <w:rsid w:val="008F507D"/>
    <w:rsid w:val="008F5196"/>
    <w:rsid w:val="008F5308"/>
    <w:rsid w:val="008F530A"/>
    <w:rsid w:val="008F548D"/>
    <w:rsid w:val="008F5542"/>
    <w:rsid w:val="008F556F"/>
    <w:rsid w:val="008F55D1"/>
    <w:rsid w:val="008F5622"/>
    <w:rsid w:val="008F567C"/>
    <w:rsid w:val="008F5682"/>
    <w:rsid w:val="008F56DD"/>
    <w:rsid w:val="008F5701"/>
    <w:rsid w:val="008F57D5"/>
    <w:rsid w:val="008F57FE"/>
    <w:rsid w:val="008F583A"/>
    <w:rsid w:val="008F583F"/>
    <w:rsid w:val="008F5841"/>
    <w:rsid w:val="008F588B"/>
    <w:rsid w:val="008F58F7"/>
    <w:rsid w:val="008F58FF"/>
    <w:rsid w:val="008F593B"/>
    <w:rsid w:val="008F5994"/>
    <w:rsid w:val="008F5A17"/>
    <w:rsid w:val="008F5A4E"/>
    <w:rsid w:val="008F5B1A"/>
    <w:rsid w:val="008F5B41"/>
    <w:rsid w:val="008F5B84"/>
    <w:rsid w:val="008F5BD3"/>
    <w:rsid w:val="008F5C00"/>
    <w:rsid w:val="008F5C4D"/>
    <w:rsid w:val="008F5D0D"/>
    <w:rsid w:val="008F5D78"/>
    <w:rsid w:val="008F5DAE"/>
    <w:rsid w:val="008F5DAF"/>
    <w:rsid w:val="008F5DE2"/>
    <w:rsid w:val="008F5E4C"/>
    <w:rsid w:val="008F5ED9"/>
    <w:rsid w:val="008F5EE4"/>
    <w:rsid w:val="008F5F0A"/>
    <w:rsid w:val="008F5F22"/>
    <w:rsid w:val="008F5F37"/>
    <w:rsid w:val="008F5FB7"/>
    <w:rsid w:val="008F5FFB"/>
    <w:rsid w:val="008F6019"/>
    <w:rsid w:val="008F607C"/>
    <w:rsid w:val="008F6130"/>
    <w:rsid w:val="008F6142"/>
    <w:rsid w:val="008F61C4"/>
    <w:rsid w:val="008F6222"/>
    <w:rsid w:val="008F622E"/>
    <w:rsid w:val="008F6245"/>
    <w:rsid w:val="008F62F3"/>
    <w:rsid w:val="008F633F"/>
    <w:rsid w:val="008F63D9"/>
    <w:rsid w:val="008F63DE"/>
    <w:rsid w:val="008F6536"/>
    <w:rsid w:val="008F65D0"/>
    <w:rsid w:val="008F65E8"/>
    <w:rsid w:val="008F660E"/>
    <w:rsid w:val="008F667C"/>
    <w:rsid w:val="008F66C9"/>
    <w:rsid w:val="008F66FF"/>
    <w:rsid w:val="008F6736"/>
    <w:rsid w:val="008F674F"/>
    <w:rsid w:val="008F6773"/>
    <w:rsid w:val="008F6795"/>
    <w:rsid w:val="008F67B2"/>
    <w:rsid w:val="008F681D"/>
    <w:rsid w:val="008F68B4"/>
    <w:rsid w:val="008F68EC"/>
    <w:rsid w:val="008F68F9"/>
    <w:rsid w:val="008F6931"/>
    <w:rsid w:val="008F6989"/>
    <w:rsid w:val="008F69AF"/>
    <w:rsid w:val="008F6A83"/>
    <w:rsid w:val="008F6AAE"/>
    <w:rsid w:val="008F6ACA"/>
    <w:rsid w:val="008F6AF2"/>
    <w:rsid w:val="008F6B2A"/>
    <w:rsid w:val="008F6B75"/>
    <w:rsid w:val="008F6BEC"/>
    <w:rsid w:val="008F6C1B"/>
    <w:rsid w:val="008F6C1D"/>
    <w:rsid w:val="008F6C2D"/>
    <w:rsid w:val="008F6C3F"/>
    <w:rsid w:val="008F6C58"/>
    <w:rsid w:val="008F6C8D"/>
    <w:rsid w:val="008F6D06"/>
    <w:rsid w:val="008F6D31"/>
    <w:rsid w:val="008F6D86"/>
    <w:rsid w:val="008F6E10"/>
    <w:rsid w:val="008F6EC8"/>
    <w:rsid w:val="008F6F0E"/>
    <w:rsid w:val="008F6F5A"/>
    <w:rsid w:val="008F70D0"/>
    <w:rsid w:val="008F70F0"/>
    <w:rsid w:val="008F7171"/>
    <w:rsid w:val="008F719E"/>
    <w:rsid w:val="008F71A6"/>
    <w:rsid w:val="008F71C4"/>
    <w:rsid w:val="008F71EC"/>
    <w:rsid w:val="008F74AE"/>
    <w:rsid w:val="008F7542"/>
    <w:rsid w:val="008F75F8"/>
    <w:rsid w:val="008F7610"/>
    <w:rsid w:val="008F7632"/>
    <w:rsid w:val="008F774B"/>
    <w:rsid w:val="008F7767"/>
    <w:rsid w:val="008F77E2"/>
    <w:rsid w:val="008F77EE"/>
    <w:rsid w:val="008F77F5"/>
    <w:rsid w:val="008F781E"/>
    <w:rsid w:val="008F7843"/>
    <w:rsid w:val="008F7864"/>
    <w:rsid w:val="008F78F6"/>
    <w:rsid w:val="008F7930"/>
    <w:rsid w:val="008F7963"/>
    <w:rsid w:val="008F7980"/>
    <w:rsid w:val="008F7A15"/>
    <w:rsid w:val="008F7ABD"/>
    <w:rsid w:val="008F7B81"/>
    <w:rsid w:val="008F7C87"/>
    <w:rsid w:val="008F7CA8"/>
    <w:rsid w:val="008F7D6D"/>
    <w:rsid w:val="008F7D6E"/>
    <w:rsid w:val="008F7D8A"/>
    <w:rsid w:val="008F7E02"/>
    <w:rsid w:val="008F7ECB"/>
    <w:rsid w:val="008F7EEC"/>
    <w:rsid w:val="008F7F7C"/>
    <w:rsid w:val="0090004B"/>
    <w:rsid w:val="009000BC"/>
    <w:rsid w:val="00900231"/>
    <w:rsid w:val="0090026A"/>
    <w:rsid w:val="009004AC"/>
    <w:rsid w:val="009004EC"/>
    <w:rsid w:val="0090050F"/>
    <w:rsid w:val="009005A3"/>
    <w:rsid w:val="009005BE"/>
    <w:rsid w:val="00900641"/>
    <w:rsid w:val="0090069A"/>
    <w:rsid w:val="009006E4"/>
    <w:rsid w:val="009006F8"/>
    <w:rsid w:val="00900754"/>
    <w:rsid w:val="009007D4"/>
    <w:rsid w:val="009007E7"/>
    <w:rsid w:val="00900809"/>
    <w:rsid w:val="00900847"/>
    <w:rsid w:val="0090088A"/>
    <w:rsid w:val="009008F5"/>
    <w:rsid w:val="009009F7"/>
    <w:rsid w:val="00900A1D"/>
    <w:rsid w:val="00900BD6"/>
    <w:rsid w:val="00900C27"/>
    <w:rsid w:val="00900C68"/>
    <w:rsid w:val="00900D5E"/>
    <w:rsid w:val="00900D6D"/>
    <w:rsid w:val="00900DE9"/>
    <w:rsid w:val="00900E98"/>
    <w:rsid w:val="00900EE5"/>
    <w:rsid w:val="00900EEC"/>
    <w:rsid w:val="00900FD9"/>
    <w:rsid w:val="009010B0"/>
    <w:rsid w:val="009010B6"/>
    <w:rsid w:val="009010E6"/>
    <w:rsid w:val="009011DA"/>
    <w:rsid w:val="009011FB"/>
    <w:rsid w:val="0090128C"/>
    <w:rsid w:val="00901351"/>
    <w:rsid w:val="00901353"/>
    <w:rsid w:val="00901361"/>
    <w:rsid w:val="0090139E"/>
    <w:rsid w:val="0090141F"/>
    <w:rsid w:val="00901488"/>
    <w:rsid w:val="009014B6"/>
    <w:rsid w:val="009014D4"/>
    <w:rsid w:val="00901600"/>
    <w:rsid w:val="0090161D"/>
    <w:rsid w:val="00901635"/>
    <w:rsid w:val="009016CF"/>
    <w:rsid w:val="00901728"/>
    <w:rsid w:val="00901761"/>
    <w:rsid w:val="0090179A"/>
    <w:rsid w:val="009018D0"/>
    <w:rsid w:val="0090192D"/>
    <w:rsid w:val="00901A9A"/>
    <w:rsid w:val="00901C22"/>
    <w:rsid w:val="00901C49"/>
    <w:rsid w:val="00901CF3"/>
    <w:rsid w:val="00901D07"/>
    <w:rsid w:val="00901D7D"/>
    <w:rsid w:val="00901DEB"/>
    <w:rsid w:val="00901F36"/>
    <w:rsid w:val="00901FDA"/>
    <w:rsid w:val="00902048"/>
    <w:rsid w:val="009020B8"/>
    <w:rsid w:val="0090215E"/>
    <w:rsid w:val="0090225A"/>
    <w:rsid w:val="009022F8"/>
    <w:rsid w:val="0090238F"/>
    <w:rsid w:val="009023DB"/>
    <w:rsid w:val="00902440"/>
    <w:rsid w:val="0090244F"/>
    <w:rsid w:val="0090246A"/>
    <w:rsid w:val="00902485"/>
    <w:rsid w:val="00902530"/>
    <w:rsid w:val="00902555"/>
    <w:rsid w:val="00902570"/>
    <w:rsid w:val="009025DF"/>
    <w:rsid w:val="00902613"/>
    <w:rsid w:val="0090265F"/>
    <w:rsid w:val="00902686"/>
    <w:rsid w:val="009026EA"/>
    <w:rsid w:val="0090270B"/>
    <w:rsid w:val="00902781"/>
    <w:rsid w:val="009027D1"/>
    <w:rsid w:val="0090284F"/>
    <w:rsid w:val="009028BE"/>
    <w:rsid w:val="009029FA"/>
    <w:rsid w:val="00902AE6"/>
    <w:rsid w:val="00902B33"/>
    <w:rsid w:val="00902B38"/>
    <w:rsid w:val="00902BA2"/>
    <w:rsid w:val="00902C39"/>
    <w:rsid w:val="00902C3A"/>
    <w:rsid w:val="00902C73"/>
    <w:rsid w:val="00902E39"/>
    <w:rsid w:val="00902E56"/>
    <w:rsid w:val="00902E60"/>
    <w:rsid w:val="00902FA1"/>
    <w:rsid w:val="00902FA9"/>
    <w:rsid w:val="00902FD2"/>
    <w:rsid w:val="00903082"/>
    <w:rsid w:val="00903091"/>
    <w:rsid w:val="0090313B"/>
    <w:rsid w:val="00903146"/>
    <w:rsid w:val="00903155"/>
    <w:rsid w:val="0090316D"/>
    <w:rsid w:val="00903176"/>
    <w:rsid w:val="009031ED"/>
    <w:rsid w:val="0090320F"/>
    <w:rsid w:val="0090323C"/>
    <w:rsid w:val="0090326C"/>
    <w:rsid w:val="009032AB"/>
    <w:rsid w:val="00903372"/>
    <w:rsid w:val="009033A0"/>
    <w:rsid w:val="00903400"/>
    <w:rsid w:val="00903532"/>
    <w:rsid w:val="00903595"/>
    <w:rsid w:val="00903653"/>
    <w:rsid w:val="009036CF"/>
    <w:rsid w:val="0090375F"/>
    <w:rsid w:val="009037A4"/>
    <w:rsid w:val="009037FA"/>
    <w:rsid w:val="0090384D"/>
    <w:rsid w:val="00903857"/>
    <w:rsid w:val="00903885"/>
    <w:rsid w:val="00903898"/>
    <w:rsid w:val="00903925"/>
    <w:rsid w:val="00903984"/>
    <w:rsid w:val="009039A0"/>
    <w:rsid w:val="00903A1B"/>
    <w:rsid w:val="00903A3A"/>
    <w:rsid w:val="00903A81"/>
    <w:rsid w:val="00903B30"/>
    <w:rsid w:val="00903B3F"/>
    <w:rsid w:val="00903B83"/>
    <w:rsid w:val="00903BD5"/>
    <w:rsid w:val="00903C4E"/>
    <w:rsid w:val="00903C74"/>
    <w:rsid w:val="00903CD1"/>
    <w:rsid w:val="00903D2D"/>
    <w:rsid w:val="00903E92"/>
    <w:rsid w:val="00903FEB"/>
    <w:rsid w:val="00904036"/>
    <w:rsid w:val="00904038"/>
    <w:rsid w:val="00904126"/>
    <w:rsid w:val="0090415B"/>
    <w:rsid w:val="0090416A"/>
    <w:rsid w:val="0090417E"/>
    <w:rsid w:val="009041B1"/>
    <w:rsid w:val="00904308"/>
    <w:rsid w:val="00904333"/>
    <w:rsid w:val="009043A3"/>
    <w:rsid w:val="009043E6"/>
    <w:rsid w:val="00904487"/>
    <w:rsid w:val="009044C3"/>
    <w:rsid w:val="009044C4"/>
    <w:rsid w:val="00904517"/>
    <w:rsid w:val="00904587"/>
    <w:rsid w:val="009045EB"/>
    <w:rsid w:val="00904647"/>
    <w:rsid w:val="009046B7"/>
    <w:rsid w:val="00904750"/>
    <w:rsid w:val="009047C2"/>
    <w:rsid w:val="0090488B"/>
    <w:rsid w:val="009048E4"/>
    <w:rsid w:val="0090492E"/>
    <w:rsid w:val="00904B53"/>
    <w:rsid w:val="00904BCE"/>
    <w:rsid w:val="00904C05"/>
    <w:rsid w:val="00904C5A"/>
    <w:rsid w:val="00904C77"/>
    <w:rsid w:val="00904D2E"/>
    <w:rsid w:val="00904D31"/>
    <w:rsid w:val="00904D4B"/>
    <w:rsid w:val="00904D88"/>
    <w:rsid w:val="00904D8E"/>
    <w:rsid w:val="00904DA5"/>
    <w:rsid w:val="00904E4C"/>
    <w:rsid w:val="00904E87"/>
    <w:rsid w:val="00904EA9"/>
    <w:rsid w:val="00905059"/>
    <w:rsid w:val="00905147"/>
    <w:rsid w:val="00905171"/>
    <w:rsid w:val="009051E1"/>
    <w:rsid w:val="00905218"/>
    <w:rsid w:val="009052E2"/>
    <w:rsid w:val="009053B0"/>
    <w:rsid w:val="009053C1"/>
    <w:rsid w:val="0090547F"/>
    <w:rsid w:val="00905491"/>
    <w:rsid w:val="009054A4"/>
    <w:rsid w:val="009054C6"/>
    <w:rsid w:val="009054D4"/>
    <w:rsid w:val="009055EE"/>
    <w:rsid w:val="009056BF"/>
    <w:rsid w:val="009056CB"/>
    <w:rsid w:val="009056EA"/>
    <w:rsid w:val="0090577F"/>
    <w:rsid w:val="00905794"/>
    <w:rsid w:val="0090579A"/>
    <w:rsid w:val="009057C2"/>
    <w:rsid w:val="009058B3"/>
    <w:rsid w:val="009058C2"/>
    <w:rsid w:val="009058CC"/>
    <w:rsid w:val="009058F2"/>
    <w:rsid w:val="009059AC"/>
    <w:rsid w:val="00905A8B"/>
    <w:rsid w:val="00905A8E"/>
    <w:rsid w:val="00905A99"/>
    <w:rsid w:val="00905B1C"/>
    <w:rsid w:val="00905B23"/>
    <w:rsid w:val="00905B5C"/>
    <w:rsid w:val="00905BE1"/>
    <w:rsid w:val="00905C39"/>
    <w:rsid w:val="00905CCE"/>
    <w:rsid w:val="00905DA0"/>
    <w:rsid w:val="00905DF3"/>
    <w:rsid w:val="00905E0A"/>
    <w:rsid w:val="00905E53"/>
    <w:rsid w:val="00905E71"/>
    <w:rsid w:val="00905ED4"/>
    <w:rsid w:val="00905F12"/>
    <w:rsid w:val="00905F55"/>
    <w:rsid w:val="00906007"/>
    <w:rsid w:val="00906085"/>
    <w:rsid w:val="00906086"/>
    <w:rsid w:val="0090611D"/>
    <w:rsid w:val="009061E4"/>
    <w:rsid w:val="009062A7"/>
    <w:rsid w:val="009062F2"/>
    <w:rsid w:val="0090635F"/>
    <w:rsid w:val="00906491"/>
    <w:rsid w:val="009064C2"/>
    <w:rsid w:val="009064CE"/>
    <w:rsid w:val="009064DB"/>
    <w:rsid w:val="009064EC"/>
    <w:rsid w:val="00906534"/>
    <w:rsid w:val="00906538"/>
    <w:rsid w:val="00906590"/>
    <w:rsid w:val="0090662A"/>
    <w:rsid w:val="00906709"/>
    <w:rsid w:val="0090685A"/>
    <w:rsid w:val="0090688B"/>
    <w:rsid w:val="009068DC"/>
    <w:rsid w:val="009068E6"/>
    <w:rsid w:val="00906C07"/>
    <w:rsid w:val="00906C0F"/>
    <w:rsid w:val="00906CCE"/>
    <w:rsid w:val="00906D6A"/>
    <w:rsid w:val="00906D75"/>
    <w:rsid w:val="00906DCD"/>
    <w:rsid w:val="00906E2D"/>
    <w:rsid w:val="00906ECA"/>
    <w:rsid w:val="0090713B"/>
    <w:rsid w:val="0090718F"/>
    <w:rsid w:val="00907211"/>
    <w:rsid w:val="00907214"/>
    <w:rsid w:val="0090727E"/>
    <w:rsid w:val="00907286"/>
    <w:rsid w:val="0090728E"/>
    <w:rsid w:val="00907305"/>
    <w:rsid w:val="009073C1"/>
    <w:rsid w:val="0090742F"/>
    <w:rsid w:val="009074D7"/>
    <w:rsid w:val="0090753A"/>
    <w:rsid w:val="00907617"/>
    <w:rsid w:val="0090766F"/>
    <w:rsid w:val="0090773A"/>
    <w:rsid w:val="009077EB"/>
    <w:rsid w:val="00907935"/>
    <w:rsid w:val="009079D4"/>
    <w:rsid w:val="00907AE8"/>
    <w:rsid w:val="00907B05"/>
    <w:rsid w:val="00907B2C"/>
    <w:rsid w:val="00907B31"/>
    <w:rsid w:val="00907BF6"/>
    <w:rsid w:val="00907C2D"/>
    <w:rsid w:val="00907D6A"/>
    <w:rsid w:val="00907D94"/>
    <w:rsid w:val="00907F11"/>
    <w:rsid w:val="00907FD5"/>
    <w:rsid w:val="00907FE8"/>
    <w:rsid w:val="00910031"/>
    <w:rsid w:val="0091003C"/>
    <w:rsid w:val="00910127"/>
    <w:rsid w:val="0091014C"/>
    <w:rsid w:val="009101C0"/>
    <w:rsid w:val="0091037C"/>
    <w:rsid w:val="009103FD"/>
    <w:rsid w:val="00910445"/>
    <w:rsid w:val="00910452"/>
    <w:rsid w:val="00910469"/>
    <w:rsid w:val="00910478"/>
    <w:rsid w:val="0091049F"/>
    <w:rsid w:val="009104E4"/>
    <w:rsid w:val="009105F2"/>
    <w:rsid w:val="00910698"/>
    <w:rsid w:val="009106AF"/>
    <w:rsid w:val="009106B6"/>
    <w:rsid w:val="0091073F"/>
    <w:rsid w:val="00910823"/>
    <w:rsid w:val="00910832"/>
    <w:rsid w:val="0091085F"/>
    <w:rsid w:val="00910879"/>
    <w:rsid w:val="009108D7"/>
    <w:rsid w:val="009108F0"/>
    <w:rsid w:val="009108F7"/>
    <w:rsid w:val="00910907"/>
    <w:rsid w:val="0091093B"/>
    <w:rsid w:val="009109A9"/>
    <w:rsid w:val="009109DC"/>
    <w:rsid w:val="00910AF8"/>
    <w:rsid w:val="00910B28"/>
    <w:rsid w:val="00910B83"/>
    <w:rsid w:val="00910BA1"/>
    <w:rsid w:val="00910BB1"/>
    <w:rsid w:val="00910BB9"/>
    <w:rsid w:val="00910C11"/>
    <w:rsid w:val="00910C59"/>
    <w:rsid w:val="00910CA5"/>
    <w:rsid w:val="00910CE2"/>
    <w:rsid w:val="00910D5F"/>
    <w:rsid w:val="00910E4A"/>
    <w:rsid w:val="00910FFE"/>
    <w:rsid w:val="00911045"/>
    <w:rsid w:val="00911069"/>
    <w:rsid w:val="009110A2"/>
    <w:rsid w:val="009110DF"/>
    <w:rsid w:val="00911160"/>
    <w:rsid w:val="00911208"/>
    <w:rsid w:val="00911211"/>
    <w:rsid w:val="0091124A"/>
    <w:rsid w:val="00911491"/>
    <w:rsid w:val="00911584"/>
    <w:rsid w:val="0091159E"/>
    <w:rsid w:val="009115C1"/>
    <w:rsid w:val="00911709"/>
    <w:rsid w:val="00911715"/>
    <w:rsid w:val="00911818"/>
    <w:rsid w:val="0091187C"/>
    <w:rsid w:val="00911899"/>
    <w:rsid w:val="009118F5"/>
    <w:rsid w:val="00911967"/>
    <w:rsid w:val="00911980"/>
    <w:rsid w:val="009119A0"/>
    <w:rsid w:val="00911A00"/>
    <w:rsid w:val="00911AD3"/>
    <w:rsid w:val="00911B51"/>
    <w:rsid w:val="00911BC1"/>
    <w:rsid w:val="00911CEE"/>
    <w:rsid w:val="00911D80"/>
    <w:rsid w:val="00911DA2"/>
    <w:rsid w:val="00911DEA"/>
    <w:rsid w:val="00911E69"/>
    <w:rsid w:val="00911E6B"/>
    <w:rsid w:val="00911F03"/>
    <w:rsid w:val="00911F2C"/>
    <w:rsid w:val="00911FA6"/>
    <w:rsid w:val="0091200E"/>
    <w:rsid w:val="0091202D"/>
    <w:rsid w:val="00912039"/>
    <w:rsid w:val="0091204B"/>
    <w:rsid w:val="009120BF"/>
    <w:rsid w:val="009120C6"/>
    <w:rsid w:val="009120DB"/>
    <w:rsid w:val="009120E5"/>
    <w:rsid w:val="0091212A"/>
    <w:rsid w:val="00912255"/>
    <w:rsid w:val="009122FE"/>
    <w:rsid w:val="0091239C"/>
    <w:rsid w:val="009123B8"/>
    <w:rsid w:val="009123C1"/>
    <w:rsid w:val="009123DA"/>
    <w:rsid w:val="009123ED"/>
    <w:rsid w:val="00912510"/>
    <w:rsid w:val="00912536"/>
    <w:rsid w:val="00912599"/>
    <w:rsid w:val="009125BB"/>
    <w:rsid w:val="009125C8"/>
    <w:rsid w:val="0091260C"/>
    <w:rsid w:val="00912624"/>
    <w:rsid w:val="009126B9"/>
    <w:rsid w:val="009126C2"/>
    <w:rsid w:val="009126E6"/>
    <w:rsid w:val="0091274C"/>
    <w:rsid w:val="009127AF"/>
    <w:rsid w:val="009127E2"/>
    <w:rsid w:val="0091289E"/>
    <w:rsid w:val="00912923"/>
    <w:rsid w:val="0091297D"/>
    <w:rsid w:val="00912A14"/>
    <w:rsid w:val="00912A8E"/>
    <w:rsid w:val="00912A9D"/>
    <w:rsid w:val="00912AD7"/>
    <w:rsid w:val="00912ADD"/>
    <w:rsid w:val="00912BA2"/>
    <w:rsid w:val="00912C74"/>
    <w:rsid w:val="00912CA4"/>
    <w:rsid w:val="00912E2B"/>
    <w:rsid w:val="00912E31"/>
    <w:rsid w:val="00912E62"/>
    <w:rsid w:val="00912FA4"/>
    <w:rsid w:val="009130C4"/>
    <w:rsid w:val="0091311F"/>
    <w:rsid w:val="0091320C"/>
    <w:rsid w:val="00913275"/>
    <w:rsid w:val="009132B9"/>
    <w:rsid w:val="00913323"/>
    <w:rsid w:val="00913328"/>
    <w:rsid w:val="0091337F"/>
    <w:rsid w:val="009133AE"/>
    <w:rsid w:val="009133D4"/>
    <w:rsid w:val="0091343D"/>
    <w:rsid w:val="009134BA"/>
    <w:rsid w:val="009134C0"/>
    <w:rsid w:val="00913512"/>
    <w:rsid w:val="0091354F"/>
    <w:rsid w:val="00913641"/>
    <w:rsid w:val="00913697"/>
    <w:rsid w:val="009136E8"/>
    <w:rsid w:val="00913761"/>
    <w:rsid w:val="009137B3"/>
    <w:rsid w:val="00913831"/>
    <w:rsid w:val="009138B8"/>
    <w:rsid w:val="009138BB"/>
    <w:rsid w:val="0091390E"/>
    <w:rsid w:val="00913914"/>
    <w:rsid w:val="009139EF"/>
    <w:rsid w:val="00913A9C"/>
    <w:rsid w:val="00913AEA"/>
    <w:rsid w:val="00913AF6"/>
    <w:rsid w:val="00913B44"/>
    <w:rsid w:val="00913B65"/>
    <w:rsid w:val="00913B94"/>
    <w:rsid w:val="00913C3D"/>
    <w:rsid w:val="00913C40"/>
    <w:rsid w:val="00913C61"/>
    <w:rsid w:val="00913C86"/>
    <w:rsid w:val="00913CD9"/>
    <w:rsid w:val="00913D56"/>
    <w:rsid w:val="00913E0C"/>
    <w:rsid w:val="00913E40"/>
    <w:rsid w:val="00913E98"/>
    <w:rsid w:val="00913F03"/>
    <w:rsid w:val="00913F5E"/>
    <w:rsid w:val="00913F9E"/>
    <w:rsid w:val="00913FB3"/>
    <w:rsid w:val="00913FC4"/>
    <w:rsid w:val="00913FE9"/>
    <w:rsid w:val="00913FF9"/>
    <w:rsid w:val="0091407A"/>
    <w:rsid w:val="00914085"/>
    <w:rsid w:val="009140CE"/>
    <w:rsid w:val="00914139"/>
    <w:rsid w:val="00914170"/>
    <w:rsid w:val="0091417A"/>
    <w:rsid w:val="009141C1"/>
    <w:rsid w:val="009141FC"/>
    <w:rsid w:val="0091434C"/>
    <w:rsid w:val="009143A6"/>
    <w:rsid w:val="009143B0"/>
    <w:rsid w:val="0091440D"/>
    <w:rsid w:val="00914425"/>
    <w:rsid w:val="009144BE"/>
    <w:rsid w:val="0091452B"/>
    <w:rsid w:val="00914540"/>
    <w:rsid w:val="00914589"/>
    <w:rsid w:val="009145F4"/>
    <w:rsid w:val="0091463F"/>
    <w:rsid w:val="00914659"/>
    <w:rsid w:val="009146D9"/>
    <w:rsid w:val="0091472B"/>
    <w:rsid w:val="00914767"/>
    <w:rsid w:val="009147CD"/>
    <w:rsid w:val="009147DB"/>
    <w:rsid w:val="009147FC"/>
    <w:rsid w:val="0091480A"/>
    <w:rsid w:val="00914894"/>
    <w:rsid w:val="00914986"/>
    <w:rsid w:val="009149F3"/>
    <w:rsid w:val="00914A7B"/>
    <w:rsid w:val="00914ADB"/>
    <w:rsid w:val="00914B06"/>
    <w:rsid w:val="00914B38"/>
    <w:rsid w:val="00914B5B"/>
    <w:rsid w:val="00914B87"/>
    <w:rsid w:val="00914BE5"/>
    <w:rsid w:val="00914D34"/>
    <w:rsid w:val="00914D36"/>
    <w:rsid w:val="00914DB6"/>
    <w:rsid w:val="00914DB9"/>
    <w:rsid w:val="00914DCF"/>
    <w:rsid w:val="00914E37"/>
    <w:rsid w:val="00914FCA"/>
    <w:rsid w:val="0091500B"/>
    <w:rsid w:val="00915079"/>
    <w:rsid w:val="0091511A"/>
    <w:rsid w:val="00915182"/>
    <w:rsid w:val="009151D0"/>
    <w:rsid w:val="0091522E"/>
    <w:rsid w:val="009152E1"/>
    <w:rsid w:val="009153D0"/>
    <w:rsid w:val="00915449"/>
    <w:rsid w:val="0091555F"/>
    <w:rsid w:val="009155E4"/>
    <w:rsid w:val="009155EE"/>
    <w:rsid w:val="00915697"/>
    <w:rsid w:val="009156C3"/>
    <w:rsid w:val="00915732"/>
    <w:rsid w:val="00915863"/>
    <w:rsid w:val="009158BC"/>
    <w:rsid w:val="009158C2"/>
    <w:rsid w:val="00915967"/>
    <w:rsid w:val="00915998"/>
    <w:rsid w:val="009159BE"/>
    <w:rsid w:val="00915A2A"/>
    <w:rsid w:val="00915A9B"/>
    <w:rsid w:val="00915AD3"/>
    <w:rsid w:val="00915B7B"/>
    <w:rsid w:val="00915C03"/>
    <w:rsid w:val="00915C04"/>
    <w:rsid w:val="00915C37"/>
    <w:rsid w:val="00915C59"/>
    <w:rsid w:val="00915C70"/>
    <w:rsid w:val="00915CCE"/>
    <w:rsid w:val="00915CE1"/>
    <w:rsid w:val="00915D35"/>
    <w:rsid w:val="00915D82"/>
    <w:rsid w:val="00915DBC"/>
    <w:rsid w:val="00915DF8"/>
    <w:rsid w:val="00915E50"/>
    <w:rsid w:val="00915E98"/>
    <w:rsid w:val="009160EC"/>
    <w:rsid w:val="009160F1"/>
    <w:rsid w:val="00916149"/>
    <w:rsid w:val="00916154"/>
    <w:rsid w:val="0091615F"/>
    <w:rsid w:val="009161EE"/>
    <w:rsid w:val="0091628A"/>
    <w:rsid w:val="00916293"/>
    <w:rsid w:val="00916296"/>
    <w:rsid w:val="009162F7"/>
    <w:rsid w:val="009162FB"/>
    <w:rsid w:val="00916366"/>
    <w:rsid w:val="009163DF"/>
    <w:rsid w:val="00916409"/>
    <w:rsid w:val="00916453"/>
    <w:rsid w:val="00916498"/>
    <w:rsid w:val="0091650F"/>
    <w:rsid w:val="009165F6"/>
    <w:rsid w:val="00916636"/>
    <w:rsid w:val="0091666D"/>
    <w:rsid w:val="009167EF"/>
    <w:rsid w:val="00916816"/>
    <w:rsid w:val="00916837"/>
    <w:rsid w:val="009169BA"/>
    <w:rsid w:val="00916A4A"/>
    <w:rsid w:val="00916A86"/>
    <w:rsid w:val="00916AE7"/>
    <w:rsid w:val="00916AF2"/>
    <w:rsid w:val="00916BCA"/>
    <w:rsid w:val="00916C08"/>
    <w:rsid w:val="00916C3A"/>
    <w:rsid w:val="00916C4E"/>
    <w:rsid w:val="00916C53"/>
    <w:rsid w:val="00916CA7"/>
    <w:rsid w:val="00916CC9"/>
    <w:rsid w:val="00916CDC"/>
    <w:rsid w:val="00916CFD"/>
    <w:rsid w:val="00916DCC"/>
    <w:rsid w:val="00916DF6"/>
    <w:rsid w:val="00916DFD"/>
    <w:rsid w:val="00916E1C"/>
    <w:rsid w:val="00916EE5"/>
    <w:rsid w:val="00916EE8"/>
    <w:rsid w:val="00916F1E"/>
    <w:rsid w:val="00916F38"/>
    <w:rsid w:val="00916F3C"/>
    <w:rsid w:val="00916FA1"/>
    <w:rsid w:val="00916FF7"/>
    <w:rsid w:val="00917011"/>
    <w:rsid w:val="00917077"/>
    <w:rsid w:val="00917185"/>
    <w:rsid w:val="0091720C"/>
    <w:rsid w:val="00917293"/>
    <w:rsid w:val="0091735E"/>
    <w:rsid w:val="009173E1"/>
    <w:rsid w:val="009174E1"/>
    <w:rsid w:val="00917533"/>
    <w:rsid w:val="00917680"/>
    <w:rsid w:val="00917693"/>
    <w:rsid w:val="009176FA"/>
    <w:rsid w:val="0091770F"/>
    <w:rsid w:val="00917763"/>
    <w:rsid w:val="00917776"/>
    <w:rsid w:val="0091777F"/>
    <w:rsid w:val="009177AA"/>
    <w:rsid w:val="009178E1"/>
    <w:rsid w:val="00917936"/>
    <w:rsid w:val="00917949"/>
    <w:rsid w:val="00917A32"/>
    <w:rsid w:val="00917B02"/>
    <w:rsid w:val="00917B7B"/>
    <w:rsid w:val="00917BA7"/>
    <w:rsid w:val="00917C83"/>
    <w:rsid w:val="00917CAE"/>
    <w:rsid w:val="00917DC5"/>
    <w:rsid w:val="00917E17"/>
    <w:rsid w:val="00917ED2"/>
    <w:rsid w:val="00917F50"/>
    <w:rsid w:val="0092000A"/>
    <w:rsid w:val="0092001B"/>
    <w:rsid w:val="00920100"/>
    <w:rsid w:val="00920101"/>
    <w:rsid w:val="00920112"/>
    <w:rsid w:val="00920220"/>
    <w:rsid w:val="0092022E"/>
    <w:rsid w:val="0092025B"/>
    <w:rsid w:val="009202C4"/>
    <w:rsid w:val="009203DF"/>
    <w:rsid w:val="009204AA"/>
    <w:rsid w:val="009204C3"/>
    <w:rsid w:val="009204D6"/>
    <w:rsid w:val="00920574"/>
    <w:rsid w:val="009205BE"/>
    <w:rsid w:val="009205C4"/>
    <w:rsid w:val="009205FB"/>
    <w:rsid w:val="00920679"/>
    <w:rsid w:val="009206A2"/>
    <w:rsid w:val="00920722"/>
    <w:rsid w:val="00920728"/>
    <w:rsid w:val="0092073B"/>
    <w:rsid w:val="00920742"/>
    <w:rsid w:val="00920790"/>
    <w:rsid w:val="0092079E"/>
    <w:rsid w:val="00920816"/>
    <w:rsid w:val="00920862"/>
    <w:rsid w:val="0092086C"/>
    <w:rsid w:val="0092094E"/>
    <w:rsid w:val="009209DD"/>
    <w:rsid w:val="00920AAC"/>
    <w:rsid w:val="00920AC9"/>
    <w:rsid w:val="00920AD6"/>
    <w:rsid w:val="00920B1D"/>
    <w:rsid w:val="00920B87"/>
    <w:rsid w:val="00920C4D"/>
    <w:rsid w:val="00920D4A"/>
    <w:rsid w:val="00920DA4"/>
    <w:rsid w:val="00920DD0"/>
    <w:rsid w:val="00920E46"/>
    <w:rsid w:val="00920E6A"/>
    <w:rsid w:val="00920EA0"/>
    <w:rsid w:val="00920F1D"/>
    <w:rsid w:val="00920F5E"/>
    <w:rsid w:val="00920F99"/>
    <w:rsid w:val="00920FC9"/>
    <w:rsid w:val="00920FDA"/>
    <w:rsid w:val="00921006"/>
    <w:rsid w:val="0092103D"/>
    <w:rsid w:val="00921057"/>
    <w:rsid w:val="00921152"/>
    <w:rsid w:val="009211AB"/>
    <w:rsid w:val="00921249"/>
    <w:rsid w:val="009212CA"/>
    <w:rsid w:val="00921389"/>
    <w:rsid w:val="009213AA"/>
    <w:rsid w:val="009213DF"/>
    <w:rsid w:val="009214E7"/>
    <w:rsid w:val="00921526"/>
    <w:rsid w:val="0092160F"/>
    <w:rsid w:val="00921675"/>
    <w:rsid w:val="00921697"/>
    <w:rsid w:val="009216FE"/>
    <w:rsid w:val="00921713"/>
    <w:rsid w:val="00921721"/>
    <w:rsid w:val="00921751"/>
    <w:rsid w:val="009217B3"/>
    <w:rsid w:val="009217B7"/>
    <w:rsid w:val="009217C5"/>
    <w:rsid w:val="0092182E"/>
    <w:rsid w:val="00921858"/>
    <w:rsid w:val="0092186C"/>
    <w:rsid w:val="00921879"/>
    <w:rsid w:val="00921957"/>
    <w:rsid w:val="00921972"/>
    <w:rsid w:val="00921993"/>
    <w:rsid w:val="00921B3C"/>
    <w:rsid w:val="00921CDF"/>
    <w:rsid w:val="00921DCF"/>
    <w:rsid w:val="00921DDD"/>
    <w:rsid w:val="00921E28"/>
    <w:rsid w:val="00921E90"/>
    <w:rsid w:val="00921EE2"/>
    <w:rsid w:val="00921F0D"/>
    <w:rsid w:val="00921FD7"/>
    <w:rsid w:val="00922074"/>
    <w:rsid w:val="0092207D"/>
    <w:rsid w:val="009220B7"/>
    <w:rsid w:val="00922175"/>
    <w:rsid w:val="009221B4"/>
    <w:rsid w:val="009221ED"/>
    <w:rsid w:val="009222C9"/>
    <w:rsid w:val="009222D8"/>
    <w:rsid w:val="00922360"/>
    <w:rsid w:val="009223A6"/>
    <w:rsid w:val="009223C5"/>
    <w:rsid w:val="0092243F"/>
    <w:rsid w:val="0092255F"/>
    <w:rsid w:val="00922562"/>
    <w:rsid w:val="00922591"/>
    <w:rsid w:val="009225EC"/>
    <w:rsid w:val="0092263A"/>
    <w:rsid w:val="009226A2"/>
    <w:rsid w:val="009226B0"/>
    <w:rsid w:val="009226D0"/>
    <w:rsid w:val="00922707"/>
    <w:rsid w:val="00922779"/>
    <w:rsid w:val="009227CA"/>
    <w:rsid w:val="009227F9"/>
    <w:rsid w:val="0092284B"/>
    <w:rsid w:val="009228B6"/>
    <w:rsid w:val="009228B8"/>
    <w:rsid w:val="0092294F"/>
    <w:rsid w:val="00922A6E"/>
    <w:rsid w:val="00922A9A"/>
    <w:rsid w:val="00922AAC"/>
    <w:rsid w:val="00922B4E"/>
    <w:rsid w:val="00922BF9"/>
    <w:rsid w:val="00922C87"/>
    <w:rsid w:val="00922CD2"/>
    <w:rsid w:val="00922CD9"/>
    <w:rsid w:val="00922D68"/>
    <w:rsid w:val="00922DA9"/>
    <w:rsid w:val="00922DE5"/>
    <w:rsid w:val="00922E49"/>
    <w:rsid w:val="00922EB4"/>
    <w:rsid w:val="00922ECB"/>
    <w:rsid w:val="00922ED6"/>
    <w:rsid w:val="00922F86"/>
    <w:rsid w:val="00923018"/>
    <w:rsid w:val="0092307C"/>
    <w:rsid w:val="00923179"/>
    <w:rsid w:val="009231F6"/>
    <w:rsid w:val="00923227"/>
    <w:rsid w:val="00923288"/>
    <w:rsid w:val="00923363"/>
    <w:rsid w:val="009234DE"/>
    <w:rsid w:val="0092354A"/>
    <w:rsid w:val="00923554"/>
    <w:rsid w:val="00923667"/>
    <w:rsid w:val="0092367F"/>
    <w:rsid w:val="00923740"/>
    <w:rsid w:val="00923749"/>
    <w:rsid w:val="00923795"/>
    <w:rsid w:val="009237EC"/>
    <w:rsid w:val="00923878"/>
    <w:rsid w:val="009238B0"/>
    <w:rsid w:val="009238EB"/>
    <w:rsid w:val="009238FC"/>
    <w:rsid w:val="0092395A"/>
    <w:rsid w:val="00923962"/>
    <w:rsid w:val="00923996"/>
    <w:rsid w:val="009239C7"/>
    <w:rsid w:val="009239FC"/>
    <w:rsid w:val="00923A32"/>
    <w:rsid w:val="00923A5F"/>
    <w:rsid w:val="00923A7C"/>
    <w:rsid w:val="00923B2D"/>
    <w:rsid w:val="00923C85"/>
    <w:rsid w:val="00923C98"/>
    <w:rsid w:val="00923CB4"/>
    <w:rsid w:val="00923E01"/>
    <w:rsid w:val="00923E76"/>
    <w:rsid w:val="00923E84"/>
    <w:rsid w:val="00923EC4"/>
    <w:rsid w:val="00923F8B"/>
    <w:rsid w:val="00923FB9"/>
    <w:rsid w:val="00924033"/>
    <w:rsid w:val="00924055"/>
    <w:rsid w:val="00924092"/>
    <w:rsid w:val="009240E9"/>
    <w:rsid w:val="00924153"/>
    <w:rsid w:val="009241C0"/>
    <w:rsid w:val="00924297"/>
    <w:rsid w:val="009242AB"/>
    <w:rsid w:val="009242B2"/>
    <w:rsid w:val="009242FD"/>
    <w:rsid w:val="0092443D"/>
    <w:rsid w:val="00924453"/>
    <w:rsid w:val="00924458"/>
    <w:rsid w:val="009244D4"/>
    <w:rsid w:val="009244EB"/>
    <w:rsid w:val="009244F7"/>
    <w:rsid w:val="0092455D"/>
    <w:rsid w:val="00924589"/>
    <w:rsid w:val="009245FF"/>
    <w:rsid w:val="00924660"/>
    <w:rsid w:val="009246B2"/>
    <w:rsid w:val="00924786"/>
    <w:rsid w:val="009247E3"/>
    <w:rsid w:val="00924813"/>
    <w:rsid w:val="00924830"/>
    <w:rsid w:val="009248BC"/>
    <w:rsid w:val="009248EE"/>
    <w:rsid w:val="0092490F"/>
    <w:rsid w:val="00924916"/>
    <w:rsid w:val="00924937"/>
    <w:rsid w:val="00924A00"/>
    <w:rsid w:val="00924A0C"/>
    <w:rsid w:val="00924AB9"/>
    <w:rsid w:val="00924B7D"/>
    <w:rsid w:val="00924C53"/>
    <w:rsid w:val="00924D20"/>
    <w:rsid w:val="00924D4E"/>
    <w:rsid w:val="00924D5B"/>
    <w:rsid w:val="00924D62"/>
    <w:rsid w:val="00924DBF"/>
    <w:rsid w:val="00924DD7"/>
    <w:rsid w:val="00924E2A"/>
    <w:rsid w:val="00924E35"/>
    <w:rsid w:val="00924E3E"/>
    <w:rsid w:val="00924E49"/>
    <w:rsid w:val="00924E6A"/>
    <w:rsid w:val="00924E9A"/>
    <w:rsid w:val="00924ECE"/>
    <w:rsid w:val="00924EEC"/>
    <w:rsid w:val="00924F8C"/>
    <w:rsid w:val="00924F92"/>
    <w:rsid w:val="00924FB6"/>
    <w:rsid w:val="0092514C"/>
    <w:rsid w:val="0092516B"/>
    <w:rsid w:val="009251DC"/>
    <w:rsid w:val="009251FC"/>
    <w:rsid w:val="00925206"/>
    <w:rsid w:val="00925311"/>
    <w:rsid w:val="009253F8"/>
    <w:rsid w:val="0092541D"/>
    <w:rsid w:val="009254B4"/>
    <w:rsid w:val="00925532"/>
    <w:rsid w:val="00925591"/>
    <w:rsid w:val="00925592"/>
    <w:rsid w:val="009256B5"/>
    <w:rsid w:val="009256F0"/>
    <w:rsid w:val="00925746"/>
    <w:rsid w:val="0092580D"/>
    <w:rsid w:val="00925829"/>
    <w:rsid w:val="00925836"/>
    <w:rsid w:val="009258CA"/>
    <w:rsid w:val="00925941"/>
    <w:rsid w:val="00925959"/>
    <w:rsid w:val="0092597D"/>
    <w:rsid w:val="009259CD"/>
    <w:rsid w:val="00925ACA"/>
    <w:rsid w:val="00925B96"/>
    <w:rsid w:val="00925C45"/>
    <w:rsid w:val="00925C73"/>
    <w:rsid w:val="00925C92"/>
    <w:rsid w:val="00925CD5"/>
    <w:rsid w:val="00925D19"/>
    <w:rsid w:val="00925D21"/>
    <w:rsid w:val="00925D33"/>
    <w:rsid w:val="00925D7C"/>
    <w:rsid w:val="00925D8C"/>
    <w:rsid w:val="00925E12"/>
    <w:rsid w:val="00925F21"/>
    <w:rsid w:val="00925F33"/>
    <w:rsid w:val="00925FCE"/>
    <w:rsid w:val="00926012"/>
    <w:rsid w:val="0092602A"/>
    <w:rsid w:val="00926065"/>
    <w:rsid w:val="009260F2"/>
    <w:rsid w:val="00926124"/>
    <w:rsid w:val="00926145"/>
    <w:rsid w:val="009261A2"/>
    <w:rsid w:val="009261E0"/>
    <w:rsid w:val="0092621A"/>
    <w:rsid w:val="009262FF"/>
    <w:rsid w:val="00926367"/>
    <w:rsid w:val="009263B5"/>
    <w:rsid w:val="009263CB"/>
    <w:rsid w:val="009263DA"/>
    <w:rsid w:val="00926472"/>
    <w:rsid w:val="009264EC"/>
    <w:rsid w:val="0092655D"/>
    <w:rsid w:val="009265D4"/>
    <w:rsid w:val="009265DC"/>
    <w:rsid w:val="00926638"/>
    <w:rsid w:val="00926653"/>
    <w:rsid w:val="009267A8"/>
    <w:rsid w:val="009267C0"/>
    <w:rsid w:val="009267C9"/>
    <w:rsid w:val="0092682A"/>
    <w:rsid w:val="0092685C"/>
    <w:rsid w:val="0092686E"/>
    <w:rsid w:val="009268EB"/>
    <w:rsid w:val="0092690E"/>
    <w:rsid w:val="0092691A"/>
    <w:rsid w:val="00926935"/>
    <w:rsid w:val="00926960"/>
    <w:rsid w:val="0092698F"/>
    <w:rsid w:val="009269C9"/>
    <w:rsid w:val="00926AAF"/>
    <w:rsid w:val="00926B04"/>
    <w:rsid w:val="00926BFD"/>
    <w:rsid w:val="00926CC5"/>
    <w:rsid w:val="00926DC6"/>
    <w:rsid w:val="00926DFC"/>
    <w:rsid w:val="00926E30"/>
    <w:rsid w:val="00926F91"/>
    <w:rsid w:val="00927009"/>
    <w:rsid w:val="0092707F"/>
    <w:rsid w:val="00927195"/>
    <w:rsid w:val="00927210"/>
    <w:rsid w:val="009272AA"/>
    <w:rsid w:val="00927337"/>
    <w:rsid w:val="0092746E"/>
    <w:rsid w:val="009274C3"/>
    <w:rsid w:val="00927530"/>
    <w:rsid w:val="00927571"/>
    <w:rsid w:val="00927581"/>
    <w:rsid w:val="00927603"/>
    <w:rsid w:val="009276BF"/>
    <w:rsid w:val="009276D9"/>
    <w:rsid w:val="00927750"/>
    <w:rsid w:val="00927768"/>
    <w:rsid w:val="0092778D"/>
    <w:rsid w:val="0092788E"/>
    <w:rsid w:val="009278C9"/>
    <w:rsid w:val="009278D4"/>
    <w:rsid w:val="0092799D"/>
    <w:rsid w:val="009279DD"/>
    <w:rsid w:val="00927A14"/>
    <w:rsid w:val="00927ADB"/>
    <w:rsid w:val="00927B76"/>
    <w:rsid w:val="00927BCE"/>
    <w:rsid w:val="00927C08"/>
    <w:rsid w:val="00927CCC"/>
    <w:rsid w:val="00927D1F"/>
    <w:rsid w:val="00927DEA"/>
    <w:rsid w:val="00927DF5"/>
    <w:rsid w:val="00927E16"/>
    <w:rsid w:val="00927E1E"/>
    <w:rsid w:val="00927E9A"/>
    <w:rsid w:val="00927EE3"/>
    <w:rsid w:val="00927F1A"/>
    <w:rsid w:val="00927F24"/>
    <w:rsid w:val="0092E87C"/>
    <w:rsid w:val="0093002A"/>
    <w:rsid w:val="0093007C"/>
    <w:rsid w:val="0093009A"/>
    <w:rsid w:val="0093009E"/>
    <w:rsid w:val="00930116"/>
    <w:rsid w:val="00930159"/>
    <w:rsid w:val="009302E5"/>
    <w:rsid w:val="00930374"/>
    <w:rsid w:val="009303A9"/>
    <w:rsid w:val="009303BE"/>
    <w:rsid w:val="009303CF"/>
    <w:rsid w:val="009304F1"/>
    <w:rsid w:val="009306B0"/>
    <w:rsid w:val="00930820"/>
    <w:rsid w:val="009308A3"/>
    <w:rsid w:val="009308AA"/>
    <w:rsid w:val="009308E6"/>
    <w:rsid w:val="00930A07"/>
    <w:rsid w:val="00930A46"/>
    <w:rsid w:val="00930AAB"/>
    <w:rsid w:val="00930BD0"/>
    <w:rsid w:val="00930BE1"/>
    <w:rsid w:val="00930CBD"/>
    <w:rsid w:val="00930CC2"/>
    <w:rsid w:val="00930CD5"/>
    <w:rsid w:val="00930D47"/>
    <w:rsid w:val="00930D94"/>
    <w:rsid w:val="00930DAF"/>
    <w:rsid w:val="00930E1E"/>
    <w:rsid w:val="00930EA5"/>
    <w:rsid w:val="00930EA7"/>
    <w:rsid w:val="00930F20"/>
    <w:rsid w:val="00930F9B"/>
    <w:rsid w:val="00930FFB"/>
    <w:rsid w:val="00931046"/>
    <w:rsid w:val="009310C4"/>
    <w:rsid w:val="0093110E"/>
    <w:rsid w:val="00931153"/>
    <w:rsid w:val="009311DE"/>
    <w:rsid w:val="0093121E"/>
    <w:rsid w:val="00931236"/>
    <w:rsid w:val="00931273"/>
    <w:rsid w:val="00931310"/>
    <w:rsid w:val="00931337"/>
    <w:rsid w:val="009313B8"/>
    <w:rsid w:val="009314BA"/>
    <w:rsid w:val="009314BF"/>
    <w:rsid w:val="009314E3"/>
    <w:rsid w:val="009314F4"/>
    <w:rsid w:val="00931512"/>
    <w:rsid w:val="00931581"/>
    <w:rsid w:val="009315B2"/>
    <w:rsid w:val="00931603"/>
    <w:rsid w:val="0093162F"/>
    <w:rsid w:val="00931680"/>
    <w:rsid w:val="00931744"/>
    <w:rsid w:val="009317D6"/>
    <w:rsid w:val="009317F3"/>
    <w:rsid w:val="00931820"/>
    <w:rsid w:val="00931893"/>
    <w:rsid w:val="00931898"/>
    <w:rsid w:val="009318A0"/>
    <w:rsid w:val="009318C9"/>
    <w:rsid w:val="0093191C"/>
    <w:rsid w:val="00931953"/>
    <w:rsid w:val="00931963"/>
    <w:rsid w:val="009319DB"/>
    <w:rsid w:val="00931A2A"/>
    <w:rsid w:val="00931AC4"/>
    <w:rsid w:val="00931B2E"/>
    <w:rsid w:val="00931BE1"/>
    <w:rsid w:val="00931CA3"/>
    <w:rsid w:val="00931CEA"/>
    <w:rsid w:val="00931CEF"/>
    <w:rsid w:val="00931D72"/>
    <w:rsid w:val="00931D86"/>
    <w:rsid w:val="00931DE7"/>
    <w:rsid w:val="00931E00"/>
    <w:rsid w:val="00931E16"/>
    <w:rsid w:val="00931E54"/>
    <w:rsid w:val="00931FA8"/>
    <w:rsid w:val="00931FC0"/>
    <w:rsid w:val="00931FE3"/>
    <w:rsid w:val="00932026"/>
    <w:rsid w:val="009320E4"/>
    <w:rsid w:val="009321B0"/>
    <w:rsid w:val="00932209"/>
    <w:rsid w:val="0093229C"/>
    <w:rsid w:val="00932312"/>
    <w:rsid w:val="00932328"/>
    <w:rsid w:val="00932362"/>
    <w:rsid w:val="00932383"/>
    <w:rsid w:val="009323C2"/>
    <w:rsid w:val="0093248A"/>
    <w:rsid w:val="00932494"/>
    <w:rsid w:val="0093249B"/>
    <w:rsid w:val="00932565"/>
    <w:rsid w:val="0093263E"/>
    <w:rsid w:val="00932689"/>
    <w:rsid w:val="0093268C"/>
    <w:rsid w:val="009326F8"/>
    <w:rsid w:val="00932731"/>
    <w:rsid w:val="009327A2"/>
    <w:rsid w:val="00932836"/>
    <w:rsid w:val="0093287B"/>
    <w:rsid w:val="009328BD"/>
    <w:rsid w:val="009328F2"/>
    <w:rsid w:val="0093290B"/>
    <w:rsid w:val="00932913"/>
    <w:rsid w:val="00932915"/>
    <w:rsid w:val="009329C8"/>
    <w:rsid w:val="00932AAD"/>
    <w:rsid w:val="00932AE6"/>
    <w:rsid w:val="00932AFD"/>
    <w:rsid w:val="00932B0B"/>
    <w:rsid w:val="00932B24"/>
    <w:rsid w:val="00932BB0"/>
    <w:rsid w:val="00932C17"/>
    <w:rsid w:val="00932D8F"/>
    <w:rsid w:val="00932DE0"/>
    <w:rsid w:val="00932F0F"/>
    <w:rsid w:val="00932F1B"/>
    <w:rsid w:val="00932F8E"/>
    <w:rsid w:val="00932FC8"/>
    <w:rsid w:val="00933083"/>
    <w:rsid w:val="009330A8"/>
    <w:rsid w:val="009330FB"/>
    <w:rsid w:val="0093311A"/>
    <w:rsid w:val="00933152"/>
    <w:rsid w:val="00933172"/>
    <w:rsid w:val="009331BD"/>
    <w:rsid w:val="009331C2"/>
    <w:rsid w:val="009331CA"/>
    <w:rsid w:val="009331D2"/>
    <w:rsid w:val="009331D7"/>
    <w:rsid w:val="0093321F"/>
    <w:rsid w:val="00933271"/>
    <w:rsid w:val="00933290"/>
    <w:rsid w:val="009332EA"/>
    <w:rsid w:val="00933346"/>
    <w:rsid w:val="00933381"/>
    <w:rsid w:val="009333B1"/>
    <w:rsid w:val="009333B2"/>
    <w:rsid w:val="009333C9"/>
    <w:rsid w:val="009334A7"/>
    <w:rsid w:val="009334CF"/>
    <w:rsid w:val="009334EA"/>
    <w:rsid w:val="00933518"/>
    <w:rsid w:val="009335E9"/>
    <w:rsid w:val="0093361A"/>
    <w:rsid w:val="00933651"/>
    <w:rsid w:val="00933744"/>
    <w:rsid w:val="0093374F"/>
    <w:rsid w:val="0093381D"/>
    <w:rsid w:val="00933825"/>
    <w:rsid w:val="00933882"/>
    <w:rsid w:val="009338AC"/>
    <w:rsid w:val="009338D6"/>
    <w:rsid w:val="00933A1B"/>
    <w:rsid w:val="00933A3D"/>
    <w:rsid w:val="00933A44"/>
    <w:rsid w:val="00933A7B"/>
    <w:rsid w:val="00933AF7"/>
    <w:rsid w:val="00933CC8"/>
    <w:rsid w:val="00933D0B"/>
    <w:rsid w:val="00933D12"/>
    <w:rsid w:val="00933E72"/>
    <w:rsid w:val="00933E87"/>
    <w:rsid w:val="00933EE3"/>
    <w:rsid w:val="00933F08"/>
    <w:rsid w:val="00933FB5"/>
    <w:rsid w:val="00934060"/>
    <w:rsid w:val="00934127"/>
    <w:rsid w:val="009341B7"/>
    <w:rsid w:val="009341FD"/>
    <w:rsid w:val="00934224"/>
    <w:rsid w:val="0093430D"/>
    <w:rsid w:val="009343D2"/>
    <w:rsid w:val="009344AD"/>
    <w:rsid w:val="0093450C"/>
    <w:rsid w:val="00934620"/>
    <w:rsid w:val="0093467E"/>
    <w:rsid w:val="0093468D"/>
    <w:rsid w:val="0093486E"/>
    <w:rsid w:val="0093498D"/>
    <w:rsid w:val="00934A3E"/>
    <w:rsid w:val="00934A79"/>
    <w:rsid w:val="00934B12"/>
    <w:rsid w:val="00934B55"/>
    <w:rsid w:val="00934CAA"/>
    <w:rsid w:val="00934CB8"/>
    <w:rsid w:val="00934CD4"/>
    <w:rsid w:val="00934CF1"/>
    <w:rsid w:val="00934D0D"/>
    <w:rsid w:val="00934D74"/>
    <w:rsid w:val="00934D86"/>
    <w:rsid w:val="00935039"/>
    <w:rsid w:val="009350A1"/>
    <w:rsid w:val="009350F7"/>
    <w:rsid w:val="0093518F"/>
    <w:rsid w:val="009351A1"/>
    <w:rsid w:val="009351B8"/>
    <w:rsid w:val="009351F4"/>
    <w:rsid w:val="0093524D"/>
    <w:rsid w:val="00935269"/>
    <w:rsid w:val="009352B9"/>
    <w:rsid w:val="009352DD"/>
    <w:rsid w:val="009353BD"/>
    <w:rsid w:val="009353DE"/>
    <w:rsid w:val="0093543A"/>
    <w:rsid w:val="00935458"/>
    <w:rsid w:val="009354EC"/>
    <w:rsid w:val="0093552B"/>
    <w:rsid w:val="0093557C"/>
    <w:rsid w:val="009355AE"/>
    <w:rsid w:val="0093567D"/>
    <w:rsid w:val="009356A2"/>
    <w:rsid w:val="009356E3"/>
    <w:rsid w:val="009356E7"/>
    <w:rsid w:val="0093572A"/>
    <w:rsid w:val="0093584B"/>
    <w:rsid w:val="009358A3"/>
    <w:rsid w:val="0093598A"/>
    <w:rsid w:val="00935B11"/>
    <w:rsid w:val="00935B73"/>
    <w:rsid w:val="00935C4A"/>
    <w:rsid w:val="00935CB8"/>
    <w:rsid w:val="00935CDB"/>
    <w:rsid w:val="00935CDE"/>
    <w:rsid w:val="00935D02"/>
    <w:rsid w:val="00935D89"/>
    <w:rsid w:val="00935DBE"/>
    <w:rsid w:val="00935DCA"/>
    <w:rsid w:val="00935DCC"/>
    <w:rsid w:val="00935E69"/>
    <w:rsid w:val="00935EAC"/>
    <w:rsid w:val="00935EB8"/>
    <w:rsid w:val="00935EF2"/>
    <w:rsid w:val="00935F0B"/>
    <w:rsid w:val="00935F0C"/>
    <w:rsid w:val="00935F0D"/>
    <w:rsid w:val="00935F1D"/>
    <w:rsid w:val="00935F6E"/>
    <w:rsid w:val="0093603C"/>
    <w:rsid w:val="0093611F"/>
    <w:rsid w:val="00936136"/>
    <w:rsid w:val="00936150"/>
    <w:rsid w:val="00936155"/>
    <w:rsid w:val="009361AC"/>
    <w:rsid w:val="0093626E"/>
    <w:rsid w:val="00936270"/>
    <w:rsid w:val="009362DA"/>
    <w:rsid w:val="0093634C"/>
    <w:rsid w:val="00936396"/>
    <w:rsid w:val="009363B1"/>
    <w:rsid w:val="00936447"/>
    <w:rsid w:val="009364C5"/>
    <w:rsid w:val="00936525"/>
    <w:rsid w:val="009365A7"/>
    <w:rsid w:val="009365F6"/>
    <w:rsid w:val="009366B5"/>
    <w:rsid w:val="00936822"/>
    <w:rsid w:val="00936908"/>
    <w:rsid w:val="00936909"/>
    <w:rsid w:val="009369C6"/>
    <w:rsid w:val="009369E0"/>
    <w:rsid w:val="00936A2B"/>
    <w:rsid w:val="00936B8A"/>
    <w:rsid w:val="00936C43"/>
    <w:rsid w:val="00936C6B"/>
    <w:rsid w:val="00936C85"/>
    <w:rsid w:val="00936DB2"/>
    <w:rsid w:val="00936DC1"/>
    <w:rsid w:val="00936DD5"/>
    <w:rsid w:val="00936E5C"/>
    <w:rsid w:val="00936ED6"/>
    <w:rsid w:val="00936F42"/>
    <w:rsid w:val="00937034"/>
    <w:rsid w:val="0093703A"/>
    <w:rsid w:val="0093707D"/>
    <w:rsid w:val="009370F9"/>
    <w:rsid w:val="00937113"/>
    <w:rsid w:val="0093716E"/>
    <w:rsid w:val="00937249"/>
    <w:rsid w:val="009373B0"/>
    <w:rsid w:val="0093740A"/>
    <w:rsid w:val="0093743B"/>
    <w:rsid w:val="0093746C"/>
    <w:rsid w:val="009374E4"/>
    <w:rsid w:val="0093757E"/>
    <w:rsid w:val="0093766A"/>
    <w:rsid w:val="009377FE"/>
    <w:rsid w:val="00937913"/>
    <w:rsid w:val="0093797A"/>
    <w:rsid w:val="009379B7"/>
    <w:rsid w:val="00937A24"/>
    <w:rsid w:val="00937B4A"/>
    <w:rsid w:val="00937B7A"/>
    <w:rsid w:val="00937B84"/>
    <w:rsid w:val="00937BAA"/>
    <w:rsid w:val="00937C28"/>
    <w:rsid w:val="00937D58"/>
    <w:rsid w:val="00937D5C"/>
    <w:rsid w:val="00937FED"/>
    <w:rsid w:val="00938C8B"/>
    <w:rsid w:val="00940020"/>
    <w:rsid w:val="00940045"/>
    <w:rsid w:val="00940048"/>
    <w:rsid w:val="00940092"/>
    <w:rsid w:val="009400D6"/>
    <w:rsid w:val="0094015F"/>
    <w:rsid w:val="00940183"/>
    <w:rsid w:val="0094019D"/>
    <w:rsid w:val="009401A5"/>
    <w:rsid w:val="009401C8"/>
    <w:rsid w:val="0094022D"/>
    <w:rsid w:val="00940270"/>
    <w:rsid w:val="00940338"/>
    <w:rsid w:val="009403A1"/>
    <w:rsid w:val="009403A7"/>
    <w:rsid w:val="0094042E"/>
    <w:rsid w:val="0094044D"/>
    <w:rsid w:val="0094053E"/>
    <w:rsid w:val="009405BB"/>
    <w:rsid w:val="00940642"/>
    <w:rsid w:val="00940704"/>
    <w:rsid w:val="0094072A"/>
    <w:rsid w:val="009407E3"/>
    <w:rsid w:val="009407EA"/>
    <w:rsid w:val="009407F6"/>
    <w:rsid w:val="00940812"/>
    <w:rsid w:val="0094093F"/>
    <w:rsid w:val="00940994"/>
    <w:rsid w:val="009409F1"/>
    <w:rsid w:val="00940B0A"/>
    <w:rsid w:val="00940BCD"/>
    <w:rsid w:val="00940BDB"/>
    <w:rsid w:val="00940CB9"/>
    <w:rsid w:val="00940CC3"/>
    <w:rsid w:val="00940D49"/>
    <w:rsid w:val="00940E49"/>
    <w:rsid w:val="00940E7E"/>
    <w:rsid w:val="00940E90"/>
    <w:rsid w:val="00940ED5"/>
    <w:rsid w:val="00940EDC"/>
    <w:rsid w:val="00940F6F"/>
    <w:rsid w:val="00940FCA"/>
    <w:rsid w:val="00940FDE"/>
    <w:rsid w:val="0094108F"/>
    <w:rsid w:val="0094109E"/>
    <w:rsid w:val="00941101"/>
    <w:rsid w:val="00941131"/>
    <w:rsid w:val="0094113D"/>
    <w:rsid w:val="00941167"/>
    <w:rsid w:val="0094116C"/>
    <w:rsid w:val="00941201"/>
    <w:rsid w:val="00941336"/>
    <w:rsid w:val="00941351"/>
    <w:rsid w:val="00941431"/>
    <w:rsid w:val="00941459"/>
    <w:rsid w:val="00941488"/>
    <w:rsid w:val="009414B1"/>
    <w:rsid w:val="009414E8"/>
    <w:rsid w:val="00941527"/>
    <w:rsid w:val="0094152D"/>
    <w:rsid w:val="0094153D"/>
    <w:rsid w:val="0094161C"/>
    <w:rsid w:val="00941766"/>
    <w:rsid w:val="009417A9"/>
    <w:rsid w:val="00941807"/>
    <w:rsid w:val="00941812"/>
    <w:rsid w:val="00941A56"/>
    <w:rsid w:val="00941A89"/>
    <w:rsid w:val="00941AD9"/>
    <w:rsid w:val="00941B74"/>
    <w:rsid w:val="00941BF4"/>
    <w:rsid w:val="00941C5B"/>
    <w:rsid w:val="00941C5D"/>
    <w:rsid w:val="00941D00"/>
    <w:rsid w:val="00941D51"/>
    <w:rsid w:val="00941D5D"/>
    <w:rsid w:val="00941D71"/>
    <w:rsid w:val="00941D82"/>
    <w:rsid w:val="00941DC3"/>
    <w:rsid w:val="00941DFF"/>
    <w:rsid w:val="00941E44"/>
    <w:rsid w:val="00941EAC"/>
    <w:rsid w:val="00941EB8"/>
    <w:rsid w:val="00941F4C"/>
    <w:rsid w:val="00941F75"/>
    <w:rsid w:val="009420BD"/>
    <w:rsid w:val="00942144"/>
    <w:rsid w:val="009421B7"/>
    <w:rsid w:val="009422CB"/>
    <w:rsid w:val="0094231A"/>
    <w:rsid w:val="0094235F"/>
    <w:rsid w:val="00942495"/>
    <w:rsid w:val="009424CF"/>
    <w:rsid w:val="0094252F"/>
    <w:rsid w:val="00942542"/>
    <w:rsid w:val="0094254D"/>
    <w:rsid w:val="009425B8"/>
    <w:rsid w:val="009425F5"/>
    <w:rsid w:val="00942625"/>
    <w:rsid w:val="009428C6"/>
    <w:rsid w:val="00942994"/>
    <w:rsid w:val="00942A31"/>
    <w:rsid w:val="00942A8C"/>
    <w:rsid w:val="00942AF5"/>
    <w:rsid w:val="00942B16"/>
    <w:rsid w:val="00942BB0"/>
    <w:rsid w:val="00942C76"/>
    <w:rsid w:val="00942D04"/>
    <w:rsid w:val="00942D8B"/>
    <w:rsid w:val="00942E7F"/>
    <w:rsid w:val="00942FB0"/>
    <w:rsid w:val="00942FD8"/>
    <w:rsid w:val="0094300E"/>
    <w:rsid w:val="0094301C"/>
    <w:rsid w:val="0094303D"/>
    <w:rsid w:val="00943041"/>
    <w:rsid w:val="00943057"/>
    <w:rsid w:val="00943084"/>
    <w:rsid w:val="00943085"/>
    <w:rsid w:val="00943088"/>
    <w:rsid w:val="009430C1"/>
    <w:rsid w:val="009430CC"/>
    <w:rsid w:val="009431AD"/>
    <w:rsid w:val="00943314"/>
    <w:rsid w:val="0094333A"/>
    <w:rsid w:val="009433DC"/>
    <w:rsid w:val="0094349A"/>
    <w:rsid w:val="009434D2"/>
    <w:rsid w:val="009434F3"/>
    <w:rsid w:val="00943521"/>
    <w:rsid w:val="00943561"/>
    <w:rsid w:val="009435FD"/>
    <w:rsid w:val="0094360B"/>
    <w:rsid w:val="009436CD"/>
    <w:rsid w:val="009437D3"/>
    <w:rsid w:val="0094380E"/>
    <w:rsid w:val="009438F0"/>
    <w:rsid w:val="009438F2"/>
    <w:rsid w:val="00943961"/>
    <w:rsid w:val="00943966"/>
    <w:rsid w:val="009439C1"/>
    <w:rsid w:val="009439ED"/>
    <w:rsid w:val="00943A35"/>
    <w:rsid w:val="00943ACE"/>
    <w:rsid w:val="00943B10"/>
    <w:rsid w:val="00943B2E"/>
    <w:rsid w:val="00943B6D"/>
    <w:rsid w:val="00943B74"/>
    <w:rsid w:val="00943BB3"/>
    <w:rsid w:val="00943C09"/>
    <w:rsid w:val="00943C1E"/>
    <w:rsid w:val="00943C72"/>
    <w:rsid w:val="00943C82"/>
    <w:rsid w:val="00943CF1"/>
    <w:rsid w:val="00943D49"/>
    <w:rsid w:val="00943D50"/>
    <w:rsid w:val="00943DCC"/>
    <w:rsid w:val="00943F1C"/>
    <w:rsid w:val="00943F61"/>
    <w:rsid w:val="00943FA5"/>
    <w:rsid w:val="00943FED"/>
    <w:rsid w:val="0094407C"/>
    <w:rsid w:val="0094408F"/>
    <w:rsid w:val="009440EB"/>
    <w:rsid w:val="009441C6"/>
    <w:rsid w:val="0094420A"/>
    <w:rsid w:val="00944309"/>
    <w:rsid w:val="00944366"/>
    <w:rsid w:val="00944377"/>
    <w:rsid w:val="009443F4"/>
    <w:rsid w:val="0094442A"/>
    <w:rsid w:val="0094442B"/>
    <w:rsid w:val="00944439"/>
    <w:rsid w:val="00944488"/>
    <w:rsid w:val="0094454F"/>
    <w:rsid w:val="00944568"/>
    <w:rsid w:val="00944587"/>
    <w:rsid w:val="009445B2"/>
    <w:rsid w:val="0094464A"/>
    <w:rsid w:val="00944650"/>
    <w:rsid w:val="009446A8"/>
    <w:rsid w:val="009446FA"/>
    <w:rsid w:val="00944731"/>
    <w:rsid w:val="0094476D"/>
    <w:rsid w:val="00944816"/>
    <w:rsid w:val="009448AD"/>
    <w:rsid w:val="00944902"/>
    <w:rsid w:val="00944920"/>
    <w:rsid w:val="00944922"/>
    <w:rsid w:val="0094494A"/>
    <w:rsid w:val="0094496D"/>
    <w:rsid w:val="00944A90"/>
    <w:rsid w:val="00944B07"/>
    <w:rsid w:val="00944BBE"/>
    <w:rsid w:val="00944C15"/>
    <w:rsid w:val="00944CCD"/>
    <w:rsid w:val="00944D1C"/>
    <w:rsid w:val="00944D21"/>
    <w:rsid w:val="00944D52"/>
    <w:rsid w:val="00944D94"/>
    <w:rsid w:val="00944DEB"/>
    <w:rsid w:val="00944E0E"/>
    <w:rsid w:val="00944E7B"/>
    <w:rsid w:val="00944EC1"/>
    <w:rsid w:val="00944FD0"/>
    <w:rsid w:val="00945005"/>
    <w:rsid w:val="00945082"/>
    <w:rsid w:val="009451B8"/>
    <w:rsid w:val="0094527B"/>
    <w:rsid w:val="0094528E"/>
    <w:rsid w:val="0094529C"/>
    <w:rsid w:val="009452A1"/>
    <w:rsid w:val="009452A6"/>
    <w:rsid w:val="009453A9"/>
    <w:rsid w:val="009453F2"/>
    <w:rsid w:val="0094540B"/>
    <w:rsid w:val="00945440"/>
    <w:rsid w:val="00945489"/>
    <w:rsid w:val="00945509"/>
    <w:rsid w:val="00945552"/>
    <w:rsid w:val="009455BD"/>
    <w:rsid w:val="009455F1"/>
    <w:rsid w:val="009455F4"/>
    <w:rsid w:val="00945620"/>
    <w:rsid w:val="00945683"/>
    <w:rsid w:val="009456B3"/>
    <w:rsid w:val="00945740"/>
    <w:rsid w:val="009457E7"/>
    <w:rsid w:val="0094580A"/>
    <w:rsid w:val="00945841"/>
    <w:rsid w:val="00945882"/>
    <w:rsid w:val="00945A2A"/>
    <w:rsid w:val="00945A4B"/>
    <w:rsid w:val="00945A80"/>
    <w:rsid w:val="00945B29"/>
    <w:rsid w:val="00945D1D"/>
    <w:rsid w:val="00945D8F"/>
    <w:rsid w:val="00945D93"/>
    <w:rsid w:val="00945DAB"/>
    <w:rsid w:val="00945DD3"/>
    <w:rsid w:val="00945E17"/>
    <w:rsid w:val="00945E84"/>
    <w:rsid w:val="00945ED1"/>
    <w:rsid w:val="00945ED3"/>
    <w:rsid w:val="00945F1E"/>
    <w:rsid w:val="00945F20"/>
    <w:rsid w:val="00945F49"/>
    <w:rsid w:val="00946042"/>
    <w:rsid w:val="00946048"/>
    <w:rsid w:val="009460C2"/>
    <w:rsid w:val="009460C7"/>
    <w:rsid w:val="009460EA"/>
    <w:rsid w:val="0094613A"/>
    <w:rsid w:val="0094613C"/>
    <w:rsid w:val="0094621F"/>
    <w:rsid w:val="00946291"/>
    <w:rsid w:val="009462E4"/>
    <w:rsid w:val="009462EE"/>
    <w:rsid w:val="00946341"/>
    <w:rsid w:val="009463C8"/>
    <w:rsid w:val="009463DD"/>
    <w:rsid w:val="00946417"/>
    <w:rsid w:val="00946446"/>
    <w:rsid w:val="00946481"/>
    <w:rsid w:val="00946501"/>
    <w:rsid w:val="0094655E"/>
    <w:rsid w:val="009465AD"/>
    <w:rsid w:val="009466D6"/>
    <w:rsid w:val="00946700"/>
    <w:rsid w:val="009467C7"/>
    <w:rsid w:val="00946852"/>
    <w:rsid w:val="00946860"/>
    <w:rsid w:val="009468AA"/>
    <w:rsid w:val="0094691B"/>
    <w:rsid w:val="0094694A"/>
    <w:rsid w:val="0094697E"/>
    <w:rsid w:val="009469A5"/>
    <w:rsid w:val="00946AA4"/>
    <w:rsid w:val="00946AD5"/>
    <w:rsid w:val="00946BC3"/>
    <w:rsid w:val="00946CDB"/>
    <w:rsid w:val="00946CE4"/>
    <w:rsid w:val="00946D9A"/>
    <w:rsid w:val="00946E4C"/>
    <w:rsid w:val="00946E92"/>
    <w:rsid w:val="00946E9F"/>
    <w:rsid w:val="00946F26"/>
    <w:rsid w:val="00946F2C"/>
    <w:rsid w:val="00946F37"/>
    <w:rsid w:val="00946F73"/>
    <w:rsid w:val="00946F96"/>
    <w:rsid w:val="00947050"/>
    <w:rsid w:val="009470A3"/>
    <w:rsid w:val="009470B7"/>
    <w:rsid w:val="009470BD"/>
    <w:rsid w:val="009470C9"/>
    <w:rsid w:val="0094715A"/>
    <w:rsid w:val="009472FA"/>
    <w:rsid w:val="00947315"/>
    <w:rsid w:val="00947353"/>
    <w:rsid w:val="0094742D"/>
    <w:rsid w:val="00947499"/>
    <w:rsid w:val="009474A0"/>
    <w:rsid w:val="00947591"/>
    <w:rsid w:val="00947598"/>
    <w:rsid w:val="009475BB"/>
    <w:rsid w:val="00947664"/>
    <w:rsid w:val="009476BF"/>
    <w:rsid w:val="009476C6"/>
    <w:rsid w:val="00947762"/>
    <w:rsid w:val="0094779B"/>
    <w:rsid w:val="009478CD"/>
    <w:rsid w:val="00947917"/>
    <w:rsid w:val="00947A7C"/>
    <w:rsid w:val="00947A9E"/>
    <w:rsid w:val="00947B07"/>
    <w:rsid w:val="00947B53"/>
    <w:rsid w:val="00947B7E"/>
    <w:rsid w:val="00947C58"/>
    <w:rsid w:val="00947C7F"/>
    <w:rsid w:val="00947D95"/>
    <w:rsid w:val="00947D9A"/>
    <w:rsid w:val="00947DC6"/>
    <w:rsid w:val="00947EBE"/>
    <w:rsid w:val="00947F3A"/>
    <w:rsid w:val="00947F45"/>
    <w:rsid w:val="0094D5B8"/>
    <w:rsid w:val="009500E7"/>
    <w:rsid w:val="0095013B"/>
    <w:rsid w:val="0095023D"/>
    <w:rsid w:val="00950309"/>
    <w:rsid w:val="00950345"/>
    <w:rsid w:val="009503AA"/>
    <w:rsid w:val="00950475"/>
    <w:rsid w:val="00950479"/>
    <w:rsid w:val="0095049A"/>
    <w:rsid w:val="009504FA"/>
    <w:rsid w:val="00950547"/>
    <w:rsid w:val="00950575"/>
    <w:rsid w:val="0095059E"/>
    <w:rsid w:val="009506EB"/>
    <w:rsid w:val="009507BB"/>
    <w:rsid w:val="009507CE"/>
    <w:rsid w:val="00950805"/>
    <w:rsid w:val="009509CD"/>
    <w:rsid w:val="009509D2"/>
    <w:rsid w:val="00950A0C"/>
    <w:rsid w:val="00950AAB"/>
    <w:rsid w:val="00950AB7"/>
    <w:rsid w:val="00950B48"/>
    <w:rsid w:val="00950B94"/>
    <w:rsid w:val="00950BC2"/>
    <w:rsid w:val="00950CD4"/>
    <w:rsid w:val="00950D68"/>
    <w:rsid w:val="00950D72"/>
    <w:rsid w:val="00950D9E"/>
    <w:rsid w:val="00950E9A"/>
    <w:rsid w:val="00950EBC"/>
    <w:rsid w:val="00950F0D"/>
    <w:rsid w:val="00950F32"/>
    <w:rsid w:val="00950F57"/>
    <w:rsid w:val="00950F71"/>
    <w:rsid w:val="00950FA4"/>
    <w:rsid w:val="0095101C"/>
    <w:rsid w:val="00951020"/>
    <w:rsid w:val="00951146"/>
    <w:rsid w:val="00951210"/>
    <w:rsid w:val="00951276"/>
    <w:rsid w:val="0095128D"/>
    <w:rsid w:val="00951315"/>
    <w:rsid w:val="0095142B"/>
    <w:rsid w:val="00951460"/>
    <w:rsid w:val="0095151E"/>
    <w:rsid w:val="00951523"/>
    <w:rsid w:val="009515FA"/>
    <w:rsid w:val="009516A5"/>
    <w:rsid w:val="00951779"/>
    <w:rsid w:val="00951804"/>
    <w:rsid w:val="00951832"/>
    <w:rsid w:val="0095183C"/>
    <w:rsid w:val="00951880"/>
    <w:rsid w:val="0095188A"/>
    <w:rsid w:val="00951974"/>
    <w:rsid w:val="009519FB"/>
    <w:rsid w:val="00951A34"/>
    <w:rsid w:val="00951A82"/>
    <w:rsid w:val="00951A86"/>
    <w:rsid w:val="00951A8F"/>
    <w:rsid w:val="00951AAB"/>
    <w:rsid w:val="00951AEA"/>
    <w:rsid w:val="00951AFA"/>
    <w:rsid w:val="00951B12"/>
    <w:rsid w:val="00951C2B"/>
    <w:rsid w:val="00951C3D"/>
    <w:rsid w:val="00951C78"/>
    <w:rsid w:val="00951CAF"/>
    <w:rsid w:val="00951E62"/>
    <w:rsid w:val="00951E6A"/>
    <w:rsid w:val="00951EF6"/>
    <w:rsid w:val="00951FE8"/>
    <w:rsid w:val="00952012"/>
    <w:rsid w:val="009521C3"/>
    <w:rsid w:val="00952215"/>
    <w:rsid w:val="0095224B"/>
    <w:rsid w:val="00952313"/>
    <w:rsid w:val="00952357"/>
    <w:rsid w:val="009523DF"/>
    <w:rsid w:val="00952453"/>
    <w:rsid w:val="0095245A"/>
    <w:rsid w:val="009524B2"/>
    <w:rsid w:val="009524E6"/>
    <w:rsid w:val="00952511"/>
    <w:rsid w:val="00952533"/>
    <w:rsid w:val="00952543"/>
    <w:rsid w:val="00952554"/>
    <w:rsid w:val="009525AE"/>
    <w:rsid w:val="009525FD"/>
    <w:rsid w:val="00952679"/>
    <w:rsid w:val="00952687"/>
    <w:rsid w:val="009526C2"/>
    <w:rsid w:val="009526DD"/>
    <w:rsid w:val="009527F6"/>
    <w:rsid w:val="009528A8"/>
    <w:rsid w:val="009528B4"/>
    <w:rsid w:val="009528DF"/>
    <w:rsid w:val="00952909"/>
    <w:rsid w:val="00952910"/>
    <w:rsid w:val="009529BC"/>
    <w:rsid w:val="009529E8"/>
    <w:rsid w:val="00952A6F"/>
    <w:rsid w:val="00952B0A"/>
    <w:rsid w:val="00952BDE"/>
    <w:rsid w:val="00952C4C"/>
    <w:rsid w:val="00952C85"/>
    <w:rsid w:val="00952CED"/>
    <w:rsid w:val="00952D01"/>
    <w:rsid w:val="00952D75"/>
    <w:rsid w:val="00952DC7"/>
    <w:rsid w:val="00952DE2"/>
    <w:rsid w:val="00952DF1"/>
    <w:rsid w:val="00952DF6"/>
    <w:rsid w:val="00952E1A"/>
    <w:rsid w:val="00952EA0"/>
    <w:rsid w:val="0095304A"/>
    <w:rsid w:val="00953094"/>
    <w:rsid w:val="009530E7"/>
    <w:rsid w:val="00953111"/>
    <w:rsid w:val="0095311F"/>
    <w:rsid w:val="00953126"/>
    <w:rsid w:val="00953133"/>
    <w:rsid w:val="00953143"/>
    <w:rsid w:val="00953176"/>
    <w:rsid w:val="0095317E"/>
    <w:rsid w:val="00953272"/>
    <w:rsid w:val="00953288"/>
    <w:rsid w:val="009532B0"/>
    <w:rsid w:val="009532D6"/>
    <w:rsid w:val="0095332F"/>
    <w:rsid w:val="00953354"/>
    <w:rsid w:val="00953394"/>
    <w:rsid w:val="009533CA"/>
    <w:rsid w:val="0095342B"/>
    <w:rsid w:val="00953452"/>
    <w:rsid w:val="00953472"/>
    <w:rsid w:val="009534A4"/>
    <w:rsid w:val="00953596"/>
    <w:rsid w:val="0095379E"/>
    <w:rsid w:val="009538F7"/>
    <w:rsid w:val="00953960"/>
    <w:rsid w:val="009539ED"/>
    <w:rsid w:val="00953AE8"/>
    <w:rsid w:val="00953B37"/>
    <w:rsid w:val="00953BBA"/>
    <w:rsid w:val="00953BD2"/>
    <w:rsid w:val="00953BF5"/>
    <w:rsid w:val="00953C23"/>
    <w:rsid w:val="00953CC6"/>
    <w:rsid w:val="00953CD9"/>
    <w:rsid w:val="00953DC7"/>
    <w:rsid w:val="00953E93"/>
    <w:rsid w:val="00953E9A"/>
    <w:rsid w:val="00953F76"/>
    <w:rsid w:val="00953FE5"/>
    <w:rsid w:val="0095404F"/>
    <w:rsid w:val="009540B0"/>
    <w:rsid w:val="0095414D"/>
    <w:rsid w:val="00954178"/>
    <w:rsid w:val="009541A8"/>
    <w:rsid w:val="009541C3"/>
    <w:rsid w:val="009541E3"/>
    <w:rsid w:val="00954233"/>
    <w:rsid w:val="00954249"/>
    <w:rsid w:val="0095427C"/>
    <w:rsid w:val="00954326"/>
    <w:rsid w:val="0095443F"/>
    <w:rsid w:val="00954457"/>
    <w:rsid w:val="009544A8"/>
    <w:rsid w:val="009544E3"/>
    <w:rsid w:val="00954567"/>
    <w:rsid w:val="00954572"/>
    <w:rsid w:val="00954618"/>
    <w:rsid w:val="00954626"/>
    <w:rsid w:val="009546AF"/>
    <w:rsid w:val="009546B7"/>
    <w:rsid w:val="0095478E"/>
    <w:rsid w:val="009547F2"/>
    <w:rsid w:val="00954801"/>
    <w:rsid w:val="009548D1"/>
    <w:rsid w:val="00954950"/>
    <w:rsid w:val="009549BC"/>
    <w:rsid w:val="00954A46"/>
    <w:rsid w:val="00954A98"/>
    <w:rsid w:val="00954B11"/>
    <w:rsid w:val="00954BB9"/>
    <w:rsid w:val="00954C0C"/>
    <w:rsid w:val="00954D4B"/>
    <w:rsid w:val="00954DAD"/>
    <w:rsid w:val="00954E23"/>
    <w:rsid w:val="00954E3A"/>
    <w:rsid w:val="00954EB2"/>
    <w:rsid w:val="00954F05"/>
    <w:rsid w:val="00954F32"/>
    <w:rsid w:val="00954FCA"/>
    <w:rsid w:val="009550BE"/>
    <w:rsid w:val="0095512D"/>
    <w:rsid w:val="009552A0"/>
    <w:rsid w:val="009552D7"/>
    <w:rsid w:val="009553B2"/>
    <w:rsid w:val="009553EB"/>
    <w:rsid w:val="0095544E"/>
    <w:rsid w:val="0095547E"/>
    <w:rsid w:val="009554B1"/>
    <w:rsid w:val="00955658"/>
    <w:rsid w:val="00955669"/>
    <w:rsid w:val="00955693"/>
    <w:rsid w:val="009556AA"/>
    <w:rsid w:val="009556BF"/>
    <w:rsid w:val="0095570F"/>
    <w:rsid w:val="009557F6"/>
    <w:rsid w:val="0095585E"/>
    <w:rsid w:val="009558F4"/>
    <w:rsid w:val="009558F5"/>
    <w:rsid w:val="00955926"/>
    <w:rsid w:val="00955927"/>
    <w:rsid w:val="0095596B"/>
    <w:rsid w:val="009559CE"/>
    <w:rsid w:val="00955A1E"/>
    <w:rsid w:val="00955A3F"/>
    <w:rsid w:val="00955AA8"/>
    <w:rsid w:val="00955B03"/>
    <w:rsid w:val="00955B90"/>
    <w:rsid w:val="00955BA5"/>
    <w:rsid w:val="00955CA1"/>
    <w:rsid w:val="00955CBA"/>
    <w:rsid w:val="00955E1D"/>
    <w:rsid w:val="00955E32"/>
    <w:rsid w:val="00955EAB"/>
    <w:rsid w:val="0095602C"/>
    <w:rsid w:val="00956067"/>
    <w:rsid w:val="0095607F"/>
    <w:rsid w:val="009560D8"/>
    <w:rsid w:val="00956187"/>
    <w:rsid w:val="009561E7"/>
    <w:rsid w:val="009561FB"/>
    <w:rsid w:val="00956371"/>
    <w:rsid w:val="00956384"/>
    <w:rsid w:val="009563F0"/>
    <w:rsid w:val="00956401"/>
    <w:rsid w:val="00956422"/>
    <w:rsid w:val="00956453"/>
    <w:rsid w:val="00956470"/>
    <w:rsid w:val="009564B8"/>
    <w:rsid w:val="009564C7"/>
    <w:rsid w:val="009564CB"/>
    <w:rsid w:val="00956566"/>
    <w:rsid w:val="0095656C"/>
    <w:rsid w:val="00956585"/>
    <w:rsid w:val="00956594"/>
    <w:rsid w:val="0095660A"/>
    <w:rsid w:val="0095661D"/>
    <w:rsid w:val="0095665A"/>
    <w:rsid w:val="00956799"/>
    <w:rsid w:val="009567B9"/>
    <w:rsid w:val="00956838"/>
    <w:rsid w:val="00956934"/>
    <w:rsid w:val="00956985"/>
    <w:rsid w:val="009569DF"/>
    <w:rsid w:val="00956A32"/>
    <w:rsid w:val="00956A45"/>
    <w:rsid w:val="00956A56"/>
    <w:rsid w:val="00956AE2"/>
    <w:rsid w:val="00956B72"/>
    <w:rsid w:val="00956C25"/>
    <w:rsid w:val="00956C56"/>
    <w:rsid w:val="00956C8C"/>
    <w:rsid w:val="00956D0F"/>
    <w:rsid w:val="00956D16"/>
    <w:rsid w:val="00956D1E"/>
    <w:rsid w:val="00956D83"/>
    <w:rsid w:val="00956DC7"/>
    <w:rsid w:val="00956E74"/>
    <w:rsid w:val="00956E99"/>
    <w:rsid w:val="00956FAD"/>
    <w:rsid w:val="00956FAF"/>
    <w:rsid w:val="00956FBF"/>
    <w:rsid w:val="00956FC1"/>
    <w:rsid w:val="00956FC3"/>
    <w:rsid w:val="00957084"/>
    <w:rsid w:val="009570D1"/>
    <w:rsid w:val="00957120"/>
    <w:rsid w:val="00957153"/>
    <w:rsid w:val="0095718D"/>
    <w:rsid w:val="009571A7"/>
    <w:rsid w:val="009571CF"/>
    <w:rsid w:val="0095727D"/>
    <w:rsid w:val="009572DC"/>
    <w:rsid w:val="009572F2"/>
    <w:rsid w:val="00957343"/>
    <w:rsid w:val="0095739B"/>
    <w:rsid w:val="009573D6"/>
    <w:rsid w:val="00957454"/>
    <w:rsid w:val="009574A8"/>
    <w:rsid w:val="0095755A"/>
    <w:rsid w:val="0095758D"/>
    <w:rsid w:val="0095759B"/>
    <w:rsid w:val="009575CC"/>
    <w:rsid w:val="00957629"/>
    <w:rsid w:val="00957630"/>
    <w:rsid w:val="00957639"/>
    <w:rsid w:val="00957658"/>
    <w:rsid w:val="009577A9"/>
    <w:rsid w:val="009577AD"/>
    <w:rsid w:val="00957857"/>
    <w:rsid w:val="009578EA"/>
    <w:rsid w:val="00957939"/>
    <w:rsid w:val="00957A98"/>
    <w:rsid w:val="00957B13"/>
    <w:rsid w:val="00957B56"/>
    <w:rsid w:val="00957BC1"/>
    <w:rsid w:val="00957C8F"/>
    <w:rsid w:val="00957CF6"/>
    <w:rsid w:val="00957D1E"/>
    <w:rsid w:val="00957D7C"/>
    <w:rsid w:val="00957D96"/>
    <w:rsid w:val="00957D9F"/>
    <w:rsid w:val="00957E05"/>
    <w:rsid w:val="00957E0A"/>
    <w:rsid w:val="00957E13"/>
    <w:rsid w:val="00957E5C"/>
    <w:rsid w:val="00957E78"/>
    <w:rsid w:val="00957E79"/>
    <w:rsid w:val="00957EA0"/>
    <w:rsid w:val="00957EA1"/>
    <w:rsid w:val="00957EFF"/>
    <w:rsid w:val="00957FE5"/>
    <w:rsid w:val="0096011B"/>
    <w:rsid w:val="0096011E"/>
    <w:rsid w:val="009601A8"/>
    <w:rsid w:val="0096020A"/>
    <w:rsid w:val="00960230"/>
    <w:rsid w:val="00960259"/>
    <w:rsid w:val="00960268"/>
    <w:rsid w:val="009602CA"/>
    <w:rsid w:val="00960305"/>
    <w:rsid w:val="00960321"/>
    <w:rsid w:val="00960322"/>
    <w:rsid w:val="00960414"/>
    <w:rsid w:val="00960515"/>
    <w:rsid w:val="00960584"/>
    <w:rsid w:val="009606B1"/>
    <w:rsid w:val="009607B9"/>
    <w:rsid w:val="009608AA"/>
    <w:rsid w:val="00960A13"/>
    <w:rsid w:val="00960A15"/>
    <w:rsid w:val="00960AF0"/>
    <w:rsid w:val="00960B40"/>
    <w:rsid w:val="00960B4B"/>
    <w:rsid w:val="00960B6A"/>
    <w:rsid w:val="00960BD2"/>
    <w:rsid w:val="00960C21"/>
    <w:rsid w:val="00960C22"/>
    <w:rsid w:val="00960C97"/>
    <w:rsid w:val="00960D27"/>
    <w:rsid w:val="00960D78"/>
    <w:rsid w:val="00960DB8"/>
    <w:rsid w:val="00960DDB"/>
    <w:rsid w:val="00960E20"/>
    <w:rsid w:val="00960EC2"/>
    <w:rsid w:val="00960ECA"/>
    <w:rsid w:val="00960F48"/>
    <w:rsid w:val="00960F9B"/>
    <w:rsid w:val="00961046"/>
    <w:rsid w:val="009610DB"/>
    <w:rsid w:val="00961115"/>
    <w:rsid w:val="00961120"/>
    <w:rsid w:val="0096118D"/>
    <w:rsid w:val="009611B3"/>
    <w:rsid w:val="009611E0"/>
    <w:rsid w:val="0096124D"/>
    <w:rsid w:val="009613A3"/>
    <w:rsid w:val="009613D4"/>
    <w:rsid w:val="00961432"/>
    <w:rsid w:val="009614FE"/>
    <w:rsid w:val="00961573"/>
    <w:rsid w:val="009615A4"/>
    <w:rsid w:val="00961668"/>
    <w:rsid w:val="00961740"/>
    <w:rsid w:val="009617B2"/>
    <w:rsid w:val="00961844"/>
    <w:rsid w:val="00961848"/>
    <w:rsid w:val="0096195F"/>
    <w:rsid w:val="0096199C"/>
    <w:rsid w:val="009619B2"/>
    <w:rsid w:val="009619D1"/>
    <w:rsid w:val="00961A6B"/>
    <w:rsid w:val="00961AB4"/>
    <w:rsid w:val="00961AC7"/>
    <w:rsid w:val="00961B90"/>
    <w:rsid w:val="00961BD5"/>
    <w:rsid w:val="00961C0F"/>
    <w:rsid w:val="00961C1A"/>
    <w:rsid w:val="00961C52"/>
    <w:rsid w:val="00961D9C"/>
    <w:rsid w:val="00961DE7"/>
    <w:rsid w:val="00961DED"/>
    <w:rsid w:val="00961E7D"/>
    <w:rsid w:val="00961EB5"/>
    <w:rsid w:val="00962127"/>
    <w:rsid w:val="00962134"/>
    <w:rsid w:val="0096213A"/>
    <w:rsid w:val="00962155"/>
    <w:rsid w:val="00962177"/>
    <w:rsid w:val="009621A3"/>
    <w:rsid w:val="0096231A"/>
    <w:rsid w:val="00962328"/>
    <w:rsid w:val="009623BE"/>
    <w:rsid w:val="009623D6"/>
    <w:rsid w:val="0096242F"/>
    <w:rsid w:val="00962453"/>
    <w:rsid w:val="0096249B"/>
    <w:rsid w:val="009624C8"/>
    <w:rsid w:val="009624CF"/>
    <w:rsid w:val="009624DD"/>
    <w:rsid w:val="009624F1"/>
    <w:rsid w:val="009624F3"/>
    <w:rsid w:val="00962512"/>
    <w:rsid w:val="00962563"/>
    <w:rsid w:val="009625B2"/>
    <w:rsid w:val="009625CE"/>
    <w:rsid w:val="00962602"/>
    <w:rsid w:val="009626C1"/>
    <w:rsid w:val="009627B9"/>
    <w:rsid w:val="009627F0"/>
    <w:rsid w:val="009627F6"/>
    <w:rsid w:val="009628ED"/>
    <w:rsid w:val="0096295A"/>
    <w:rsid w:val="0096295E"/>
    <w:rsid w:val="009629A1"/>
    <w:rsid w:val="009629DD"/>
    <w:rsid w:val="00962A5D"/>
    <w:rsid w:val="00962A9A"/>
    <w:rsid w:val="00962B70"/>
    <w:rsid w:val="00962B99"/>
    <w:rsid w:val="00962BD1"/>
    <w:rsid w:val="00962BD2"/>
    <w:rsid w:val="00962BF1"/>
    <w:rsid w:val="00962C09"/>
    <w:rsid w:val="00962C5F"/>
    <w:rsid w:val="00962D12"/>
    <w:rsid w:val="00962D60"/>
    <w:rsid w:val="00962DA6"/>
    <w:rsid w:val="00962DC7"/>
    <w:rsid w:val="00962F5B"/>
    <w:rsid w:val="00962FA9"/>
    <w:rsid w:val="00962FCF"/>
    <w:rsid w:val="00963009"/>
    <w:rsid w:val="00963023"/>
    <w:rsid w:val="00963032"/>
    <w:rsid w:val="00963053"/>
    <w:rsid w:val="00963070"/>
    <w:rsid w:val="00963078"/>
    <w:rsid w:val="009630DA"/>
    <w:rsid w:val="0096311E"/>
    <w:rsid w:val="0096318D"/>
    <w:rsid w:val="00963190"/>
    <w:rsid w:val="009631E5"/>
    <w:rsid w:val="00963241"/>
    <w:rsid w:val="00963278"/>
    <w:rsid w:val="009632CA"/>
    <w:rsid w:val="00963385"/>
    <w:rsid w:val="00963518"/>
    <w:rsid w:val="00963555"/>
    <w:rsid w:val="0096359C"/>
    <w:rsid w:val="009635DB"/>
    <w:rsid w:val="0096366C"/>
    <w:rsid w:val="009636DB"/>
    <w:rsid w:val="0096376F"/>
    <w:rsid w:val="009637EF"/>
    <w:rsid w:val="009637F8"/>
    <w:rsid w:val="009638AE"/>
    <w:rsid w:val="009638BB"/>
    <w:rsid w:val="009638F5"/>
    <w:rsid w:val="00963924"/>
    <w:rsid w:val="0096396D"/>
    <w:rsid w:val="009639F9"/>
    <w:rsid w:val="00963A11"/>
    <w:rsid w:val="00963A1B"/>
    <w:rsid w:val="00963A35"/>
    <w:rsid w:val="00963A61"/>
    <w:rsid w:val="00963A7F"/>
    <w:rsid w:val="00963AA1"/>
    <w:rsid w:val="00963B04"/>
    <w:rsid w:val="00963B35"/>
    <w:rsid w:val="00963BEC"/>
    <w:rsid w:val="00963C97"/>
    <w:rsid w:val="00963CD2"/>
    <w:rsid w:val="00963D48"/>
    <w:rsid w:val="00963D79"/>
    <w:rsid w:val="00963DAB"/>
    <w:rsid w:val="00963DE1"/>
    <w:rsid w:val="00963F8E"/>
    <w:rsid w:val="00963FC1"/>
    <w:rsid w:val="00963FD1"/>
    <w:rsid w:val="00963FD8"/>
    <w:rsid w:val="00964017"/>
    <w:rsid w:val="00964068"/>
    <w:rsid w:val="00964078"/>
    <w:rsid w:val="009640B0"/>
    <w:rsid w:val="0096419E"/>
    <w:rsid w:val="009641C8"/>
    <w:rsid w:val="00964288"/>
    <w:rsid w:val="009642C0"/>
    <w:rsid w:val="009642D1"/>
    <w:rsid w:val="009643E5"/>
    <w:rsid w:val="009644AD"/>
    <w:rsid w:val="009644DB"/>
    <w:rsid w:val="00964582"/>
    <w:rsid w:val="009645C3"/>
    <w:rsid w:val="00964675"/>
    <w:rsid w:val="0096467C"/>
    <w:rsid w:val="009646F9"/>
    <w:rsid w:val="0096474E"/>
    <w:rsid w:val="009647DA"/>
    <w:rsid w:val="00964859"/>
    <w:rsid w:val="00964897"/>
    <w:rsid w:val="009648BB"/>
    <w:rsid w:val="009648BE"/>
    <w:rsid w:val="00964909"/>
    <w:rsid w:val="0096493A"/>
    <w:rsid w:val="00964947"/>
    <w:rsid w:val="00964959"/>
    <w:rsid w:val="009649E4"/>
    <w:rsid w:val="009649FF"/>
    <w:rsid w:val="00964A59"/>
    <w:rsid w:val="00964B56"/>
    <w:rsid w:val="00964B59"/>
    <w:rsid w:val="00964BE5"/>
    <w:rsid w:val="00964D32"/>
    <w:rsid w:val="00964DA5"/>
    <w:rsid w:val="00964E73"/>
    <w:rsid w:val="00964EFF"/>
    <w:rsid w:val="00964F4C"/>
    <w:rsid w:val="00964F5D"/>
    <w:rsid w:val="00964FB1"/>
    <w:rsid w:val="00964FEC"/>
    <w:rsid w:val="00965152"/>
    <w:rsid w:val="00965248"/>
    <w:rsid w:val="009653C5"/>
    <w:rsid w:val="009653CD"/>
    <w:rsid w:val="009654B0"/>
    <w:rsid w:val="0096552F"/>
    <w:rsid w:val="00965548"/>
    <w:rsid w:val="00965549"/>
    <w:rsid w:val="009655B1"/>
    <w:rsid w:val="009655DC"/>
    <w:rsid w:val="0096564F"/>
    <w:rsid w:val="00965675"/>
    <w:rsid w:val="00965716"/>
    <w:rsid w:val="0096572B"/>
    <w:rsid w:val="00965776"/>
    <w:rsid w:val="009657D1"/>
    <w:rsid w:val="0096581A"/>
    <w:rsid w:val="009658C7"/>
    <w:rsid w:val="00965937"/>
    <w:rsid w:val="00965957"/>
    <w:rsid w:val="00965AE0"/>
    <w:rsid w:val="00965B08"/>
    <w:rsid w:val="00965B1B"/>
    <w:rsid w:val="00965B3A"/>
    <w:rsid w:val="00965B87"/>
    <w:rsid w:val="00965BE1"/>
    <w:rsid w:val="00965DF4"/>
    <w:rsid w:val="0096601F"/>
    <w:rsid w:val="00966097"/>
    <w:rsid w:val="009660DB"/>
    <w:rsid w:val="009660E4"/>
    <w:rsid w:val="009660EE"/>
    <w:rsid w:val="0096611A"/>
    <w:rsid w:val="009661AA"/>
    <w:rsid w:val="009661D5"/>
    <w:rsid w:val="0096623E"/>
    <w:rsid w:val="00966244"/>
    <w:rsid w:val="00966245"/>
    <w:rsid w:val="0096627C"/>
    <w:rsid w:val="009662F7"/>
    <w:rsid w:val="009664FC"/>
    <w:rsid w:val="00966535"/>
    <w:rsid w:val="00966550"/>
    <w:rsid w:val="009665CC"/>
    <w:rsid w:val="009665CF"/>
    <w:rsid w:val="009666E0"/>
    <w:rsid w:val="00966766"/>
    <w:rsid w:val="009667B2"/>
    <w:rsid w:val="009667DC"/>
    <w:rsid w:val="00966832"/>
    <w:rsid w:val="0096686B"/>
    <w:rsid w:val="0096689C"/>
    <w:rsid w:val="009668B2"/>
    <w:rsid w:val="009668CC"/>
    <w:rsid w:val="00966963"/>
    <w:rsid w:val="00966A8D"/>
    <w:rsid w:val="00966AE4"/>
    <w:rsid w:val="00966B8A"/>
    <w:rsid w:val="00966BA6"/>
    <w:rsid w:val="00966BAB"/>
    <w:rsid w:val="00966BB8"/>
    <w:rsid w:val="00966C2B"/>
    <w:rsid w:val="00966CB4"/>
    <w:rsid w:val="00966CC1"/>
    <w:rsid w:val="00966D69"/>
    <w:rsid w:val="00966DA6"/>
    <w:rsid w:val="00966E4A"/>
    <w:rsid w:val="00966E96"/>
    <w:rsid w:val="00966EC0"/>
    <w:rsid w:val="00966EC2"/>
    <w:rsid w:val="00966EC8"/>
    <w:rsid w:val="00966F28"/>
    <w:rsid w:val="00966FC8"/>
    <w:rsid w:val="00967230"/>
    <w:rsid w:val="009672CC"/>
    <w:rsid w:val="00967393"/>
    <w:rsid w:val="009673C6"/>
    <w:rsid w:val="0096741F"/>
    <w:rsid w:val="00967472"/>
    <w:rsid w:val="009674BF"/>
    <w:rsid w:val="009674D1"/>
    <w:rsid w:val="009674F5"/>
    <w:rsid w:val="00967643"/>
    <w:rsid w:val="009676ED"/>
    <w:rsid w:val="00967717"/>
    <w:rsid w:val="00967755"/>
    <w:rsid w:val="009677FA"/>
    <w:rsid w:val="0096781D"/>
    <w:rsid w:val="0096784E"/>
    <w:rsid w:val="00967862"/>
    <w:rsid w:val="0096789E"/>
    <w:rsid w:val="0096789F"/>
    <w:rsid w:val="00967926"/>
    <w:rsid w:val="009679B2"/>
    <w:rsid w:val="009679CC"/>
    <w:rsid w:val="009679EA"/>
    <w:rsid w:val="00967A44"/>
    <w:rsid w:val="00967A50"/>
    <w:rsid w:val="00967A7A"/>
    <w:rsid w:val="00967AA0"/>
    <w:rsid w:val="00967AC1"/>
    <w:rsid w:val="00967BD7"/>
    <w:rsid w:val="00967C2E"/>
    <w:rsid w:val="00967D05"/>
    <w:rsid w:val="00967EC3"/>
    <w:rsid w:val="00967FC4"/>
    <w:rsid w:val="0097009B"/>
    <w:rsid w:val="009700E7"/>
    <w:rsid w:val="009700F4"/>
    <w:rsid w:val="00970182"/>
    <w:rsid w:val="0097030C"/>
    <w:rsid w:val="0097033A"/>
    <w:rsid w:val="00970355"/>
    <w:rsid w:val="009703DA"/>
    <w:rsid w:val="00970408"/>
    <w:rsid w:val="00970423"/>
    <w:rsid w:val="00970430"/>
    <w:rsid w:val="00970664"/>
    <w:rsid w:val="0097077F"/>
    <w:rsid w:val="009707A9"/>
    <w:rsid w:val="009707B1"/>
    <w:rsid w:val="00970818"/>
    <w:rsid w:val="0097086D"/>
    <w:rsid w:val="0097088C"/>
    <w:rsid w:val="009708C5"/>
    <w:rsid w:val="009709FD"/>
    <w:rsid w:val="00970A99"/>
    <w:rsid w:val="00970C72"/>
    <w:rsid w:val="00970C8C"/>
    <w:rsid w:val="00970CFF"/>
    <w:rsid w:val="00970D22"/>
    <w:rsid w:val="00970DDE"/>
    <w:rsid w:val="00970E28"/>
    <w:rsid w:val="00970E89"/>
    <w:rsid w:val="00970ED9"/>
    <w:rsid w:val="00970EF9"/>
    <w:rsid w:val="00970F49"/>
    <w:rsid w:val="00970FA4"/>
    <w:rsid w:val="00970FC0"/>
    <w:rsid w:val="00970FE2"/>
    <w:rsid w:val="00971016"/>
    <w:rsid w:val="00971047"/>
    <w:rsid w:val="009710B3"/>
    <w:rsid w:val="009711F5"/>
    <w:rsid w:val="00971302"/>
    <w:rsid w:val="0097130F"/>
    <w:rsid w:val="00971322"/>
    <w:rsid w:val="009713E5"/>
    <w:rsid w:val="0097140E"/>
    <w:rsid w:val="0097146D"/>
    <w:rsid w:val="00971501"/>
    <w:rsid w:val="00971514"/>
    <w:rsid w:val="009715FB"/>
    <w:rsid w:val="00971649"/>
    <w:rsid w:val="0097165E"/>
    <w:rsid w:val="009716BA"/>
    <w:rsid w:val="0097171E"/>
    <w:rsid w:val="009717C1"/>
    <w:rsid w:val="0097183B"/>
    <w:rsid w:val="00971855"/>
    <w:rsid w:val="0097194D"/>
    <w:rsid w:val="009719D6"/>
    <w:rsid w:val="00971A1E"/>
    <w:rsid w:val="00971A89"/>
    <w:rsid w:val="00971C1E"/>
    <w:rsid w:val="00971C2E"/>
    <w:rsid w:val="00971C7E"/>
    <w:rsid w:val="00971D10"/>
    <w:rsid w:val="00971D31"/>
    <w:rsid w:val="00971D6A"/>
    <w:rsid w:val="00971D81"/>
    <w:rsid w:val="00971D9C"/>
    <w:rsid w:val="00971DBD"/>
    <w:rsid w:val="00971DCE"/>
    <w:rsid w:val="00971E91"/>
    <w:rsid w:val="00971ECE"/>
    <w:rsid w:val="00971F2B"/>
    <w:rsid w:val="00971FF6"/>
    <w:rsid w:val="0097202A"/>
    <w:rsid w:val="0097202B"/>
    <w:rsid w:val="0097209B"/>
    <w:rsid w:val="0097213D"/>
    <w:rsid w:val="0097218A"/>
    <w:rsid w:val="00972291"/>
    <w:rsid w:val="0097232C"/>
    <w:rsid w:val="00972345"/>
    <w:rsid w:val="00972364"/>
    <w:rsid w:val="009723EC"/>
    <w:rsid w:val="00972450"/>
    <w:rsid w:val="00972585"/>
    <w:rsid w:val="0097269E"/>
    <w:rsid w:val="009726A5"/>
    <w:rsid w:val="00972731"/>
    <w:rsid w:val="0097275A"/>
    <w:rsid w:val="00972833"/>
    <w:rsid w:val="00972839"/>
    <w:rsid w:val="0097285D"/>
    <w:rsid w:val="0097286B"/>
    <w:rsid w:val="0097295E"/>
    <w:rsid w:val="009729CB"/>
    <w:rsid w:val="00972ACA"/>
    <w:rsid w:val="00972ADC"/>
    <w:rsid w:val="00972B3D"/>
    <w:rsid w:val="00972B81"/>
    <w:rsid w:val="00972BF0"/>
    <w:rsid w:val="00972D80"/>
    <w:rsid w:val="00972E25"/>
    <w:rsid w:val="00972E7A"/>
    <w:rsid w:val="00972E7D"/>
    <w:rsid w:val="00972F02"/>
    <w:rsid w:val="00972F29"/>
    <w:rsid w:val="00972F2F"/>
    <w:rsid w:val="00972F36"/>
    <w:rsid w:val="00972F79"/>
    <w:rsid w:val="00973078"/>
    <w:rsid w:val="009730CC"/>
    <w:rsid w:val="009730D1"/>
    <w:rsid w:val="009732C3"/>
    <w:rsid w:val="00973340"/>
    <w:rsid w:val="0097338D"/>
    <w:rsid w:val="00973392"/>
    <w:rsid w:val="00973426"/>
    <w:rsid w:val="0097344C"/>
    <w:rsid w:val="0097347F"/>
    <w:rsid w:val="00973494"/>
    <w:rsid w:val="009734E1"/>
    <w:rsid w:val="009735AD"/>
    <w:rsid w:val="009735C1"/>
    <w:rsid w:val="00973655"/>
    <w:rsid w:val="009736A0"/>
    <w:rsid w:val="009736AF"/>
    <w:rsid w:val="00973837"/>
    <w:rsid w:val="009738E0"/>
    <w:rsid w:val="0097395B"/>
    <w:rsid w:val="00973AA5"/>
    <w:rsid w:val="00973B10"/>
    <w:rsid w:val="00973BA8"/>
    <w:rsid w:val="00973BFF"/>
    <w:rsid w:val="00973C34"/>
    <w:rsid w:val="00973C5B"/>
    <w:rsid w:val="00973C7A"/>
    <w:rsid w:val="00973CF0"/>
    <w:rsid w:val="00973CF5"/>
    <w:rsid w:val="00973D0D"/>
    <w:rsid w:val="00973D5B"/>
    <w:rsid w:val="00973D85"/>
    <w:rsid w:val="00973DB6"/>
    <w:rsid w:val="00973DCC"/>
    <w:rsid w:val="00973E44"/>
    <w:rsid w:val="00973EB6"/>
    <w:rsid w:val="009740E5"/>
    <w:rsid w:val="0097412C"/>
    <w:rsid w:val="009742AB"/>
    <w:rsid w:val="00974319"/>
    <w:rsid w:val="00974331"/>
    <w:rsid w:val="009743BC"/>
    <w:rsid w:val="009743E1"/>
    <w:rsid w:val="009743E4"/>
    <w:rsid w:val="00974529"/>
    <w:rsid w:val="0097453B"/>
    <w:rsid w:val="00974557"/>
    <w:rsid w:val="0097456A"/>
    <w:rsid w:val="009745EC"/>
    <w:rsid w:val="00974663"/>
    <w:rsid w:val="009746D4"/>
    <w:rsid w:val="0097477B"/>
    <w:rsid w:val="00974782"/>
    <w:rsid w:val="009747CB"/>
    <w:rsid w:val="009747DF"/>
    <w:rsid w:val="009747F6"/>
    <w:rsid w:val="009748EB"/>
    <w:rsid w:val="00974903"/>
    <w:rsid w:val="0097496B"/>
    <w:rsid w:val="00974993"/>
    <w:rsid w:val="00974998"/>
    <w:rsid w:val="009749C5"/>
    <w:rsid w:val="009749D0"/>
    <w:rsid w:val="00974A0E"/>
    <w:rsid w:val="00974AE0"/>
    <w:rsid w:val="00974B1A"/>
    <w:rsid w:val="00974B8E"/>
    <w:rsid w:val="00974CC9"/>
    <w:rsid w:val="00974D75"/>
    <w:rsid w:val="00974E4F"/>
    <w:rsid w:val="00974FC5"/>
    <w:rsid w:val="00974FFA"/>
    <w:rsid w:val="0097502F"/>
    <w:rsid w:val="00975080"/>
    <w:rsid w:val="00975091"/>
    <w:rsid w:val="00975097"/>
    <w:rsid w:val="009750D4"/>
    <w:rsid w:val="009751D3"/>
    <w:rsid w:val="009752A8"/>
    <w:rsid w:val="00975387"/>
    <w:rsid w:val="00975472"/>
    <w:rsid w:val="009754E1"/>
    <w:rsid w:val="00975548"/>
    <w:rsid w:val="009755BA"/>
    <w:rsid w:val="00975632"/>
    <w:rsid w:val="0097563B"/>
    <w:rsid w:val="00975653"/>
    <w:rsid w:val="00975708"/>
    <w:rsid w:val="00975726"/>
    <w:rsid w:val="0097580C"/>
    <w:rsid w:val="00975892"/>
    <w:rsid w:val="009758FD"/>
    <w:rsid w:val="00975936"/>
    <w:rsid w:val="0097594F"/>
    <w:rsid w:val="00975998"/>
    <w:rsid w:val="009759E1"/>
    <w:rsid w:val="00975A5A"/>
    <w:rsid w:val="00975A71"/>
    <w:rsid w:val="00975AD6"/>
    <w:rsid w:val="00975B74"/>
    <w:rsid w:val="00975B8C"/>
    <w:rsid w:val="00975BCA"/>
    <w:rsid w:val="00975BCE"/>
    <w:rsid w:val="00975C39"/>
    <w:rsid w:val="00975D62"/>
    <w:rsid w:val="00975DA1"/>
    <w:rsid w:val="00975E91"/>
    <w:rsid w:val="00975F6F"/>
    <w:rsid w:val="00975F83"/>
    <w:rsid w:val="00976009"/>
    <w:rsid w:val="00976054"/>
    <w:rsid w:val="009760A5"/>
    <w:rsid w:val="009760E2"/>
    <w:rsid w:val="00976107"/>
    <w:rsid w:val="00976129"/>
    <w:rsid w:val="00976158"/>
    <w:rsid w:val="0097615F"/>
    <w:rsid w:val="00976174"/>
    <w:rsid w:val="00976270"/>
    <w:rsid w:val="00976373"/>
    <w:rsid w:val="0097643B"/>
    <w:rsid w:val="009765D3"/>
    <w:rsid w:val="009766F0"/>
    <w:rsid w:val="00976723"/>
    <w:rsid w:val="009767AE"/>
    <w:rsid w:val="009767EF"/>
    <w:rsid w:val="00976886"/>
    <w:rsid w:val="0097691C"/>
    <w:rsid w:val="0097697D"/>
    <w:rsid w:val="0097698C"/>
    <w:rsid w:val="00976A02"/>
    <w:rsid w:val="00976B45"/>
    <w:rsid w:val="00976B7D"/>
    <w:rsid w:val="00976CC9"/>
    <w:rsid w:val="00976CF5"/>
    <w:rsid w:val="00976CFF"/>
    <w:rsid w:val="00976D88"/>
    <w:rsid w:val="00976DA1"/>
    <w:rsid w:val="00976DEF"/>
    <w:rsid w:val="00976E93"/>
    <w:rsid w:val="00976EC6"/>
    <w:rsid w:val="00976EDA"/>
    <w:rsid w:val="00976FA0"/>
    <w:rsid w:val="00976FCD"/>
    <w:rsid w:val="0097701D"/>
    <w:rsid w:val="009770B5"/>
    <w:rsid w:val="00977176"/>
    <w:rsid w:val="009771C2"/>
    <w:rsid w:val="0097723D"/>
    <w:rsid w:val="009772D3"/>
    <w:rsid w:val="00977362"/>
    <w:rsid w:val="009773F5"/>
    <w:rsid w:val="00977426"/>
    <w:rsid w:val="00977498"/>
    <w:rsid w:val="009774E3"/>
    <w:rsid w:val="009774F1"/>
    <w:rsid w:val="0097757D"/>
    <w:rsid w:val="009775A4"/>
    <w:rsid w:val="009775A7"/>
    <w:rsid w:val="0097760F"/>
    <w:rsid w:val="00977676"/>
    <w:rsid w:val="009776AB"/>
    <w:rsid w:val="009776E3"/>
    <w:rsid w:val="0097770F"/>
    <w:rsid w:val="00977717"/>
    <w:rsid w:val="00977742"/>
    <w:rsid w:val="009777CC"/>
    <w:rsid w:val="009777DC"/>
    <w:rsid w:val="009777EF"/>
    <w:rsid w:val="009778C3"/>
    <w:rsid w:val="009778D0"/>
    <w:rsid w:val="009778E5"/>
    <w:rsid w:val="0097794B"/>
    <w:rsid w:val="0097798C"/>
    <w:rsid w:val="009779C8"/>
    <w:rsid w:val="009779E9"/>
    <w:rsid w:val="00977A28"/>
    <w:rsid w:val="00977A80"/>
    <w:rsid w:val="00977C40"/>
    <w:rsid w:val="00977C58"/>
    <w:rsid w:val="00977C66"/>
    <w:rsid w:val="00977C70"/>
    <w:rsid w:val="00977C79"/>
    <w:rsid w:val="00977CFD"/>
    <w:rsid w:val="00977D2D"/>
    <w:rsid w:val="00977E03"/>
    <w:rsid w:val="00977E6F"/>
    <w:rsid w:val="00977F35"/>
    <w:rsid w:val="00977F56"/>
    <w:rsid w:val="0098005E"/>
    <w:rsid w:val="009800DE"/>
    <w:rsid w:val="00980122"/>
    <w:rsid w:val="0098016E"/>
    <w:rsid w:val="00980173"/>
    <w:rsid w:val="0098024E"/>
    <w:rsid w:val="009802AF"/>
    <w:rsid w:val="009802CE"/>
    <w:rsid w:val="0098043B"/>
    <w:rsid w:val="00980471"/>
    <w:rsid w:val="00980491"/>
    <w:rsid w:val="009804CC"/>
    <w:rsid w:val="0098059C"/>
    <w:rsid w:val="0098068C"/>
    <w:rsid w:val="00980697"/>
    <w:rsid w:val="00980743"/>
    <w:rsid w:val="00980770"/>
    <w:rsid w:val="00980784"/>
    <w:rsid w:val="0098097B"/>
    <w:rsid w:val="009809B7"/>
    <w:rsid w:val="009809EC"/>
    <w:rsid w:val="009809FC"/>
    <w:rsid w:val="00980A1E"/>
    <w:rsid w:val="00980A2A"/>
    <w:rsid w:val="00980A89"/>
    <w:rsid w:val="00980A95"/>
    <w:rsid w:val="00980AA0"/>
    <w:rsid w:val="00980AA3"/>
    <w:rsid w:val="00980AF7"/>
    <w:rsid w:val="00980B16"/>
    <w:rsid w:val="00980B2D"/>
    <w:rsid w:val="00980B67"/>
    <w:rsid w:val="00980B99"/>
    <w:rsid w:val="00980BA2"/>
    <w:rsid w:val="00980C47"/>
    <w:rsid w:val="00980C53"/>
    <w:rsid w:val="00980D2D"/>
    <w:rsid w:val="00980D4B"/>
    <w:rsid w:val="00980E02"/>
    <w:rsid w:val="00980F13"/>
    <w:rsid w:val="00980F59"/>
    <w:rsid w:val="00980F74"/>
    <w:rsid w:val="00980FB1"/>
    <w:rsid w:val="00981002"/>
    <w:rsid w:val="00981005"/>
    <w:rsid w:val="0098102D"/>
    <w:rsid w:val="009810A4"/>
    <w:rsid w:val="009810EC"/>
    <w:rsid w:val="0098116B"/>
    <w:rsid w:val="00981197"/>
    <w:rsid w:val="009811BA"/>
    <w:rsid w:val="009811C4"/>
    <w:rsid w:val="009811E0"/>
    <w:rsid w:val="009811E6"/>
    <w:rsid w:val="0098127C"/>
    <w:rsid w:val="00981324"/>
    <w:rsid w:val="00981325"/>
    <w:rsid w:val="009813BE"/>
    <w:rsid w:val="009813E7"/>
    <w:rsid w:val="009814D2"/>
    <w:rsid w:val="00981555"/>
    <w:rsid w:val="009815D4"/>
    <w:rsid w:val="009815EF"/>
    <w:rsid w:val="00981603"/>
    <w:rsid w:val="0098169B"/>
    <w:rsid w:val="009816AD"/>
    <w:rsid w:val="009816C1"/>
    <w:rsid w:val="009816DA"/>
    <w:rsid w:val="0098186D"/>
    <w:rsid w:val="0098188D"/>
    <w:rsid w:val="0098196A"/>
    <w:rsid w:val="0098196C"/>
    <w:rsid w:val="00981A1F"/>
    <w:rsid w:val="00981A23"/>
    <w:rsid w:val="00981A51"/>
    <w:rsid w:val="00981ACA"/>
    <w:rsid w:val="00981B64"/>
    <w:rsid w:val="00981C5D"/>
    <w:rsid w:val="00981D76"/>
    <w:rsid w:val="00981D7E"/>
    <w:rsid w:val="00981DC1"/>
    <w:rsid w:val="00981E2D"/>
    <w:rsid w:val="00981E81"/>
    <w:rsid w:val="00981E96"/>
    <w:rsid w:val="00981E9F"/>
    <w:rsid w:val="00981F68"/>
    <w:rsid w:val="00981F7B"/>
    <w:rsid w:val="00981F86"/>
    <w:rsid w:val="00982001"/>
    <w:rsid w:val="0098208E"/>
    <w:rsid w:val="009820DC"/>
    <w:rsid w:val="0098210A"/>
    <w:rsid w:val="0098211A"/>
    <w:rsid w:val="009821B0"/>
    <w:rsid w:val="00982248"/>
    <w:rsid w:val="00982276"/>
    <w:rsid w:val="00982351"/>
    <w:rsid w:val="0098235F"/>
    <w:rsid w:val="009823FE"/>
    <w:rsid w:val="00982406"/>
    <w:rsid w:val="00982410"/>
    <w:rsid w:val="00982435"/>
    <w:rsid w:val="0098243F"/>
    <w:rsid w:val="00982446"/>
    <w:rsid w:val="0098248C"/>
    <w:rsid w:val="00982627"/>
    <w:rsid w:val="0098271C"/>
    <w:rsid w:val="00982790"/>
    <w:rsid w:val="0098282E"/>
    <w:rsid w:val="00982836"/>
    <w:rsid w:val="009828B8"/>
    <w:rsid w:val="009828BF"/>
    <w:rsid w:val="00982986"/>
    <w:rsid w:val="0098299B"/>
    <w:rsid w:val="009829EB"/>
    <w:rsid w:val="00982AA4"/>
    <w:rsid w:val="00982ABD"/>
    <w:rsid w:val="00982ABF"/>
    <w:rsid w:val="00982BA4"/>
    <w:rsid w:val="00982C3F"/>
    <w:rsid w:val="00982CE2"/>
    <w:rsid w:val="00982D76"/>
    <w:rsid w:val="00982DB2"/>
    <w:rsid w:val="00982DBB"/>
    <w:rsid w:val="00982EAE"/>
    <w:rsid w:val="00982F11"/>
    <w:rsid w:val="00982FD0"/>
    <w:rsid w:val="00983030"/>
    <w:rsid w:val="00983047"/>
    <w:rsid w:val="0098304A"/>
    <w:rsid w:val="0098317D"/>
    <w:rsid w:val="009831C7"/>
    <w:rsid w:val="009831F5"/>
    <w:rsid w:val="00983204"/>
    <w:rsid w:val="0098320E"/>
    <w:rsid w:val="00983312"/>
    <w:rsid w:val="00983328"/>
    <w:rsid w:val="0098337A"/>
    <w:rsid w:val="009833A9"/>
    <w:rsid w:val="009833DB"/>
    <w:rsid w:val="00983405"/>
    <w:rsid w:val="0098340D"/>
    <w:rsid w:val="00983417"/>
    <w:rsid w:val="00983441"/>
    <w:rsid w:val="00983455"/>
    <w:rsid w:val="00983466"/>
    <w:rsid w:val="00983469"/>
    <w:rsid w:val="009834B0"/>
    <w:rsid w:val="0098352F"/>
    <w:rsid w:val="009835D9"/>
    <w:rsid w:val="00983651"/>
    <w:rsid w:val="00983677"/>
    <w:rsid w:val="00983850"/>
    <w:rsid w:val="009838EF"/>
    <w:rsid w:val="0098390F"/>
    <w:rsid w:val="00983911"/>
    <w:rsid w:val="0098393C"/>
    <w:rsid w:val="00983AD6"/>
    <w:rsid w:val="00983AFC"/>
    <w:rsid w:val="00983B56"/>
    <w:rsid w:val="00983C7C"/>
    <w:rsid w:val="00983CAC"/>
    <w:rsid w:val="00983D54"/>
    <w:rsid w:val="00983DC2"/>
    <w:rsid w:val="00983E0C"/>
    <w:rsid w:val="00983E0F"/>
    <w:rsid w:val="00983EBC"/>
    <w:rsid w:val="0098400A"/>
    <w:rsid w:val="00984014"/>
    <w:rsid w:val="00984027"/>
    <w:rsid w:val="00984058"/>
    <w:rsid w:val="00984162"/>
    <w:rsid w:val="00984176"/>
    <w:rsid w:val="0098422C"/>
    <w:rsid w:val="00984256"/>
    <w:rsid w:val="00984273"/>
    <w:rsid w:val="009842AF"/>
    <w:rsid w:val="0098443D"/>
    <w:rsid w:val="0098445F"/>
    <w:rsid w:val="0098448B"/>
    <w:rsid w:val="00984581"/>
    <w:rsid w:val="00984655"/>
    <w:rsid w:val="00984670"/>
    <w:rsid w:val="0098469D"/>
    <w:rsid w:val="009846D4"/>
    <w:rsid w:val="00984773"/>
    <w:rsid w:val="00984802"/>
    <w:rsid w:val="009848D0"/>
    <w:rsid w:val="009848FC"/>
    <w:rsid w:val="00984A63"/>
    <w:rsid w:val="00984A74"/>
    <w:rsid w:val="00984A7C"/>
    <w:rsid w:val="00984A82"/>
    <w:rsid w:val="00984AAF"/>
    <w:rsid w:val="00984AC0"/>
    <w:rsid w:val="00984AC7"/>
    <w:rsid w:val="00984C54"/>
    <w:rsid w:val="00984C9D"/>
    <w:rsid w:val="00984CA3"/>
    <w:rsid w:val="00984D73"/>
    <w:rsid w:val="00984D98"/>
    <w:rsid w:val="00984E00"/>
    <w:rsid w:val="00984E42"/>
    <w:rsid w:val="00984E80"/>
    <w:rsid w:val="00984F09"/>
    <w:rsid w:val="00984F29"/>
    <w:rsid w:val="00984F4F"/>
    <w:rsid w:val="00984FFC"/>
    <w:rsid w:val="00985005"/>
    <w:rsid w:val="0098502B"/>
    <w:rsid w:val="00985034"/>
    <w:rsid w:val="009850EE"/>
    <w:rsid w:val="00985125"/>
    <w:rsid w:val="00985181"/>
    <w:rsid w:val="009851E0"/>
    <w:rsid w:val="00985265"/>
    <w:rsid w:val="009852BD"/>
    <w:rsid w:val="009853C6"/>
    <w:rsid w:val="0098540B"/>
    <w:rsid w:val="00985416"/>
    <w:rsid w:val="00985445"/>
    <w:rsid w:val="00985478"/>
    <w:rsid w:val="00985483"/>
    <w:rsid w:val="00985494"/>
    <w:rsid w:val="0098549B"/>
    <w:rsid w:val="00985512"/>
    <w:rsid w:val="00985567"/>
    <w:rsid w:val="00985574"/>
    <w:rsid w:val="00985596"/>
    <w:rsid w:val="0098561F"/>
    <w:rsid w:val="009856C8"/>
    <w:rsid w:val="009857A9"/>
    <w:rsid w:val="009857D5"/>
    <w:rsid w:val="0098583E"/>
    <w:rsid w:val="00985897"/>
    <w:rsid w:val="00985952"/>
    <w:rsid w:val="00985972"/>
    <w:rsid w:val="0098598E"/>
    <w:rsid w:val="009859A1"/>
    <w:rsid w:val="009859AE"/>
    <w:rsid w:val="009859D2"/>
    <w:rsid w:val="009859FB"/>
    <w:rsid w:val="00985A02"/>
    <w:rsid w:val="00985A66"/>
    <w:rsid w:val="00985B0F"/>
    <w:rsid w:val="00985BC3"/>
    <w:rsid w:val="00985C01"/>
    <w:rsid w:val="00985D38"/>
    <w:rsid w:val="00985D74"/>
    <w:rsid w:val="00985D90"/>
    <w:rsid w:val="00985DD8"/>
    <w:rsid w:val="00985E38"/>
    <w:rsid w:val="00985E78"/>
    <w:rsid w:val="00985F01"/>
    <w:rsid w:val="00985FD4"/>
    <w:rsid w:val="00985FE8"/>
    <w:rsid w:val="00986031"/>
    <w:rsid w:val="00986060"/>
    <w:rsid w:val="009860A5"/>
    <w:rsid w:val="009860A6"/>
    <w:rsid w:val="009860C0"/>
    <w:rsid w:val="009860D6"/>
    <w:rsid w:val="00986190"/>
    <w:rsid w:val="00986193"/>
    <w:rsid w:val="00986195"/>
    <w:rsid w:val="009861D2"/>
    <w:rsid w:val="00986229"/>
    <w:rsid w:val="009862CB"/>
    <w:rsid w:val="009862F8"/>
    <w:rsid w:val="009862FF"/>
    <w:rsid w:val="00986311"/>
    <w:rsid w:val="009863FD"/>
    <w:rsid w:val="00986468"/>
    <w:rsid w:val="0098648E"/>
    <w:rsid w:val="009864CA"/>
    <w:rsid w:val="00986503"/>
    <w:rsid w:val="009865A3"/>
    <w:rsid w:val="009865C3"/>
    <w:rsid w:val="009865D6"/>
    <w:rsid w:val="009865FC"/>
    <w:rsid w:val="0098664F"/>
    <w:rsid w:val="00986665"/>
    <w:rsid w:val="00986668"/>
    <w:rsid w:val="0098666E"/>
    <w:rsid w:val="009866CF"/>
    <w:rsid w:val="0098673A"/>
    <w:rsid w:val="00986753"/>
    <w:rsid w:val="00986759"/>
    <w:rsid w:val="00986811"/>
    <w:rsid w:val="0098689C"/>
    <w:rsid w:val="00986939"/>
    <w:rsid w:val="0098695B"/>
    <w:rsid w:val="00986977"/>
    <w:rsid w:val="009869D4"/>
    <w:rsid w:val="009869DE"/>
    <w:rsid w:val="009869E0"/>
    <w:rsid w:val="009869F5"/>
    <w:rsid w:val="00986A26"/>
    <w:rsid w:val="00986A63"/>
    <w:rsid w:val="00986A86"/>
    <w:rsid w:val="00986B99"/>
    <w:rsid w:val="00986BC9"/>
    <w:rsid w:val="00986BD1"/>
    <w:rsid w:val="00986BEE"/>
    <w:rsid w:val="00986BFD"/>
    <w:rsid w:val="00986D02"/>
    <w:rsid w:val="00986E04"/>
    <w:rsid w:val="00986ED9"/>
    <w:rsid w:val="00986F38"/>
    <w:rsid w:val="00986F41"/>
    <w:rsid w:val="00986F8A"/>
    <w:rsid w:val="00986FE5"/>
    <w:rsid w:val="00986FE8"/>
    <w:rsid w:val="0098703A"/>
    <w:rsid w:val="00987055"/>
    <w:rsid w:val="0098709A"/>
    <w:rsid w:val="009870BC"/>
    <w:rsid w:val="009870FF"/>
    <w:rsid w:val="0098714B"/>
    <w:rsid w:val="00987179"/>
    <w:rsid w:val="00987199"/>
    <w:rsid w:val="009871D5"/>
    <w:rsid w:val="00987203"/>
    <w:rsid w:val="00987269"/>
    <w:rsid w:val="00987384"/>
    <w:rsid w:val="0098743C"/>
    <w:rsid w:val="00987452"/>
    <w:rsid w:val="0098745F"/>
    <w:rsid w:val="00987498"/>
    <w:rsid w:val="0098749A"/>
    <w:rsid w:val="009874AA"/>
    <w:rsid w:val="0098755E"/>
    <w:rsid w:val="009875C2"/>
    <w:rsid w:val="00987641"/>
    <w:rsid w:val="009876BB"/>
    <w:rsid w:val="00987701"/>
    <w:rsid w:val="0098773D"/>
    <w:rsid w:val="009877D4"/>
    <w:rsid w:val="00987834"/>
    <w:rsid w:val="00987841"/>
    <w:rsid w:val="00987842"/>
    <w:rsid w:val="009878AB"/>
    <w:rsid w:val="0098791F"/>
    <w:rsid w:val="00987987"/>
    <w:rsid w:val="009879B2"/>
    <w:rsid w:val="009879DF"/>
    <w:rsid w:val="009879EE"/>
    <w:rsid w:val="00987A72"/>
    <w:rsid w:val="00987A7B"/>
    <w:rsid w:val="00987B81"/>
    <w:rsid w:val="00987BD1"/>
    <w:rsid w:val="00987C03"/>
    <w:rsid w:val="00987C3B"/>
    <w:rsid w:val="00987CB9"/>
    <w:rsid w:val="00987CC6"/>
    <w:rsid w:val="00987CEA"/>
    <w:rsid w:val="00987D57"/>
    <w:rsid w:val="00987D7C"/>
    <w:rsid w:val="00987DFD"/>
    <w:rsid w:val="00987F50"/>
    <w:rsid w:val="00987FCA"/>
    <w:rsid w:val="0099008F"/>
    <w:rsid w:val="009900A8"/>
    <w:rsid w:val="009900CA"/>
    <w:rsid w:val="0099012B"/>
    <w:rsid w:val="00990167"/>
    <w:rsid w:val="00990203"/>
    <w:rsid w:val="00990338"/>
    <w:rsid w:val="00990346"/>
    <w:rsid w:val="0099035B"/>
    <w:rsid w:val="009903D1"/>
    <w:rsid w:val="00990459"/>
    <w:rsid w:val="0099054E"/>
    <w:rsid w:val="009906E4"/>
    <w:rsid w:val="0099073A"/>
    <w:rsid w:val="00990741"/>
    <w:rsid w:val="00990762"/>
    <w:rsid w:val="009907C8"/>
    <w:rsid w:val="00990801"/>
    <w:rsid w:val="00990839"/>
    <w:rsid w:val="009908D3"/>
    <w:rsid w:val="009908EB"/>
    <w:rsid w:val="0099091C"/>
    <w:rsid w:val="00990A67"/>
    <w:rsid w:val="00990ACC"/>
    <w:rsid w:val="00990AEB"/>
    <w:rsid w:val="00990B9A"/>
    <w:rsid w:val="00990CCA"/>
    <w:rsid w:val="00990D40"/>
    <w:rsid w:val="00990D87"/>
    <w:rsid w:val="00990E3B"/>
    <w:rsid w:val="00990E7D"/>
    <w:rsid w:val="00990EEA"/>
    <w:rsid w:val="00990F81"/>
    <w:rsid w:val="00990FBF"/>
    <w:rsid w:val="00990FDE"/>
    <w:rsid w:val="00990FF8"/>
    <w:rsid w:val="0099104D"/>
    <w:rsid w:val="0099109A"/>
    <w:rsid w:val="009910AE"/>
    <w:rsid w:val="0099112F"/>
    <w:rsid w:val="009911C8"/>
    <w:rsid w:val="009911E4"/>
    <w:rsid w:val="00991226"/>
    <w:rsid w:val="00991279"/>
    <w:rsid w:val="00991302"/>
    <w:rsid w:val="00991309"/>
    <w:rsid w:val="0099136C"/>
    <w:rsid w:val="0099142C"/>
    <w:rsid w:val="0099147C"/>
    <w:rsid w:val="0099151A"/>
    <w:rsid w:val="0099153C"/>
    <w:rsid w:val="00991544"/>
    <w:rsid w:val="00991562"/>
    <w:rsid w:val="00991636"/>
    <w:rsid w:val="009916E4"/>
    <w:rsid w:val="009916FC"/>
    <w:rsid w:val="0099175B"/>
    <w:rsid w:val="00991770"/>
    <w:rsid w:val="009917A6"/>
    <w:rsid w:val="009917AF"/>
    <w:rsid w:val="009917DB"/>
    <w:rsid w:val="00991866"/>
    <w:rsid w:val="009918C9"/>
    <w:rsid w:val="00991954"/>
    <w:rsid w:val="0099195E"/>
    <w:rsid w:val="00991969"/>
    <w:rsid w:val="009919B4"/>
    <w:rsid w:val="009919E9"/>
    <w:rsid w:val="00991A30"/>
    <w:rsid w:val="00991ADA"/>
    <w:rsid w:val="00991B4D"/>
    <w:rsid w:val="00991B67"/>
    <w:rsid w:val="00991BDF"/>
    <w:rsid w:val="00991C1F"/>
    <w:rsid w:val="00991CF2"/>
    <w:rsid w:val="00991D0E"/>
    <w:rsid w:val="00991DA9"/>
    <w:rsid w:val="00991DC1"/>
    <w:rsid w:val="00991DF3"/>
    <w:rsid w:val="00991E4C"/>
    <w:rsid w:val="00991E72"/>
    <w:rsid w:val="00991EE7"/>
    <w:rsid w:val="00991F13"/>
    <w:rsid w:val="00991F49"/>
    <w:rsid w:val="00991F5E"/>
    <w:rsid w:val="00991FF6"/>
    <w:rsid w:val="0099201A"/>
    <w:rsid w:val="009920B6"/>
    <w:rsid w:val="009920BC"/>
    <w:rsid w:val="009920BE"/>
    <w:rsid w:val="009920DA"/>
    <w:rsid w:val="0099214D"/>
    <w:rsid w:val="0099218A"/>
    <w:rsid w:val="00992192"/>
    <w:rsid w:val="009921AD"/>
    <w:rsid w:val="0099229D"/>
    <w:rsid w:val="009922E8"/>
    <w:rsid w:val="0099230B"/>
    <w:rsid w:val="00992327"/>
    <w:rsid w:val="00992343"/>
    <w:rsid w:val="0099234F"/>
    <w:rsid w:val="00992352"/>
    <w:rsid w:val="0099238F"/>
    <w:rsid w:val="00992480"/>
    <w:rsid w:val="0099248A"/>
    <w:rsid w:val="009924B7"/>
    <w:rsid w:val="009924CF"/>
    <w:rsid w:val="00992507"/>
    <w:rsid w:val="00992516"/>
    <w:rsid w:val="00992546"/>
    <w:rsid w:val="00992579"/>
    <w:rsid w:val="009925DC"/>
    <w:rsid w:val="009925ED"/>
    <w:rsid w:val="0099263A"/>
    <w:rsid w:val="0099264C"/>
    <w:rsid w:val="00992662"/>
    <w:rsid w:val="009926F1"/>
    <w:rsid w:val="00992714"/>
    <w:rsid w:val="0099272E"/>
    <w:rsid w:val="0099277F"/>
    <w:rsid w:val="009927E3"/>
    <w:rsid w:val="0099289B"/>
    <w:rsid w:val="00992948"/>
    <w:rsid w:val="009929E2"/>
    <w:rsid w:val="00992ACC"/>
    <w:rsid w:val="00992AFB"/>
    <w:rsid w:val="00992B0D"/>
    <w:rsid w:val="00992B1B"/>
    <w:rsid w:val="00992B44"/>
    <w:rsid w:val="00992BB7"/>
    <w:rsid w:val="00992D16"/>
    <w:rsid w:val="00992DB2"/>
    <w:rsid w:val="00992DBF"/>
    <w:rsid w:val="00992E58"/>
    <w:rsid w:val="00992E88"/>
    <w:rsid w:val="00992EAD"/>
    <w:rsid w:val="00992EEB"/>
    <w:rsid w:val="00992F26"/>
    <w:rsid w:val="00992F30"/>
    <w:rsid w:val="00992F51"/>
    <w:rsid w:val="00992F9E"/>
    <w:rsid w:val="00992FB6"/>
    <w:rsid w:val="00992FC6"/>
    <w:rsid w:val="00992FF9"/>
    <w:rsid w:val="00993075"/>
    <w:rsid w:val="0099309A"/>
    <w:rsid w:val="009930F4"/>
    <w:rsid w:val="0099317A"/>
    <w:rsid w:val="00993195"/>
    <w:rsid w:val="00993199"/>
    <w:rsid w:val="009931F9"/>
    <w:rsid w:val="009931FC"/>
    <w:rsid w:val="00993211"/>
    <w:rsid w:val="00993408"/>
    <w:rsid w:val="00993411"/>
    <w:rsid w:val="00993520"/>
    <w:rsid w:val="009935AC"/>
    <w:rsid w:val="00993654"/>
    <w:rsid w:val="0099365F"/>
    <w:rsid w:val="00993715"/>
    <w:rsid w:val="00993728"/>
    <w:rsid w:val="00993852"/>
    <w:rsid w:val="00993884"/>
    <w:rsid w:val="0099389E"/>
    <w:rsid w:val="00993920"/>
    <w:rsid w:val="0099398C"/>
    <w:rsid w:val="009939A9"/>
    <w:rsid w:val="009939B4"/>
    <w:rsid w:val="00993A15"/>
    <w:rsid w:val="00993A45"/>
    <w:rsid w:val="00993AE9"/>
    <w:rsid w:val="00993B39"/>
    <w:rsid w:val="00993B4D"/>
    <w:rsid w:val="00993CD4"/>
    <w:rsid w:val="00993D61"/>
    <w:rsid w:val="00993D6D"/>
    <w:rsid w:val="00993E73"/>
    <w:rsid w:val="00993E7F"/>
    <w:rsid w:val="00993EE7"/>
    <w:rsid w:val="00993F41"/>
    <w:rsid w:val="00993F64"/>
    <w:rsid w:val="00993F90"/>
    <w:rsid w:val="00993FBD"/>
    <w:rsid w:val="009940A4"/>
    <w:rsid w:val="009940BF"/>
    <w:rsid w:val="0099410A"/>
    <w:rsid w:val="00994121"/>
    <w:rsid w:val="00994144"/>
    <w:rsid w:val="0099417E"/>
    <w:rsid w:val="00994187"/>
    <w:rsid w:val="00994195"/>
    <w:rsid w:val="00994202"/>
    <w:rsid w:val="0099435C"/>
    <w:rsid w:val="0099436F"/>
    <w:rsid w:val="0099439A"/>
    <w:rsid w:val="009943FC"/>
    <w:rsid w:val="00994407"/>
    <w:rsid w:val="0099442D"/>
    <w:rsid w:val="009944AD"/>
    <w:rsid w:val="00994573"/>
    <w:rsid w:val="00994623"/>
    <w:rsid w:val="0099468B"/>
    <w:rsid w:val="009946A2"/>
    <w:rsid w:val="009946B6"/>
    <w:rsid w:val="009946E3"/>
    <w:rsid w:val="009946F5"/>
    <w:rsid w:val="00994760"/>
    <w:rsid w:val="009947F6"/>
    <w:rsid w:val="009948A3"/>
    <w:rsid w:val="009948C6"/>
    <w:rsid w:val="00994944"/>
    <w:rsid w:val="00994B1C"/>
    <w:rsid w:val="00994B5B"/>
    <w:rsid w:val="00994B78"/>
    <w:rsid w:val="00994B93"/>
    <w:rsid w:val="00994B9B"/>
    <w:rsid w:val="00994C3F"/>
    <w:rsid w:val="00994C79"/>
    <w:rsid w:val="00994D0E"/>
    <w:rsid w:val="00994E95"/>
    <w:rsid w:val="00994EF3"/>
    <w:rsid w:val="00994F9E"/>
    <w:rsid w:val="00994FC2"/>
    <w:rsid w:val="00994FC6"/>
    <w:rsid w:val="00994FE3"/>
    <w:rsid w:val="0099519A"/>
    <w:rsid w:val="00995228"/>
    <w:rsid w:val="00995234"/>
    <w:rsid w:val="009952A1"/>
    <w:rsid w:val="00995339"/>
    <w:rsid w:val="0099539E"/>
    <w:rsid w:val="00995404"/>
    <w:rsid w:val="00995441"/>
    <w:rsid w:val="009954AF"/>
    <w:rsid w:val="009954CB"/>
    <w:rsid w:val="0099552B"/>
    <w:rsid w:val="00995596"/>
    <w:rsid w:val="009955B7"/>
    <w:rsid w:val="0099561C"/>
    <w:rsid w:val="009956B7"/>
    <w:rsid w:val="009956E4"/>
    <w:rsid w:val="0099578D"/>
    <w:rsid w:val="0099584B"/>
    <w:rsid w:val="009958C2"/>
    <w:rsid w:val="009959FE"/>
    <w:rsid w:val="00995A05"/>
    <w:rsid w:val="00995A7C"/>
    <w:rsid w:val="00995A86"/>
    <w:rsid w:val="00995B02"/>
    <w:rsid w:val="00995B6F"/>
    <w:rsid w:val="00995B7B"/>
    <w:rsid w:val="00995B7E"/>
    <w:rsid w:val="00995BB4"/>
    <w:rsid w:val="00995C08"/>
    <w:rsid w:val="00995C79"/>
    <w:rsid w:val="00995CB5"/>
    <w:rsid w:val="00995D02"/>
    <w:rsid w:val="00995D14"/>
    <w:rsid w:val="00995D4B"/>
    <w:rsid w:val="00995DE6"/>
    <w:rsid w:val="00995E26"/>
    <w:rsid w:val="00995E31"/>
    <w:rsid w:val="00995F32"/>
    <w:rsid w:val="00995F7E"/>
    <w:rsid w:val="0099604F"/>
    <w:rsid w:val="0099606F"/>
    <w:rsid w:val="00996104"/>
    <w:rsid w:val="00996109"/>
    <w:rsid w:val="0099615D"/>
    <w:rsid w:val="009961B8"/>
    <w:rsid w:val="00996228"/>
    <w:rsid w:val="009962A9"/>
    <w:rsid w:val="0099635C"/>
    <w:rsid w:val="0099636F"/>
    <w:rsid w:val="009963E1"/>
    <w:rsid w:val="0099640F"/>
    <w:rsid w:val="009964D4"/>
    <w:rsid w:val="009964E5"/>
    <w:rsid w:val="00996628"/>
    <w:rsid w:val="009966BC"/>
    <w:rsid w:val="0099672E"/>
    <w:rsid w:val="00996756"/>
    <w:rsid w:val="00996793"/>
    <w:rsid w:val="009967B6"/>
    <w:rsid w:val="00996814"/>
    <w:rsid w:val="009968BF"/>
    <w:rsid w:val="009968DC"/>
    <w:rsid w:val="0099691A"/>
    <w:rsid w:val="00996941"/>
    <w:rsid w:val="0099696B"/>
    <w:rsid w:val="0099699F"/>
    <w:rsid w:val="009969AF"/>
    <w:rsid w:val="009969E3"/>
    <w:rsid w:val="00996A45"/>
    <w:rsid w:val="00996AC7"/>
    <w:rsid w:val="00996AE0"/>
    <w:rsid w:val="00996BB0"/>
    <w:rsid w:val="00996C10"/>
    <w:rsid w:val="00996C8C"/>
    <w:rsid w:val="00996DA3"/>
    <w:rsid w:val="00996E01"/>
    <w:rsid w:val="00996E0F"/>
    <w:rsid w:val="00996EB9"/>
    <w:rsid w:val="00996F03"/>
    <w:rsid w:val="00996F0B"/>
    <w:rsid w:val="00996F1D"/>
    <w:rsid w:val="00996FCB"/>
    <w:rsid w:val="00997023"/>
    <w:rsid w:val="00997067"/>
    <w:rsid w:val="00997117"/>
    <w:rsid w:val="0099721F"/>
    <w:rsid w:val="0099722B"/>
    <w:rsid w:val="00997237"/>
    <w:rsid w:val="00997239"/>
    <w:rsid w:val="009972B4"/>
    <w:rsid w:val="009972C7"/>
    <w:rsid w:val="009972FE"/>
    <w:rsid w:val="00997302"/>
    <w:rsid w:val="0099731C"/>
    <w:rsid w:val="00997367"/>
    <w:rsid w:val="009973FA"/>
    <w:rsid w:val="00997468"/>
    <w:rsid w:val="009974E0"/>
    <w:rsid w:val="00997545"/>
    <w:rsid w:val="009975CE"/>
    <w:rsid w:val="00997621"/>
    <w:rsid w:val="009976A1"/>
    <w:rsid w:val="009976A3"/>
    <w:rsid w:val="009976EF"/>
    <w:rsid w:val="009976F1"/>
    <w:rsid w:val="009976FF"/>
    <w:rsid w:val="009977FA"/>
    <w:rsid w:val="00997808"/>
    <w:rsid w:val="0099780F"/>
    <w:rsid w:val="0099788B"/>
    <w:rsid w:val="009978C3"/>
    <w:rsid w:val="00997977"/>
    <w:rsid w:val="00997A00"/>
    <w:rsid w:val="00997A6C"/>
    <w:rsid w:val="00997A80"/>
    <w:rsid w:val="00997AFB"/>
    <w:rsid w:val="00997B41"/>
    <w:rsid w:val="00997B74"/>
    <w:rsid w:val="00997B8B"/>
    <w:rsid w:val="00997C3F"/>
    <w:rsid w:val="00997CFB"/>
    <w:rsid w:val="00997D5D"/>
    <w:rsid w:val="00997D98"/>
    <w:rsid w:val="00997D9B"/>
    <w:rsid w:val="00997E3D"/>
    <w:rsid w:val="00997EC8"/>
    <w:rsid w:val="00997ED9"/>
    <w:rsid w:val="00997EE8"/>
    <w:rsid w:val="00997F0D"/>
    <w:rsid w:val="00997F53"/>
    <w:rsid w:val="00997FDC"/>
    <w:rsid w:val="009A000B"/>
    <w:rsid w:val="009A0031"/>
    <w:rsid w:val="009A0037"/>
    <w:rsid w:val="009A0113"/>
    <w:rsid w:val="009A01D5"/>
    <w:rsid w:val="009A0205"/>
    <w:rsid w:val="009A0258"/>
    <w:rsid w:val="009A0275"/>
    <w:rsid w:val="009A02E9"/>
    <w:rsid w:val="009A02FE"/>
    <w:rsid w:val="009A0308"/>
    <w:rsid w:val="009A038A"/>
    <w:rsid w:val="009A039C"/>
    <w:rsid w:val="009A0457"/>
    <w:rsid w:val="009A04F3"/>
    <w:rsid w:val="009A05BD"/>
    <w:rsid w:val="009A0655"/>
    <w:rsid w:val="009A0793"/>
    <w:rsid w:val="009A07A4"/>
    <w:rsid w:val="009A07B8"/>
    <w:rsid w:val="009A07E5"/>
    <w:rsid w:val="009A0805"/>
    <w:rsid w:val="009A0879"/>
    <w:rsid w:val="009A08C8"/>
    <w:rsid w:val="009A0960"/>
    <w:rsid w:val="009A0998"/>
    <w:rsid w:val="009A0AF3"/>
    <w:rsid w:val="009A0BEC"/>
    <w:rsid w:val="009A0C1F"/>
    <w:rsid w:val="009A0CC6"/>
    <w:rsid w:val="009A0DBD"/>
    <w:rsid w:val="009A0E23"/>
    <w:rsid w:val="009A0E58"/>
    <w:rsid w:val="009A0F16"/>
    <w:rsid w:val="009A1002"/>
    <w:rsid w:val="009A1009"/>
    <w:rsid w:val="009A1091"/>
    <w:rsid w:val="009A10C3"/>
    <w:rsid w:val="009A113D"/>
    <w:rsid w:val="009A11DE"/>
    <w:rsid w:val="009A1224"/>
    <w:rsid w:val="009A1240"/>
    <w:rsid w:val="009A1254"/>
    <w:rsid w:val="009A1281"/>
    <w:rsid w:val="009A1319"/>
    <w:rsid w:val="009A1327"/>
    <w:rsid w:val="009A137F"/>
    <w:rsid w:val="009A1449"/>
    <w:rsid w:val="009A1471"/>
    <w:rsid w:val="009A14BB"/>
    <w:rsid w:val="009A14D4"/>
    <w:rsid w:val="009A15E7"/>
    <w:rsid w:val="009A16B2"/>
    <w:rsid w:val="009A1701"/>
    <w:rsid w:val="009A1706"/>
    <w:rsid w:val="009A1733"/>
    <w:rsid w:val="009A17E8"/>
    <w:rsid w:val="009A1836"/>
    <w:rsid w:val="009A1858"/>
    <w:rsid w:val="009A189E"/>
    <w:rsid w:val="009A1901"/>
    <w:rsid w:val="009A1960"/>
    <w:rsid w:val="009A1A49"/>
    <w:rsid w:val="009A1AE0"/>
    <w:rsid w:val="009A1B69"/>
    <w:rsid w:val="009A1B80"/>
    <w:rsid w:val="009A1B9F"/>
    <w:rsid w:val="009A1C3B"/>
    <w:rsid w:val="009A1C59"/>
    <w:rsid w:val="009A1C6C"/>
    <w:rsid w:val="009A1C76"/>
    <w:rsid w:val="009A1CBC"/>
    <w:rsid w:val="009A1E02"/>
    <w:rsid w:val="009A1EA4"/>
    <w:rsid w:val="009A1EBE"/>
    <w:rsid w:val="009A1EEC"/>
    <w:rsid w:val="009A2017"/>
    <w:rsid w:val="009A2059"/>
    <w:rsid w:val="009A2090"/>
    <w:rsid w:val="009A2113"/>
    <w:rsid w:val="009A2127"/>
    <w:rsid w:val="009A22EF"/>
    <w:rsid w:val="009A2328"/>
    <w:rsid w:val="009A2362"/>
    <w:rsid w:val="009A23ED"/>
    <w:rsid w:val="009A23FC"/>
    <w:rsid w:val="009A2401"/>
    <w:rsid w:val="009A25A6"/>
    <w:rsid w:val="009A2675"/>
    <w:rsid w:val="009A268D"/>
    <w:rsid w:val="009A26A8"/>
    <w:rsid w:val="009A26DC"/>
    <w:rsid w:val="009A26E6"/>
    <w:rsid w:val="009A27B2"/>
    <w:rsid w:val="009A2822"/>
    <w:rsid w:val="009A28DE"/>
    <w:rsid w:val="009A293E"/>
    <w:rsid w:val="009A296A"/>
    <w:rsid w:val="009A2994"/>
    <w:rsid w:val="009A29C1"/>
    <w:rsid w:val="009A29FC"/>
    <w:rsid w:val="009A2A11"/>
    <w:rsid w:val="009A2A3C"/>
    <w:rsid w:val="009A2B02"/>
    <w:rsid w:val="009A2B45"/>
    <w:rsid w:val="009A2B66"/>
    <w:rsid w:val="009A2C17"/>
    <w:rsid w:val="009A2C50"/>
    <w:rsid w:val="009A2C95"/>
    <w:rsid w:val="009A2D55"/>
    <w:rsid w:val="009A2D8E"/>
    <w:rsid w:val="009A2DAE"/>
    <w:rsid w:val="009A2E03"/>
    <w:rsid w:val="009A2E25"/>
    <w:rsid w:val="009A2EA5"/>
    <w:rsid w:val="009A2EC7"/>
    <w:rsid w:val="009A2F5E"/>
    <w:rsid w:val="009A2F68"/>
    <w:rsid w:val="009A3016"/>
    <w:rsid w:val="009A3055"/>
    <w:rsid w:val="009A306C"/>
    <w:rsid w:val="009A30B2"/>
    <w:rsid w:val="009A30C9"/>
    <w:rsid w:val="009A3113"/>
    <w:rsid w:val="009A31B7"/>
    <w:rsid w:val="009A325B"/>
    <w:rsid w:val="009A3268"/>
    <w:rsid w:val="009A3288"/>
    <w:rsid w:val="009A328E"/>
    <w:rsid w:val="009A32A9"/>
    <w:rsid w:val="009A32E5"/>
    <w:rsid w:val="009A3303"/>
    <w:rsid w:val="009A331E"/>
    <w:rsid w:val="009A3398"/>
    <w:rsid w:val="009A340B"/>
    <w:rsid w:val="009A342B"/>
    <w:rsid w:val="009A3462"/>
    <w:rsid w:val="009A34B2"/>
    <w:rsid w:val="009A34B8"/>
    <w:rsid w:val="009A3569"/>
    <w:rsid w:val="009A3571"/>
    <w:rsid w:val="009A36AE"/>
    <w:rsid w:val="009A3789"/>
    <w:rsid w:val="009A38CD"/>
    <w:rsid w:val="009A394D"/>
    <w:rsid w:val="009A3988"/>
    <w:rsid w:val="009A39B9"/>
    <w:rsid w:val="009A39E7"/>
    <w:rsid w:val="009A3A06"/>
    <w:rsid w:val="009A3A39"/>
    <w:rsid w:val="009A3A41"/>
    <w:rsid w:val="009A3B06"/>
    <w:rsid w:val="009A3B60"/>
    <w:rsid w:val="009A3B68"/>
    <w:rsid w:val="009A3C08"/>
    <w:rsid w:val="009A3C56"/>
    <w:rsid w:val="009A3D70"/>
    <w:rsid w:val="009A3D93"/>
    <w:rsid w:val="009A3DE0"/>
    <w:rsid w:val="009A3E03"/>
    <w:rsid w:val="009A3E34"/>
    <w:rsid w:val="009A3F05"/>
    <w:rsid w:val="009A3FE7"/>
    <w:rsid w:val="009A40DA"/>
    <w:rsid w:val="009A4111"/>
    <w:rsid w:val="009A4120"/>
    <w:rsid w:val="009A4176"/>
    <w:rsid w:val="009A41E0"/>
    <w:rsid w:val="009A4233"/>
    <w:rsid w:val="009A4258"/>
    <w:rsid w:val="009A42C7"/>
    <w:rsid w:val="009A42DA"/>
    <w:rsid w:val="009A42EE"/>
    <w:rsid w:val="009A433C"/>
    <w:rsid w:val="009A437F"/>
    <w:rsid w:val="009A43FC"/>
    <w:rsid w:val="009A4416"/>
    <w:rsid w:val="009A446E"/>
    <w:rsid w:val="009A4473"/>
    <w:rsid w:val="009A447E"/>
    <w:rsid w:val="009A4557"/>
    <w:rsid w:val="009A45A1"/>
    <w:rsid w:val="009A45AA"/>
    <w:rsid w:val="009A45B9"/>
    <w:rsid w:val="009A45CE"/>
    <w:rsid w:val="009A46C6"/>
    <w:rsid w:val="009A473B"/>
    <w:rsid w:val="009A4742"/>
    <w:rsid w:val="009A47DC"/>
    <w:rsid w:val="009A47F3"/>
    <w:rsid w:val="009A48A7"/>
    <w:rsid w:val="009A48A8"/>
    <w:rsid w:val="009A48A9"/>
    <w:rsid w:val="009A48DB"/>
    <w:rsid w:val="009A492F"/>
    <w:rsid w:val="009A4979"/>
    <w:rsid w:val="009A49F0"/>
    <w:rsid w:val="009A4B04"/>
    <w:rsid w:val="009A4B1F"/>
    <w:rsid w:val="009A4B52"/>
    <w:rsid w:val="009A4BAD"/>
    <w:rsid w:val="009A4C15"/>
    <w:rsid w:val="009A4CD8"/>
    <w:rsid w:val="009A4D30"/>
    <w:rsid w:val="009A4D53"/>
    <w:rsid w:val="009A4E0C"/>
    <w:rsid w:val="009A4E71"/>
    <w:rsid w:val="009A4ECC"/>
    <w:rsid w:val="009A4F1F"/>
    <w:rsid w:val="009A4F2F"/>
    <w:rsid w:val="009A4F32"/>
    <w:rsid w:val="009A4F51"/>
    <w:rsid w:val="009A5043"/>
    <w:rsid w:val="009A508F"/>
    <w:rsid w:val="009A50CC"/>
    <w:rsid w:val="009A50DE"/>
    <w:rsid w:val="009A51C3"/>
    <w:rsid w:val="009A51D5"/>
    <w:rsid w:val="009A5232"/>
    <w:rsid w:val="009A5265"/>
    <w:rsid w:val="009A52BE"/>
    <w:rsid w:val="009A5375"/>
    <w:rsid w:val="009A53E5"/>
    <w:rsid w:val="009A543D"/>
    <w:rsid w:val="009A54FF"/>
    <w:rsid w:val="009A5508"/>
    <w:rsid w:val="009A5539"/>
    <w:rsid w:val="009A5569"/>
    <w:rsid w:val="009A55B7"/>
    <w:rsid w:val="009A56BA"/>
    <w:rsid w:val="009A56ED"/>
    <w:rsid w:val="009A56F5"/>
    <w:rsid w:val="009A574E"/>
    <w:rsid w:val="009A57FA"/>
    <w:rsid w:val="009A586F"/>
    <w:rsid w:val="009A5876"/>
    <w:rsid w:val="009A587E"/>
    <w:rsid w:val="009A5902"/>
    <w:rsid w:val="009A597D"/>
    <w:rsid w:val="009A59C2"/>
    <w:rsid w:val="009A5B3B"/>
    <w:rsid w:val="009A5C37"/>
    <w:rsid w:val="009A5CFA"/>
    <w:rsid w:val="009A5D0D"/>
    <w:rsid w:val="009A5E4A"/>
    <w:rsid w:val="009A5EAF"/>
    <w:rsid w:val="009A5EDE"/>
    <w:rsid w:val="009A5EF2"/>
    <w:rsid w:val="009A5FC5"/>
    <w:rsid w:val="009A603D"/>
    <w:rsid w:val="009A6074"/>
    <w:rsid w:val="009A6103"/>
    <w:rsid w:val="009A6145"/>
    <w:rsid w:val="009A616F"/>
    <w:rsid w:val="009A61C7"/>
    <w:rsid w:val="009A6293"/>
    <w:rsid w:val="009A6316"/>
    <w:rsid w:val="009A631F"/>
    <w:rsid w:val="009A63C9"/>
    <w:rsid w:val="009A6445"/>
    <w:rsid w:val="009A647B"/>
    <w:rsid w:val="009A64CF"/>
    <w:rsid w:val="009A6562"/>
    <w:rsid w:val="009A6592"/>
    <w:rsid w:val="009A6596"/>
    <w:rsid w:val="009A65BC"/>
    <w:rsid w:val="009A65BD"/>
    <w:rsid w:val="009A65D0"/>
    <w:rsid w:val="009A6607"/>
    <w:rsid w:val="009A6627"/>
    <w:rsid w:val="009A6640"/>
    <w:rsid w:val="009A6751"/>
    <w:rsid w:val="009A67A0"/>
    <w:rsid w:val="009A67E5"/>
    <w:rsid w:val="009A684A"/>
    <w:rsid w:val="009A6954"/>
    <w:rsid w:val="009A6958"/>
    <w:rsid w:val="009A6962"/>
    <w:rsid w:val="009A6964"/>
    <w:rsid w:val="009A6AA7"/>
    <w:rsid w:val="009A6AF4"/>
    <w:rsid w:val="009A6B8D"/>
    <w:rsid w:val="009A6BC6"/>
    <w:rsid w:val="009A6BCA"/>
    <w:rsid w:val="009A6BFA"/>
    <w:rsid w:val="009A6C30"/>
    <w:rsid w:val="009A6C55"/>
    <w:rsid w:val="009A6C73"/>
    <w:rsid w:val="009A6C78"/>
    <w:rsid w:val="009A6CB9"/>
    <w:rsid w:val="009A6CC3"/>
    <w:rsid w:val="009A6D00"/>
    <w:rsid w:val="009A6D09"/>
    <w:rsid w:val="009A6D1C"/>
    <w:rsid w:val="009A6DED"/>
    <w:rsid w:val="009A6E2C"/>
    <w:rsid w:val="009A6EA0"/>
    <w:rsid w:val="009A6EB8"/>
    <w:rsid w:val="009A6ED9"/>
    <w:rsid w:val="009A6EE2"/>
    <w:rsid w:val="009A6EE6"/>
    <w:rsid w:val="009A6F51"/>
    <w:rsid w:val="009A6F70"/>
    <w:rsid w:val="009A703E"/>
    <w:rsid w:val="009A70D9"/>
    <w:rsid w:val="009A72C0"/>
    <w:rsid w:val="009A72CF"/>
    <w:rsid w:val="009A7346"/>
    <w:rsid w:val="009A73BE"/>
    <w:rsid w:val="009A73EB"/>
    <w:rsid w:val="009A7484"/>
    <w:rsid w:val="009A74C4"/>
    <w:rsid w:val="009A75C4"/>
    <w:rsid w:val="009A75E3"/>
    <w:rsid w:val="009A75E6"/>
    <w:rsid w:val="009A764F"/>
    <w:rsid w:val="009A76D2"/>
    <w:rsid w:val="009A7703"/>
    <w:rsid w:val="009A7709"/>
    <w:rsid w:val="009A7746"/>
    <w:rsid w:val="009A776F"/>
    <w:rsid w:val="009A778B"/>
    <w:rsid w:val="009A77AB"/>
    <w:rsid w:val="009A77B8"/>
    <w:rsid w:val="009A77C6"/>
    <w:rsid w:val="009A78C9"/>
    <w:rsid w:val="009A79B1"/>
    <w:rsid w:val="009A79CE"/>
    <w:rsid w:val="009A7AA8"/>
    <w:rsid w:val="009A7AD2"/>
    <w:rsid w:val="009A7B21"/>
    <w:rsid w:val="009A7BC1"/>
    <w:rsid w:val="009A7C3E"/>
    <w:rsid w:val="009A7CCC"/>
    <w:rsid w:val="009A7D2F"/>
    <w:rsid w:val="009A7D63"/>
    <w:rsid w:val="009A7E7A"/>
    <w:rsid w:val="009A7E92"/>
    <w:rsid w:val="009A7F77"/>
    <w:rsid w:val="009B0089"/>
    <w:rsid w:val="009B008D"/>
    <w:rsid w:val="009B00F4"/>
    <w:rsid w:val="009B010C"/>
    <w:rsid w:val="009B0112"/>
    <w:rsid w:val="009B0117"/>
    <w:rsid w:val="009B0119"/>
    <w:rsid w:val="009B0176"/>
    <w:rsid w:val="009B01E5"/>
    <w:rsid w:val="009B0293"/>
    <w:rsid w:val="009B02B8"/>
    <w:rsid w:val="009B03F2"/>
    <w:rsid w:val="009B0502"/>
    <w:rsid w:val="009B052E"/>
    <w:rsid w:val="009B05B8"/>
    <w:rsid w:val="009B05D0"/>
    <w:rsid w:val="009B0665"/>
    <w:rsid w:val="009B0690"/>
    <w:rsid w:val="009B06E3"/>
    <w:rsid w:val="009B070B"/>
    <w:rsid w:val="009B0715"/>
    <w:rsid w:val="009B073F"/>
    <w:rsid w:val="009B0745"/>
    <w:rsid w:val="009B07D1"/>
    <w:rsid w:val="009B07E9"/>
    <w:rsid w:val="009B07EB"/>
    <w:rsid w:val="009B08F2"/>
    <w:rsid w:val="009B0976"/>
    <w:rsid w:val="009B098D"/>
    <w:rsid w:val="009B09B0"/>
    <w:rsid w:val="009B09BF"/>
    <w:rsid w:val="009B0A60"/>
    <w:rsid w:val="009B0AD6"/>
    <w:rsid w:val="009B0B46"/>
    <w:rsid w:val="009B0B4B"/>
    <w:rsid w:val="009B0BA7"/>
    <w:rsid w:val="009B0BC6"/>
    <w:rsid w:val="009B0BDC"/>
    <w:rsid w:val="009B0D35"/>
    <w:rsid w:val="009B0D7B"/>
    <w:rsid w:val="009B0D87"/>
    <w:rsid w:val="009B0D89"/>
    <w:rsid w:val="009B0DA2"/>
    <w:rsid w:val="009B0E6C"/>
    <w:rsid w:val="009B0F02"/>
    <w:rsid w:val="009B0F0B"/>
    <w:rsid w:val="009B0F5B"/>
    <w:rsid w:val="009B0F9E"/>
    <w:rsid w:val="009B0FA2"/>
    <w:rsid w:val="009B101F"/>
    <w:rsid w:val="009B1039"/>
    <w:rsid w:val="009B1068"/>
    <w:rsid w:val="009B10CB"/>
    <w:rsid w:val="009B111F"/>
    <w:rsid w:val="009B1176"/>
    <w:rsid w:val="009B1224"/>
    <w:rsid w:val="009B1340"/>
    <w:rsid w:val="009B15D0"/>
    <w:rsid w:val="009B15FE"/>
    <w:rsid w:val="009B16D6"/>
    <w:rsid w:val="009B172F"/>
    <w:rsid w:val="009B181D"/>
    <w:rsid w:val="009B1837"/>
    <w:rsid w:val="009B1845"/>
    <w:rsid w:val="009B191D"/>
    <w:rsid w:val="009B198C"/>
    <w:rsid w:val="009B1990"/>
    <w:rsid w:val="009B1998"/>
    <w:rsid w:val="009B1A09"/>
    <w:rsid w:val="009B1A76"/>
    <w:rsid w:val="009B1A9A"/>
    <w:rsid w:val="009B1ADA"/>
    <w:rsid w:val="009B1B0A"/>
    <w:rsid w:val="009B1B66"/>
    <w:rsid w:val="009B1B9B"/>
    <w:rsid w:val="009B1BDF"/>
    <w:rsid w:val="009B1BF3"/>
    <w:rsid w:val="009B1C23"/>
    <w:rsid w:val="009B1C3C"/>
    <w:rsid w:val="009B1CFB"/>
    <w:rsid w:val="009B1D15"/>
    <w:rsid w:val="009B1D1A"/>
    <w:rsid w:val="009B1D40"/>
    <w:rsid w:val="009B1D45"/>
    <w:rsid w:val="009B1D62"/>
    <w:rsid w:val="009B1DAA"/>
    <w:rsid w:val="009B1E00"/>
    <w:rsid w:val="009B1E2B"/>
    <w:rsid w:val="009B1E5F"/>
    <w:rsid w:val="009B1EFD"/>
    <w:rsid w:val="009B1F0D"/>
    <w:rsid w:val="009B1FCB"/>
    <w:rsid w:val="009B203D"/>
    <w:rsid w:val="009B2051"/>
    <w:rsid w:val="009B20FF"/>
    <w:rsid w:val="009B2108"/>
    <w:rsid w:val="009B2145"/>
    <w:rsid w:val="009B2161"/>
    <w:rsid w:val="009B2233"/>
    <w:rsid w:val="009B227A"/>
    <w:rsid w:val="009B227B"/>
    <w:rsid w:val="009B2297"/>
    <w:rsid w:val="009B22C2"/>
    <w:rsid w:val="009B24AC"/>
    <w:rsid w:val="009B2660"/>
    <w:rsid w:val="009B2686"/>
    <w:rsid w:val="009B273A"/>
    <w:rsid w:val="009B2741"/>
    <w:rsid w:val="009B2775"/>
    <w:rsid w:val="009B2875"/>
    <w:rsid w:val="009B28A5"/>
    <w:rsid w:val="009B29BC"/>
    <w:rsid w:val="009B2A1D"/>
    <w:rsid w:val="009B2A1E"/>
    <w:rsid w:val="009B2B88"/>
    <w:rsid w:val="009B2B8A"/>
    <w:rsid w:val="009B2C02"/>
    <w:rsid w:val="009B2C1A"/>
    <w:rsid w:val="009B2C4E"/>
    <w:rsid w:val="009B2CDB"/>
    <w:rsid w:val="009B2D1B"/>
    <w:rsid w:val="009B2DB2"/>
    <w:rsid w:val="009B2DC2"/>
    <w:rsid w:val="009B2E12"/>
    <w:rsid w:val="009B2F61"/>
    <w:rsid w:val="009B3026"/>
    <w:rsid w:val="009B30A2"/>
    <w:rsid w:val="009B310C"/>
    <w:rsid w:val="009B32F4"/>
    <w:rsid w:val="009B33DC"/>
    <w:rsid w:val="009B3598"/>
    <w:rsid w:val="009B3612"/>
    <w:rsid w:val="009B364A"/>
    <w:rsid w:val="009B3682"/>
    <w:rsid w:val="009B371A"/>
    <w:rsid w:val="009B373A"/>
    <w:rsid w:val="009B376E"/>
    <w:rsid w:val="009B378C"/>
    <w:rsid w:val="009B394E"/>
    <w:rsid w:val="009B396A"/>
    <w:rsid w:val="009B39B9"/>
    <w:rsid w:val="009B3A48"/>
    <w:rsid w:val="009B3ACD"/>
    <w:rsid w:val="009B3AD3"/>
    <w:rsid w:val="009B3AE9"/>
    <w:rsid w:val="009B3BEE"/>
    <w:rsid w:val="009B3C38"/>
    <w:rsid w:val="009B3C81"/>
    <w:rsid w:val="009B3C8C"/>
    <w:rsid w:val="009B3CFB"/>
    <w:rsid w:val="009B3D2C"/>
    <w:rsid w:val="009B3D59"/>
    <w:rsid w:val="009B3D5C"/>
    <w:rsid w:val="009B3DC6"/>
    <w:rsid w:val="009B3E03"/>
    <w:rsid w:val="009B3E6C"/>
    <w:rsid w:val="009B3F1B"/>
    <w:rsid w:val="009B3F68"/>
    <w:rsid w:val="009B3F74"/>
    <w:rsid w:val="009B4005"/>
    <w:rsid w:val="009B400D"/>
    <w:rsid w:val="009B40D0"/>
    <w:rsid w:val="009B4141"/>
    <w:rsid w:val="009B419A"/>
    <w:rsid w:val="009B426B"/>
    <w:rsid w:val="009B42C0"/>
    <w:rsid w:val="009B42CC"/>
    <w:rsid w:val="009B43B3"/>
    <w:rsid w:val="009B4468"/>
    <w:rsid w:val="009B44DD"/>
    <w:rsid w:val="009B45CB"/>
    <w:rsid w:val="009B4694"/>
    <w:rsid w:val="009B46BC"/>
    <w:rsid w:val="009B46F3"/>
    <w:rsid w:val="009B475D"/>
    <w:rsid w:val="009B4772"/>
    <w:rsid w:val="009B47E8"/>
    <w:rsid w:val="009B48C6"/>
    <w:rsid w:val="009B48E2"/>
    <w:rsid w:val="009B4927"/>
    <w:rsid w:val="009B494E"/>
    <w:rsid w:val="009B49D3"/>
    <w:rsid w:val="009B4A28"/>
    <w:rsid w:val="009B4A9D"/>
    <w:rsid w:val="009B4AA8"/>
    <w:rsid w:val="009B4AB9"/>
    <w:rsid w:val="009B4B56"/>
    <w:rsid w:val="009B4B9D"/>
    <w:rsid w:val="009B4C0E"/>
    <w:rsid w:val="009B4C6C"/>
    <w:rsid w:val="009B4C7C"/>
    <w:rsid w:val="009B4C98"/>
    <w:rsid w:val="009B4C9E"/>
    <w:rsid w:val="009B4CD7"/>
    <w:rsid w:val="009B4D7B"/>
    <w:rsid w:val="009B4DB9"/>
    <w:rsid w:val="009B4FB9"/>
    <w:rsid w:val="009B50A8"/>
    <w:rsid w:val="009B510B"/>
    <w:rsid w:val="009B511B"/>
    <w:rsid w:val="009B51AF"/>
    <w:rsid w:val="009B51ED"/>
    <w:rsid w:val="009B526E"/>
    <w:rsid w:val="009B53ED"/>
    <w:rsid w:val="009B5495"/>
    <w:rsid w:val="009B549F"/>
    <w:rsid w:val="009B54A4"/>
    <w:rsid w:val="009B54D2"/>
    <w:rsid w:val="009B54F5"/>
    <w:rsid w:val="009B55DA"/>
    <w:rsid w:val="009B562F"/>
    <w:rsid w:val="009B5635"/>
    <w:rsid w:val="009B565A"/>
    <w:rsid w:val="009B56C9"/>
    <w:rsid w:val="009B573A"/>
    <w:rsid w:val="009B579B"/>
    <w:rsid w:val="009B58D3"/>
    <w:rsid w:val="009B5987"/>
    <w:rsid w:val="009B59B2"/>
    <w:rsid w:val="009B59CF"/>
    <w:rsid w:val="009B5A88"/>
    <w:rsid w:val="009B5B30"/>
    <w:rsid w:val="009B5B5B"/>
    <w:rsid w:val="009B5BF8"/>
    <w:rsid w:val="009B5C86"/>
    <w:rsid w:val="009B5CAE"/>
    <w:rsid w:val="009B5D43"/>
    <w:rsid w:val="009B5DC5"/>
    <w:rsid w:val="009B5DDA"/>
    <w:rsid w:val="009B5DDE"/>
    <w:rsid w:val="009B5E10"/>
    <w:rsid w:val="009B5E2A"/>
    <w:rsid w:val="009B5E37"/>
    <w:rsid w:val="009B5E43"/>
    <w:rsid w:val="009B5EFA"/>
    <w:rsid w:val="009B5F5D"/>
    <w:rsid w:val="009B5F99"/>
    <w:rsid w:val="009B6010"/>
    <w:rsid w:val="009B6071"/>
    <w:rsid w:val="009B6076"/>
    <w:rsid w:val="009B60B8"/>
    <w:rsid w:val="009B60F9"/>
    <w:rsid w:val="009B60FA"/>
    <w:rsid w:val="009B6115"/>
    <w:rsid w:val="009B61B3"/>
    <w:rsid w:val="009B61CB"/>
    <w:rsid w:val="009B61E0"/>
    <w:rsid w:val="009B6343"/>
    <w:rsid w:val="009B6409"/>
    <w:rsid w:val="009B641F"/>
    <w:rsid w:val="009B6423"/>
    <w:rsid w:val="009B645E"/>
    <w:rsid w:val="009B6462"/>
    <w:rsid w:val="009B6511"/>
    <w:rsid w:val="009B6566"/>
    <w:rsid w:val="009B6584"/>
    <w:rsid w:val="009B6618"/>
    <w:rsid w:val="009B6671"/>
    <w:rsid w:val="009B6727"/>
    <w:rsid w:val="009B681F"/>
    <w:rsid w:val="009B688A"/>
    <w:rsid w:val="009B68A2"/>
    <w:rsid w:val="009B68F0"/>
    <w:rsid w:val="009B6979"/>
    <w:rsid w:val="009B6992"/>
    <w:rsid w:val="009B6B04"/>
    <w:rsid w:val="009B6B80"/>
    <w:rsid w:val="009B6BE9"/>
    <w:rsid w:val="009B6C11"/>
    <w:rsid w:val="009B6CB5"/>
    <w:rsid w:val="009B6CFA"/>
    <w:rsid w:val="009B6D32"/>
    <w:rsid w:val="009B6DAA"/>
    <w:rsid w:val="009B6EA8"/>
    <w:rsid w:val="009B6EFE"/>
    <w:rsid w:val="009B6FBD"/>
    <w:rsid w:val="009B7016"/>
    <w:rsid w:val="009B7019"/>
    <w:rsid w:val="009B70F7"/>
    <w:rsid w:val="009B7129"/>
    <w:rsid w:val="009B712B"/>
    <w:rsid w:val="009B7243"/>
    <w:rsid w:val="009B72A0"/>
    <w:rsid w:val="009B72BF"/>
    <w:rsid w:val="009B73F4"/>
    <w:rsid w:val="009B7411"/>
    <w:rsid w:val="009B748A"/>
    <w:rsid w:val="009B7519"/>
    <w:rsid w:val="009B7599"/>
    <w:rsid w:val="009B76DD"/>
    <w:rsid w:val="009B775C"/>
    <w:rsid w:val="009B7766"/>
    <w:rsid w:val="009B77C2"/>
    <w:rsid w:val="009B77D7"/>
    <w:rsid w:val="009B7859"/>
    <w:rsid w:val="009B7871"/>
    <w:rsid w:val="009B78A6"/>
    <w:rsid w:val="009B7902"/>
    <w:rsid w:val="009B7931"/>
    <w:rsid w:val="009B7935"/>
    <w:rsid w:val="009B796B"/>
    <w:rsid w:val="009B7A44"/>
    <w:rsid w:val="009B7A63"/>
    <w:rsid w:val="009B7ADA"/>
    <w:rsid w:val="009B7B0D"/>
    <w:rsid w:val="009B7B35"/>
    <w:rsid w:val="009B7B5B"/>
    <w:rsid w:val="009B7BB7"/>
    <w:rsid w:val="009B7C15"/>
    <w:rsid w:val="009B7CA0"/>
    <w:rsid w:val="009B7CB9"/>
    <w:rsid w:val="009B7DA5"/>
    <w:rsid w:val="009B7DC1"/>
    <w:rsid w:val="009B7EE4"/>
    <w:rsid w:val="009B7F6C"/>
    <w:rsid w:val="009B7FB9"/>
    <w:rsid w:val="009B7FE5"/>
    <w:rsid w:val="009B7FFE"/>
    <w:rsid w:val="009C0008"/>
    <w:rsid w:val="009C0030"/>
    <w:rsid w:val="009C003C"/>
    <w:rsid w:val="009C0061"/>
    <w:rsid w:val="009C009A"/>
    <w:rsid w:val="009C0179"/>
    <w:rsid w:val="009C01E9"/>
    <w:rsid w:val="009C0241"/>
    <w:rsid w:val="009C0259"/>
    <w:rsid w:val="009C0304"/>
    <w:rsid w:val="009C037E"/>
    <w:rsid w:val="009C04DA"/>
    <w:rsid w:val="009C04ED"/>
    <w:rsid w:val="009C052F"/>
    <w:rsid w:val="009C059C"/>
    <w:rsid w:val="009C0680"/>
    <w:rsid w:val="009C06D2"/>
    <w:rsid w:val="009C0850"/>
    <w:rsid w:val="009C0872"/>
    <w:rsid w:val="009C0923"/>
    <w:rsid w:val="009C0946"/>
    <w:rsid w:val="009C0974"/>
    <w:rsid w:val="009C099E"/>
    <w:rsid w:val="009C099F"/>
    <w:rsid w:val="009C0A76"/>
    <w:rsid w:val="009C0A85"/>
    <w:rsid w:val="009C0A8D"/>
    <w:rsid w:val="009C0AFB"/>
    <w:rsid w:val="009C0BB5"/>
    <w:rsid w:val="009C0BFA"/>
    <w:rsid w:val="009C0C6D"/>
    <w:rsid w:val="009C0CF6"/>
    <w:rsid w:val="009C0CFB"/>
    <w:rsid w:val="009C0D17"/>
    <w:rsid w:val="009C0D42"/>
    <w:rsid w:val="009C0E60"/>
    <w:rsid w:val="009C0F16"/>
    <w:rsid w:val="009C0F81"/>
    <w:rsid w:val="009C0FB6"/>
    <w:rsid w:val="009C0FF7"/>
    <w:rsid w:val="009C10ED"/>
    <w:rsid w:val="009C112D"/>
    <w:rsid w:val="009C121B"/>
    <w:rsid w:val="009C125F"/>
    <w:rsid w:val="009C1309"/>
    <w:rsid w:val="009C1354"/>
    <w:rsid w:val="009C137A"/>
    <w:rsid w:val="009C13BC"/>
    <w:rsid w:val="009C13D2"/>
    <w:rsid w:val="009C1477"/>
    <w:rsid w:val="009C14ED"/>
    <w:rsid w:val="009C1517"/>
    <w:rsid w:val="009C1576"/>
    <w:rsid w:val="009C1600"/>
    <w:rsid w:val="009C1655"/>
    <w:rsid w:val="009C165E"/>
    <w:rsid w:val="009C167D"/>
    <w:rsid w:val="009C178A"/>
    <w:rsid w:val="009C178D"/>
    <w:rsid w:val="009C17C5"/>
    <w:rsid w:val="009C1819"/>
    <w:rsid w:val="009C186F"/>
    <w:rsid w:val="009C1937"/>
    <w:rsid w:val="009C199C"/>
    <w:rsid w:val="009C1AEB"/>
    <w:rsid w:val="009C1B1F"/>
    <w:rsid w:val="009C1B8F"/>
    <w:rsid w:val="009C1BD1"/>
    <w:rsid w:val="009C1BFE"/>
    <w:rsid w:val="009C1CC0"/>
    <w:rsid w:val="009C1CDF"/>
    <w:rsid w:val="009C1D00"/>
    <w:rsid w:val="009C1D52"/>
    <w:rsid w:val="009C1D53"/>
    <w:rsid w:val="009C1D69"/>
    <w:rsid w:val="009C1E03"/>
    <w:rsid w:val="009C1E3C"/>
    <w:rsid w:val="009C1EA9"/>
    <w:rsid w:val="009C1EDF"/>
    <w:rsid w:val="009C1F1C"/>
    <w:rsid w:val="009C1F93"/>
    <w:rsid w:val="009C200F"/>
    <w:rsid w:val="009C2036"/>
    <w:rsid w:val="009C2047"/>
    <w:rsid w:val="009C205A"/>
    <w:rsid w:val="009C20AD"/>
    <w:rsid w:val="009C2170"/>
    <w:rsid w:val="009C218B"/>
    <w:rsid w:val="009C21EC"/>
    <w:rsid w:val="009C2227"/>
    <w:rsid w:val="009C22D5"/>
    <w:rsid w:val="009C2311"/>
    <w:rsid w:val="009C231A"/>
    <w:rsid w:val="009C234B"/>
    <w:rsid w:val="009C239A"/>
    <w:rsid w:val="009C2433"/>
    <w:rsid w:val="009C2479"/>
    <w:rsid w:val="009C2583"/>
    <w:rsid w:val="009C27DD"/>
    <w:rsid w:val="009C2801"/>
    <w:rsid w:val="009C284B"/>
    <w:rsid w:val="009C2852"/>
    <w:rsid w:val="009C297A"/>
    <w:rsid w:val="009C29EE"/>
    <w:rsid w:val="009C2A15"/>
    <w:rsid w:val="009C2A5B"/>
    <w:rsid w:val="009C2A6C"/>
    <w:rsid w:val="009C2B28"/>
    <w:rsid w:val="009C2C9D"/>
    <w:rsid w:val="009C2EA0"/>
    <w:rsid w:val="009C2EFE"/>
    <w:rsid w:val="009C2F8D"/>
    <w:rsid w:val="009C306E"/>
    <w:rsid w:val="009C30A2"/>
    <w:rsid w:val="009C30A9"/>
    <w:rsid w:val="009C30C9"/>
    <w:rsid w:val="009C312C"/>
    <w:rsid w:val="009C312E"/>
    <w:rsid w:val="009C316E"/>
    <w:rsid w:val="009C31A1"/>
    <w:rsid w:val="009C31B8"/>
    <w:rsid w:val="009C3243"/>
    <w:rsid w:val="009C3347"/>
    <w:rsid w:val="009C3498"/>
    <w:rsid w:val="009C34EE"/>
    <w:rsid w:val="009C350E"/>
    <w:rsid w:val="009C3549"/>
    <w:rsid w:val="009C35A5"/>
    <w:rsid w:val="009C3629"/>
    <w:rsid w:val="009C3690"/>
    <w:rsid w:val="009C369F"/>
    <w:rsid w:val="009C36A3"/>
    <w:rsid w:val="009C36A9"/>
    <w:rsid w:val="009C36D8"/>
    <w:rsid w:val="009C37B8"/>
    <w:rsid w:val="009C37F7"/>
    <w:rsid w:val="009C3830"/>
    <w:rsid w:val="009C384A"/>
    <w:rsid w:val="009C3879"/>
    <w:rsid w:val="009C38CD"/>
    <w:rsid w:val="009C3957"/>
    <w:rsid w:val="009C395D"/>
    <w:rsid w:val="009C3960"/>
    <w:rsid w:val="009C39B4"/>
    <w:rsid w:val="009C3A93"/>
    <w:rsid w:val="009C3C2E"/>
    <w:rsid w:val="009C3C6D"/>
    <w:rsid w:val="009C3C91"/>
    <w:rsid w:val="009C3CA7"/>
    <w:rsid w:val="009C3CA9"/>
    <w:rsid w:val="009C3CE1"/>
    <w:rsid w:val="009C3DA1"/>
    <w:rsid w:val="009C3E28"/>
    <w:rsid w:val="009C3E79"/>
    <w:rsid w:val="009C3F69"/>
    <w:rsid w:val="009C40A0"/>
    <w:rsid w:val="009C40CD"/>
    <w:rsid w:val="009C40F8"/>
    <w:rsid w:val="009C43A6"/>
    <w:rsid w:val="009C43E6"/>
    <w:rsid w:val="009C445B"/>
    <w:rsid w:val="009C44A6"/>
    <w:rsid w:val="009C45E4"/>
    <w:rsid w:val="009C4663"/>
    <w:rsid w:val="009C473B"/>
    <w:rsid w:val="009C47FC"/>
    <w:rsid w:val="009C4838"/>
    <w:rsid w:val="009C4846"/>
    <w:rsid w:val="009C485B"/>
    <w:rsid w:val="009C48EE"/>
    <w:rsid w:val="009C491A"/>
    <w:rsid w:val="009C492F"/>
    <w:rsid w:val="009C4932"/>
    <w:rsid w:val="009C49EE"/>
    <w:rsid w:val="009C4A79"/>
    <w:rsid w:val="009C4A9A"/>
    <w:rsid w:val="009C4AC4"/>
    <w:rsid w:val="009C4C39"/>
    <w:rsid w:val="009C4E4B"/>
    <w:rsid w:val="009C4F08"/>
    <w:rsid w:val="009C5078"/>
    <w:rsid w:val="009C50C9"/>
    <w:rsid w:val="009C5190"/>
    <w:rsid w:val="009C51A0"/>
    <w:rsid w:val="009C51A9"/>
    <w:rsid w:val="009C51BB"/>
    <w:rsid w:val="009C51EB"/>
    <w:rsid w:val="009C5226"/>
    <w:rsid w:val="009C531D"/>
    <w:rsid w:val="009C5433"/>
    <w:rsid w:val="009C545B"/>
    <w:rsid w:val="009C5502"/>
    <w:rsid w:val="009C552A"/>
    <w:rsid w:val="009C558D"/>
    <w:rsid w:val="009C55CD"/>
    <w:rsid w:val="009C560E"/>
    <w:rsid w:val="009C56F5"/>
    <w:rsid w:val="009C5744"/>
    <w:rsid w:val="009C57F3"/>
    <w:rsid w:val="009C582C"/>
    <w:rsid w:val="009C5860"/>
    <w:rsid w:val="009C5870"/>
    <w:rsid w:val="009C59A5"/>
    <w:rsid w:val="009C59B2"/>
    <w:rsid w:val="009C59BB"/>
    <w:rsid w:val="009C59DE"/>
    <w:rsid w:val="009C5A8F"/>
    <w:rsid w:val="009C5A95"/>
    <w:rsid w:val="009C5AB6"/>
    <w:rsid w:val="009C5B0E"/>
    <w:rsid w:val="009C5B79"/>
    <w:rsid w:val="009C5B9E"/>
    <w:rsid w:val="009C5C4F"/>
    <w:rsid w:val="009C5CAE"/>
    <w:rsid w:val="009C5CC9"/>
    <w:rsid w:val="009C5CEC"/>
    <w:rsid w:val="009C5D0B"/>
    <w:rsid w:val="009C5D93"/>
    <w:rsid w:val="009C5DED"/>
    <w:rsid w:val="009C5E39"/>
    <w:rsid w:val="009C5F51"/>
    <w:rsid w:val="009C5F81"/>
    <w:rsid w:val="009C5F82"/>
    <w:rsid w:val="009C6007"/>
    <w:rsid w:val="009C6087"/>
    <w:rsid w:val="009C60D2"/>
    <w:rsid w:val="009C611F"/>
    <w:rsid w:val="009C6123"/>
    <w:rsid w:val="009C6189"/>
    <w:rsid w:val="009C61FB"/>
    <w:rsid w:val="009C6269"/>
    <w:rsid w:val="009C62F6"/>
    <w:rsid w:val="009C64DF"/>
    <w:rsid w:val="009C659B"/>
    <w:rsid w:val="009C65A1"/>
    <w:rsid w:val="009C665C"/>
    <w:rsid w:val="009C6769"/>
    <w:rsid w:val="009C6775"/>
    <w:rsid w:val="009C67B3"/>
    <w:rsid w:val="009C68B7"/>
    <w:rsid w:val="009C68C0"/>
    <w:rsid w:val="009C68CD"/>
    <w:rsid w:val="009C68EC"/>
    <w:rsid w:val="009C6934"/>
    <w:rsid w:val="009C6972"/>
    <w:rsid w:val="009C6B11"/>
    <w:rsid w:val="009C6C80"/>
    <w:rsid w:val="009C6CF1"/>
    <w:rsid w:val="009C6D72"/>
    <w:rsid w:val="009C6E0F"/>
    <w:rsid w:val="009C6E57"/>
    <w:rsid w:val="009C6ED0"/>
    <w:rsid w:val="009C6EF6"/>
    <w:rsid w:val="009C6F12"/>
    <w:rsid w:val="009C6F3E"/>
    <w:rsid w:val="009C6FD8"/>
    <w:rsid w:val="009C703C"/>
    <w:rsid w:val="009C7071"/>
    <w:rsid w:val="009C70D9"/>
    <w:rsid w:val="009C71B6"/>
    <w:rsid w:val="009C71F2"/>
    <w:rsid w:val="009C720B"/>
    <w:rsid w:val="009C725F"/>
    <w:rsid w:val="009C7267"/>
    <w:rsid w:val="009C7302"/>
    <w:rsid w:val="009C730F"/>
    <w:rsid w:val="009C7363"/>
    <w:rsid w:val="009C73F5"/>
    <w:rsid w:val="009C7400"/>
    <w:rsid w:val="009C7426"/>
    <w:rsid w:val="009C7434"/>
    <w:rsid w:val="009C74D1"/>
    <w:rsid w:val="009C74F4"/>
    <w:rsid w:val="009C7500"/>
    <w:rsid w:val="009C75B5"/>
    <w:rsid w:val="009C7678"/>
    <w:rsid w:val="009C76F1"/>
    <w:rsid w:val="009C775B"/>
    <w:rsid w:val="009C77C9"/>
    <w:rsid w:val="009C7826"/>
    <w:rsid w:val="009C7893"/>
    <w:rsid w:val="009C78E5"/>
    <w:rsid w:val="009C78F7"/>
    <w:rsid w:val="009C7948"/>
    <w:rsid w:val="009C7982"/>
    <w:rsid w:val="009C7A21"/>
    <w:rsid w:val="009C7A5C"/>
    <w:rsid w:val="009C7A7F"/>
    <w:rsid w:val="009C7B13"/>
    <w:rsid w:val="009C7C5D"/>
    <w:rsid w:val="009C7D55"/>
    <w:rsid w:val="009C7D5D"/>
    <w:rsid w:val="009C7E5B"/>
    <w:rsid w:val="009C7EDF"/>
    <w:rsid w:val="009C7EE9"/>
    <w:rsid w:val="009C7EED"/>
    <w:rsid w:val="009C7EF5"/>
    <w:rsid w:val="009C7F58"/>
    <w:rsid w:val="009C7FCC"/>
    <w:rsid w:val="009C7FE5"/>
    <w:rsid w:val="009D003F"/>
    <w:rsid w:val="009D0072"/>
    <w:rsid w:val="009D011A"/>
    <w:rsid w:val="009D01C2"/>
    <w:rsid w:val="009D025C"/>
    <w:rsid w:val="009D0371"/>
    <w:rsid w:val="009D0424"/>
    <w:rsid w:val="009D042F"/>
    <w:rsid w:val="009D04D2"/>
    <w:rsid w:val="009D04EE"/>
    <w:rsid w:val="009D0534"/>
    <w:rsid w:val="009D05A4"/>
    <w:rsid w:val="009D0668"/>
    <w:rsid w:val="009D07CB"/>
    <w:rsid w:val="009D08CF"/>
    <w:rsid w:val="009D0948"/>
    <w:rsid w:val="009D09C6"/>
    <w:rsid w:val="009D0A33"/>
    <w:rsid w:val="009D0A75"/>
    <w:rsid w:val="009D0A78"/>
    <w:rsid w:val="009D0B77"/>
    <w:rsid w:val="009D0BDB"/>
    <w:rsid w:val="009D0BE6"/>
    <w:rsid w:val="009D0C21"/>
    <w:rsid w:val="009D0CBC"/>
    <w:rsid w:val="009D0CDA"/>
    <w:rsid w:val="009D0D12"/>
    <w:rsid w:val="009D0D82"/>
    <w:rsid w:val="009D0DF2"/>
    <w:rsid w:val="009D0E18"/>
    <w:rsid w:val="009D0E9A"/>
    <w:rsid w:val="009D0EC9"/>
    <w:rsid w:val="009D0FA9"/>
    <w:rsid w:val="009D0FB1"/>
    <w:rsid w:val="009D0FE0"/>
    <w:rsid w:val="009D1000"/>
    <w:rsid w:val="009D102D"/>
    <w:rsid w:val="009D1130"/>
    <w:rsid w:val="009D118F"/>
    <w:rsid w:val="009D1288"/>
    <w:rsid w:val="009D129B"/>
    <w:rsid w:val="009D1300"/>
    <w:rsid w:val="009D1343"/>
    <w:rsid w:val="009D1345"/>
    <w:rsid w:val="009D1359"/>
    <w:rsid w:val="009D135A"/>
    <w:rsid w:val="009D143C"/>
    <w:rsid w:val="009D14AA"/>
    <w:rsid w:val="009D14E3"/>
    <w:rsid w:val="009D1520"/>
    <w:rsid w:val="009D1618"/>
    <w:rsid w:val="009D170B"/>
    <w:rsid w:val="009D1818"/>
    <w:rsid w:val="009D1873"/>
    <w:rsid w:val="009D19A7"/>
    <w:rsid w:val="009D1A42"/>
    <w:rsid w:val="009D1A8A"/>
    <w:rsid w:val="009D1B0A"/>
    <w:rsid w:val="009D1B36"/>
    <w:rsid w:val="009D1B43"/>
    <w:rsid w:val="009D1BBB"/>
    <w:rsid w:val="009D1C92"/>
    <w:rsid w:val="009D1C9F"/>
    <w:rsid w:val="009D1CA0"/>
    <w:rsid w:val="009D1D3B"/>
    <w:rsid w:val="009D1DF8"/>
    <w:rsid w:val="009D1E73"/>
    <w:rsid w:val="009D1E78"/>
    <w:rsid w:val="009D1EB7"/>
    <w:rsid w:val="009D1EBC"/>
    <w:rsid w:val="009D1EC2"/>
    <w:rsid w:val="009D1ED5"/>
    <w:rsid w:val="009D1EFA"/>
    <w:rsid w:val="009D1F09"/>
    <w:rsid w:val="009D1F35"/>
    <w:rsid w:val="009D1F8F"/>
    <w:rsid w:val="009D2011"/>
    <w:rsid w:val="009D208C"/>
    <w:rsid w:val="009D20B0"/>
    <w:rsid w:val="009D20B4"/>
    <w:rsid w:val="009D2129"/>
    <w:rsid w:val="009D21C6"/>
    <w:rsid w:val="009D2246"/>
    <w:rsid w:val="009D226A"/>
    <w:rsid w:val="009D22BF"/>
    <w:rsid w:val="009D239E"/>
    <w:rsid w:val="009D2472"/>
    <w:rsid w:val="009D24F1"/>
    <w:rsid w:val="009D2514"/>
    <w:rsid w:val="009D258C"/>
    <w:rsid w:val="009D259B"/>
    <w:rsid w:val="009D25A4"/>
    <w:rsid w:val="009D25F2"/>
    <w:rsid w:val="009D2643"/>
    <w:rsid w:val="009D264B"/>
    <w:rsid w:val="009D266E"/>
    <w:rsid w:val="009D26A3"/>
    <w:rsid w:val="009D275A"/>
    <w:rsid w:val="009D2878"/>
    <w:rsid w:val="009D2914"/>
    <w:rsid w:val="009D292C"/>
    <w:rsid w:val="009D299C"/>
    <w:rsid w:val="009D2A3F"/>
    <w:rsid w:val="009D2A4D"/>
    <w:rsid w:val="009D2A97"/>
    <w:rsid w:val="009D2AD0"/>
    <w:rsid w:val="009D2B6A"/>
    <w:rsid w:val="009D2B73"/>
    <w:rsid w:val="009D2C52"/>
    <w:rsid w:val="009D2C58"/>
    <w:rsid w:val="009D2C9F"/>
    <w:rsid w:val="009D2D4C"/>
    <w:rsid w:val="009D2E03"/>
    <w:rsid w:val="009D2E74"/>
    <w:rsid w:val="009D2E76"/>
    <w:rsid w:val="009D2E88"/>
    <w:rsid w:val="009D2ECE"/>
    <w:rsid w:val="009D2F00"/>
    <w:rsid w:val="009D2F51"/>
    <w:rsid w:val="009D2F53"/>
    <w:rsid w:val="009D2F7E"/>
    <w:rsid w:val="009D2F87"/>
    <w:rsid w:val="009D3053"/>
    <w:rsid w:val="009D30A9"/>
    <w:rsid w:val="009D30B1"/>
    <w:rsid w:val="009D30CB"/>
    <w:rsid w:val="009D3115"/>
    <w:rsid w:val="009D3190"/>
    <w:rsid w:val="009D31D4"/>
    <w:rsid w:val="009D31F2"/>
    <w:rsid w:val="009D3205"/>
    <w:rsid w:val="009D3225"/>
    <w:rsid w:val="009D3297"/>
    <w:rsid w:val="009D32B9"/>
    <w:rsid w:val="009D3320"/>
    <w:rsid w:val="009D33A3"/>
    <w:rsid w:val="009D3416"/>
    <w:rsid w:val="009D3445"/>
    <w:rsid w:val="009D34A6"/>
    <w:rsid w:val="009D35B9"/>
    <w:rsid w:val="009D367E"/>
    <w:rsid w:val="009D36DD"/>
    <w:rsid w:val="009D3779"/>
    <w:rsid w:val="009D3829"/>
    <w:rsid w:val="009D38C2"/>
    <w:rsid w:val="009D390B"/>
    <w:rsid w:val="009D395D"/>
    <w:rsid w:val="009D39EB"/>
    <w:rsid w:val="009D3A89"/>
    <w:rsid w:val="009D3B4B"/>
    <w:rsid w:val="009D3CB8"/>
    <w:rsid w:val="009D3E2F"/>
    <w:rsid w:val="009D3E72"/>
    <w:rsid w:val="009D4024"/>
    <w:rsid w:val="009D4075"/>
    <w:rsid w:val="009D408D"/>
    <w:rsid w:val="009D4143"/>
    <w:rsid w:val="009D416E"/>
    <w:rsid w:val="009D4170"/>
    <w:rsid w:val="009D41C9"/>
    <w:rsid w:val="009D41D7"/>
    <w:rsid w:val="009D4235"/>
    <w:rsid w:val="009D428B"/>
    <w:rsid w:val="009D42BA"/>
    <w:rsid w:val="009D438A"/>
    <w:rsid w:val="009D43EC"/>
    <w:rsid w:val="009D4426"/>
    <w:rsid w:val="009D444A"/>
    <w:rsid w:val="009D44C8"/>
    <w:rsid w:val="009D4527"/>
    <w:rsid w:val="009D452C"/>
    <w:rsid w:val="009D454D"/>
    <w:rsid w:val="009D45FB"/>
    <w:rsid w:val="009D4657"/>
    <w:rsid w:val="009D46EE"/>
    <w:rsid w:val="009D470E"/>
    <w:rsid w:val="009D4732"/>
    <w:rsid w:val="009D487F"/>
    <w:rsid w:val="009D4894"/>
    <w:rsid w:val="009D4916"/>
    <w:rsid w:val="009D4922"/>
    <w:rsid w:val="009D4957"/>
    <w:rsid w:val="009D49FF"/>
    <w:rsid w:val="009D4A13"/>
    <w:rsid w:val="009D4A7F"/>
    <w:rsid w:val="009D4AC3"/>
    <w:rsid w:val="009D4B56"/>
    <w:rsid w:val="009D4BEF"/>
    <w:rsid w:val="009D4C15"/>
    <w:rsid w:val="009D4C70"/>
    <w:rsid w:val="009D4C89"/>
    <w:rsid w:val="009D4CC1"/>
    <w:rsid w:val="009D4CE2"/>
    <w:rsid w:val="009D4D1D"/>
    <w:rsid w:val="009D4D4F"/>
    <w:rsid w:val="009D4DA6"/>
    <w:rsid w:val="009D4DB9"/>
    <w:rsid w:val="009D4E0F"/>
    <w:rsid w:val="009D4F8D"/>
    <w:rsid w:val="009D4FD2"/>
    <w:rsid w:val="009D50AB"/>
    <w:rsid w:val="009D5114"/>
    <w:rsid w:val="009D5132"/>
    <w:rsid w:val="009D514D"/>
    <w:rsid w:val="009D5176"/>
    <w:rsid w:val="009D52D2"/>
    <w:rsid w:val="009D52F6"/>
    <w:rsid w:val="009D52F7"/>
    <w:rsid w:val="009D5309"/>
    <w:rsid w:val="009D530F"/>
    <w:rsid w:val="009D5431"/>
    <w:rsid w:val="009D54B3"/>
    <w:rsid w:val="009D54F1"/>
    <w:rsid w:val="009D5501"/>
    <w:rsid w:val="009D5505"/>
    <w:rsid w:val="009D5572"/>
    <w:rsid w:val="009D55C8"/>
    <w:rsid w:val="009D55ED"/>
    <w:rsid w:val="009D567A"/>
    <w:rsid w:val="009D5714"/>
    <w:rsid w:val="009D5762"/>
    <w:rsid w:val="009D57D3"/>
    <w:rsid w:val="009D5802"/>
    <w:rsid w:val="009D5830"/>
    <w:rsid w:val="009D5997"/>
    <w:rsid w:val="009D599C"/>
    <w:rsid w:val="009D5A43"/>
    <w:rsid w:val="009D5AC7"/>
    <w:rsid w:val="009D5AE0"/>
    <w:rsid w:val="009D5B2F"/>
    <w:rsid w:val="009D5B51"/>
    <w:rsid w:val="009D5BE8"/>
    <w:rsid w:val="009D5CC9"/>
    <w:rsid w:val="009D5D00"/>
    <w:rsid w:val="009D5D05"/>
    <w:rsid w:val="009D5DED"/>
    <w:rsid w:val="009D5DFB"/>
    <w:rsid w:val="009D5ECC"/>
    <w:rsid w:val="009D5F92"/>
    <w:rsid w:val="009D6018"/>
    <w:rsid w:val="009D60D7"/>
    <w:rsid w:val="009D60D9"/>
    <w:rsid w:val="009D6137"/>
    <w:rsid w:val="009D6142"/>
    <w:rsid w:val="009D6143"/>
    <w:rsid w:val="009D6175"/>
    <w:rsid w:val="009D617A"/>
    <w:rsid w:val="009D6269"/>
    <w:rsid w:val="009D62F4"/>
    <w:rsid w:val="009D6317"/>
    <w:rsid w:val="009D63CF"/>
    <w:rsid w:val="009D641A"/>
    <w:rsid w:val="009D649E"/>
    <w:rsid w:val="009D652C"/>
    <w:rsid w:val="009D6532"/>
    <w:rsid w:val="009D677E"/>
    <w:rsid w:val="009D68D4"/>
    <w:rsid w:val="009D68F0"/>
    <w:rsid w:val="009D6988"/>
    <w:rsid w:val="009D69C1"/>
    <w:rsid w:val="009D69C6"/>
    <w:rsid w:val="009D69F7"/>
    <w:rsid w:val="009D6AB1"/>
    <w:rsid w:val="009D6AB2"/>
    <w:rsid w:val="009D6AD8"/>
    <w:rsid w:val="009D6AF0"/>
    <w:rsid w:val="009D6AF8"/>
    <w:rsid w:val="009D6AFA"/>
    <w:rsid w:val="009D6B91"/>
    <w:rsid w:val="009D6BCC"/>
    <w:rsid w:val="009D6C74"/>
    <w:rsid w:val="009D6C75"/>
    <w:rsid w:val="009D6D0A"/>
    <w:rsid w:val="009D6D6C"/>
    <w:rsid w:val="009D6DF9"/>
    <w:rsid w:val="009D6E0D"/>
    <w:rsid w:val="009D6F18"/>
    <w:rsid w:val="009D6FAD"/>
    <w:rsid w:val="009D6FB6"/>
    <w:rsid w:val="009D7076"/>
    <w:rsid w:val="009D70BD"/>
    <w:rsid w:val="009D70C8"/>
    <w:rsid w:val="009D7117"/>
    <w:rsid w:val="009D71B4"/>
    <w:rsid w:val="009D7204"/>
    <w:rsid w:val="009D722A"/>
    <w:rsid w:val="009D7235"/>
    <w:rsid w:val="009D72E8"/>
    <w:rsid w:val="009D735F"/>
    <w:rsid w:val="009D73C4"/>
    <w:rsid w:val="009D74C3"/>
    <w:rsid w:val="009D75BA"/>
    <w:rsid w:val="009D77D5"/>
    <w:rsid w:val="009D786D"/>
    <w:rsid w:val="009D7877"/>
    <w:rsid w:val="009D790D"/>
    <w:rsid w:val="009D797E"/>
    <w:rsid w:val="009D7997"/>
    <w:rsid w:val="009D79B0"/>
    <w:rsid w:val="009D7A81"/>
    <w:rsid w:val="009D7A9E"/>
    <w:rsid w:val="009D7AEC"/>
    <w:rsid w:val="009D7B8E"/>
    <w:rsid w:val="009D7B9A"/>
    <w:rsid w:val="009D7BC6"/>
    <w:rsid w:val="009D7C00"/>
    <w:rsid w:val="009D7C76"/>
    <w:rsid w:val="009D7CB0"/>
    <w:rsid w:val="009D7CED"/>
    <w:rsid w:val="009D7D44"/>
    <w:rsid w:val="009D7DA7"/>
    <w:rsid w:val="009D7DF6"/>
    <w:rsid w:val="009D7E23"/>
    <w:rsid w:val="009D7E68"/>
    <w:rsid w:val="009D7EB0"/>
    <w:rsid w:val="009D7FE9"/>
    <w:rsid w:val="009E0146"/>
    <w:rsid w:val="009E0184"/>
    <w:rsid w:val="009E01A8"/>
    <w:rsid w:val="009E01AE"/>
    <w:rsid w:val="009E0238"/>
    <w:rsid w:val="009E037F"/>
    <w:rsid w:val="009E03EE"/>
    <w:rsid w:val="009E0417"/>
    <w:rsid w:val="009E0447"/>
    <w:rsid w:val="009E050F"/>
    <w:rsid w:val="009E052A"/>
    <w:rsid w:val="009E0556"/>
    <w:rsid w:val="009E057C"/>
    <w:rsid w:val="009E05BA"/>
    <w:rsid w:val="009E079C"/>
    <w:rsid w:val="009E07BB"/>
    <w:rsid w:val="009E083B"/>
    <w:rsid w:val="009E084B"/>
    <w:rsid w:val="009E0866"/>
    <w:rsid w:val="009E0891"/>
    <w:rsid w:val="009E08A2"/>
    <w:rsid w:val="009E08AD"/>
    <w:rsid w:val="009E08CF"/>
    <w:rsid w:val="009E08E1"/>
    <w:rsid w:val="009E091B"/>
    <w:rsid w:val="009E092F"/>
    <w:rsid w:val="009E0957"/>
    <w:rsid w:val="009E0A5E"/>
    <w:rsid w:val="009E0A78"/>
    <w:rsid w:val="009E0B24"/>
    <w:rsid w:val="009E0BE9"/>
    <w:rsid w:val="009E0C0C"/>
    <w:rsid w:val="009E0C7E"/>
    <w:rsid w:val="009E0C80"/>
    <w:rsid w:val="009E0D5C"/>
    <w:rsid w:val="009E0D8A"/>
    <w:rsid w:val="009E0D99"/>
    <w:rsid w:val="009E0DD3"/>
    <w:rsid w:val="009E0DF0"/>
    <w:rsid w:val="009E0E10"/>
    <w:rsid w:val="009E0E93"/>
    <w:rsid w:val="009E0F50"/>
    <w:rsid w:val="009E0FFC"/>
    <w:rsid w:val="009E101C"/>
    <w:rsid w:val="009E1088"/>
    <w:rsid w:val="009E10D8"/>
    <w:rsid w:val="009E11A0"/>
    <w:rsid w:val="009E11CC"/>
    <w:rsid w:val="009E125A"/>
    <w:rsid w:val="009E12B8"/>
    <w:rsid w:val="009E12DA"/>
    <w:rsid w:val="009E1425"/>
    <w:rsid w:val="009E14D6"/>
    <w:rsid w:val="009E151A"/>
    <w:rsid w:val="009E155A"/>
    <w:rsid w:val="009E1564"/>
    <w:rsid w:val="009E159F"/>
    <w:rsid w:val="009E15B8"/>
    <w:rsid w:val="009E15E3"/>
    <w:rsid w:val="009E1609"/>
    <w:rsid w:val="009E1616"/>
    <w:rsid w:val="009E173C"/>
    <w:rsid w:val="009E1769"/>
    <w:rsid w:val="009E1809"/>
    <w:rsid w:val="009E1814"/>
    <w:rsid w:val="009E1867"/>
    <w:rsid w:val="009E1889"/>
    <w:rsid w:val="009E1977"/>
    <w:rsid w:val="009E19F2"/>
    <w:rsid w:val="009E1A32"/>
    <w:rsid w:val="009E1ABF"/>
    <w:rsid w:val="009E1BA8"/>
    <w:rsid w:val="009E1BBA"/>
    <w:rsid w:val="009E1C49"/>
    <w:rsid w:val="009E1C5B"/>
    <w:rsid w:val="009E1D6C"/>
    <w:rsid w:val="009E1E67"/>
    <w:rsid w:val="009E1F0D"/>
    <w:rsid w:val="009E1F59"/>
    <w:rsid w:val="009E1F6A"/>
    <w:rsid w:val="009E1FD5"/>
    <w:rsid w:val="009E2005"/>
    <w:rsid w:val="009E206A"/>
    <w:rsid w:val="009E20DA"/>
    <w:rsid w:val="009E20ED"/>
    <w:rsid w:val="009E2121"/>
    <w:rsid w:val="009E216C"/>
    <w:rsid w:val="009E2177"/>
    <w:rsid w:val="009E22D5"/>
    <w:rsid w:val="009E22DA"/>
    <w:rsid w:val="009E22DF"/>
    <w:rsid w:val="009E2337"/>
    <w:rsid w:val="009E24B3"/>
    <w:rsid w:val="009E24B8"/>
    <w:rsid w:val="009E24CB"/>
    <w:rsid w:val="009E2532"/>
    <w:rsid w:val="009E25FB"/>
    <w:rsid w:val="009E264A"/>
    <w:rsid w:val="009E2699"/>
    <w:rsid w:val="009E26BD"/>
    <w:rsid w:val="009E26E1"/>
    <w:rsid w:val="009E2746"/>
    <w:rsid w:val="009E279D"/>
    <w:rsid w:val="009E27E3"/>
    <w:rsid w:val="009E280E"/>
    <w:rsid w:val="009E2828"/>
    <w:rsid w:val="009E287D"/>
    <w:rsid w:val="009E2886"/>
    <w:rsid w:val="009E28FC"/>
    <w:rsid w:val="009E2A06"/>
    <w:rsid w:val="009E2A07"/>
    <w:rsid w:val="009E2A5B"/>
    <w:rsid w:val="009E2AD3"/>
    <w:rsid w:val="009E2B65"/>
    <w:rsid w:val="009E2BD2"/>
    <w:rsid w:val="009E2BDA"/>
    <w:rsid w:val="009E2C29"/>
    <w:rsid w:val="009E2CF0"/>
    <w:rsid w:val="009E2D1F"/>
    <w:rsid w:val="009E2D46"/>
    <w:rsid w:val="009E2D79"/>
    <w:rsid w:val="009E2DEA"/>
    <w:rsid w:val="009E2E30"/>
    <w:rsid w:val="009E2E73"/>
    <w:rsid w:val="009E2F0A"/>
    <w:rsid w:val="009E2F27"/>
    <w:rsid w:val="009E2F9A"/>
    <w:rsid w:val="009E2FE9"/>
    <w:rsid w:val="009E30C9"/>
    <w:rsid w:val="009E30DC"/>
    <w:rsid w:val="009E312C"/>
    <w:rsid w:val="009E31E5"/>
    <w:rsid w:val="009E323D"/>
    <w:rsid w:val="009E3279"/>
    <w:rsid w:val="009E327B"/>
    <w:rsid w:val="009E3399"/>
    <w:rsid w:val="009E33A5"/>
    <w:rsid w:val="009E33D5"/>
    <w:rsid w:val="009E34CB"/>
    <w:rsid w:val="009E354D"/>
    <w:rsid w:val="009E358A"/>
    <w:rsid w:val="009E35C0"/>
    <w:rsid w:val="009E3613"/>
    <w:rsid w:val="009E36A0"/>
    <w:rsid w:val="009E36AB"/>
    <w:rsid w:val="009E36C5"/>
    <w:rsid w:val="009E3722"/>
    <w:rsid w:val="009E372C"/>
    <w:rsid w:val="009E3756"/>
    <w:rsid w:val="009E3784"/>
    <w:rsid w:val="009E37E8"/>
    <w:rsid w:val="009E383B"/>
    <w:rsid w:val="009E39A1"/>
    <w:rsid w:val="009E3A2F"/>
    <w:rsid w:val="009E3A7D"/>
    <w:rsid w:val="009E3AE5"/>
    <w:rsid w:val="009E3B68"/>
    <w:rsid w:val="009E3B81"/>
    <w:rsid w:val="009E3BC3"/>
    <w:rsid w:val="009E3BC4"/>
    <w:rsid w:val="009E3BDC"/>
    <w:rsid w:val="009E3BE5"/>
    <w:rsid w:val="009E3C54"/>
    <w:rsid w:val="009E3C77"/>
    <w:rsid w:val="009E3D01"/>
    <w:rsid w:val="009E3D68"/>
    <w:rsid w:val="009E3DC8"/>
    <w:rsid w:val="009E3DF7"/>
    <w:rsid w:val="009E3E0D"/>
    <w:rsid w:val="009E3E56"/>
    <w:rsid w:val="009E3E5B"/>
    <w:rsid w:val="009E3E97"/>
    <w:rsid w:val="009E3EA8"/>
    <w:rsid w:val="009E3EDE"/>
    <w:rsid w:val="009E3F4F"/>
    <w:rsid w:val="009E3FF4"/>
    <w:rsid w:val="009E409B"/>
    <w:rsid w:val="009E409E"/>
    <w:rsid w:val="009E40CE"/>
    <w:rsid w:val="009E40DA"/>
    <w:rsid w:val="009E4165"/>
    <w:rsid w:val="009E418B"/>
    <w:rsid w:val="009E41D4"/>
    <w:rsid w:val="009E4206"/>
    <w:rsid w:val="009E42C7"/>
    <w:rsid w:val="009E4336"/>
    <w:rsid w:val="009E44CB"/>
    <w:rsid w:val="009E4507"/>
    <w:rsid w:val="009E461C"/>
    <w:rsid w:val="009E462D"/>
    <w:rsid w:val="009E4632"/>
    <w:rsid w:val="009E478C"/>
    <w:rsid w:val="009E47CE"/>
    <w:rsid w:val="009E488A"/>
    <w:rsid w:val="009E4938"/>
    <w:rsid w:val="009E495D"/>
    <w:rsid w:val="009E499D"/>
    <w:rsid w:val="009E4A41"/>
    <w:rsid w:val="009E4AAA"/>
    <w:rsid w:val="009E4B00"/>
    <w:rsid w:val="009E4B59"/>
    <w:rsid w:val="009E4B94"/>
    <w:rsid w:val="009E4D72"/>
    <w:rsid w:val="009E4DA3"/>
    <w:rsid w:val="009E4DE7"/>
    <w:rsid w:val="009E4E21"/>
    <w:rsid w:val="009E4EA9"/>
    <w:rsid w:val="009E4EBA"/>
    <w:rsid w:val="009E4EF2"/>
    <w:rsid w:val="009E4EFC"/>
    <w:rsid w:val="009E4F80"/>
    <w:rsid w:val="009E5066"/>
    <w:rsid w:val="009E5074"/>
    <w:rsid w:val="009E510C"/>
    <w:rsid w:val="009E5120"/>
    <w:rsid w:val="009E51E5"/>
    <w:rsid w:val="009E51F3"/>
    <w:rsid w:val="009E5219"/>
    <w:rsid w:val="009E523E"/>
    <w:rsid w:val="009E526F"/>
    <w:rsid w:val="009E52CB"/>
    <w:rsid w:val="009E5303"/>
    <w:rsid w:val="009E5314"/>
    <w:rsid w:val="009E53B0"/>
    <w:rsid w:val="009E53C1"/>
    <w:rsid w:val="009E53F6"/>
    <w:rsid w:val="009E5401"/>
    <w:rsid w:val="009E546D"/>
    <w:rsid w:val="009E546F"/>
    <w:rsid w:val="009E5511"/>
    <w:rsid w:val="009E5538"/>
    <w:rsid w:val="009E557F"/>
    <w:rsid w:val="009E5626"/>
    <w:rsid w:val="009E56D0"/>
    <w:rsid w:val="009E5715"/>
    <w:rsid w:val="009E571B"/>
    <w:rsid w:val="009E5809"/>
    <w:rsid w:val="009E583D"/>
    <w:rsid w:val="009E588D"/>
    <w:rsid w:val="009E58C5"/>
    <w:rsid w:val="009E58CB"/>
    <w:rsid w:val="009E5917"/>
    <w:rsid w:val="009E5929"/>
    <w:rsid w:val="009E5949"/>
    <w:rsid w:val="009E5968"/>
    <w:rsid w:val="009E59AA"/>
    <w:rsid w:val="009E59B4"/>
    <w:rsid w:val="009E59C1"/>
    <w:rsid w:val="009E59ED"/>
    <w:rsid w:val="009E5A90"/>
    <w:rsid w:val="009E5AC8"/>
    <w:rsid w:val="009E5B45"/>
    <w:rsid w:val="009E5C03"/>
    <w:rsid w:val="009E5C72"/>
    <w:rsid w:val="009E5CD8"/>
    <w:rsid w:val="009E5D16"/>
    <w:rsid w:val="009E5D3F"/>
    <w:rsid w:val="009E5D44"/>
    <w:rsid w:val="009E5D81"/>
    <w:rsid w:val="009E5DB7"/>
    <w:rsid w:val="009E5DEE"/>
    <w:rsid w:val="009E5E00"/>
    <w:rsid w:val="009E5E6F"/>
    <w:rsid w:val="009E5E95"/>
    <w:rsid w:val="009E5EB3"/>
    <w:rsid w:val="009E616C"/>
    <w:rsid w:val="009E61B1"/>
    <w:rsid w:val="009E61E0"/>
    <w:rsid w:val="009E6219"/>
    <w:rsid w:val="009E624C"/>
    <w:rsid w:val="009E62BC"/>
    <w:rsid w:val="009E631E"/>
    <w:rsid w:val="009E6348"/>
    <w:rsid w:val="009E63B7"/>
    <w:rsid w:val="009E6403"/>
    <w:rsid w:val="009E646C"/>
    <w:rsid w:val="009E64A6"/>
    <w:rsid w:val="009E64D7"/>
    <w:rsid w:val="009E651B"/>
    <w:rsid w:val="009E656B"/>
    <w:rsid w:val="009E6574"/>
    <w:rsid w:val="009E664B"/>
    <w:rsid w:val="009E6680"/>
    <w:rsid w:val="009E66B7"/>
    <w:rsid w:val="009E66E4"/>
    <w:rsid w:val="009E67ED"/>
    <w:rsid w:val="009E68B0"/>
    <w:rsid w:val="009E6981"/>
    <w:rsid w:val="009E69EF"/>
    <w:rsid w:val="009E6A24"/>
    <w:rsid w:val="009E6A73"/>
    <w:rsid w:val="009E6A96"/>
    <w:rsid w:val="009E6AB0"/>
    <w:rsid w:val="009E6ADA"/>
    <w:rsid w:val="009E6B06"/>
    <w:rsid w:val="009E6C08"/>
    <w:rsid w:val="009E6C0D"/>
    <w:rsid w:val="009E6C9E"/>
    <w:rsid w:val="009E6CC5"/>
    <w:rsid w:val="009E6CEC"/>
    <w:rsid w:val="009E6DDB"/>
    <w:rsid w:val="009E6E2A"/>
    <w:rsid w:val="009E6EC3"/>
    <w:rsid w:val="009E6F1A"/>
    <w:rsid w:val="009E6F29"/>
    <w:rsid w:val="009E6F95"/>
    <w:rsid w:val="009E6FAA"/>
    <w:rsid w:val="009E7013"/>
    <w:rsid w:val="009E706D"/>
    <w:rsid w:val="009E70D1"/>
    <w:rsid w:val="009E70D3"/>
    <w:rsid w:val="009E7169"/>
    <w:rsid w:val="009E72AA"/>
    <w:rsid w:val="009E7359"/>
    <w:rsid w:val="009E74D4"/>
    <w:rsid w:val="009E7674"/>
    <w:rsid w:val="009E76EA"/>
    <w:rsid w:val="009E7769"/>
    <w:rsid w:val="009E7783"/>
    <w:rsid w:val="009E77F8"/>
    <w:rsid w:val="009E7814"/>
    <w:rsid w:val="009E7854"/>
    <w:rsid w:val="009E7909"/>
    <w:rsid w:val="009E790D"/>
    <w:rsid w:val="009E7979"/>
    <w:rsid w:val="009E79EE"/>
    <w:rsid w:val="009E7ABD"/>
    <w:rsid w:val="009E7C19"/>
    <w:rsid w:val="009E7CB3"/>
    <w:rsid w:val="009E7CE6"/>
    <w:rsid w:val="009E7D19"/>
    <w:rsid w:val="009E7D4E"/>
    <w:rsid w:val="009E7D66"/>
    <w:rsid w:val="009E7DAF"/>
    <w:rsid w:val="009E7E05"/>
    <w:rsid w:val="009E7E07"/>
    <w:rsid w:val="009E7E17"/>
    <w:rsid w:val="009E7E47"/>
    <w:rsid w:val="009E7E5B"/>
    <w:rsid w:val="009E7EAD"/>
    <w:rsid w:val="009E7EC4"/>
    <w:rsid w:val="009E7F10"/>
    <w:rsid w:val="009F00EC"/>
    <w:rsid w:val="009F010C"/>
    <w:rsid w:val="009F0111"/>
    <w:rsid w:val="009F0137"/>
    <w:rsid w:val="009F01C5"/>
    <w:rsid w:val="009F026F"/>
    <w:rsid w:val="009F048B"/>
    <w:rsid w:val="009F048D"/>
    <w:rsid w:val="009F0492"/>
    <w:rsid w:val="009F049B"/>
    <w:rsid w:val="009F04C6"/>
    <w:rsid w:val="009F04D8"/>
    <w:rsid w:val="009F04DB"/>
    <w:rsid w:val="009F064A"/>
    <w:rsid w:val="009F076B"/>
    <w:rsid w:val="009F0782"/>
    <w:rsid w:val="009F090D"/>
    <w:rsid w:val="009F092B"/>
    <w:rsid w:val="009F09B0"/>
    <w:rsid w:val="009F0A49"/>
    <w:rsid w:val="009F0A5E"/>
    <w:rsid w:val="009F0B31"/>
    <w:rsid w:val="009F0B45"/>
    <w:rsid w:val="009F0C23"/>
    <w:rsid w:val="009F0CC9"/>
    <w:rsid w:val="009F0DBA"/>
    <w:rsid w:val="009F0EB5"/>
    <w:rsid w:val="009F0ED0"/>
    <w:rsid w:val="009F0F16"/>
    <w:rsid w:val="009F0F2C"/>
    <w:rsid w:val="009F0F7D"/>
    <w:rsid w:val="009F0F83"/>
    <w:rsid w:val="009F0FAF"/>
    <w:rsid w:val="009F1022"/>
    <w:rsid w:val="009F104E"/>
    <w:rsid w:val="009F1099"/>
    <w:rsid w:val="009F113D"/>
    <w:rsid w:val="009F1168"/>
    <w:rsid w:val="009F1251"/>
    <w:rsid w:val="009F1275"/>
    <w:rsid w:val="009F12BD"/>
    <w:rsid w:val="009F12BE"/>
    <w:rsid w:val="009F12C2"/>
    <w:rsid w:val="009F131B"/>
    <w:rsid w:val="009F138A"/>
    <w:rsid w:val="009F139C"/>
    <w:rsid w:val="009F139F"/>
    <w:rsid w:val="009F1411"/>
    <w:rsid w:val="009F14B3"/>
    <w:rsid w:val="009F158B"/>
    <w:rsid w:val="009F15A0"/>
    <w:rsid w:val="009F1607"/>
    <w:rsid w:val="009F160D"/>
    <w:rsid w:val="009F165A"/>
    <w:rsid w:val="009F16A6"/>
    <w:rsid w:val="009F16C7"/>
    <w:rsid w:val="009F16E4"/>
    <w:rsid w:val="009F16EF"/>
    <w:rsid w:val="009F17CF"/>
    <w:rsid w:val="009F17ED"/>
    <w:rsid w:val="009F183C"/>
    <w:rsid w:val="009F1841"/>
    <w:rsid w:val="009F1879"/>
    <w:rsid w:val="009F187C"/>
    <w:rsid w:val="009F1922"/>
    <w:rsid w:val="009F196B"/>
    <w:rsid w:val="009F19B8"/>
    <w:rsid w:val="009F19D9"/>
    <w:rsid w:val="009F1A28"/>
    <w:rsid w:val="009F1AAF"/>
    <w:rsid w:val="009F1AF2"/>
    <w:rsid w:val="009F1B56"/>
    <w:rsid w:val="009F1B81"/>
    <w:rsid w:val="009F1B93"/>
    <w:rsid w:val="009F1BD4"/>
    <w:rsid w:val="009F1C10"/>
    <w:rsid w:val="009F1CAC"/>
    <w:rsid w:val="009F1D67"/>
    <w:rsid w:val="009F1D93"/>
    <w:rsid w:val="009F1DE9"/>
    <w:rsid w:val="009F1E38"/>
    <w:rsid w:val="009F1E49"/>
    <w:rsid w:val="009F1E4B"/>
    <w:rsid w:val="009F1E51"/>
    <w:rsid w:val="009F1F08"/>
    <w:rsid w:val="009F1F68"/>
    <w:rsid w:val="009F1FEE"/>
    <w:rsid w:val="009F2012"/>
    <w:rsid w:val="009F2100"/>
    <w:rsid w:val="009F2142"/>
    <w:rsid w:val="009F214D"/>
    <w:rsid w:val="009F214E"/>
    <w:rsid w:val="009F2167"/>
    <w:rsid w:val="009F228C"/>
    <w:rsid w:val="009F2306"/>
    <w:rsid w:val="009F2358"/>
    <w:rsid w:val="009F236B"/>
    <w:rsid w:val="009F2396"/>
    <w:rsid w:val="009F23DB"/>
    <w:rsid w:val="009F242F"/>
    <w:rsid w:val="009F2451"/>
    <w:rsid w:val="009F2461"/>
    <w:rsid w:val="009F2476"/>
    <w:rsid w:val="009F2482"/>
    <w:rsid w:val="009F2495"/>
    <w:rsid w:val="009F24BE"/>
    <w:rsid w:val="009F2523"/>
    <w:rsid w:val="009F26B0"/>
    <w:rsid w:val="009F274E"/>
    <w:rsid w:val="009F278C"/>
    <w:rsid w:val="009F27A1"/>
    <w:rsid w:val="009F27E2"/>
    <w:rsid w:val="009F28D3"/>
    <w:rsid w:val="009F2905"/>
    <w:rsid w:val="009F2954"/>
    <w:rsid w:val="009F296A"/>
    <w:rsid w:val="009F29D5"/>
    <w:rsid w:val="009F2A03"/>
    <w:rsid w:val="009F2A04"/>
    <w:rsid w:val="009F2A1F"/>
    <w:rsid w:val="009F2A36"/>
    <w:rsid w:val="009F2AD8"/>
    <w:rsid w:val="009F2B07"/>
    <w:rsid w:val="009F2B13"/>
    <w:rsid w:val="009F2B63"/>
    <w:rsid w:val="009F2BC5"/>
    <w:rsid w:val="009F2C2E"/>
    <w:rsid w:val="009F2C5A"/>
    <w:rsid w:val="009F2D31"/>
    <w:rsid w:val="009F2DCE"/>
    <w:rsid w:val="009F2EB8"/>
    <w:rsid w:val="009F2ED3"/>
    <w:rsid w:val="009F2F58"/>
    <w:rsid w:val="009F3033"/>
    <w:rsid w:val="009F3040"/>
    <w:rsid w:val="009F3063"/>
    <w:rsid w:val="009F3072"/>
    <w:rsid w:val="009F3120"/>
    <w:rsid w:val="009F313A"/>
    <w:rsid w:val="009F3175"/>
    <w:rsid w:val="009F31AE"/>
    <w:rsid w:val="009F31BF"/>
    <w:rsid w:val="009F31F7"/>
    <w:rsid w:val="009F32EB"/>
    <w:rsid w:val="009F3303"/>
    <w:rsid w:val="009F3350"/>
    <w:rsid w:val="009F33DB"/>
    <w:rsid w:val="009F343A"/>
    <w:rsid w:val="009F3444"/>
    <w:rsid w:val="009F34E9"/>
    <w:rsid w:val="009F3548"/>
    <w:rsid w:val="009F3599"/>
    <w:rsid w:val="009F359E"/>
    <w:rsid w:val="009F3684"/>
    <w:rsid w:val="009F36A3"/>
    <w:rsid w:val="009F36C4"/>
    <w:rsid w:val="009F36E8"/>
    <w:rsid w:val="009F36EF"/>
    <w:rsid w:val="009F3723"/>
    <w:rsid w:val="009F3772"/>
    <w:rsid w:val="009F37BF"/>
    <w:rsid w:val="009F380D"/>
    <w:rsid w:val="009F388B"/>
    <w:rsid w:val="009F3894"/>
    <w:rsid w:val="009F3895"/>
    <w:rsid w:val="009F38A4"/>
    <w:rsid w:val="009F390A"/>
    <w:rsid w:val="009F398D"/>
    <w:rsid w:val="009F39A5"/>
    <w:rsid w:val="009F39D1"/>
    <w:rsid w:val="009F39EE"/>
    <w:rsid w:val="009F3A34"/>
    <w:rsid w:val="009F3A88"/>
    <w:rsid w:val="009F3ABA"/>
    <w:rsid w:val="009F3B4C"/>
    <w:rsid w:val="009F3BEB"/>
    <w:rsid w:val="009F3C91"/>
    <w:rsid w:val="009F3CB0"/>
    <w:rsid w:val="009F3CBD"/>
    <w:rsid w:val="009F3D14"/>
    <w:rsid w:val="009F3D1E"/>
    <w:rsid w:val="009F3D47"/>
    <w:rsid w:val="009F3DB1"/>
    <w:rsid w:val="009F3E5C"/>
    <w:rsid w:val="009F3ED5"/>
    <w:rsid w:val="009F3F30"/>
    <w:rsid w:val="009F3F84"/>
    <w:rsid w:val="009F3FEA"/>
    <w:rsid w:val="009F4023"/>
    <w:rsid w:val="009F407F"/>
    <w:rsid w:val="009F409B"/>
    <w:rsid w:val="009F40A0"/>
    <w:rsid w:val="009F40AE"/>
    <w:rsid w:val="009F412C"/>
    <w:rsid w:val="009F4137"/>
    <w:rsid w:val="009F41E3"/>
    <w:rsid w:val="009F42B1"/>
    <w:rsid w:val="009F4384"/>
    <w:rsid w:val="009F43B8"/>
    <w:rsid w:val="009F4430"/>
    <w:rsid w:val="009F4464"/>
    <w:rsid w:val="009F44D1"/>
    <w:rsid w:val="009F44FE"/>
    <w:rsid w:val="009F4550"/>
    <w:rsid w:val="009F4584"/>
    <w:rsid w:val="009F45A2"/>
    <w:rsid w:val="009F4639"/>
    <w:rsid w:val="009F467E"/>
    <w:rsid w:val="009F467F"/>
    <w:rsid w:val="009F46B8"/>
    <w:rsid w:val="009F4707"/>
    <w:rsid w:val="009F4718"/>
    <w:rsid w:val="009F47AF"/>
    <w:rsid w:val="009F47BF"/>
    <w:rsid w:val="009F47F2"/>
    <w:rsid w:val="009F4864"/>
    <w:rsid w:val="009F488F"/>
    <w:rsid w:val="009F48A9"/>
    <w:rsid w:val="009F48F1"/>
    <w:rsid w:val="009F48FE"/>
    <w:rsid w:val="009F492F"/>
    <w:rsid w:val="009F49D1"/>
    <w:rsid w:val="009F4B3A"/>
    <w:rsid w:val="009F4B69"/>
    <w:rsid w:val="009F4B6A"/>
    <w:rsid w:val="009F4B7B"/>
    <w:rsid w:val="009F4BE0"/>
    <w:rsid w:val="009F4C3F"/>
    <w:rsid w:val="009F4CBE"/>
    <w:rsid w:val="009F4CF6"/>
    <w:rsid w:val="009F4D34"/>
    <w:rsid w:val="009F4E36"/>
    <w:rsid w:val="009F4EDF"/>
    <w:rsid w:val="009F4FB9"/>
    <w:rsid w:val="009F4FE1"/>
    <w:rsid w:val="009F506F"/>
    <w:rsid w:val="009F5142"/>
    <w:rsid w:val="009F5174"/>
    <w:rsid w:val="009F5219"/>
    <w:rsid w:val="009F5299"/>
    <w:rsid w:val="009F52F4"/>
    <w:rsid w:val="009F535C"/>
    <w:rsid w:val="009F5384"/>
    <w:rsid w:val="009F5390"/>
    <w:rsid w:val="009F5441"/>
    <w:rsid w:val="009F54A8"/>
    <w:rsid w:val="009F54AE"/>
    <w:rsid w:val="009F557D"/>
    <w:rsid w:val="009F55B7"/>
    <w:rsid w:val="009F55D0"/>
    <w:rsid w:val="009F5614"/>
    <w:rsid w:val="009F5630"/>
    <w:rsid w:val="009F5678"/>
    <w:rsid w:val="009F573C"/>
    <w:rsid w:val="009F58BC"/>
    <w:rsid w:val="009F5914"/>
    <w:rsid w:val="009F59BB"/>
    <w:rsid w:val="009F59DE"/>
    <w:rsid w:val="009F5A02"/>
    <w:rsid w:val="009F5A0E"/>
    <w:rsid w:val="009F5A7E"/>
    <w:rsid w:val="009F5A89"/>
    <w:rsid w:val="009F5AEC"/>
    <w:rsid w:val="009F5B06"/>
    <w:rsid w:val="009F5BD3"/>
    <w:rsid w:val="009F5C09"/>
    <w:rsid w:val="009F5C2D"/>
    <w:rsid w:val="009F5CA1"/>
    <w:rsid w:val="009F5CBA"/>
    <w:rsid w:val="009F5DFF"/>
    <w:rsid w:val="009F5E62"/>
    <w:rsid w:val="009F5EDD"/>
    <w:rsid w:val="009F5FEB"/>
    <w:rsid w:val="009F61D7"/>
    <w:rsid w:val="009F61FA"/>
    <w:rsid w:val="009F6225"/>
    <w:rsid w:val="009F6248"/>
    <w:rsid w:val="009F62DB"/>
    <w:rsid w:val="009F6331"/>
    <w:rsid w:val="009F63A3"/>
    <w:rsid w:val="009F63B3"/>
    <w:rsid w:val="009F640A"/>
    <w:rsid w:val="009F64DA"/>
    <w:rsid w:val="009F652E"/>
    <w:rsid w:val="009F65E5"/>
    <w:rsid w:val="009F65EF"/>
    <w:rsid w:val="009F6711"/>
    <w:rsid w:val="009F674D"/>
    <w:rsid w:val="009F6777"/>
    <w:rsid w:val="009F6802"/>
    <w:rsid w:val="009F683A"/>
    <w:rsid w:val="009F6888"/>
    <w:rsid w:val="009F6893"/>
    <w:rsid w:val="009F68A7"/>
    <w:rsid w:val="009F68FD"/>
    <w:rsid w:val="009F6993"/>
    <w:rsid w:val="009F69B9"/>
    <w:rsid w:val="009F69E3"/>
    <w:rsid w:val="009F69F3"/>
    <w:rsid w:val="009F6A68"/>
    <w:rsid w:val="009F6AB6"/>
    <w:rsid w:val="009F6B56"/>
    <w:rsid w:val="009F6B8A"/>
    <w:rsid w:val="009F6B93"/>
    <w:rsid w:val="009F6BD2"/>
    <w:rsid w:val="009F6C3F"/>
    <w:rsid w:val="009F6D3A"/>
    <w:rsid w:val="009F6DC9"/>
    <w:rsid w:val="009F6E0B"/>
    <w:rsid w:val="009F6E3A"/>
    <w:rsid w:val="009F6E6B"/>
    <w:rsid w:val="009F6E9A"/>
    <w:rsid w:val="009F6E9E"/>
    <w:rsid w:val="009F6EA5"/>
    <w:rsid w:val="009F6EA9"/>
    <w:rsid w:val="009F6F66"/>
    <w:rsid w:val="009F7009"/>
    <w:rsid w:val="009F701E"/>
    <w:rsid w:val="009F7041"/>
    <w:rsid w:val="009F7057"/>
    <w:rsid w:val="009F7060"/>
    <w:rsid w:val="009F710B"/>
    <w:rsid w:val="009F71A6"/>
    <w:rsid w:val="009F71F4"/>
    <w:rsid w:val="009F721D"/>
    <w:rsid w:val="009F7288"/>
    <w:rsid w:val="009F72A7"/>
    <w:rsid w:val="009F72B4"/>
    <w:rsid w:val="009F73A6"/>
    <w:rsid w:val="009F740F"/>
    <w:rsid w:val="009F7449"/>
    <w:rsid w:val="009F7566"/>
    <w:rsid w:val="009F759C"/>
    <w:rsid w:val="009F759F"/>
    <w:rsid w:val="009F764F"/>
    <w:rsid w:val="009F76F5"/>
    <w:rsid w:val="009F775B"/>
    <w:rsid w:val="009F77A5"/>
    <w:rsid w:val="009F77D0"/>
    <w:rsid w:val="009F77E6"/>
    <w:rsid w:val="009F77EE"/>
    <w:rsid w:val="009F7807"/>
    <w:rsid w:val="009F7817"/>
    <w:rsid w:val="009F781A"/>
    <w:rsid w:val="009F78A6"/>
    <w:rsid w:val="009F78D9"/>
    <w:rsid w:val="009F78F4"/>
    <w:rsid w:val="009F7915"/>
    <w:rsid w:val="009F791A"/>
    <w:rsid w:val="009F7939"/>
    <w:rsid w:val="009F79BB"/>
    <w:rsid w:val="009F79F3"/>
    <w:rsid w:val="009F7ACC"/>
    <w:rsid w:val="009F7D20"/>
    <w:rsid w:val="009F7D4D"/>
    <w:rsid w:val="009F7DAB"/>
    <w:rsid w:val="009F7DE9"/>
    <w:rsid w:val="009F7ED8"/>
    <w:rsid w:val="009F7EE9"/>
    <w:rsid w:val="009F7F82"/>
    <w:rsid w:val="009F7FB5"/>
    <w:rsid w:val="009F7FDF"/>
    <w:rsid w:val="00A00055"/>
    <w:rsid w:val="00A000AB"/>
    <w:rsid w:val="00A0010B"/>
    <w:rsid w:val="00A00129"/>
    <w:rsid w:val="00A00155"/>
    <w:rsid w:val="00A00175"/>
    <w:rsid w:val="00A00223"/>
    <w:rsid w:val="00A00258"/>
    <w:rsid w:val="00A002CD"/>
    <w:rsid w:val="00A00340"/>
    <w:rsid w:val="00A00381"/>
    <w:rsid w:val="00A003AF"/>
    <w:rsid w:val="00A003FF"/>
    <w:rsid w:val="00A0041D"/>
    <w:rsid w:val="00A005BC"/>
    <w:rsid w:val="00A0065B"/>
    <w:rsid w:val="00A00671"/>
    <w:rsid w:val="00A00710"/>
    <w:rsid w:val="00A00714"/>
    <w:rsid w:val="00A0071A"/>
    <w:rsid w:val="00A007D6"/>
    <w:rsid w:val="00A00802"/>
    <w:rsid w:val="00A00810"/>
    <w:rsid w:val="00A00970"/>
    <w:rsid w:val="00A009FB"/>
    <w:rsid w:val="00A00ABA"/>
    <w:rsid w:val="00A00B14"/>
    <w:rsid w:val="00A00BAF"/>
    <w:rsid w:val="00A00BBD"/>
    <w:rsid w:val="00A00CED"/>
    <w:rsid w:val="00A00D21"/>
    <w:rsid w:val="00A00D71"/>
    <w:rsid w:val="00A00DA4"/>
    <w:rsid w:val="00A00DC2"/>
    <w:rsid w:val="00A00E04"/>
    <w:rsid w:val="00A00E2F"/>
    <w:rsid w:val="00A00E70"/>
    <w:rsid w:val="00A00E7A"/>
    <w:rsid w:val="00A00F7D"/>
    <w:rsid w:val="00A01104"/>
    <w:rsid w:val="00A01151"/>
    <w:rsid w:val="00A011CA"/>
    <w:rsid w:val="00A0126B"/>
    <w:rsid w:val="00A0129C"/>
    <w:rsid w:val="00A012A9"/>
    <w:rsid w:val="00A0143E"/>
    <w:rsid w:val="00A01455"/>
    <w:rsid w:val="00A014CE"/>
    <w:rsid w:val="00A014D1"/>
    <w:rsid w:val="00A01567"/>
    <w:rsid w:val="00A015B6"/>
    <w:rsid w:val="00A015C9"/>
    <w:rsid w:val="00A0166F"/>
    <w:rsid w:val="00A0168D"/>
    <w:rsid w:val="00A016D2"/>
    <w:rsid w:val="00A016D8"/>
    <w:rsid w:val="00A0170D"/>
    <w:rsid w:val="00A017BB"/>
    <w:rsid w:val="00A0186F"/>
    <w:rsid w:val="00A018B5"/>
    <w:rsid w:val="00A01959"/>
    <w:rsid w:val="00A01973"/>
    <w:rsid w:val="00A01976"/>
    <w:rsid w:val="00A019A7"/>
    <w:rsid w:val="00A019DE"/>
    <w:rsid w:val="00A01A1E"/>
    <w:rsid w:val="00A01A91"/>
    <w:rsid w:val="00A01A96"/>
    <w:rsid w:val="00A01B3A"/>
    <w:rsid w:val="00A01C40"/>
    <w:rsid w:val="00A01C85"/>
    <w:rsid w:val="00A01C8E"/>
    <w:rsid w:val="00A01CBC"/>
    <w:rsid w:val="00A01DA5"/>
    <w:rsid w:val="00A01DA8"/>
    <w:rsid w:val="00A01DBB"/>
    <w:rsid w:val="00A01E54"/>
    <w:rsid w:val="00A01E57"/>
    <w:rsid w:val="00A01E95"/>
    <w:rsid w:val="00A01EA6"/>
    <w:rsid w:val="00A01EAA"/>
    <w:rsid w:val="00A01F46"/>
    <w:rsid w:val="00A01FA4"/>
    <w:rsid w:val="00A01FF4"/>
    <w:rsid w:val="00A0203C"/>
    <w:rsid w:val="00A02120"/>
    <w:rsid w:val="00A02165"/>
    <w:rsid w:val="00A02231"/>
    <w:rsid w:val="00A0228C"/>
    <w:rsid w:val="00A0239C"/>
    <w:rsid w:val="00A02469"/>
    <w:rsid w:val="00A02511"/>
    <w:rsid w:val="00A02541"/>
    <w:rsid w:val="00A0257B"/>
    <w:rsid w:val="00A0259D"/>
    <w:rsid w:val="00A025F5"/>
    <w:rsid w:val="00A02692"/>
    <w:rsid w:val="00A026B8"/>
    <w:rsid w:val="00A02724"/>
    <w:rsid w:val="00A02764"/>
    <w:rsid w:val="00A0276A"/>
    <w:rsid w:val="00A027C7"/>
    <w:rsid w:val="00A02810"/>
    <w:rsid w:val="00A028FA"/>
    <w:rsid w:val="00A0291E"/>
    <w:rsid w:val="00A02941"/>
    <w:rsid w:val="00A0294B"/>
    <w:rsid w:val="00A0297E"/>
    <w:rsid w:val="00A02994"/>
    <w:rsid w:val="00A029C4"/>
    <w:rsid w:val="00A029CC"/>
    <w:rsid w:val="00A02A4A"/>
    <w:rsid w:val="00A02A7B"/>
    <w:rsid w:val="00A02AEE"/>
    <w:rsid w:val="00A02B15"/>
    <w:rsid w:val="00A02B55"/>
    <w:rsid w:val="00A02CD2"/>
    <w:rsid w:val="00A02D3F"/>
    <w:rsid w:val="00A02D6D"/>
    <w:rsid w:val="00A02D77"/>
    <w:rsid w:val="00A02E6B"/>
    <w:rsid w:val="00A02EE5"/>
    <w:rsid w:val="00A02F17"/>
    <w:rsid w:val="00A02F40"/>
    <w:rsid w:val="00A02F5E"/>
    <w:rsid w:val="00A030B2"/>
    <w:rsid w:val="00A03105"/>
    <w:rsid w:val="00A03169"/>
    <w:rsid w:val="00A03192"/>
    <w:rsid w:val="00A0325E"/>
    <w:rsid w:val="00A03268"/>
    <w:rsid w:val="00A03284"/>
    <w:rsid w:val="00A03289"/>
    <w:rsid w:val="00A03299"/>
    <w:rsid w:val="00A032BD"/>
    <w:rsid w:val="00A032E1"/>
    <w:rsid w:val="00A0339D"/>
    <w:rsid w:val="00A034A4"/>
    <w:rsid w:val="00A034D8"/>
    <w:rsid w:val="00A03510"/>
    <w:rsid w:val="00A035A5"/>
    <w:rsid w:val="00A035F5"/>
    <w:rsid w:val="00A0374A"/>
    <w:rsid w:val="00A037E2"/>
    <w:rsid w:val="00A03847"/>
    <w:rsid w:val="00A0384E"/>
    <w:rsid w:val="00A03855"/>
    <w:rsid w:val="00A03896"/>
    <w:rsid w:val="00A03914"/>
    <w:rsid w:val="00A03947"/>
    <w:rsid w:val="00A03973"/>
    <w:rsid w:val="00A03991"/>
    <w:rsid w:val="00A039C3"/>
    <w:rsid w:val="00A039E8"/>
    <w:rsid w:val="00A039ED"/>
    <w:rsid w:val="00A039FD"/>
    <w:rsid w:val="00A03A3C"/>
    <w:rsid w:val="00A03A6F"/>
    <w:rsid w:val="00A03A70"/>
    <w:rsid w:val="00A03A9A"/>
    <w:rsid w:val="00A03AE4"/>
    <w:rsid w:val="00A03B2D"/>
    <w:rsid w:val="00A03B8E"/>
    <w:rsid w:val="00A03BC3"/>
    <w:rsid w:val="00A03BE4"/>
    <w:rsid w:val="00A03BFE"/>
    <w:rsid w:val="00A03CC2"/>
    <w:rsid w:val="00A03D65"/>
    <w:rsid w:val="00A03D8F"/>
    <w:rsid w:val="00A03E10"/>
    <w:rsid w:val="00A03E2D"/>
    <w:rsid w:val="00A03E6D"/>
    <w:rsid w:val="00A03E8D"/>
    <w:rsid w:val="00A03EB4"/>
    <w:rsid w:val="00A03ECD"/>
    <w:rsid w:val="00A03ED2"/>
    <w:rsid w:val="00A03F04"/>
    <w:rsid w:val="00A03F9F"/>
    <w:rsid w:val="00A04056"/>
    <w:rsid w:val="00A04066"/>
    <w:rsid w:val="00A0407D"/>
    <w:rsid w:val="00A0411C"/>
    <w:rsid w:val="00A04124"/>
    <w:rsid w:val="00A0413B"/>
    <w:rsid w:val="00A041F4"/>
    <w:rsid w:val="00A04355"/>
    <w:rsid w:val="00A04393"/>
    <w:rsid w:val="00A04440"/>
    <w:rsid w:val="00A04550"/>
    <w:rsid w:val="00A04583"/>
    <w:rsid w:val="00A04629"/>
    <w:rsid w:val="00A04643"/>
    <w:rsid w:val="00A0476F"/>
    <w:rsid w:val="00A0490C"/>
    <w:rsid w:val="00A04917"/>
    <w:rsid w:val="00A0492C"/>
    <w:rsid w:val="00A049E2"/>
    <w:rsid w:val="00A04A52"/>
    <w:rsid w:val="00A04A7F"/>
    <w:rsid w:val="00A04A95"/>
    <w:rsid w:val="00A04ABE"/>
    <w:rsid w:val="00A04B52"/>
    <w:rsid w:val="00A04B76"/>
    <w:rsid w:val="00A04BB3"/>
    <w:rsid w:val="00A04C3E"/>
    <w:rsid w:val="00A04C46"/>
    <w:rsid w:val="00A04CF0"/>
    <w:rsid w:val="00A04D0A"/>
    <w:rsid w:val="00A04D52"/>
    <w:rsid w:val="00A04DB4"/>
    <w:rsid w:val="00A04DD5"/>
    <w:rsid w:val="00A04DDB"/>
    <w:rsid w:val="00A04E7E"/>
    <w:rsid w:val="00A04ED9"/>
    <w:rsid w:val="00A04EEE"/>
    <w:rsid w:val="00A04F63"/>
    <w:rsid w:val="00A050C2"/>
    <w:rsid w:val="00A0515B"/>
    <w:rsid w:val="00A0517E"/>
    <w:rsid w:val="00A051A2"/>
    <w:rsid w:val="00A051A6"/>
    <w:rsid w:val="00A051D9"/>
    <w:rsid w:val="00A051ED"/>
    <w:rsid w:val="00A05231"/>
    <w:rsid w:val="00A0526E"/>
    <w:rsid w:val="00A0528A"/>
    <w:rsid w:val="00A052BE"/>
    <w:rsid w:val="00A05369"/>
    <w:rsid w:val="00A05397"/>
    <w:rsid w:val="00A0539F"/>
    <w:rsid w:val="00A053B2"/>
    <w:rsid w:val="00A053B8"/>
    <w:rsid w:val="00A053F9"/>
    <w:rsid w:val="00A0540F"/>
    <w:rsid w:val="00A05431"/>
    <w:rsid w:val="00A05497"/>
    <w:rsid w:val="00A054AF"/>
    <w:rsid w:val="00A054FB"/>
    <w:rsid w:val="00A0553F"/>
    <w:rsid w:val="00A055DA"/>
    <w:rsid w:val="00A05622"/>
    <w:rsid w:val="00A056A9"/>
    <w:rsid w:val="00A056AA"/>
    <w:rsid w:val="00A05738"/>
    <w:rsid w:val="00A057CF"/>
    <w:rsid w:val="00A057D6"/>
    <w:rsid w:val="00A05809"/>
    <w:rsid w:val="00A05838"/>
    <w:rsid w:val="00A05874"/>
    <w:rsid w:val="00A05886"/>
    <w:rsid w:val="00A05897"/>
    <w:rsid w:val="00A05938"/>
    <w:rsid w:val="00A059B6"/>
    <w:rsid w:val="00A05A22"/>
    <w:rsid w:val="00A05A9F"/>
    <w:rsid w:val="00A05AB5"/>
    <w:rsid w:val="00A05B04"/>
    <w:rsid w:val="00A05BAC"/>
    <w:rsid w:val="00A05BF9"/>
    <w:rsid w:val="00A05C12"/>
    <w:rsid w:val="00A05C18"/>
    <w:rsid w:val="00A05CED"/>
    <w:rsid w:val="00A05D52"/>
    <w:rsid w:val="00A05D75"/>
    <w:rsid w:val="00A05E1A"/>
    <w:rsid w:val="00A05E36"/>
    <w:rsid w:val="00A05E77"/>
    <w:rsid w:val="00A05EBC"/>
    <w:rsid w:val="00A05F3A"/>
    <w:rsid w:val="00A05F90"/>
    <w:rsid w:val="00A06018"/>
    <w:rsid w:val="00A0602A"/>
    <w:rsid w:val="00A06084"/>
    <w:rsid w:val="00A0608A"/>
    <w:rsid w:val="00A06094"/>
    <w:rsid w:val="00A06095"/>
    <w:rsid w:val="00A060A2"/>
    <w:rsid w:val="00A060DA"/>
    <w:rsid w:val="00A06123"/>
    <w:rsid w:val="00A06324"/>
    <w:rsid w:val="00A06365"/>
    <w:rsid w:val="00A0641E"/>
    <w:rsid w:val="00A06427"/>
    <w:rsid w:val="00A06505"/>
    <w:rsid w:val="00A06507"/>
    <w:rsid w:val="00A065DB"/>
    <w:rsid w:val="00A06611"/>
    <w:rsid w:val="00A06702"/>
    <w:rsid w:val="00A0670D"/>
    <w:rsid w:val="00A06789"/>
    <w:rsid w:val="00A06812"/>
    <w:rsid w:val="00A06849"/>
    <w:rsid w:val="00A069A4"/>
    <w:rsid w:val="00A069C6"/>
    <w:rsid w:val="00A069CD"/>
    <w:rsid w:val="00A06A3F"/>
    <w:rsid w:val="00A06A56"/>
    <w:rsid w:val="00A06A96"/>
    <w:rsid w:val="00A06B3A"/>
    <w:rsid w:val="00A06BB0"/>
    <w:rsid w:val="00A06C59"/>
    <w:rsid w:val="00A06CA2"/>
    <w:rsid w:val="00A06D5E"/>
    <w:rsid w:val="00A06E36"/>
    <w:rsid w:val="00A06E8D"/>
    <w:rsid w:val="00A06EF1"/>
    <w:rsid w:val="00A06F1B"/>
    <w:rsid w:val="00A06F8F"/>
    <w:rsid w:val="00A06FCD"/>
    <w:rsid w:val="00A0708E"/>
    <w:rsid w:val="00A070BF"/>
    <w:rsid w:val="00A070D0"/>
    <w:rsid w:val="00A0718D"/>
    <w:rsid w:val="00A07228"/>
    <w:rsid w:val="00A07246"/>
    <w:rsid w:val="00A072AB"/>
    <w:rsid w:val="00A0735A"/>
    <w:rsid w:val="00A073AE"/>
    <w:rsid w:val="00A073D6"/>
    <w:rsid w:val="00A07441"/>
    <w:rsid w:val="00A07446"/>
    <w:rsid w:val="00A0744F"/>
    <w:rsid w:val="00A0745D"/>
    <w:rsid w:val="00A07466"/>
    <w:rsid w:val="00A074AE"/>
    <w:rsid w:val="00A07525"/>
    <w:rsid w:val="00A0754B"/>
    <w:rsid w:val="00A0755D"/>
    <w:rsid w:val="00A075A0"/>
    <w:rsid w:val="00A075CE"/>
    <w:rsid w:val="00A07612"/>
    <w:rsid w:val="00A0761F"/>
    <w:rsid w:val="00A0763B"/>
    <w:rsid w:val="00A077AC"/>
    <w:rsid w:val="00A077B7"/>
    <w:rsid w:val="00A0785C"/>
    <w:rsid w:val="00A07864"/>
    <w:rsid w:val="00A07885"/>
    <w:rsid w:val="00A078A3"/>
    <w:rsid w:val="00A078B4"/>
    <w:rsid w:val="00A07970"/>
    <w:rsid w:val="00A079B3"/>
    <w:rsid w:val="00A079E7"/>
    <w:rsid w:val="00A07A59"/>
    <w:rsid w:val="00A07A74"/>
    <w:rsid w:val="00A07B2C"/>
    <w:rsid w:val="00A07B32"/>
    <w:rsid w:val="00A07BD1"/>
    <w:rsid w:val="00A07CEE"/>
    <w:rsid w:val="00A07D45"/>
    <w:rsid w:val="00A07D4D"/>
    <w:rsid w:val="00A07DEF"/>
    <w:rsid w:val="00A07E22"/>
    <w:rsid w:val="00A07E8A"/>
    <w:rsid w:val="00A07EBA"/>
    <w:rsid w:val="00A07F4B"/>
    <w:rsid w:val="00A07F4D"/>
    <w:rsid w:val="00A07FAC"/>
    <w:rsid w:val="00A07FE8"/>
    <w:rsid w:val="00A1000E"/>
    <w:rsid w:val="00A1008F"/>
    <w:rsid w:val="00A10101"/>
    <w:rsid w:val="00A10297"/>
    <w:rsid w:val="00A102FE"/>
    <w:rsid w:val="00A10343"/>
    <w:rsid w:val="00A10381"/>
    <w:rsid w:val="00A10390"/>
    <w:rsid w:val="00A10394"/>
    <w:rsid w:val="00A10450"/>
    <w:rsid w:val="00A104A6"/>
    <w:rsid w:val="00A10525"/>
    <w:rsid w:val="00A105A7"/>
    <w:rsid w:val="00A1062B"/>
    <w:rsid w:val="00A10657"/>
    <w:rsid w:val="00A1065B"/>
    <w:rsid w:val="00A106D0"/>
    <w:rsid w:val="00A1076A"/>
    <w:rsid w:val="00A1076F"/>
    <w:rsid w:val="00A10840"/>
    <w:rsid w:val="00A108A4"/>
    <w:rsid w:val="00A108E3"/>
    <w:rsid w:val="00A1098D"/>
    <w:rsid w:val="00A109D5"/>
    <w:rsid w:val="00A10A27"/>
    <w:rsid w:val="00A10A32"/>
    <w:rsid w:val="00A10AAC"/>
    <w:rsid w:val="00A10B85"/>
    <w:rsid w:val="00A10B8C"/>
    <w:rsid w:val="00A10BF6"/>
    <w:rsid w:val="00A10CBF"/>
    <w:rsid w:val="00A10D48"/>
    <w:rsid w:val="00A10E09"/>
    <w:rsid w:val="00A10E12"/>
    <w:rsid w:val="00A10E4D"/>
    <w:rsid w:val="00A10E56"/>
    <w:rsid w:val="00A10E7B"/>
    <w:rsid w:val="00A10ED3"/>
    <w:rsid w:val="00A10EF0"/>
    <w:rsid w:val="00A10F83"/>
    <w:rsid w:val="00A10FD3"/>
    <w:rsid w:val="00A1101D"/>
    <w:rsid w:val="00A1118A"/>
    <w:rsid w:val="00A11267"/>
    <w:rsid w:val="00A11297"/>
    <w:rsid w:val="00A11352"/>
    <w:rsid w:val="00A11355"/>
    <w:rsid w:val="00A113D3"/>
    <w:rsid w:val="00A11424"/>
    <w:rsid w:val="00A114CA"/>
    <w:rsid w:val="00A1151F"/>
    <w:rsid w:val="00A1152E"/>
    <w:rsid w:val="00A11545"/>
    <w:rsid w:val="00A11571"/>
    <w:rsid w:val="00A115A3"/>
    <w:rsid w:val="00A115B6"/>
    <w:rsid w:val="00A115BE"/>
    <w:rsid w:val="00A1162D"/>
    <w:rsid w:val="00A11658"/>
    <w:rsid w:val="00A1167B"/>
    <w:rsid w:val="00A1169C"/>
    <w:rsid w:val="00A11709"/>
    <w:rsid w:val="00A11755"/>
    <w:rsid w:val="00A117DC"/>
    <w:rsid w:val="00A117DD"/>
    <w:rsid w:val="00A117F4"/>
    <w:rsid w:val="00A11832"/>
    <w:rsid w:val="00A1185A"/>
    <w:rsid w:val="00A11880"/>
    <w:rsid w:val="00A118C5"/>
    <w:rsid w:val="00A11932"/>
    <w:rsid w:val="00A11A93"/>
    <w:rsid w:val="00A11ACD"/>
    <w:rsid w:val="00A11AF8"/>
    <w:rsid w:val="00A11B08"/>
    <w:rsid w:val="00A11B53"/>
    <w:rsid w:val="00A11C9C"/>
    <w:rsid w:val="00A11CB7"/>
    <w:rsid w:val="00A11CC6"/>
    <w:rsid w:val="00A11CDB"/>
    <w:rsid w:val="00A11D3D"/>
    <w:rsid w:val="00A11D71"/>
    <w:rsid w:val="00A11DBC"/>
    <w:rsid w:val="00A11DE1"/>
    <w:rsid w:val="00A11E79"/>
    <w:rsid w:val="00A11EDE"/>
    <w:rsid w:val="00A11F1A"/>
    <w:rsid w:val="00A11F97"/>
    <w:rsid w:val="00A1206E"/>
    <w:rsid w:val="00A12088"/>
    <w:rsid w:val="00A12183"/>
    <w:rsid w:val="00A1218B"/>
    <w:rsid w:val="00A12190"/>
    <w:rsid w:val="00A121AF"/>
    <w:rsid w:val="00A121F1"/>
    <w:rsid w:val="00A12225"/>
    <w:rsid w:val="00A122C3"/>
    <w:rsid w:val="00A122CE"/>
    <w:rsid w:val="00A1245D"/>
    <w:rsid w:val="00A1246A"/>
    <w:rsid w:val="00A124A1"/>
    <w:rsid w:val="00A12505"/>
    <w:rsid w:val="00A1250A"/>
    <w:rsid w:val="00A1256E"/>
    <w:rsid w:val="00A12582"/>
    <w:rsid w:val="00A125C8"/>
    <w:rsid w:val="00A125FC"/>
    <w:rsid w:val="00A12655"/>
    <w:rsid w:val="00A12661"/>
    <w:rsid w:val="00A1268E"/>
    <w:rsid w:val="00A12697"/>
    <w:rsid w:val="00A1270E"/>
    <w:rsid w:val="00A1272F"/>
    <w:rsid w:val="00A1278F"/>
    <w:rsid w:val="00A127F2"/>
    <w:rsid w:val="00A1284F"/>
    <w:rsid w:val="00A12872"/>
    <w:rsid w:val="00A128A0"/>
    <w:rsid w:val="00A12923"/>
    <w:rsid w:val="00A12992"/>
    <w:rsid w:val="00A12A70"/>
    <w:rsid w:val="00A12AFB"/>
    <w:rsid w:val="00A12B0C"/>
    <w:rsid w:val="00A12B99"/>
    <w:rsid w:val="00A12D95"/>
    <w:rsid w:val="00A12E4D"/>
    <w:rsid w:val="00A12E98"/>
    <w:rsid w:val="00A12ED2"/>
    <w:rsid w:val="00A12EE6"/>
    <w:rsid w:val="00A12F38"/>
    <w:rsid w:val="00A12F56"/>
    <w:rsid w:val="00A12F7D"/>
    <w:rsid w:val="00A13010"/>
    <w:rsid w:val="00A13053"/>
    <w:rsid w:val="00A131F0"/>
    <w:rsid w:val="00A1325A"/>
    <w:rsid w:val="00A13280"/>
    <w:rsid w:val="00A132D6"/>
    <w:rsid w:val="00A132F7"/>
    <w:rsid w:val="00A133AE"/>
    <w:rsid w:val="00A13502"/>
    <w:rsid w:val="00A13515"/>
    <w:rsid w:val="00A1359C"/>
    <w:rsid w:val="00A1364E"/>
    <w:rsid w:val="00A13658"/>
    <w:rsid w:val="00A136D7"/>
    <w:rsid w:val="00A1375E"/>
    <w:rsid w:val="00A137E3"/>
    <w:rsid w:val="00A137E5"/>
    <w:rsid w:val="00A1388E"/>
    <w:rsid w:val="00A138EE"/>
    <w:rsid w:val="00A139C5"/>
    <w:rsid w:val="00A13A00"/>
    <w:rsid w:val="00A13A6F"/>
    <w:rsid w:val="00A13B0F"/>
    <w:rsid w:val="00A13C7B"/>
    <w:rsid w:val="00A13C8A"/>
    <w:rsid w:val="00A13CAA"/>
    <w:rsid w:val="00A13E57"/>
    <w:rsid w:val="00A13E92"/>
    <w:rsid w:val="00A13EBB"/>
    <w:rsid w:val="00A13EC6"/>
    <w:rsid w:val="00A13EC9"/>
    <w:rsid w:val="00A13EED"/>
    <w:rsid w:val="00A14055"/>
    <w:rsid w:val="00A140AF"/>
    <w:rsid w:val="00A14117"/>
    <w:rsid w:val="00A14276"/>
    <w:rsid w:val="00A142E9"/>
    <w:rsid w:val="00A14316"/>
    <w:rsid w:val="00A14322"/>
    <w:rsid w:val="00A143B8"/>
    <w:rsid w:val="00A143BD"/>
    <w:rsid w:val="00A14418"/>
    <w:rsid w:val="00A145FF"/>
    <w:rsid w:val="00A14614"/>
    <w:rsid w:val="00A146F2"/>
    <w:rsid w:val="00A14731"/>
    <w:rsid w:val="00A14779"/>
    <w:rsid w:val="00A14875"/>
    <w:rsid w:val="00A1492A"/>
    <w:rsid w:val="00A1495B"/>
    <w:rsid w:val="00A149F8"/>
    <w:rsid w:val="00A14A8F"/>
    <w:rsid w:val="00A14B0F"/>
    <w:rsid w:val="00A14B43"/>
    <w:rsid w:val="00A14C21"/>
    <w:rsid w:val="00A14CB0"/>
    <w:rsid w:val="00A14CB7"/>
    <w:rsid w:val="00A14CC4"/>
    <w:rsid w:val="00A14E05"/>
    <w:rsid w:val="00A14F29"/>
    <w:rsid w:val="00A15042"/>
    <w:rsid w:val="00A15059"/>
    <w:rsid w:val="00A150AE"/>
    <w:rsid w:val="00A15156"/>
    <w:rsid w:val="00A15205"/>
    <w:rsid w:val="00A15292"/>
    <w:rsid w:val="00A15293"/>
    <w:rsid w:val="00A153CF"/>
    <w:rsid w:val="00A15450"/>
    <w:rsid w:val="00A15469"/>
    <w:rsid w:val="00A15498"/>
    <w:rsid w:val="00A15499"/>
    <w:rsid w:val="00A154DF"/>
    <w:rsid w:val="00A15520"/>
    <w:rsid w:val="00A15540"/>
    <w:rsid w:val="00A15572"/>
    <w:rsid w:val="00A155AD"/>
    <w:rsid w:val="00A155BE"/>
    <w:rsid w:val="00A155D6"/>
    <w:rsid w:val="00A155E5"/>
    <w:rsid w:val="00A15638"/>
    <w:rsid w:val="00A1576B"/>
    <w:rsid w:val="00A15792"/>
    <w:rsid w:val="00A157C1"/>
    <w:rsid w:val="00A15816"/>
    <w:rsid w:val="00A158F3"/>
    <w:rsid w:val="00A1593B"/>
    <w:rsid w:val="00A15969"/>
    <w:rsid w:val="00A15974"/>
    <w:rsid w:val="00A15A35"/>
    <w:rsid w:val="00A15A64"/>
    <w:rsid w:val="00A15AC9"/>
    <w:rsid w:val="00A15B69"/>
    <w:rsid w:val="00A15B8D"/>
    <w:rsid w:val="00A15B94"/>
    <w:rsid w:val="00A15BA5"/>
    <w:rsid w:val="00A15C0E"/>
    <w:rsid w:val="00A15C49"/>
    <w:rsid w:val="00A15CF7"/>
    <w:rsid w:val="00A15DFB"/>
    <w:rsid w:val="00A15E14"/>
    <w:rsid w:val="00A15E36"/>
    <w:rsid w:val="00A15E3D"/>
    <w:rsid w:val="00A15ED8"/>
    <w:rsid w:val="00A15FA1"/>
    <w:rsid w:val="00A16008"/>
    <w:rsid w:val="00A1600D"/>
    <w:rsid w:val="00A1609B"/>
    <w:rsid w:val="00A160D9"/>
    <w:rsid w:val="00A16134"/>
    <w:rsid w:val="00A16137"/>
    <w:rsid w:val="00A161B2"/>
    <w:rsid w:val="00A1624B"/>
    <w:rsid w:val="00A16253"/>
    <w:rsid w:val="00A16254"/>
    <w:rsid w:val="00A1630E"/>
    <w:rsid w:val="00A1643A"/>
    <w:rsid w:val="00A16466"/>
    <w:rsid w:val="00A16468"/>
    <w:rsid w:val="00A1649B"/>
    <w:rsid w:val="00A164BD"/>
    <w:rsid w:val="00A164D7"/>
    <w:rsid w:val="00A16557"/>
    <w:rsid w:val="00A16638"/>
    <w:rsid w:val="00A16675"/>
    <w:rsid w:val="00A166C7"/>
    <w:rsid w:val="00A166FA"/>
    <w:rsid w:val="00A16753"/>
    <w:rsid w:val="00A16778"/>
    <w:rsid w:val="00A16783"/>
    <w:rsid w:val="00A1679F"/>
    <w:rsid w:val="00A167B5"/>
    <w:rsid w:val="00A16802"/>
    <w:rsid w:val="00A16805"/>
    <w:rsid w:val="00A168EB"/>
    <w:rsid w:val="00A168EF"/>
    <w:rsid w:val="00A16917"/>
    <w:rsid w:val="00A1696A"/>
    <w:rsid w:val="00A16B58"/>
    <w:rsid w:val="00A16B8C"/>
    <w:rsid w:val="00A16B9D"/>
    <w:rsid w:val="00A16C89"/>
    <w:rsid w:val="00A16C9A"/>
    <w:rsid w:val="00A16D4B"/>
    <w:rsid w:val="00A16D65"/>
    <w:rsid w:val="00A16D80"/>
    <w:rsid w:val="00A16D9D"/>
    <w:rsid w:val="00A16E2A"/>
    <w:rsid w:val="00A16ED8"/>
    <w:rsid w:val="00A16EF8"/>
    <w:rsid w:val="00A16F38"/>
    <w:rsid w:val="00A17020"/>
    <w:rsid w:val="00A17041"/>
    <w:rsid w:val="00A170FF"/>
    <w:rsid w:val="00A17353"/>
    <w:rsid w:val="00A1735E"/>
    <w:rsid w:val="00A1736A"/>
    <w:rsid w:val="00A173AE"/>
    <w:rsid w:val="00A173CE"/>
    <w:rsid w:val="00A17418"/>
    <w:rsid w:val="00A17426"/>
    <w:rsid w:val="00A174E9"/>
    <w:rsid w:val="00A17554"/>
    <w:rsid w:val="00A17574"/>
    <w:rsid w:val="00A175D8"/>
    <w:rsid w:val="00A17622"/>
    <w:rsid w:val="00A176A9"/>
    <w:rsid w:val="00A17720"/>
    <w:rsid w:val="00A17723"/>
    <w:rsid w:val="00A1772D"/>
    <w:rsid w:val="00A1774B"/>
    <w:rsid w:val="00A177A3"/>
    <w:rsid w:val="00A177EA"/>
    <w:rsid w:val="00A1787B"/>
    <w:rsid w:val="00A1789D"/>
    <w:rsid w:val="00A178D2"/>
    <w:rsid w:val="00A17A67"/>
    <w:rsid w:val="00A17B20"/>
    <w:rsid w:val="00A17BD1"/>
    <w:rsid w:val="00A17C01"/>
    <w:rsid w:val="00A17D42"/>
    <w:rsid w:val="00A17D80"/>
    <w:rsid w:val="00A17E00"/>
    <w:rsid w:val="00A17E05"/>
    <w:rsid w:val="00A17E13"/>
    <w:rsid w:val="00A17E37"/>
    <w:rsid w:val="00A17E44"/>
    <w:rsid w:val="00A17E4C"/>
    <w:rsid w:val="00A200A7"/>
    <w:rsid w:val="00A200C5"/>
    <w:rsid w:val="00A200FC"/>
    <w:rsid w:val="00A20166"/>
    <w:rsid w:val="00A201A2"/>
    <w:rsid w:val="00A201AE"/>
    <w:rsid w:val="00A201C0"/>
    <w:rsid w:val="00A2021D"/>
    <w:rsid w:val="00A202AA"/>
    <w:rsid w:val="00A202F3"/>
    <w:rsid w:val="00A20390"/>
    <w:rsid w:val="00A203FA"/>
    <w:rsid w:val="00A20412"/>
    <w:rsid w:val="00A20449"/>
    <w:rsid w:val="00A2046E"/>
    <w:rsid w:val="00A20485"/>
    <w:rsid w:val="00A204EB"/>
    <w:rsid w:val="00A204EF"/>
    <w:rsid w:val="00A2053A"/>
    <w:rsid w:val="00A205AA"/>
    <w:rsid w:val="00A2066B"/>
    <w:rsid w:val="00A206E0"/>
    <w:rsid w:val="00A20734"/>
    <w:rsid w:val="00A207F4"/>
    <w:rsid w:val="00A20821"/>
    <w:rsid w:val="00A208C8"/>
    <w:rsid w:val="00A208D6"/>
    <w:rsid w:val="00A20948"/>
    <w:rsid w:val="00A2095F"/>
    <w:rsid w:val="00A209AF"/>
    <w:rsid w:val="00A209D2"/>
    <w:rsid w:val="00A20A88"/>
    <w:rsid w:val="00A20A8C"/>
    <w:rsid w:val="00A20AAA"/>
    <w:rsid w:val="00A20AC9"/>
    <w:rsid w:val="00A20B11"/>
    <w:rsid w:val="00A20B1C"/>
    <w:rsid w:val="00A20BA2"/>
    <w:rsid w:val="00A20BA4"/>
    <w:rsid w:val="00A20BD7"/>
    <w:rsid w:val="00A20BF9"/>
    <w:rsid w:val="00A20C56"/>
    <w:rsid w:val="00A20CE6"/>
    <w:rsid w:val="00A20D4F"/>
    <w:rsid w:val="00A20D62"/>
    <w:rsid w:val="00A20D9D"/>
    <w:rsid w:val="00A20E4E"/>
    <w:rsid w:val="00A20F10"/>
    <w:rsid w:val="00A20F83"/>
    <w:rsid w:val="00A2105A"/>
    <w:rsid w:val="00A21075"/>
    <w:rsid w:val="00A210B0"/>
    <w:rsid w:val="00A210DE"/>
    <w:rsid w:val="00A210E4"/>
    <w:rsid w:val="00A21112"/>
    <w:rsid w:val="00A21114"/>
    <w:rsid w:val="00A2114A"/>
    <w:rsid w:val="00A211EE"/>
    <w:rsid w:val="00A2123B"/>
    <w:rsid w:val="00A21275"/>
    <w:rsid w:val="00A21293"/>
    <w:rsid w:val="00A21394"/>
    <w:rsid w:val="00A2139C"/>
    <w:rsid w:val="00A2149F"/>
    <w:rsid w:val="00A214AF"/>
    <w:rsid w:val="00A214DF"/>
    <w:rsid w:val="00A21567"/>
    <w:rsid w:val="00A21597"/>
    <w:rsid w:val="00A21681"/>
    <w:rsid w:val="00A2168D"/>
    <w:rsid w:val="00A217E7"/>
    <w:rsid w:val="00A217F9"/>
    <w:rsid w:val="00A21826"/>
    <w:rsid w:val="00A21A3C"/>
    <w:rsid w:val="00A21B13"/>
    <w:rsid w:val="00A21B2C"/>
    <w:rsid w:val="00A21B3B"/>
    <w:rsid w:val="00A21C28"/>
    <w:rsid w:val="00A21C95"/>
    <w:rsid w:val="00A21CE1"/>
    <w:rsid w:val="00A21CE6"/>
    <w:rsid w:val="00A21D8F"/>
    <w:rsid w:val="00A21DB2"/>
    <w:rsid w:val="00A21E10"/>
    <w:rsid w:val="00A21E1B"/>
    <w:rsid w:val="00A21E2C"/>
    <w:rsid w:val="00A21F05"/>
    <w:rsid w:val="00A21F11"/>
    <w:rsid w:val="00A21F4F"/>
    <w:rsid w:val="00A21F8D"/>
    <w:rsid w:val="00A21FFC"/>
    <w:rsid w:val="00A22038"/>
    <w:rsid w:val="00A2217D"/>
    <w:rsid w:val="00A22272"/>
    <w:rsid w:val="00A22289"/>
    <w:rsid w:val="00A2232B"/>
    <w:rsid w:val="00A2233C"/>
    <w:rsid w:val="00A223C6"/>
    <w:rsid w:val="00A223E8"/>
    <w:rsid w:val="00A22448"/>
    <w:rsid w:val="00A22557"/>
    <w:rsid w:val="00A225A9"/>
    <w:rsid w:val="00A225FD"/>
    <w:rsid w:val="00A22655"/>
    <w:rsid w:val="00A226B3"/>
    <w:rsid w:val="00A22728"/>
    <w:rsid w:val="00A2275C"/>
    <w:rsid w:val="00A22774"/>
    <w:rsid w:val="00A22787"/>
    <w:rsid w:val="00A227BB"/>
    <w:rsid w:val="00A22865"/>
    <w:rsid w:val="00A22869"/>
    <w:rsid w:val="00A228DB"/>
    <w:rsid w:val="00A2290C"/>
    <w:rsid w:val="00A22991"/>
    <w:rsid w:val="00A2299F"/>
    <w:rsid w:val="00A229DD"/>
    <w:rsid w:val="00A22A15"/>
    <w:rsid w:val="00A22B92"/>
    <w:rsid w:val="00A22BD9"/>
    <w:rsid w:val="00A22C25"/>
    <w:rsid w:val="00A22C98"/>
    <w:rsid w:val="00A22CA4"/>
    <w:rsid w:val="00A22D0F"/>
    <w:rsid w:val="00A22D24"/>
    <w:rsid w:val="00A22D92"/>
    <w:rsid w:val="00A22D94"/>
    <w:rsid w:val="00A22E06"/>
    <w:rsid w:val="00A22E07"/>
    <w:rsid w:val="00A22E11"/>
    <w:rsid w:val="00A22E2D"/>
    <w:rsid w:val="00A22F4F"/>
    <w:rsid w:val="00A22F72"/>
    <w:rsid w:val="00A2300A"/>
    <w:rsid w:val="00A23036"/>
    <w:rsid w:val="00A2308F"/>
    <w:rsid w:val="00A2313D"/>
    <w:rsid w:val="00A23163"/>
    <w:rsid w:val="00A231BB"/>
    <w:rsid w:val="00A231D1"/>
    <w:rsid w:val="00A2324B"/>
    <w:rsid w:val="00A232BE"/>
    <w:rsid w:val="00A23339"/>
    <w:rsid w:val="00A2336C"/>
    <w:rsid w:val="00A2339D"/>
    <w:rsid w:val="00A233CB"/>
    <w:rsid w:val="00A233D1"/>
    <w:rsid w:val="00A23408"/>
    <w:rsid w:val="00A2348D"/>
    <w:rsid w:val="00A234A4"/>
    <w:rsid w:val="00A23548"/>
    <w:rsid w:val="00A23559"/>
    <w:rsid w:val="00A235BC"/>
    <w:rsid w:val="00A235EB"/>
    <w:rsid w:val="00A23692"/>
    <w:rsid w:val="00A236BD"/>
    <w:rsid w:val="00A236C3"/>
    <w:rsid w:val="00A236E3"/>
    <w:rsid w:val="00A236F9"/>
    <w:rsid w:val="00A23732"/>
    <w:rsid w:val="00A2373F"/>
    <w:rsid w:val="00A2382A"/>
    <w:rsid w:val="00A23858"/>
    <w:rsid w:val="00A23864"/>
    <w:rsid w:val="00A23939"/>
    <w:rsid w:val="00A23A2B"/>
    <w:rsid w:val="00A23A39"/>
    <w:rsid w:val="00A23A5B"/>
    <w:rsid w:val="00A23A90"/>
    <w:rsid w:val="00A23AFA"/>
    <w:rsid w:val="00A23B0A"/>
    <w:rsid w:val="00A23B60"/>
    <w:rsid w:val="00A23B77"/>
    <w:rsid w:val="00A23C27"/>
    <w:rsid w:val="00A23CBD"/>
    <w:rsid w:val="00A23CE7"/>
    <w:rsid w:val="00A23E01"/>
    <w:rsid w:val="00A23E3E"/>
    <w:rsid w:val="00A23E7D"/>
    <w:rsid w:val="00A24086"/>
    <w:rsid w:val="00A24093"/>
    <w:rsid w:val="00A24168"/>
    <w:rsid w:val="00A241C1"/>
    <w:rsid w:val="00A2423D"/>
    <w:rsid w:val="00A24274"/>
    <w:rsid w:val="00A24279"/>
    <w:rsid w:val="00A242A5"/>
    <w:rsid w:val="00A24389"/>
    <w:rsid w:val="00A243B1"/>
    <w:rsid w:val="00A2440C"/>
    <w:rsid w:val="00A2443F"/>
    <w:rsid w:val="00A2445E"/>
    <w:rsid w:val="00A244BF"/>
    <w:rsid w:val="00A244C5"/>
    <w:rsid w:val="00A24532"/>
    <w:rsid w:val="00A24538"/>
    <w:rsid w:val="00A2458B"/>
    <w:rsid w:val="00A245DE"/>
    <w:rsid w:val="00A24790"/>
    <w:rsid w:val="00A24852"/>
    <w:rsid w:val="00A248AC"/>
    <w:rsid w:val="00A24913"/>
    <w:rsid w:val="00A2491F"/>
    <w:rsid w:val="00A24AB3"/>
    <w:rsid w:val="00A24ACC"/>
    <w:rsid w:val="00A24B3F"/>
    <w:rsid w:val="00A24C49"/>
    <w:rsid w:val="00A24C77"/>
    <w:rsid w:val="00A24CA6"/>
    <w:rsid w:val="00A24CE3"/>
    <w:rsid w:val="00A24D8D"/>
    <w:rsid w:val="00A24D93"/>
    <w:rsid w:val="00A24DF5"/>
    <w:rsid w:val="00A24F49"/>
    <w:rsid w:val="00A24F52"/>
    <w:rsid w:val="00A24FD4"/>
    <w:rsid w:val="00A24FDB"/>
    <w:rsid w:val="00A2502F"/>
    <w:rsid w:val="00A250FF"/>
    <w:rsid w:val="00A25104"/>
    <w:rsid w:val="00A25125"/>
    <w:rsid w:val="00A25156"/>
    <w:rsid w:val="00A25242"/>
    <w:rsid w:val="00A25243"/>
    <w:rsid w:val="00A252E3"/>
    <w:rsid w:val="00A25303"/>
    <w:rsid w:val="00A2533C"/>
    <w:rsid w:val="00A2535E"/>
    <w:rsid w:val="00A2542A"/>
    <w:rsid w:val="00A254C2"/>
    <w:rsid w:val="00A25532"/>
    <w:rsid w:val="00A25544"/>
    <w:rsid w:val="00A255A8"/>
    <w:rsid w:val="00A255BE"/>
    <w:rsid w:val="00A255C4"/>
    <w:rsid w:val="00A25637"/>
    <w:rsid w:val="00A2565F"/>
    <w:rsid w:val="00A256D4"/>
    <w:rsid w:val="00A25708"/>
    <w:rsid w:val="00A2571D"/>
    <w:rsid w:val="00A25753"/>
    <w:rsid w:val="00A257EB"/>
    <w:rsid w:val="00A2586F"/>
    <w:rsid w:val="00A25949"/>
    <w:rsid w:val="00A25957"/>
    <w:rsid w:val="00A25AFC"/>
    <w:rsid w:val="00A25AFE"/>
    <w:rsid w:val="00A25B4B"/>
    <w:rsid w:val="00A25BC0"/>
    <w:rsid w:val="00A25BF3"/>
    <w:rsid w:val="00A25C11"/>
    <w:rsid w:val="00A25C2A"/>
    <w:rsid w:val="00A25D66"/>
    <w:rsid w:val="00A25D9B"/>
    <w:rsid w:val="00A25DC4"/>
    <w:rsid w:val="00A25E89"/>
    <w:rsid w:val="00A25E9F"/>
    <w:rsid w:val="00A25EE5"/>
    <w:rsid w:val="00A25F12"/>
    <w:rsid w:val="00A25F37"/>
    <w:rsid w:val="00A25F5C"/>
    <w:rsid w:val="00A25FAA"/>
    <w:rsid w:val="00A25FEA"/>
    <w:rsid w:val="00A2607F"/>
    <w:rsid w:val="00A2609E"/>
    <w:rsid w:val="00A2619C"/>
    <w:rsid w:val="00A261DE"/>
    <w:rsid w:val="00A261E9"/>
    <w:rsid w:val="00A26233"/>
    <w:rsid w:val="00A262BF"/>
    <w:rsid w:val="00A26328"/>
    <w:rsid w:val="00A26361"/>
    <w:rsid w:val="00A2639F"/>
    <w:rsid w:val="00A2647A"/>
    <w:rsid w:val="00A2653F"/>
    <w:rsid w:val="00A2654B"/>
    <w:rsid w:val="00A265D3"/>
    <w:rsid w:val="00A2660D"/>
    <w:rsid w:val="00A26652"/>
    <w:rsid w:val="00A26656"/>
    <w:rsid w:val="00A266BC"/>
    <w:rsid w:val="00A266D8"/>
    <w:rsid w:val="00A266FA"/>
    <w:rsid w:val="00A26720"/>
    <w:rsid w:val="00A26853"/>
    <w:rsid w:val="00A26865"/>
    <w:rsid w:val="00A2686C"/>
    <w:rsid w:val="00A268B3"/>
    <w:rsid w:val="00A2695A"/>
    <w:rsid w:val="00A2696A"/>
    <w:rsid w:val="00A269AB"/>
    <w:rsid w:val="00A26AC3"/>
    <w:rsid w:val="00A26C56"/>
    <w:rsid w:val="00A26C74"/>
    <w:rsid w:val="00A26CCA"/>
    <w:rsid w:val="00A26CF2"/>
    <w:rsid w:val="00A26D47"/>
    <w:rsid w:val="00A26D90"/>
    <w:rsid w:val="00A26EA8"/>
    <w:rsid w:val="00A26EB4"/>
    <w:rsid w:val="00A26F36"/>
    <w:rsid w:val="00A26F53"/>
    <w:rsid w:val="00A26F77"/>
    <w:rsid w:val="00A26FDB"/>
    <w:rsid w:val="00A27004"/>
    <w:rsid w:val="00A270C2"/>
    <w:rsid w:val="00A270CC"/>
    <w:rsid w:val="00A270FE"/>
    <w:rsid w:val="00A27130"/>
    <w:rsid w:val="00A27149"/>
    <w:rsid w:val="00A2718A"/>
    <w:rsid w:val="00A2718B"/>
    <w:rsid w:val="00A2719C"/>
    <w:rsid w:val="00A271BF"/>
    <w:rsid w:val="00A27255"/>
    <w:rsid w:val="00A2727B"/>
    <w:rsid w:val="00A27364"/>
    <w:rsid w:val="00A27420"/>
    <w:rsid w:val="00A2742D"/>
    <w:rsid w:val="00A274C1"/>
    <w:rsid w:val="00A2756F"/>
    <w:rsid w:val="00A275C1"/>
    <w:rsid w:val="00A275CE"/>
    <w:rsid w:val="00A2778A"/>
    <w:rsid w:val="00A277A7"/>
    <w:rsid w:val="00A27829"/>
    <w:rsid w:val="00A278FB"/>
    <w:rsid w:val="00A279BE"/>
    <w:rsid w:val="00A27A0B"/>
    <w:rsid w:val="00A27A1C"/>
    <w:rsid w:val="00A27A44"/>
    <w:rsid w:val="00A27B35"/>
    <w:rsid w:val="00A27B65"/>
    <w:rsid w:val="00A27BEB"/>
    <w:rsid w:val="00A27C3A"/>
    <w:rsid w:val="00A27C3D"/>
    <w:rsid w:val="00A27C56"/>
    <w:rsid w:val="00A27C61"/>
    <w:rsid w:val="00A27C72"/>
    <w:rsid w:val="00A27C7A"/>
    <w:rsid w:val="00A27CB6"/>
    <w:rsid w:val="00A27D5B"/>
    <w:rsid w:val="00A27D7E"/>
    <w:rsid w:val="00A27DF0"/>
    <w:rsid w:val="00A27E38"/>
    <w:rsid w:val="00A27F26"/>
    <w:rsid w:val="00A27F62"/>
    <w:rsid w:val="00A27FAD"/>
    <w:rsid w:val="00A27FF3"/>
    <w:rsid w:val="00A27FFA"/>
    <w:rsid w:val="00A30010"/>
    <w:rsid w:val="00A3002E"/>
    <w:rsid w:val="00A30050"/>
    <w:rsid w:val="00A300D2"/>
    <w:rsid w:val="00A300FC"/>
    <w:rsid w:val="00A30159"/>
    <w:rsid w:val="00A3023B"/>
    <w:rsid w:val="00A302AC"/>
    <w:rsid w:val="00A302D8"/>
    <w:rsid w:val="00A302EA"/>
    <w:rsid w:val="00A30329"/>
    <w:rsid w:val="00A303CF"/>
    <w:rsid w:val="00A30443"/>
    <w:rsid w:val="00A304BF"/>
    <w:rsid w:val="00A304E7"/>
    <w:rsid w:val="00A30503"/>
    <w:rsid w:val="00A3059C"/>
    <w:rsid w:val="00A305D6"/>
    <w:rsid w:val="00A30613"/>
    <w:rsid w:val="00A30640"/>
    <w:rsid w:val="00A30644"/>
    <w:rsid w:val="00A306A7"/>
    <w:rsid w:val="00A30756"/>
    <w:rsid w:val="00A307E6"/>
    <w:rsid w:val="00A30808"/>
    <w:rsid w:val="00A3080C"/>
    <w:rsid w:val="00A3080D"/>
    <w:rsid w:val="00A3082B"/>
    <w:rsid w:val="00A30858"/>
    <w:rsid w:val="00A308C6"/>
    <w:rsid w:val="00A3094F"/>
    <w:rsid w:val="00A3099A"/>
    <w:rsid w:val="00A3099B"/>
    <w:rsid w:val="00A309B1"/>
    <w:rsid w:val="00A30AEC"/>
    <w:rsid w:val="00A30B33"/>
    <w:rsid w:val="00A30B85"/>
    <w:rsid w:val="00A30BFB"/>
    <w:rsid w:val="00A30C01"/>
    <w:rsid w:val="00A30C0B"/>
    <w:rsid w:val="00A30C21"/>
    <w:rsid w:val="00A30C57"/>
    <w:rsid w:val="00A30CB5"/>
    <w:rsid w:val="00A30CE9"/>
    <w:rsid w:val="00A30D51"/>
    <w:rsid w:val="00A30D5F"/>
    <w:rsid w:val="00A30D70"/>
    <w:rsid w:val="00A30D72"/>
    <w:rsid w:val="00A30DE2"/>
    <w:rsid w:val="00A30DEC"/>
    <w:rsid w:val="00A30DFE"/>
    <w:rsid w:val="00A30E6A"/>
    <w:rsid w:val="00A30E83"/>
    <w:rsid w:val="00A30FD4"/>
    <w:rsid w:val="00A31156"/>
    <w:rsid w:val="00A31170"/>
    <w:rsid w:val="00A31283"/>
    <w:rsid w:val="00A312BB"/>
    <w:rsid w:val="00A312FE"/>
    <w:rsid w:val="00A31454"/>
    <w:rsid w:val="00A315C9"/>
    <w:rsid w:val="00A31639"/>
    <w:rsid w:val="00A31657"/>
    <w:rsid w:val="00A316EF"/>
    <w:rsid w:val="00A3173D"/>
    <w:rsid w:val="00A31795"/>
    <w:rsid w:val="00A3186D"/>
    <w:rsid w:val="00A3188F"/>
    <w:rsid w:val="00A318C6"/>
    <w:rsid w:val="00A318CF"/>
    <w:rsid w:val="00A318F0"/>
    <w:rsid w:val="00A3191F"/>
    <w:rsid w:val="00A31A52"/>
    <w:rsid w:val="00A31A76"/>
    <w:rsid w:val="00A31AD5"/>
    <w:rsid w:val="00A31B07"/>
    <w:rsid w:val="00A31B94"/>
    <w:rsid w:val="00A31BB7"/>
    <w:rsid w:val="00A31C00"/>
    <w:rsid w:val="00A31C02"/>
    <w:rsid w:val="00A31C32"/>
    <w:rsid w:val="00A31C65"/>
    <w:rsid w:val="00A31CF7"/>
    <w:rsid w:val="00A31D5B"/>
    <w:rsid w:val="00A31D9B"/>
    <w:rsid w:val="00A31E76"/>
    <w:rsid w:val="00A31E83"/>
    <w:rsid w:val="00A31E87"/>
    <w:rsid w:val="00A31EF3"/>
    <w:rsid w:val="00A31F13"/>
    <w:rsid w:val="00A32141"/>
    <w:rsid w:val="00A321CC"/>
    <w:rsid w:val="00A321CD"/>
    <w:rsid w:val="00A321F5"/>
    <w:rsid w:val="00A322EC"/>
    <w:rsid w:val="00A32317"/>
    <w:rsid w:val="00A3234A"/>
    <w:rsid w:val="00A323E3"/>
    <w:rsid w:val="00A323E8"/>
    <w:rsid w:val="00A3242E"/>
    <w:rsid w:val="00A32494"/>
    <w:rsid w:val="00A325C6"/>
    <w:rsid w:val="00A325DF"/>
    <w:rsid w:val="00A325F2"/>
    <w:rsid w:val="00A32633"/>
    <w:rsid w:val="00A32694"/>
    <w:rsid w:val="00A326BA"/>
    <w:rsid w:val="00A32760"/>
    <w:rsid w:val="00A32765"/>
    <w:rsid w:val="00A3286A"/>
    <w:rsid w:val="00A3288B"/>
    <w:rsid w:val="00A32898"/>
    <w:rsid w:val="00A328F6"/>
    <w:rsid w:val="00A32931"/>
    <w:rsid w:val="00A32A6D"/>
    <w:rsid w:val="00A32A7B"/>
    <w:rsid w:val="00A32B36"/>
    <w:rsid w:val="00A32B45"/>
    <w:rsid w:val="00A32B7C"/>
    <w:rsid w:val="00A32CCA"/>
    <w:rsid w:val="00A32D08"/>
    <w:rsid w:val="00A32D37"/>
    <w:rsid w:val="00A32D38"/>
    <w:rsid w:val="00A32D40"/>
    <w:rsid w:val="00A32D6A"/>
    <w:rsid w:val="00A32D7F"/>
    <w:rsid w:val="00A32DAB"/>
    <w:rsid w:val="00A32E13"/>
    <w:rsid w:val="00A32E5B"/>
    <w:rsid w:val="00A32E73"/>
    <w:rsid w:val="00A32E85"/>
    <w:rsid w:val="00A32F06"/>
    <w:rsid w:val="00A32F26"/>
    <w:rsid w:val="00A32FA8"/>
    <w:rsid w:val="00A32FD8"/>
    <w:rsid w:val="00A330D6"/>
    <w:rsid w:val="00A3317C"/>
    <w:rsid w:val="00A3328E"/>
    <w:rsid w:val="00A332AA"/>
    <w:rsid w:val="00A332E1"/>
    <w:rsid w:val="00A332F9"/>
    <w:rsid w:val="00A33326"/>
    <w:rsid w:val="00A333F2"/>
    <w:rsid w:val="00A33438"/>
    <w:rsid w:val="00A33715"/>
    <w:rsid w:val="00A3385D"/>
    <w:rsid w:val="00A33879"/>
    <w:rsid w:val="00A338A4"/>
    <w:rsid w:val="00A33C94"/>
    <w:rsid w:val="00A33D33"/>
    <w:rsid w:val="00A33D64"/>
    <w:rsid w:val="00A33DE0"/>
    <w:rsid w:val="00A33E27"/>
    <w:rsid w:val="00A33EC0"/>
    <w:rsid w:val="00A33EC1"/>
    <w:rsid w:val="00A33EDD"/>
    <w:rsid w:val="00A3408D"/>
    <w:rsid w:val="00A340BD"/>
    <w:rsid w:val="00A34144"/>
    <w:rsid w:val="00A3415E"/>
    <w:rsid w:val="00A34185"/>
    <w:rsid w:val="00A3419C"/>
    <w:rsid w:val="00A34234"/>
    <w:rsid w:val="00A342A5"/>
    <w:rsid w:val="00A342BA"/>
    <w:rsid w:val="00A342EC"/>
    <w:rsid w:val="00A345DC"/>
    <w:rsid w:val="00A3462A"/>
    <w:rsid w:val="00A346C1"/>
    <w:rsid w:val="00A3473F"/>
    <w:rsid w:val="00A347E6"/>
    <w:rsid w:val="00A347F0"/>
    <w:rsid w:val="00A3484D"/>
    <w:rsid w:val="00A34859"/>
    <w:rsid w:val="00A34880"/>
    <w:rsid w:val="00A34884"/>
    <w:rsid w:val="00A348A3"/>
    <w:rsid w:val="00A348C9"/>
    <w:rsid w:val="00A348F6"/>
    <w:rsid w:val="00A34927"/>
    <w:rsid w:val="00A34935"/>
    <w:rsid w:val="00A3493C"/>
    <w:rsid w:val="00A349A3"/>
    <w:rsid w:val="00A349D8"/>
    <w:rsid w:val="00A34A41"/>
    <w:rsid w:val="00A34AB0"/>
    <w:rsid w:val="00A34AB9"/>
    <w:rsid w:val="00A34ADB"/>
    <w:rsid w:val="00A34B06"/>
    <w:rsid w:val="00A34B3F"/>
    <w:rsid w:val="00A34B51"/>
    <w:rsid w:val="00A34BFE"/>
    <w:rsid w:val="00A34C6A"/>
    <w:rsid w:val="00A34CA8"/>
    <w:rsid w:val="00A34CC8"/>
    <w:rsid w:val="00A34CEB"/>
    <w:rsid w:val="00A34D0A"/>
    <w:rsid w:val="00A34E05"/>
    <w:rsid w:val="00A34E2B"/>
    <w:rsid w:val="00A34E54"/>
    <w:rsid w:val="00A34F13"/>
    <w:rsid w:val="00A34F2D"/>
    <w:rsid w:val="00A34F47"/>
    <w:rsid w:val="00A34F81"/>
    <w:rsid w:val="00A34FAE"/>
    <w:rsid w:val="00A34FC2"/>
    <w:rsid w:val="00A35049"/>
    <w:rsid w:val="00A3506A"/>
    <w:rsid w:val="00A350A1"/>
    <w:rsid w:val="00A350B6"/>
    <w:rsid w:val="00A350D5"/>
    <w:rsid w:val="00A350F9"/>
    <w:rsid w:val="00A3510A"/>
    <w:rsid w:val="00A35163"/>
    <w:rsid w:val="00A351D9"/>
    <w:rsid w:val="00A3529B"/>
    <w:rsid w:val="00A35334"/>
    <w:rsid w:val="00A35382"/>
    <w:rsid w:val="00A353D6"/>
    <w:rsid w:val="00A353DB"/>
    <w:rsid w:val="00A3540A"/>
    <w:rsid w:val="00A35456"/>
    <w:rsid w:val="00A3546F"/>
    <w:rsid w:val="00A35478"/>
    <w:rsid w:val="00A3547E"/>
    <w:rsid w:val="00A3549E"/>
    <w:rsid w:val="00A3556E"/>
    <w:rsid w:val="00A35584"/>
    <w:rsid w:val="00A355AD"/>
    <w:rsid w:val="00A3562E"/>
    <w:rsid w:val="00A3567A"/>
    <w:rsid w:val="00A356BA"/>
    <w:rsid w:val="00A356BF"/>
    <w:rsid w:val="00A35721"/>
    <w:rsid w:val="00A3573F"/>
    <w:rsid w:val="00A35769"/>
    <w:rsid w:val="00A35770"/>
    <w:rsid w:val="00A35774"/>
    <w:rsid w:val="00A3578C"/>
    <w:rsid w:val="00A357AA"/>
    <w:rsid w:val="00A3587D"/>
    <w:rsid w:val="00A35979"/>
    <w:rsid w:val="00A35982"/>
    <w:rsid w:val="00A35996"/>
    <w:rsid w:val="00A359CC"/>
    <w:rsid w:val="00A359F0"/>
    <w:rsid w:val="00A35A04"/>
    <w:rsid w:val="00A35A56"/>
    <w:rsid w:val="00A35AD1"/>
    <w:rsid w:val="00A35B87"/>
    <w:rsid w:val="00A35C16"/>
    <w:rsid w:val="00A35C32"/>
    <w:rsid w:val="00A35CAD"/>
    <w:rsid w:val="00A35D55"/>
    <w:rsid w:val="00A35DCE"/>
    <w:rsid w:val="00A35DE1"/>
    <w:rsid w:val="00A35E48"/>
    <w:rsid w:val="00A35EDA"/>
    <w:rsid w:val="00A35F9F"/>
    <w:rsid w:val="00A3602E"/>
    <w:rsid w:val="00A360E3"/>
    <w:rsid w:val="00A360F8"/>
    <w:rsid w:val="00A360FC"/>
    <w:rsid w:val="00A3612A"/>
    <w:rsid w:val="00A36130"/>
    <w:rsid w:val="00A36133"/>
    <w:rsid w:val="00A36167"/>
    <w:rsid w:val="00A36369"/>
    <w:rsid w:val="00A36389"/>
    <w:rsid w:val="00A363E9"/>
    <w:rsid w:val="00A3644C"/>
    <w:rsid w:val="00A36491"/>
    <w:rsid w:val="00A364F8"/>
    <w:rsid w:val="00A365B4"/>
    <w:rsid w:val="00A365E2"/>
    <w:rsid w:val="00A3666D"/>
    <w:rsid w:val="00A3667B"/>
    <w:rsid w:val="00A3668B"/>
    <w:rsid w:val="00A366B9"/>
    <w:rsid w:val="00A367A6"/>
    <w:rsid w:val="00A36857"/>
    <w:rsid w:val="00A36873"/>
    <w:rsid w:val="00A368B5"/>
    <w:rsid w:val="00A368FE"/>
    <w:rsid w:val="00A36989"/>
    <w:rsid w:val="00A36995"/>
    <w:rsid w:val="00A369A3"/>
    <w:rsid w:val="00A369BF"/>
    <w:rsid w:val="00A369DD"/>
    <w:rsid w:val="00A36ACA"/>
    <w:rsid w:val="00A36ACC"/>
    <w:rsid w:val="00A36ACD"/>
    <w:rsid w:val="00A36AF9"/>
    <w:rsid w:val="00A36C8F"/>
    <w:rsid w:val="00A36D44"/>
    <w:rsid w:val="00A36D55"/>
    <w:rsid w:val="00A36DDD"/>
    <w:rsid w:val="00A36ECE"/>
    <w:rsid w:val="00A36ED4"/>
    <w:rsid w:val="00A36F1D"/>
    <w:rsid w:val="00A36FA4"/>
    <w:rsid w:val="00A370E4"/>
    <w:rsid w:val="00A3713F"/>
    <w:rsid w:val="00A37220"/>
    <w:rsid w:val="00A37222"/>
    <w:rsid w:val="00A37224"/>
    <w:rsid w:val="00A37257"/>
    <w:rsid w:val="00A3726E"/>
    <w:rsid w:val="00A37274"/>
    <w:rsid w:val="00A3729B"/>
    <w:rsid w:val="00A372C0"/>
    <w:rsid w:val="00A37345"/>
    <w:rsid w:val="00A37426"/>
    <w:rsid w:val="00A3748C"/>
    <w:rsid w:val="00A374B3"/>
    <w:rsid w:val="00A374BD"/>
    <w:rsid w:val="00A37534"/>
    <w:rsid w:val="00A37553"/>
    <w:rsid w:val="00A37590"/>
    <w:rsid w:val="00A37620"/>
    <w:rsid w:val="00A376DD"/>
    <w:rsid w:val="00A3770C"/>
    <w:rsid w:val="00A37780"/>
    <w:rsid w:val="00A377D6"/>
    <w:rsid w:val="00A3782D"/>
    <w:rsid w:val="00A37893"/>
    <w:rsid w:val="00A378C8"/>
    <w:rsid w:val="00A378CD"/>
    <w:rsid w:val="00A37918"/>
    <w:rsid w:val="00A37970"/>
    <w:rsid w:val="00A379DF"/>
    <w:rsid w:val="00A37BD3"/>
    <w:rsid w:val="00A37C2F"/>
    <w:rsid w:val="00A37DBD"/>
    <w:rsid w:val="00A37DD6"/>
    <w:rsid w:val="00A37E03"/>
    <w:rsid w:val="00A37E41"/>
    <w:rsid w:val="00A37ED3"/>
    <w:rsid w:val="00A37F07"/>
    <w:rsid w:val="00A37F48"/>
    <w:rsid w:val="00A37FB1"/>
    <w:rsid w:val="00A400F1"/>
    <w:rsid w:val="00A400FA"/>
    <w:rsid w:val="00A40114"/>
    <w:rsid w:val="00A401AB"/>
    <w:rsid w:val="00A401BF"/>
    <w:rsid w:val="00A40224"/>
    <w:rsid w:val="00A4028C"/>
    <w:rsid w:val="00A40313"/>
    <w:rsid w:val="00A40335"/>
    <w:rsid w:val="00A403AD"/>
    <w:rsid w:val="00A40459"/>
    <w:rsid w:val="00A4045D"/>
    <w:rsid w:val="00A40487"/>
    <w:rsid w:val="00A404E6"/>
    <w:rsid w:val="00A4053A"/>
    <w:rsid w:val="00A4059E"/>
    <w:rsid w:val="00A40616"/>
    <w:rsid w:val="00A4062E"/>
    <w:rsid w:val="00A4063E"/>
    <w:rsid w:val="00A40680"/>
    <w:rsid w:val="00A406EC"/>
    <w:rsid w:val="00A4087F"/>
    <w:rsid w:val="00A408BF"/>
    <w:rsid w:val="00A40918"/>
    <w:rsid w:val="00A40989"/>
    <w:rsid w:val="00A40992"/>
    <w:rsid w:val="00A409ED"/>
    <w:rsid w:val="00A40A87"/>
    <w:rsid w:val="00A40B1F"/>
    <w:rsid w:val="00A40B23"/>
    <w:rsid w:val="00A40BE8"/>
    <w:rsid w:val="00A40C17"/>
    <w:rsid w:val="00A40C70"/>
    <w:rsid w:val="00A40DA0"/>
    <w:rsid w:val="00A40DB9"/>
    <w:rsid w:val="00A40E2B"/>
    <w:rsid w:val="00A40EAB"/>
    <w:rsid w:val="00A40EE0"/>
    <w:rsid w:val="00A40EF8"/>
    <w:rsid w:val="00A40F36"/>
    <w:rsid w:val="00A40FD8"/>
    <w:rsid w:val="00A41157"/>
    <w:rsid w:val="00A4115E"/>
    <w:rsid w:val="00A41232"/>
    <w:rsid w:val="00A412AD"/>
    <w:rsid w:val="00A412E2"/>
    <w:rsid w:val="00A412F8"/>
    <w:rsid w:val="00A41319"/>
    <w:rsid w:val="00A41530"/>
    <w:rsid w:val="00A4158A"/>
    <w:rsid w:val="00A415C8"/>
    <w:rsid w:val="00A415CB"/>
    <w:rsid w:val="00A4160A"/>
    <w:rsid w:val="00A4169A"/>
    <w:rsid w:val="00A41793"/>
    <w:rsid w:val="00A418A4"/>
    <w:rsid w:val="00A418B3"/>
    <w:rsid w:val="00A418C8"/>
    <w:rsid w:val="00A418D9"/>
    <w:rsid w:val="00A418FE"/>
    <w:rsid w:val="00A41933"/>
    <w:rsid w:val="00A41945"/>
    <w:rsid w:val="00A419D2"/>
    <w:rsid w:val="00A41A6B"/>
    <w:rsid w:val="00A41AA0"/>
    <w:rsid w:val="00A41B36"/>
    <w:rsid w:val="00A41C0D"/>
    <w:rsid w:val="00A41CDA"/>
    <w:rsid w:val="00A41D61"/>
    <w:rsid w:val="00A41DEB"/>
    <w:rsid w:val="00A41E3B"/>
    <w:rsid w:val="00A41FD4"/>
    <w:rsid w:val="00A42003"/>
    <w:rsid w:val="00A42005"/>
    <w:rsid w:val="00A42017"/>
    <w:rsid w:val="00A42039"/>
    <w:rsid w:val="00A4203A"/>
    <w:rsid w:val="00A42078"/>
    <w:rsid w:val="00A4207B"/>
    <w:rsid w:val="00A42081"/>
    <w:rsid w:val="00A42091"/>
    <w:rsid w:val="00A4214F"/>
    <w:rsid w:val="00A421BE"/>
    <w:rsid w:val="00A421D8"/>
    <w:rsid w:val="00A4223B"/>
    <w:rsid w:val="00A422A4"/>
    <w:rsid w:val="00A422B0"/>
    <w:rsid w:val="00A422C3"/>
    <w:rsid w:val="00A42398"/>
    <w:rsid w:val="00A423A4"/>
    <w:rsid w:val="00A423B5"/>
    <w:rsid w:val="00A423E1"/>
    <w:rsid w:val="00A423F5"/>
    <w:rsid w:val="00A423FA"/>
    <w:rsid w:val="00A423FB"/>
    <w:rsid w:val="00A42476"/>
    <w:rsid w:val="00A4247A"/>
    <w:rsid w:val="00A4247B"/>
    <w:rsid w:val="00A42482"/>
    <w:rsid w:val="00A4248F"/>
    <w:rsid w:val="00A42503"/>
    <w:rsid w:val="00A4251A"/>
    <w:rsid w:val="00A425CF"/>
    <w:rsid w:val="00A425F4"/>
    <w:rsid w:val="00A42608"/>
    <w:rsid w:val="00A4267E"/>
    <w:rsid w:val="00A426CA"/>
    <w:rsid w:val="00A426F6"/>
    <w:rsid w:val="00A42741"/>
    <w:rsid w:val="00A4287D"/>
    <w:rsid w:val="00A42898"/>
    <w:rsid w:val="00A42903"/>
    <w:rsid w:val="00A4290E"/>
    <w:rsid w:val="00A4296E"/>
    <w:rsid w:val="00A4298B"/>
    <w:rsid w:val="00A429C5"/>
    <w:rsid w:val="00A429CB"/>
    <w:rsid w:val="00A429F6"/>
    <w:rsid w:val="00A42AB7"/>
    <w:rsid w:val="00A42AF2"/>
    <w:rsid w:val="00A42B7D"/>
    <w:rsid w:val="00A42BA9"/>
    <w:rsid w:val="00A42C05"/>
    <w:rsid w:val="00A42C61"/>
    <w:rsid w:val="00A42C9E"/>
    <w:rsid w:val="00A42CD7"/>
    <w:rsid w:val="00A42CD8"/>
    <w:rsid w:val="00A42D99"/>
    <w:rsid w:val="00A42F6C"/>
    <w:rsid w:val="00A42FAC"/>
    <w:rsid w:val="00A430BE"/>
    <w:rsid w:val="00A43164"/>
    <w:rsid w:val="00A431D0"/>
    <w:rsid w:val="00A433BE"/>
    <w:rsid w:val="00A433EB"/>
    <w:rsid w:val="00A43504"/>
    <w:rsid w:val="00A43690"/>
    <w:rsid w:val="00A436CF"/>
    <w:rsid w:val="00A43755"/>
    <w:rsid w:val="00A43935"/>
    <w:rsid w:val="00A43941"/>
    <w:rsid w:val="00A439EA"/>
    <w:rsid w:val="00A43A68"/>
    <w:rsid w:val="00A43B51"/>
    <w:rsid w:val="00A43C9A"/>
    <w:rsid w:val="00A43CB7"/>
    <w:rsid w:val="00A43D31"/>
    <w:rsid w:val="00A43D5C"/>
    <w:rsid w:val="00A43D67"/>
    <w:rsid w:val="00A43DA6"/>
    <w:rsid w:val="00A43DB9"/>
    <w:rsid w:val="00A43DD7"/>
    <w:rsid w:val="00A43DDC"/>
    <w:rsid w:val="00A43E04"/>
    <w:rsid w:val="00A43E43"/>
    <w:rsid w:val="00A43E4F"/>
    <w:rsid w:val="00A43E55"/>
    <w:rsid w:val="00A43E95"/>
    <w:rsid w:val="00A440E7"/>
    <w:rsid w:val="00A44108"/>
    <w:rsid w:val="00A44113"/>
    <w:rsid w:val="00A44119"/>
    <w:rsid w:val="00A44124"/>
    <w:rsid w:val="00A441CE"/>
    <w:rsid w:val="00A441EE"/>
    <w:rsid w:val="00A44232"/>
    <w:rsid w:val="00A44298"/>
    <w:rsid w:val="00A442F8"/>
    <w:rsid w:val="00A442F9"/>
    <w:rsid w:val="00A4435E"/>
    <w:rsid w:val="00A4437D"/>
    <w:rsid w:val="00A4444F"/>
    <w:rsid w:val="00A44465"/>
    <w:rsid w:val="00A44514"/>
    <w:rsid w:val="00A4451A"/>
    <w:rsid w:val="00A44521"/>
    <w:rsid w:val="00A44543"/>
    <w:rsid w:val="00A4458C"/>
    <w:rsid w:val="00A445E5"/>
    <w:rsid w:val="00A4461C"/>
    <w:rsid w:val="00A4462B"/>
    <w:rsid w:val="00A446FA"/>
    <w:rsid w:val="00A447B6"/>
    <w:rsid w:val="00A447CC"/>
    <w:rsid w:val="00A4481C"/>
    <w:rsid w:val="00A44837"/>
    <w:rsid w:val="00A448A1"/>
    <w:rsid w:val="00A448C6"/>
    <w:rsid w:val="00A44968"/>
    <w:rsid w:val="00A44979"/>
    <w:rsid w:val="00A44AB8"/>
    <w:rsid w:val="00A44B39"/>
    <w:rsid w:val="00A44B58"/>
    <w:rsid w:val="00A44C0D"/>
    <w:rsid w:val="00A44C87"/>
    <w:rsid w:val="00A44CFB"/>
    <w:rsid w:val="00A44D90"/>
    <w:rsid w:val="00A44DEE"/>
    <w:rsid w:val="00A44E80"/>
    <w:rsid w:val="00A44E91"/>
    <w:rsid w:val="00A44F03"/>
    <w:rsid w:val="00A45099"/>
    <w:rsid w:val="00A451CC"/>
    <w:rsid w:val="00A4520B"/>
    <w:rsid w:val="00A45268"/>
    <w:rsid w:val="00A452D0"/>
    <w:rsid w:val="00A452DE"/>
    <w:rsid w:val="00A45324"/>
    <w:rsid w:val="00A4535C"/>
    <w:rsid w:val="00A4536F"/>
    <w:rsid w:val="00A45415"/>
    <w:rsid w:val="00A4549C"/>
    <w:rsid w:val="00A454B5"/>
    <w:rsid w:val="00A4554E"/>
    <w:rsid w:val="00A455EA"/>
    <w:rsid w:val="00A45635"/>
    <w:rsid w:val="00A4566E"/>
    <w:rsid w:val="00A4570F"/>
    <w:rsid w:val="00A457B2"/>
    <w:rsid w:val="00A45815"/>
    <w:rsid w:val="00A45866"/>
    <w:rsid w:val="00A458C9"/>
    <w:rsid w:val="00A459E0"/>
    <w:rsid w:val="00A45A25"/>
    <w:rsid w:val="00A45A52"/>
    <w:rsid w:val="00A45A8A"/>
    <w:rsid w:val="00A45BB6"/>
    <w:rsid w:val="00A45C57"/>
    <w:rsid w:val="00A45D3B"/>
    <w:rsid w:val="00A45D7A"/>
    <w:rsid w:val="00A45DFC"/>
    <w:rsid w:val="00A45E01"/>
    <w:rsid w:val="00A45EA2"/>
    <w:rsid w:val="00A45F48"/>
    <w:rsid w:val="00A4610B"/>
    <w:rsid w:val="00A4614C"/>
    <w:rsid w:val="00A4619A"/>
    <w:rsid w:val="00A461D6"/>
    <w:rsid w:val="00A461D7"/>
    <w:rsid w:val="00A46226"/>
    <w:rsid w:val="00A46283"/>
    <w:rsid w:val="00A46291"/>
    <w:rsid w:val="00A462BA"/>
    <w:rsid w:val="00A463AD"/>
    <w:rsid w:val="00A463AE"/>
    <w:rsid w:val="00A46422"/>
    <w:rsid w:val="00A4643F"/>
    <w:rsid w:val="00A46470"/>
    <w:rsid w:val="00A464FF"/>
    <w:rsid w:val="00A46523"/>
    <w:rsid w:val="00A46574"/>
    <w:rsid w:val="00A465E4"/>
    <w:rsid w:val="00A465F2"/>
    <w:rsid w:val="00A4665A"/>
    <w:rsid w:val="00A46663"/>
    <w:rsid w:val="00A46758"/>
    <w:rsid w:val="00A4680A"/>
    <w:rsid w:val="00A46854"/>
    <w:rsid w:val="00A468AA"/>
    <w:rsid w:val="00A469B6"/>
    <w:rsid w:val="00A46A96"/>
    <w:rsid w:val="00A46B47"/>
    <w:rsid w:val="00A46B93"/>
    <w:rsid w:val="00A46C64"/>
    <w:rsid w:val="00A46DD4"/>
    <w:rsid w:val="00A46E01"/>
    <w:rsid w:val="00A46EDA"/>
    <w:rsid w:val="00A46F03"/>
    <w:rsid w:val="00A46F17"/>
    <w:rsid w:val="00A46FA0"/>
    <w:rsid w:val="00A46FBB"/>
    <w:rsid w:val="00A47008"/>
    <w:rsid w:val="00A47024"/>
    <w:rsid w:val="00A47037"/>
    <w:rsid w:val="00A47047"/>
    <w:rsid w:val="00A4710A"/>
    <w:rsid w:val="00A47158"/>
    <w:rsid w:val="00A47178"/>
    <w:rsid w:val="00A47199"/>
    <w:rsid w:val="00A47267"/>
    <w:rsid w:val="00A47314"/>
    <w:rsid w:val="00A473F1"/>
    <w:rsid w:val="00A47487"/>
    <w:rsid w:val="00A474D1"/>
    <w:rsid w:val="00A47506"/>
    <w:rsid w:val="00A47565"/>
    <w:rsid w:val="00A47594"/>
    <w:rsid w:val="00A476E2"/>
    <w:rsid w:val="00A47723"/>
    <w:rsid w:val="00A47735"/>
    <w:rsid w:val="00A477B4"/>
    <w:rsid w:val="00A47831"/>
    <w:rsid w:val="00A47935"/>
    <w:rsid w:val="00A47936"/>
    <w:rsid w:val="00A47A0C"/>
    <w:rsid w:val="00A47A21"/>
    <w:rsid w:val="00A47A29"/>
    <w:rsid w:val="00A47A64"/>
    <w:rsid w:val="00A47A65"/>
    <w:rsid w:val="00A47B03"/>
    <w:rsid w:val="00A47C13"/>
    <w:rsid w:val="00A47C5A"/>
    <w:rsid w:val="00A47C79"/>
    <w:rsid w:val="00A47C9E"/>
    <w:rsid w:val="00A47CC9"/>
    <w:rsid w:val="00A47D5E"/>
    <w:rsid w:val="00A47E48"/>
    <w:rsid w:val="00A47EC0"/>
    <w:rsid w:val="00A47EC9"/>
    <w:rsid w:val="00A50053"/>
    <w:rsid w:val="00A5010A"/>
    <w:rsid w:val="00A50131"/>
    <w:rsid w:val="00A50175"/>
    <w:rsid w:val="00A50225"/>
    <w:rsid w:val="00A50255"/>
    <w:rsid w:val="00A50375"/>
    <w:rsid w:val="00A503E9"/>
    <w:rsid w:val="00A50449"/>
    <w:rsid w:val="00A5045B"/>
    <w:rsid w:val="00A5045D"/>
    <w:rsid w:val="00A50461"/>
    <w:rsid w:val="00A50568"/>
    <w:rsid w:val="00A5059C"/>
    <w:rsid w:val="00A505AF"/>
    <w:rsid w:val="00A505E9"/>
    <w:rsid w:val="00A505F8"/>
    <w:rsid w:val="00A50655"/>
    <w:rsid w:val="00A506BD"/>
    <w:rsid w:val="00A50775"/>
    <w:rsid w:val="00A507BF"/>
    <w:rsid w:val="00A507CB"/>
    <w:rsid w:val="00A50831"/>
    <w:rsid w:val="00A50835"/>
    <w:rsid w:val="00A50844"/>
    <w:rsid w:val="00A5089C"/>
    <w:rsid w:val="00A508B3"/>
    <w:rsid w:val="00A508EA"/>
    <w:rsid w:val="00A50A71"/>
    <w:rsid w:val="00A50BDD"/>
    <w:rsid w:val="00A50BE0"/>
    <w:rsid w:val="00A50BEA"/>
    <w:rsid w:val="00A50C96"/>
    <w:rsid w:val="00A50CC6"/>
    <w:rsid w:val="00A50D29"/>
    <w:rsid w:val="00A50D92"/>
    <w:rsid w:val="00A50DFB"/>
    <w:rsid w:val="00A50E76"/>
    <w:rsid w:val="00A50EF6"/>
    <w:rsid w:val="00A50FBD"/>
    <w:rsid w:val="00A51001"/>
    <w:rsid w:val="00A51083"/>
    <w:rsid w:val="00A510B6"/>
    <w:rsid w:val="00A51135"/>
    <w:rsid w:val="00A511B1"/>
    <w:rsid w:val="00A51254"/>
    <w:rsid w:val="00A51282"/>
    <w:rsid w:val="00A51341"/>
    <w:rsid w:val="00A51392"/>
    <w:rsid w:val="00A51464"/>
    <w:rsid w:val="00A51517"/>
    <w:rsid w:val="00A51522"/>
    <w:rsid w:val="00A51535"/>
    <w:rsid w:val="00A515B1"/>
    <w:rsid w:val="00A51613"/>
    <w:rsid w:val="00A51626"/>
    <w:rsid w:val="00A51696"/>
    <w:rsid w:val="00A51742"/>
    <w:rsid w:val="00A517A8"/>
    <w:rsid w:val="00A517F3"/>
    <w:rsid w:val="00A517FB"/>
    <w:rsid w:val="00A517FC"/>
    <w:rsid w:val="00A51884"/>
    <w:rsid w:val="00A519C1"/>
    <w:rsid w:val="00A51A29"/>
    <w:rsid w:val="00A51A32"/>
    <w:rsid w:val="00A51A62"/>
    <w:rsid w:val="00A51A78"/>
    <w:rsid w:val="00A51ABC"/>
    <w:rsid w:val="00A51BAA"/>
    <w:rsid w:val="00A51C06"/>
    <w:rsid w:val="00A51C32"/>
    <w:rsid w:val="00A51CAB"/>
    <w:rsid w:val="00A51CD3"/>
    <w:rsid w:val="00A51CD9"/>
    <w:rsid w:val="00A51D87"/>
    <w:rsid w:val="00A51DE9"/>
    <w:rsid w:val="00A51E58"/>
    <w:rsid w:val="00A51F32"/>
    <w:rsid w:val="00A51F67"/>
    <w:rsid w:val="00A51F81"/>
    <w:rsid w:val="00A52071"/>
    <w:rsid w:val="00A5214A"/>
    <w:rsid w:val="00A52163"/>
    <w:rsid w:val="00A52196"/>
    <w:rsid w:val="00A521CB"/>
    <w:rsid w:val="00A5222E"/>
    <w:rsid w:val="00A5225F"/>
    <w:rsid w:val="00A522EE"/>
    <w:rsid w:val="00A523CF"/>
    <w:rsid w:val="00A523EF"/>
    <w:rsid w:val="00A524D5"/>
    <w:rsid w:val="00A5250D"/>
    <w:rsid w:val="00A52568"/>
    <w:rsid w:val="00A5257F"/>
    <w:rsid w:val="00A52599"/>
    <w:rsid w:val="00A5264A"/>
    <w:rsid w:val="00A52650"/>
    <w:rsid w:val="00A52703"/>
    <w:rsid w:val="00A5270A"/>
    <w:rsid w:val="00A52784"/>
    <w:rsid w:val="00A527C6"/>
    <w:rsid w:val="00A527EE"/>
    <w:rsid w:val="00A52931"/>
    <w:rsid w:val="00A52989"/>
    <w:rsid w:val="00A52A42"/>
    <w:rsid w:val="00A52B75"/>
    <w:rsid w:val="00A52B7A"/>
    <w:rsid w:val="00A52BEB"/>
    <w:rsid w:val="00A52CA7"/>
    <w:rsid w:val="00A52CF3"/>
    <w:rsid w:val="00A52D5F"/>
    <w:rsid w:val="00A52D61"/>
    <w:rsid w:val="00A52D79"/>
    <w:rsid w:val="00A52DE5"/>
    <w:rsid w:val="00A52E04"/>
    <w:rsid w:val="00A52E1F"/>
    <w:rsid w:val="00A52E84"/>
    <w:rsid w:val="00A52F33"/>
    <w:rsid w:val="00A52F73"/>
    <w:rsid w:val="00A52F8D"/>
    <w:rsid w:val="00A530D2"/>
    <w:rsid w:val="00A5311E"/>
    <w:rsid w:val="00A53139"/>
    <w:rsid w:val="00A531EE"/>
    <w:rsid w:val="00A53392"/>
    <w:rsid w:val="00A533A0"/>
    <w:rsid w:val="00A53498"/>
    <w:rsid w:val="00A5352C"/>
    <w:rsid w:val="00A53538"/>
    <w:rsid w:val="00A53584"/>
    <w:rsid w:val="00A53608"/>
    <w:rsid w:val="00A53621"/>
    <w:rsid w:val="00A5366A"/>
    <w:rsid w:val="00A53680"/>
    <w:rsid w:val="00A53696"/>
    <w:rsid w:val="00A536B3"/>
    <w:rsid w:val="00A53724"/>
    <w:rsid w:val="00A5375E"/>
    <w:rsid w:val="00A53778"/>
    <w:rsid w:val="00A538D9"/>
    <w:rsid w:val="00A53903"/>
    <w:rsid w:val="00A53984"/>
    <w:rsid w:val="00A53A1C"/>
    <w:rsid w:val="00A53A6B"/>
    <w:rsid w:val="00A53A9A"/>
    <w:rsid w:val="00A53AA2"/>
    <w:rsid w:val="00A53AAE"/>
    <w:rsid w:val="00A53ABD"/>
    <w:rsid w:val="00A53B99"/>
    <w:rsid w:val="00A53BB0"/>
    <w:rsid w:val="00A53C56"/>
    <w:rsid w:val="00A53DA9"/>
    <w:rsid w:val="00A53DC1"/>
    <w:rsid w:val="00A53E4C"/>
    <w:rsid w:val="00A53E70"/>
    <w:rsid w:val="00A53FD3"/>
    <w:rsid w:val="00A54122"/>
    <w:rsid w:val="00A541E4"/>
    <w:rsid w:val="00A541EF"/>
    <w:rsid w:val="00A5422F"/>
    <w:rsid w:val="00A54253"/>
    <w:rsid w:val="00A5428A"/>
    <w:rsid w:val="00A54302"/>
    <w:rsid w:val="00A543BB"/>
    <w:rsid w:val="00A54460"/>
    <w:rsid w:val="00A5447A"/>
    <w:rsid w:val="00A544F0"/>
    <w:rsid w:val="00A54537"/>
    <w:rsid w:val="00A5453A"/>
    <w:rsid w:val="00A5467C"/>
    <w:rsid w:val="00A54759"/>
    <w:rsid w:val="00A547AE"/>
    <w:rsid w:val="00A547B1"/>
    <w:rsid w:val="00A547E5"/>
    <w:rsid w:val="00A54815"/>
    <w:rsid w:val="00A5481F"/>
    <w:rsid w:val="00A54837"/>
    <w:rsid w:val="00A5497B"/>
    <w:rsid w:val="00A54989"/>
    <w:rsid w:val="00A549F6"/>
    <w:rsid w:val="00A54A5D"/>
    <w:rsid w:val="00A54B37"/>
    <w:rsid w:val="00A54B46"/>
    <w:rsid w:val="00A54B69"/>
    <w:rsid w:val="00A54BBE"/>
    <w:rsid w:val="00A54C3B"/>
    <w:rsid w:val="00A54C48"/>
    <w:rsid w:val="00A54E22"/>
    <w:rsid w:val="00A54EE2"/>
    <w:rsid w:val="00A54F04"/>
    <w:rsid w:val="00A54F3B"/>
    <w:rsid w:val="00A54F69"/>
    <w:rsid w:val="00A5502B"/>
    <w:rsid w:val="00A5505E"/>
    <w:rsid w:val="00A551B2"/>
    <w:rsid w:val="00A551F1"/>
    <w:rsid w:val="00A55230"/>
    <w:rsid w:val="00A55255"/>
    <w:rsid w:val="00A552C6"/>
    <w:rsid w:val="00A5533C"/>
    <w:rsid w:val="00A55342"/>
    <w:rsid w:val="00A553EB"/>
    <w:rsid w:val="00A553FD"/>
    <w:rsid w:val="00A55407"/>
    <w:rsid w:val="00A55439"/>
    <w:rsid w:val="00A55443"/>
    <w:rsid w:val="00A55480"/>
    <w:rsid w:val="00A5548B"/>
    <w:rsid w:val="00A554B6"/>
    <w:rsid w:val="00A554CC"/>
    <w:rsid w:val="00A554E9"/>
    <w:rsid w:val="00A55500"/>
    <w:rsid w:val="00A5562A"/>
    <w:rsid w:val="00A5573B"/>
    <w:rsid w:val="00A5583C"/>
    <w:rsid w:val="00A55996"/>
    <w:rsid w:val="00A559C1"/>
    <w:rsid w:val="00A55A6C"/>
    <w:rsid w:val="00A55A85"/>
    <w:rsid w:val="00A55AEB"/>
    <w:rsid w:val="00A55B71"/>
    <w:rsid w:val="00A55B7F"/>
    <w:rsid w:val="00A55B80"/>
    <w:rsid w:val="00A55B87"/>
    <w:rsid w:val="00A55C11"/>
    <w:rsid w:val="00A55CFC"/>
    <w:rsid w:val="00A55DF0"/>
    <w:rsid w:val="00A55DF7"/>
    <w:rsid w:val="00A55E86"/>
    <w:rsid w:val="00A5602D"/>
    <w:rsid w:val="00A5608E"/>
    <w:rsid w:val="00A560AC"/>
    <w:rsid w:val="00A560D2"/>
    <w:rsid w:val="00A561D4"/>
    <w:rsid w:val="00A56227"/>
    <w:rsid w:val="00A5622B"/>
    <w:rsid w:val="00A5625A"/>
    <w:rsid w:val="00A5625E"/>
    <w:rsid w:val="00A562EE"/>
    <w:rsid w:val="00A56323"/>
    <w:rsid w:val="00A5632C"/>
    <w:rsid w:val="00A56343"/>
    <w:rsid w:val="00A5634A"/>
    <w:rsid w:val="00A56389"/>
    <w:rsid w:val="00A5643A"/>
    <w:rsid w:val="00A56489"/>
    <w:rsid w:val="00A564B1"/>
    <w:rsid w:val="00A56540"/>
    <w:rsid w:val="00A56600"/>
    <w:rsid w:val="00A5660C"/>
    <w:rsid w:val="00A56676"/>
    <w:rsid w:val="00A566D2"/>
    <w:rsid w:val="00A5670D"/>
    <w:rsid w:val="00A56770"/>
    <w:rsid w:val="00A567DB"/>
    <w:rsid w:val="00A5680D"/>
    <w:rsid w:val="00A5685B"/>
    <w:rsid w:val="00A56951"/>
    <w:rsid w:val="00A5697D"/>
    <w:rsid w:val="00A569BC"/>
    <w:rsid w:val="00A56AC7"/>
    <w:rsid w:val="00A56AF9"/>
    <w:rsid w:val="00A56B1E"/>
    <w:rsid w:val="00A56CA6"/>
    <w:rsid w:val="00A56CCC"/>
    <w:rsid w:val="00A56D12"/>
    <w:rsid w:val="00A56D43"/>
    <w:rsid w:val="00A56D77"/>
    <w:rsid w:val="00A56DC2"/>
    <w:rsid w:val="00A56ED2"/>
    <w:rsid w:val="00A56ED6"/>
    <w:rsid w:val="00A56EFA"/>
    <w:rsid w:val="00A56F27"/>
    <w:rsid w:val="00A56F9C"/>
    <w:rsid w:val="00A56FF7"/>
    <w:rsid w:val="00A5718F"/>
    <w:rsid w:val="00A571C4"/>
    <w:rsid w:val="00A5720D"/>
    <w:rsid w:val="00A5721E"/>
    <w:rsid w:val="00A5722D"/>
    <w:rsid w:val="00A57278"/>
    <w:rsid w:val="00A572B2"/>
    <w:rsid w:val="00A572F2"/>
    <w:rsid w:val="00A57373"/>
    <w:rsid w:val="00A5757B"/>
    <w:rsid w:val="00A57587"/>
    <w:rsid w:val="00A575A8"/>
    <w:rsid w:val="00A575E4"/>
    <w:rsid w:val="00A5765C"/>
    <w:rsid w:val="00A576EA"/>
    <w:rsid w:val="00A577B3"/>
    <w:rsid w:val="00A577E5"/>
    <w:rsid w:val="00A5783B"/>
    <w:rsid w:val="00A578AD"/>
    <w:rsid w:val="00A57924"/>
    <w:rsid w:val="00A57A44"/>
    <w:rsid w:val="00A57A4D"/>
    <w:rsid w:val="00A57ACE"/>
    <w:rsid w:val="00A57B4E"/>
    <w:rsid w:val="00A57F8D"/>
    <w:rsid w:val="00A57F9D"/>
    <w:rsid w:val="00A57FD3"/>
    <w:rsid w:val="00A57FF8"/>
    <w:rsid w:val="00A600F2"/>
    <w:rsid w:val="00A60100"/>
    <w:rsid w:val="00A601B8"/>
    <w:rsid w:val="00A601DC"/>
    <w:rsid w:val="00A601F0"/>
    <w:rsid w:val="00A60204"/>
    <w:rsid w:val="00A60211"/>
    <w:rsid w:val="00A60260"/>
    <w:rsid w:val="00A60261"/>
    <w:rsid w:val="00A60271"/>
    <w:rsid w:val="00A602A7"/>
    <w:rsid w:val="00A6033A"/>
    <w:rsid w:val="00A6047A"/>
    <w:rsid w:val="00A604D8"/>
    <w:rsid w:val="00A604E3"/>
    <w:rsid w:val="00A6059D"/>
    <w:rsid w:val="00A605BE"/>
    <w:rsid w:val="00A6061E"/>
    <w:rsid w:val="00A60643"/>
    <w:rsid w:val="00A60668"/>
    <w:rsid w:val="00A6071A"/>
    <w:rsid w:val="00A6074A"/>
    <w:rsid w:val="00A60777"/>
    <w:rsid w:val="00A6081E"/>
    <w:rsid w:val="00A60856"/>
    <w:rsid w:val="00A608F8"/>
    <w:rsid w:val="00A60902"/>
    <w:rsid w:val="00A609BB"/>
    <w:rsid w:val="00A60A22"/>
    <w:rsid w:val="00A60A57"/>
    <w:rsid w:val="00A60A6C"/>
    <w:rsid w:val="00A60AB1"/>
    <w:rsid w:val="00A60B65"/>
    <w:rsid w:val="00A60BA9"/>
    <w:rsid w:val="00A60BB0"/>
    <w:rsid w:val="00A60BF6"/>
    <w:rsid w:val="00A60CD9"/>
    <w:rsid w:val="00A60D84"/>
    <w:rsid w:val="00A60E3B"/>
    <w:rsid w:val="00A60E57"/>
    <w:rsid w:val="00A60F78"/>
    <w:rsid w:val="00A60FCE"/>
    <w:rsid w:val="00A61001"/>
    <w:rsid w:val="00A61007"/>
    <w:rsid w:val="00A61068"/>
    <w:rsid w:val="00A610F0"/>
    <w:rsid w:val="00A61149"/>
    <w:rsid w:val="00A61178"/>
    <w:rsid w:val="00A6120C"/>
    <w:rsid w:val="00A61227"/>
    <w:rsid w:val="00A6126B"/>
    <w:rsid w:val="00A6129B"/>
    <w:rsid w:val="00A61379"/>
    <w:rsid w:val="00A6138B"/>
    <w:rsid w:val="00A61400"/>
    <w:rsid w:val="00A6142E"/>
    <w:rsid w:val="00A614EC"/>
    <w:rsid w:val="00A61599"/>
    <w:rsid w:val="00A615D2"/>
    <w:rsid w:val="00A615FA"/>
    <w:rsid w:val="00A6163A"/>
    <w:rsid w:val="00A61819"/>
    <w:rsid w:val="00A61831"/>
    <w:rsid w:val="00A61839"/>
    <w:rsid w:val="00A61850"/>
    <w:rsid w:val="00A618C0"/>
    <w:rsid w:val="00A619C5"/>
    <w:rsid w:val="00A619FA"/>
    <w:rsid w:val="00A61B34"/>
    <w:rsid w:val="00A61B86"/>
    <w:rsid w:val="00A61C52"/>
    <w:rsid w:val="00A61C6F"/>
    <w:rsid w:val="00A61C7E"/>
    <w:rsid w:val="00A61D1C"/>
    <w:rsid w:val="00A61D90"/>
    <w:rsid w:val="00A61DC8"/>
    <w:rsid w:val="00A61DDF"/>
    <w:rsid w:val="00A61E2A"/>
    <w:rsid w:val="00A61E4D"/>
    <w:rsid w:val="00A61F0C"/>
    <w:rsid w:val="00A61F26"/>
    <w:rsid w:val="00A61F6E"/>
    <w:rsid w:val="00A61FB1"/>
    <w:rsid w:val="00A61FB3"/>
    <w:rsid w:val="00A62035"/>
    <w:rsid w:val="00A6208A"/>
    <w:rsid w:val="00A62142"/>
    <w:rsid w:val="00A62313"/>
    <w:rsid w:val="00A62314"/>
    <w:rsid w:val="00A6245A"/>
    <w:rsid w:val="00A62482"/>
    <w:rsid w:val="00A624DF"/>
    <w:rsid w:val="00A62506"/>
    <w:rsid w:val="00A6250C"/>
    <w:rsid w:val="00A62592"/>
    <w:rsid w:val="00A62675"/>
    <w:rsid w:val="00A626C4"/>
    <w:rsid w:val="00A6270C"/>
    <w:rsid w:val="00A6273D"/>
    <w:rsid w:val="00A6278F"/>
    <w:rsid w:val="00A627C2"/>
    <w:rsid w:val="00A627D2"/>
    <w:rsid w:val="00A62827"/>
    <w:rsid w:val="00A6284D"/>
    <w:rsid w:val="00A62953"/>
    <w:rsid w:val="00A62964"/>
    <w:rsid w:val="00A62A6F"/>
    <w:rsid w:val="00A62B51"/>
    <w:rsid w:val="00A62BB9"/>
    <w:rsid w:val="00A62C01"/>
    <w:rsid w:val="00A62CB4"/>
    <w:rsid w:val="00A62D1F"/>
    <w:rsid w:val="00A62DBE"/>
    <w:rsid w:val="00A62E66"/>
    <w:rsid w:val="00A62EFF"/>
    <w:rsid w:val="00A62FD6"/>
    <w:rsid w:val="00A6308D"/>
    <w:rsid w:val="00A630C0"/>
    <w:rsid w:val="00A630D4"/>
    <w:rsid w:val="00A63145"/>
    <w:rsid w:val="00A63210"/>
    <w:rsid w:val="00A6321B"/>
    <w:rsid w:val="00A63229"/>
    <w:rsid w:val="00A63295"/>
    <w:rsid w:val="00A63341"/>
    <w:rsid w:val="00A633FC"/>
    <w:rsid w:val="00A63579"/>
    <w:rsid w:val="00A63585"/>
    <w:rsid w:val="00A63699"/>
    <w:rsid w:val="00A6369A"/>
    <w:rsid w:val="00A636D1"/>
    <w:rsid w:val="00A63783"/>
    <w:rsid w:val="00A63851"/>
    <w:rsid w:val="00A638D6"/>
    <w:rsid w:val="00A63908"/>
    <w:rsid w:val="00A63930"/>
    <w:rsid w:val="00A6399E"/>
    <w:rsid w:val="00A639D4"/>
    <w:rsid w:val="00A63A1D"/>
    <w:rsid w:val="00A63A89"/>
    <w:rsid w:val="00A63A93"/>
    <w:rsid w:val="00A63AA8"/>
    <w:rsid w:val="00A63AC4"/>
    <w:rsid w:val="00A63B1A"/>
    <w:rsid w:val="00A63B1F"/>
    <w:rsid w:val="00A63B8C"/>
    <w:rsid w:val="00A63BB6"/>
    <w:rsid w:val="00A63C15"/>
    <w:rsid w:val="00A63C6C"/>
    <w:rsid w:val="00A63D05"/>
    <w:rsid w:val="00A63D0A"/>
    <w:rsid w:val="00A63E0B"/>
    <w:rsid w:val="00A63E0C"/>
    <w:rsid w:val="00A63E81"/>
    <w:rsid w:val="00A63EBC"/>
    <w:rsid w:val="00A63EBE"/>
    <w:rsid w:val="00A63F03"/>
    <w:rsid w:val="00A63F0E"/>
    <w:rsid w:val="00A63F42"/>
    <w:rsid w:val="00A64041"/>
    <w:rsid w:val="00A64100"/>
    <w:rsid w:val="00A64106"/>
    <w:rsid w:val="00A64230"/>
    <w:rsid w:val="00A64235"/>
    <w:rsid w:val="00A64277"/>
    <w:rsid w:val="00A642CF"/>
    <w:rsid w:val="00A6433A"/>
    <w:rsid w:val="00A6433F"/>
    <w:rsid w:val="00A6436F"/>
    <w:rsid w:val="00A643DB"/>
    <w:rsid w:val="00A64402"/>
    <w:rsid w:val="00A64413"/>
    <w:rsid w:val="00A645C3"/>
    <w:rsid w:val="00A64613"/>
    <w:rsid w:val="00A64654"/>
    <w:rsid w:val="00A64723"/>
    <w:rsid w:val="00A647DF"/>
    <w:rsid w:val="00A648FD"/>
    <w:rsid w:val="00A649B3"/>
    <w:rsid w:val="00A649EB"/>
    <w:rsid w:val="00A649FF"/>
    <w:rsid w:val="00A64A16"/>
    <w:rsid w:val="00A64ADB"/>
    <w:rsid w:val="00A64B52"/>
    <w:rsid w:val="00A64B89"/>
    <w:rsid w:val="00A64C5C"/>
    <w:rsid w:val="00A64CDA"/>
    <w:rsid w:val="00A64D52"/>
    <w:rsid w:val="00A64E0D"/>
    <w:rsid w:val="00A64E33"/>
    <w:rsid w:val="00A64E52"/>
    <w:rsid w:val="00A64EC8"/>
    <w:rsid w:val="00A64EF3"/>
    <w:rsid w:val="00A64EF7"/>
    <w:rsid w:val="00A64F1A"/>
    <w:rsid w:val="00A64F2A"/>
    <w:rsid w:val="00A64FC3"/>
    <w:rsid w:val="00A64FE3"/>
    <w:rsid w:val="00A65089"/>
    <w:rsid w:val="00A650DE"/>
    <w:rsid w:val="00A65190"/>
    <w:rsid w:val="00A6519E"/>
    <w:rsid w:val="00A651CA"/>
    <w:rsid w:val="00A651DF"/>
    <w:rsid w:val="00A6523A"/>
    <w:rsid w:val="00A652BF"/>
    <w:rsid w:val="00A65313"/>
    <w:rsid w:val="00A6532F"/>
    <w:rsid w:val="00A6537D"/>
    <w:rsid w:val="00A65387"/>
    <w:rsid w:val="00A653BB"/>
    <w:rsid w:val="00A6543F"/>
    <w:rsid w:val="00A654F5"/>
    <w:rsid w:val="00A65583"/>
    <w:rsid w:val="00A655C3"/>
    <w:rsid w:val="00A6560C"/>
    <w:rsid w:val="00A65617"/>
    <w:rsid w:val="00A656E1"/>
    <w:rsid w:val="00A6572B"/>
    <w:rsid w:val="00A6578C"/>
    <w:rsid w:val="00A6583E"/>
    <w:rsid w:val="00A6587E"/>
    <w:rsid w:val="00A65A04"/>
    <w:rsid w:val="00A65ADD"/>
    <w:rsid w:val="00A65B54"/>
    <w:rsid w:val="00A65C20"/>
    <w:rsid w:val="00A65CAE"/>
    <w:rsid w:val="00A65CF1"/>
    <w:rsid w:val="00A65D6A"/>
    <w:rsid w:val="00A65E21"/>
    <w:rsid w:val="00A65E2E"/>
    <w:rsid w:val="00A65E80"/>
    <w:rsid w:val="00A65F29"/>
    <w:rsid w:val="00A65F80"/>
    <w:rsid w:val="00A6602C"/>
    <w:rsid w:val="00A66050"/>
    <w:rsid w:val="00A66075"/>
    <w:rsid w:val="00A660B7"/>
    <w:rsid w:val="00A660C2"/>
    <w:rsid w:val="00A66178"/>
    <w:rsid w:val="00A661D0"/>
    <w:rsid w:val="00A6621B"/>
    <w:rsid w:val="00A66247"/>
    <w:rsid w:val="00A66267"/>
    <w:rsid w:val="00A6627A"/>
    <w:rsid w:val="00A6627C"/>
    <w:rsid w:val="00A66284"/>
    <w:rsid w:val="00A662A2"/>
    <w:rsid w:val="00A662EF"/>
    <w:rsid w:val="00A6630F"/>
    <w:rsid w:val="00A66336"/>
    <w:rsid w:val="00A66337"/>
    <w:rsid w:val="00A663D5"/>
    <w:rsid w:val="00A66405"/>
    <w:rsid w:val="00A66416"/>
    <w:rsid w:val="00A6644F"/>
    <w:rsid w:val="00A664BE"/>
    <w:rsid w:val="00A66526"/>
    <w:rsid w:val="00A66586"/>
    <w:rsid w:val="00A66603"/>
    <w:rsid w:val="00A66642"/>
    <w:rsid w:val="00A66685"/>
    <w:rsid w:val="00A6669C"/>
    <w:rsid w:val="00A666B2"/>
    <w:rsid w:val="00A66700"/>
    <w:rsid w:val="00A6677B"/>
    <w:rsid w:val="00A667C5"/>
    <w:rsid w:val="00A667CA"/>
    <w:rsid w:val="00A66824"/>
    <w:rsid w:val="00A6696A"/>
    <w:rsid w:val="00A66A4D"/>
    <w:rsid w:val="00A66AF7"/>
    <w:rsid w:val="00A66B50"/>
    <w:rsid w:val="00A66B5E"/>
    <w:rsid w:val="00A66B64"/>
    <w:rsid w:val="00A66B78"/>
    <w:rsid w:val="00A66BAB"/>
    <w:rsid w:val="00A66BF6"/>
    <w:rsid w:val="00A66C2B"/>
    <w:rsid w:val="00A66E28"/>
    <w:rsid w:val="00A66FAF"/>
    <w:rsid w:val="00A6704D"/>
    <w:rsid w:val="00A6707B"/>
    <w:rsid w:val="00A670D7"/>
    <w:rsid w:val="00A67169"/>
    <w:rsid w:val="00A67184"/>
    <w:rsid w:val="00A67187"/>
    <w:rsid w:val="00A671BA"/>
    <w:rsid w:val="00A672D0"/>
    <w:rsid w:val="00A67325"/>
    <w:rsid w:val="00A67364"/>
    <w:rsid w:val="00A67458"/>
    <w:rsid w:val="00A674AA"/>
    <w:rsid w:val="00A674AC"/>
    <w:rsid w:val="00A674E0"/>
    <w:rsid w:val="00A674F6"/>
    <w:rsid w:val="00A6752B"/>
    <w:rsid w:val="00A675AE"/>
    <w:rsid w:val="00A6761E"/>
    <w:rsid w:val="00A6762C"/>
    <w:rsid w:val="00A67699"/>
    <w:rsid w:val="00A676C9"/>
    <w:rsid w:val="00A677BA"/>
    <w:rsid w:val="00A67837"/>
    <w:rsid w:val="00A678A0"/>
    <w:rsid w:val="00A678A4"/>
    <w:rsid w:val="00A678F7"/>
    <w:rsid w:val="00A67902"/>
    <w:rsid w:val="00A6791B"/>
    <w:rsid w:val="00A67A93"/>
    <w:rsid w:val="00A67AA9"/>
    <w:rsid w:val="00A67AAF"/>
    <w:rsid w:val="00A67BA9"/>
    <w:rsid w:val="00A67BB9"/>
    <w:rsid w:val="00A67C3F"/>
    <w:rsid w:val="00A67CF6"/>
    <w:rsid w:val="00A67CFF"/>
    <w:rsid w:val="00A67D4E"/>
    <w:rsid w:val="00A67DA2"/>
    <w:rsid w:val="00A67DDF"/>
    <w:rsid w:val="00A67DE3"/>
    <w:rsid w:val="00A67E7A"/>
    <w:rsid w:val="00A67F2A"/>
    <w:rsid w:val="00A67F7C"/>
    <w:rsid w:val="00A70008"/>
    <w:rsid w:val="00A70016"/>
    <w:rsid w:val="00A70025"/>
    <w:rsid w:val="00A700DA"/>
    <w:rsid w:val="00A70118"/>
    <w:rsid w:val="00A70119"/>
    <w:rsid w:val="00A70139"/>
    <w:rsid w:val="00A701A8"/>
    <w:rsid w:val="00A701CD"/>
    <w:rsid w:val="00A70311"/>
    <w:rsid w:val="00A70318"/>
    <w:rsid w:val="00A70332"/>
    <w:rsid w:val="00A70342"/>
    <w:rsid w:val="00A70356"/>
    <w:rsid w:val="00A7038B"/>
    <w:rsid w:val="00A703B3"/>
    <w:rsid w:val="00A703F1"/>
    <w:rsid w:val="00A7041F"/>
    <w:rsid w:val="00A704AC"/>
    <w:rsid w:val="00A704B2"/>
    <w:rsid w:val="00A704F1"/>
    <w:rsid w:val="00A7056D"/>
    <w:rsid w:val="00A705A2"/>
    <w:rsid w:val="00A705D2"/>
    <w:rsid w:val="00A70673"/>
    <w:rsid w:val="00A70680"/>
    <w:rsid w:val="00A7069A"/>
    <w:rsid w:val="00A707CC"/>
    <w:rsid w:val="00A7086C"/>
    <w:rsid w:val="00A70894"/>
    <w:rsid w:val="00A708C0"/>
    <w:rsid w:val="00A709B4"/>
    <w:rsid w:val="00A70B3C"/>
    <w:rsid w:val="00A70B96"/>
    <w:rsid w:val="00A70C13"/>
    <w:rsid w:val="00A70CF6"/>
    <w:rsid w:val="00A70D4E"/>
    <w:rsid w:val="00A70DC8"/>
    <w:rsid w:val="00A70DFB"/>
    <w:rsid w:val="00A70E8C"/>
    <w:rsid w:val="00A71000"/>
    <w:rsid w:val="00A710A6"/>
    <w:rsid w:val="00A710BF"/>
    <w:rsid w:val="00A7123A"/>
    <w:rsid w:val="00A71245"/>
    <w:rsid w:val="00A71265"/>
    <w:rsid w:val="00A71284"/>
    <w:rsid w:val="00A712BD"/>
    <w:rsid w:val="00A71367"/>
    <w:rsid w:val="00A71378"/>
    <w:rsid w:val="00A714BF"/>
    <w:rsid w:val="00A71556"/>
    <w:rsid w:val="00A7156B"/>
    <w:rsid w:val="00A715C4"/>
    <w:rsid w:val="00A7173C"/>
    <w:rsid w:val="00A718B1"/>
    <w:rsid w:val="00A7194D"/>
    <w:rsid w:val="00A71981"/>
    <w:rsid w:val="00A71A59"/>
    <w:rsid w:val="00A71A86"/>
    <w:rsid w:val="00A71AA5"/>
    <w:rsid w:val="00A71B3C"/>
    <w:rsid w:val="00A71BD7"/>
    <w:rsid w:val="00A71BE2"/>
    <w:rsid w:val="00A71BF4"/>
    <w:rsid w:val="00A71C3A"/>
    <w:rsid w:val="00A71C6B"/>
    <w:rsid w:val="00A71C77"/>
    <w:rsid w:val="00A71C7D"/>
    <w:rsid w:val="00A71D7F"/>
    <w:rsid w:val="00A71D80"/>
    <w:rsid w:val="00A71E36"/>
    <w:rsid w:val="00A71F02"/>
    <w:rsid w:val="00A71F13"/>
    <w:rsid w:val="00A71F4D"/>
    <w:rsid w:val="00A71F8B"/>
    <w:rsid w:val="00A7217D"/>
    <w:rsid w:val="00A721E7"/>
    <w:rsid w:val="00A721ED"/>
    <w:rsid w:val="00A72241"/>
    <w:rsid w:val="00A7228C"/>
    <w:rsid w:val="00A7231E"/>
    <w:rsid w:val="00A7238F"/>
    <w:rsid w:val="00A723FC"/>
    <w:rsid w:val="00A72463"/>
    <w:rsid w:val="00A7247A"/>
    <w:rsid w:val="00A72527"/>
    <w:rsid w:val="00A72528"/>
    <w:rsid w:val="00A7252A"/>
    <w:rsid w:val="00A7260C"/>
    <w:rsid w:val="00A72641"/>
    <w:rsid w:val="00A72760"/>
    <w:rsid w:val="00A72885"/>
    <w:rsid w:val="00A729DE"/>
    <w:rsid w:val="00A729E5"/>
    <w:rsid w:val="00A72A7F"/>
    <w:rsid w:val="00A72AFB"/>
    <w:rsid w:val="00A72B11"/>
    <w:rsid w:val="00A72B31"/>
    <w:rsid w:val="00A72D75"/>
    <w:rsid w:val="00A72DF7"/>
    <w:rsid w:val="00A72E28"/>
    <w:rsid w:val="00A72FA9"/>
    <w:rsid w:val="00A7300A"/>
    <w:rsid w:val="00A73068"/>
    <w:rsid w:val="00A730D1"/>
    <w:rsid w:val="00A731F8"/>
    <w:rsid w:val="00A73272"/>
    <w:rsid w:val="00A73277"/>
    <w:rsid w:val="00A73510"/>
    <w:rsid w:val="00A73523"/>
    <w:rsid w:val="00A73529"/>
    <w:rsid w:val="00A73587"/>
    <w:rsid w:val="00A735BD"/>
    <w:rsid w:val="00A73633"/>
    <w:rsid w:val="00A73644"/>
    <w:rsid w:val="00A73684"/>
    <w:rsid w:val="00A736B1"/>
    <w:rsid w:val="00A736BB"/>
    <w:rsid w:val="00A73720"/>
    <w:rsid w:val="00A73758"/>
    <w:rsid w:val="00A737C4"/>
    <w:rsid w:val="00A737D9"/>
    <w:rsid w:val="00A7381C"/>
    <w:rsid w:val="00A7384E"/>
    <w:rsid w:val="00A73859"/>
    <w:rsid w:val="00A7386E"/>
    <w:rsid w:val="00A73876"/>
    <w:rsid w:val="00A738A6"/>
    <w:rsid w:val="00A7396F"/>
    <w:rsid w:val="00A73989"/>
    <w:rsid w:val="00A73997"/>
    <w:rsid w:val="00A739C3"/>
    <w:rsid w:val="00A739FD"/>
    <w:rsid w:val="00A73A08"/>
    <w:rsid w:val="00A73B6D"/>
    <w:rsid w:val="00A73BBE"/>
    <w:rsid w:val="00A73BF7"/>
    <w:rsid w:val="00A73C49"/>
    <w:rsid w:val="00A73D99"/>
    <w:rsid w:val="00A73DF6"/>
    <w:rsid w:val="00A73DF7"/>
    <w:rsid w:val="00A73E7A"/>
    <w:rsid w:val="00A73EB5"/>
    <w:rsid w:val="00A73EFD"/>
    <w:rsid w:val="00A73F4F"/>
    <w:rsid w:val="00A73F72"/>
    <w:rsid w:val="00A73FBD"/>
    <w:rsid w:val="00A73FED"/>
    <w:rsid w:val="00A74015"/>
    <w:rsid w:val="00A74063"/>
    <w:rsid w:val="00A7406C"/>
    <w:rsid w:val="00A74153"/>
    <w:rsid w:val="00A741BB"/>
    <w:rsid w:val="00A741E3"/>
    <w:rsid w:val="00A741F5"/>
    <w:rsid w:val="00A742B3"/>
    <w:rsid w:val="00A743E1"/>
    <w:rsid w:val="00A74544"/>
    <w:rsid w:val="00A74579"/>
    <w:rsid w:val="00A745C4"/>
    <w:rsid w:val="00A7464E"/>
    <w:rsid w:val="00A7477A"/>
    <w:rsid w:val="00A747B8"/>
    <w:rsid w:val="00A747D7"/>
    <w:rsid w:val="00A747E9"/>
    <w:rsid w:val="00A74802"/>
    <w:rsid w:val="00A7484D"/>
    <w:rsid w:val="00A74899"/>
    <w:rsid w:val="00A748A7"/>
    <w:rsid w:val="00A7498E"/>
    <w:rsid w:val="00A7498F"/>
    <w:rsid w:val="00A749B4"/>
    <w:rsid w:val="00A749F1"/>
    <w:rsid w:val="00A749FA"/>
    <w:rsid w:val="00A74A01"/>
    <w:rsid w:val="00A74B80"/>
    <w:rsid w:val="00A74C36"/>
    <w:rsid w:val="00A74C6A"/>
    <w:rsid w:val="00A74CB9"/>
    <w:rsid w:val="00A74CE4"/>
    <w:rsid w:val="00A74D19"/>
    <w:rsid w:val="00A74ED4"/>
    <w:rsid w:val="00A74F00"/>
    <w:rsid w:val="00A74F70"/>
    <w:rsid w:val="00A74F99"/>
    <w:rsid w:val="00A74FCC"/>
    <w:rsid w:val="00A74FE8"/>
    <w:rsid w:val="00A750D6"/>
    <w:rsid w:val="00A750D8"/>
    <w:rsid w:val="00A75138"/>
    <w:rsid w:val="00A75183"/>
    <w:rsid w:val="00A751AD"/>
    <w:rsid w:val="00A751ED"/>
    <w:rsid w:val="00A75228"/>
    <w:rsid w:val="00A75229"/>
    <w:rsid w:val="00A752E7"/>
    <w:rsid w:val="00A7531B"/>
    <w:rsid w:val="00A7533A"/>
    <w:rsid w:val="00A75373"/>
    <w:rsid w:val="00A753E2"/>
    <w:rsid w:val="00A75459"/>
    <w:rsid w:val="00A754D7"/>
    <w:rsid w:val="00A7551B"/>
    <w:rsid w:val="00A75561"/>
    <w:rsid w:val="00A75683"/>
    <w:rsid w:val="00A756A5"/>
    <w:rsid w:val="00A756D2"/>
    <w:rsid w:val="00A756D4"/>
    <w:rsid w:val="00A75708"/>
    <w:rsid w:val="00A75714"/>
    <w:rsid w:val="00A7576F"/>
    <w:rsid w:val="00A75801"/>
    <w:rsid w:val="00A75871"/>
    <w:rsid w:val="00A75893"/>
    <w:rsid w:val="00A75933"/>
    <w:rsid w:val="00A75970"/>
    <w:rsid w:val="00A75A6A"/>
    <w:rsid w:val="00A75B9D"/>
    <w:rsid w:val="00A75BB4"/>
    <w:rsid w:val="00A75BCE"/>
    <w:rsid w:val="00A75D04"/>
    <w:rsid w:val="00A75D22"/>
    <w:rsid w:val="00A75D6A"/>
    <w:rsid w:val="00A75E15"/>
    <w:rsid w:val="00A75E58"/>
    <w:rsid w:val="00A75EBF"/>
    <w:rsid w:val="00A75EF5"/>
    <w:rsid w:val="00A75F53"/>
    <w:rsid w:val="00A75FA7"/>
    <w:rsid w:val="00A75FCD"/>
    <w:rsid w:val="00A76071"/>
    <w:rsid w:val="00A7611D"/>
    <w:rsid w:val="00A76131"/>
    <w:rsid w:val="00A761C9"/>
    <w:rsid w:val="00A76218"/>
    <w:rsid w:val="00A76282"/>
    <w:rsid w:val="00A762B2"/>
    <w:rsid w:val="00A7648C"/>
    <w:rsid w:val="00A764DC"/>
    <w:rsid w:val="00A76500"/>
    <w:rsid w:val="00A76570"/>
    <w:rsid w:val="00A765DD"/>
    <w:rsid w:val="00A766B8"/>
    <w:rsid w:val="00A76786"/>
    <w:rsid w:val="00A7691B"/>
    <w:rsid w:val="00A769FA"/>
    <w:rsid w:val="00A76B16"/>
    <w:rsid w:val="00A76B78"/>
    <w:rsid w:val="00A76BAE"/>
    <w:rsid w:val="00A76BC8"/>
    <w:rsid w:val="00A76BDE"/>
    <w:rsid w:val="00A76BF5"/>
    <w:rsid w:val="00A76C16"/>
    <w:rsid w:val="00A76C40"/>
    <w:rsid w:val="00A76D11"/>
    <w:rsid w:val="00A76D5F"/>
    <w:rsid w:val="00A76E98"/>
    <w:rsid w:val="00A76F41"/>
    <w:rsid w:val="00A76F4E"/>
    <w:rsid w:val="00A76FEA"/>
    <w:rsid w:val="00A77040"/>
    <w:rsid w:val="00A77071"/>
    <w:rsid w:val="00A77087"/>
    <w:rsid w:val="00A77112"/>
    <w:rsid w:val="00A77197"/>
    <w:rsid w:val="00A77204"/>
    <w:rsid w:val="00A77309"/>
    <w:rsid w:val="00A77362"/>
    <w:rsid w:val="00A77373"/>
    <w:rsid w:val="00A773BE"/>
    <w:rsid w:val="00A7742A"/>
    <w:rsid w:val="00A774E5"/>
    <w:rsid w:val="00A77559"/>
    <w:rsid w:val="00A7755F"/>
    <w:rsid w:val="00A775E1"/>
    <w:rsid w:val="00A775E5"/>
    <w:rsid w:val="00A77691"/>
    <w:rsid w:val="00A776F8"/>
    <w:rsid w:val="00A77700"/>
    <w:rsid w:val="00A77722"/>
    <w:rsid w:val="00A77751"/>
    <w:rsid w:val="00A77867"/>
    <w:rsid w:val="00A77874"/>
    <w:rsid w:val="00A778CE"/>
    <w:rsid w:val="00A778DC"/>
    <w:rsid w:val="00A778FB"/>
    <w:rsid w:val="00A77904"/>
    <w:rsid w:val="00A7792D"/>
    <w:rsid w:val="00A77940"/>
    <w:rsid w:val="00A7797F"/>
    <w:rsid w:val="00A779AC"/>
    <w:rsid w:val="00A77B18"/>
    <w:rsid w:val="00A77B1D"/>
    <w:rsid w:val="00A77B4A"/>
    <w:rsid w:val="00A77BE3"/>
    <w:rsid w:val="00A77BF5"/>
    <w:rsid w:val="00A77D7C"/>
    <w:rsid w:val="00A77D9F"/>
    <w:rsid w:val="00A77EB0"/>
    <w:rsid w:val="00A77EC9"/>
    <w:rsid w:val="00A77ED3"/>
    <w:rsid w:val="00A77F05"/>
    <w:rsid w:val="00A77F16"/>
    <w:rsid w:val="00A77F81"/>
    <w:rsid w:val="00A77F85"/>
    <w:rsid w:val="00A77FB2"/>
    <w:rsid w:val="00A77FCA"/>
    <w:rsid w:val="00A800A7"/>
    <w:rsid w:val="00A80108"/>
    <w:rsid w:val="00A80120"/>
    <w:rsid w:val="00A8027E"/>
    <w:rsid w:val="00A802F8"/>
    <w:rsid w:val="00A8032B"/>
    <w:rsid w:val="00A803C1"/>
    <w:rsid w:val="00A803DB"/>
    <w:rsid w:val="00A80401"/>
    <w:rsid w:val="00A80466"/>
    <w:rsid w:val="00A8051A"/>
    <w:rsid w:val="00A80564"/>
    <w:rsid w:val="00A80565"/>
    <w:rsid w:val="00A80580"/>
    <w:rsid w:val="00A80667"/>
    <w:rsid w:val="00A807AA"/>
    <w:rsid w:val="00A80891"/>
    <w:rsid w:val="00A808AC"/>
    <w:rsid w:val="00A808AE"/>
    <w:rsid w:val="00A808B5"/>
    <w:rsid w:val="00A8097A"/>
    <w:rsid w:val="00A809BB"/>
    <w:rsid w:val="00A80B2E"/>
    <w:rsid w:val="00A80B4A"/>
    <w:rsid w:val="00A80BB6"/>
    <w:rsid w:val="00A80BE6"/>
    <w:rsid w:val="00A80C0D"/>
    <w:rsid w:val="00A80C53"/>
    <w:rsid w:val="00A80D1C"/>
    <w:rsid w:val="00A80DD5"/>
    <w:rsid w:val="00A80E09"/>
    <w:rsid w:val="00A80E34"/>
    <w:rsid w:val="00A80E52"/>
    <w:rsid w:val="00A80E69"/>
    <w:rsid w:val="00A80EE9"/>
    <w:rsid w:val="00A80F92"/>
    <w:rsid w:val="00A80FA4"/>
    <w:rsid w:val="00A80FD6"/>
    <w:rsid w:val="00A8104F"/>
    <w:rsid w:val="00A81051"/>
    <w:rsid w:val="00A81060"/>
    <w:rsid w:val="00A81077"/>
    <w:rsid w:val="00A8107E"/>
    <w:rsid w:val="00A8117F"/>
    <w:rsid w:val="00A8125E"/>
    <w:rsid w:val="00A812F8"/>
    <w:rsid w:val="00A8134E"/>
    <w:rsid w:val="00A813C4"/>
    <w:rsid w:val="00A813ED"/>
    <w:rsid w:val="00A814D5"/>
    <w:rsid w:val="00A8150E"/>
    <w:rsid w:val="00A81724"/>
    <w:rsid w:val="00A81739"/>
    <w:rsid w:val="00A8173C"/>
    <w:rsid w:val="00A817CF"/>
    <w:rsid w:val="00A81893"/>
    <w:rsid w:val="00A818B8"/>
    <w:rsid w:val="00A819CC"/>
    <w:rsid w:val="00A819EB"/>
    <w:rsid w:val="00A81A19"/>
    <w:rsid w:val="00A81A30"/>
    <w:rsid w:val="00A81A72"/>
    <w:rsid w:val="00A81B1F"/>
    <w:rsid w:val="00A81B33"/>
    <w:rsid w:val="00A81B41"/>
    <w:rsid w:val="00A81B7A"/>
    <w:rsid w:val="00A81BBD"/>
    <w:rsid w:val="00A81BF9"/>
    <w:rsid w:val="00A81C9C"/>
    <w:rsid w:val="00A81D12"/>
    <w:rsid w:val="00A81D4A"/>
    <w:rsid w:val="00A81E4D"/>
    <w:rsid w:val="00A81E7A"/>
    <w:rsid w:val="00A81E8B"/>
    <w:rsid w:val="00A81F06"/>
    <w:rsid w:val="00A81F5D"/>
    <w:rsid w:val="00A81F78"/>
    <w:rsid w:val="00A81F79"/>
    <w:rsid w:val="00A81FAD"/>
    <w:rsid w:val="00A8210E"/>
    <w:rsid w:val="00A82173"/>
    <w:rsid w:val="00A821CD"/>
    <w:rsid w:val="00A821D9"/>
    <w:rsid w:val="00A822BF"/>
    <w:rsid w:val="00A822C7"/>
    <w:rsid w:val="00A82324"/>
    <w:rsid w:val="00A82325"/>
    <w:rsid w:val="00A82358"/>
    <w:rsid w:val="00A823C1"/>
    <w:rsid w:val="00A8241F"/>
    <w:rsid w:val="00A82458"/>
    <w:rsid w:val="00A82474"/>
    <w:rsid w:val="00A82478"/>
    <w:rsid w:val="00A825BC"/>
    <w:rsid w:val="00A825EE"/>
    <w:rsid w:val="00A8261E"/>
    <w:rsid w:val="00A82806"/>
    <w:rsid w:val="00A8282F"/>
    <w:rsid w:val="00A82840"/>
    <w:rsid w:val="00A828B1"/>
    <w:rsid w:val="00A828C1"/>
    <w:rsid w:val="00A829C4"/>
    <w:rsid w:val="00A829EE"/>
    <w:rsid w:val="00A82A1A"/>
    <w:rsid w:val="00A82A6A"/>
    <w:rsid w:val="00A82AB7"/>
    <w:rsid w:val="00A82B1D"/>
    <w:rsid w:val="00A82B85"/>
    <w:rsid w:val="00A82BF1"/>
    <w:rsid w:val="00A82C33"/>
    <w:rsid w:val="00A82C56"/>
    <w:rsid w:val="00A82CA8"/>
    <w:rsid w:val="00A82D39"/>
    <w:rsid w:val="00A82E11"/>
    <w:rsid w:val="00A82EE0"/>
    <w:rsid w:val="00A82FDB"/>
    <w:rsid w:val="00A83043"/>
    <w:rsid w:val="00A8308B"/>
    <w:rsid w:val="00A8316B"/>
    <w:rsid w:val="00A831C8"/>
    <w:rsid w:val="00A83260"/>
    <w:rsid w:val="00A8328C"/>
    <w:rsid w:val="00A8329D"/>
    <w:rsid w:val="00A83327"/>
    <w:rsid w:val="00A83362"/>
    <w:rsid w:val="00A8340A"/>
    <w:rsid w:val="00A834F4"/>
    <w:rsid w:val="00A83551"/>
    <w:rsid w:val="00A835AB"/>
    <w:rsid w:val="00A835F1"/>
    <w:rsid w:val="00A835FB"/>
    <w:rsid w:val="00A836B6"/>
    <w:rsid w:val="00A8371E"/>
    <w:rsid w:val="00A8376A"/>
    <w:rsid w:val="00A8376C"/>
    <w:rsid w:val="00A8380B"/>
    <w:rsid w:val="00A83824"/>
    <w:rsid w:val="00A8383B"/>
    <w:rsid w:val="00A83845"/>
    <w:rsid w:val="00A8389B"/>
    <w:rsid w:val="00A838E3"/>
    <w:rsid w:val="00A838EB"/>
    <w:rsid w:val="00A83948"/>
    <w:rsid w:val="00A83A2A"/>
    <w:rsid w:val="00A83A42"/>
    <w:rsid w:val="00A83A91"/>
    <w:rsid w:val="00A83AFF"/>
    <w:rsid w:val="00A83B2E"/>
    <w:rsid w:val="00A83B30"/>
    <w:rsid w:val="00A83B55"/>
    <w:rsid w:val="00A83B98"/>
    <w:rsid w:val="00A83BAB"/>
    <w:rsid w:val="00A83BD5"/>
    <w:rsid w:val="00A83C46"/>
    <w:rsid w:val="00A83C5D"/>
    <w:rsid w:val="00A83C76"/>
    <w:rsid w:val="00A83CB9"/>
    <w:rsid w:val="00A83CBF"/>
    <w:rsid w:val="00A83D03"/>
    <w:rsid w:val="00A83D0F"/>
    <w:rsid w:val="00A83D87"/>
    <w:rsid w:val="00A83DA4"/>
    <w:rsid w:val="00A83DA8"/>
    <w:rsid w:val="00A83E39"/>
    <w:rsid w:val="00A83E65"/>
    <w:rsid w:val="00A83E7D"/>
    <w:rsid w:val="00A83F38"/>
    <w:rsid w:val="00A840BC"/>
    <w:rsid w:val="00A841E0"/>
    <w:rsid w:val="00A84221"/>
    <w:rsid w:val="00A8428F"/>
    <w:rsid w:val="00A842E7"/>
    <w:rsid w:val="00A842EE"/>
    <w:rsid w:val="00A843EB"/>
    <w:rsid w:val="00A84457"/>
    <w:rsid w:val="00A84493"/>
    <w:rsid w:val="00A844BD"/>
    <w:rsid w:val="00A84571"/>
    <w:rsid w:val="00A845C2"/>
    <w:rsid w:val="00A84616"/>
    <w:rsid w:val="00A84661"/>
    <w:rsid w:val="00A846BC"/>
    <w:rsid w:val="00A84713"/>
    <w:rsid w:val="00A84717"/>
    <w:rsid w:val="00A84726"/>
    <w:rsid w:val="00A84738"/>
    <w:rsid w:val="00A84741"/>
    <w:rsid w:val="00A847E5"/>
    <w:rsid w:val="00A847EE"/>
    <w:rsid w:val="00A847F9"/>
    <w:rsid w:val="00A848DC"/>
    <w:rsid w:val="00A84947"/>
    <w:rsid w:val="00A84A25"/>
    <w:rsid w:val="00A84A61"/>
    <w:rsid w:val="00A84A98"/>
    <w:rsid w:val="00A84B7F"/>
    <w:rsid w:val="00A84C52"/>
    <w:rsid w:val="00A84C8D"/>
    <w:rsid w:val="00A84C9F"/>
    <w:rsid w:val="00A84CC4"/>
    <w:rsid w:val="00A84D50"/>
    <w:rsid w:val="00A84E6B"/>
    <w:rsid w:val="00A84ED2"/>
    <w:rsid w:val="00A84F2C"/>
    <w:rsid w:val="00A85027"/>
    <w:rsid w:val="00A85059"/>
    <w:rsid w:val="00A8505F"/>
    <w:rsid w:val="00A85061"/>
    <w:rsid w:val="00A85095"/>
    <w:rsid w:val="00A850D8"/>
    <w:rsid w:val="00A850E6"/>
    <w:rsid w:val="00A85107"/>
    <w:rsid w:val="00A85144"/>
    <w:rsid w:val="00A851A4"/>
    <w:rsid w:val="00A851C4"/>
    <w:rsid w:val="00A85223"/>
    <w:rsid w:val="00A8527A"/>
    <w:rsid w:val="00A852F4"/>
    <w:rsid w:val="00A85306"/>
    <w:rsid w:val="00A853FC"/>
    <w:rsid w:val="00A85553"/>
    <w:rsid w:val="00A85554"/>
    <w:rsid w:val="00A8567D"/>
    <w:rsid w:val="00A856A0"/>
    <w:rsid w:val="00A85782"/>
    <w:rsid w:val="00A85814"/>
    <w:rsid w:val="00A858BA"/>
    <w:rsid w:val="00A858EE"/>
    <w:rsid w:val="00A85948"/>
    <w:rsid w:val="00A85A16"/>
    <w:rsid w:val="00A85D12"/>
    <w:rsid w:val="00A85D49"/>
    <w:rsid w:val="00A85D70"/>
    <w:rsid w:val="00A85DB4"/>
    <w:rsid w:val="00A85E53"/>
    <w:rsid w:val="00A85E55"/>
    <w:rsid w:val="00A85E9A"/>
    <w:rsid w:val="00A85E9B"/>
    <w:rsid w:val="00A85F58"/>
    <w:rsid w:val="00A85F6F"/>
    <w:rsid w:val="00A85F9A"/>
    <w:rsid w:val="00A860AC"/>
    <w:rsid w:val="00A8616A"/>
    <w:rsid w:val="00A8623C"/>
    <w:rsid w:val="00A86273"/>
    <w:rsid w:val="00A86308"/>
    <w:rsid w:val="00A863C8"/>
    <w:rsid w:val="00A863D0"/>
    <w:rsid w:val="00A86427"/>
    <w:rsid w:val="00A86428"/>
    <w:rsid w:val="00A86433"/>
    <w:rsid w:val="00A86455"/>
    <w:rsid w:val="00A864B1"/>
    <w:rsid w:val="00A864DA"/>
    <w:rsid w:val="00A8653D"/>
    <w:rsid w:val="00A86542"/>
    <w:rsid w:val="00A8655A"/>
    <w:rsid w:val="00A86571"/>
    <w:rsid w:val="00A86622"/>
    <w:rsid w:val="00A86628"/>
    <w:rsid w:val="00A866B0"/>
    <w:rsid w:val="00A8688E"/>
    <w:rsid w:val="00A868FD"/>
    <w:rsid w:val="00A86906"/>
    <w:rsid w:val="00A86921"/>
    <w:rsid w:val="00A86928"/>
    <w:rsid w:val="00A86971"/>
    <w:rsid w:val="00A869A3"/>
    <w:rsid w:val="00A86A0F"/>
    <w:rsid w:val="00A86A4D"/>
    <w:rsid w:val="00A86A59"/>
    <w:rsid w:val="00A86AAE"/>
    <w:rsid w:val="00A86BB1"/>
    <w:rsid w:val="00A86C44"/>
    <w:rsid w:val="00A86CAF"/>
    <w:rsid w:val="00A86D20"/>
    <w:rsid w:val="00A86E1E"/>
    <w:rsid w:val="00A86E84"/>
    <w:rsid w:val="00A86EC4"/>
    <w:rsid w:val="00A86F36"/>
    <w:rsid w:val="00A86FD3"/>
    <w:rsid w:val="00A87010"/>
    <w:rsid w:val="00A8704D"/>
    <w:rsid w:val="00A870D6"/>
    <w:rsid w:val="00A87115"/>
    <w:rsid w:val="00A87192"/>
    <w:rsid w:val="00A871CE"/>
    <w:rsid w:val="00A871F7"/>
    <w:rsid w:val="00A871F9"/>
    <w:rsid w:val="00A872CF"/>
    <w:rsid w:val="00A8730D"/>
    <w:rsid w:val="00A87368"/>
    <w:rsid w:val="00A874D4"/>
    <w:rsid w:val="00A87539"/>
    <w:rsid w:val="00A875A7"/>
    <w:rsid w:val="00A8793C"/>
    <w:rsid w:val="00A8796D"/>
    <w:rsid w:val="00A8798E"/>
    <w:rsid w:val="00A87A36"/>
    <w:rsid w:val="00A87A8D"/>
    <w:rsid w:val="00A87C4C"/>
    <w:rsid w:val="00A87CB2"/>
    <w:rsid w:val="00A87CCB"/>
    <w:rsid w:val="00A87CFE"/>
    <w:rsid w:val="00A87D2A"/>
    <w:rsid w:val="00A87D37"/>
    <w:rsid w:val="00A87D97"/>
    <w:rsid w:val="00A87DC3"/>
    <w:rsid w:val="00A87E58"/>
    <w:rsid w:val="00A87E80"/>
    <w:rsid w:val="00A87EAF"/>
    <w:rsid w:val="00A87F3B"/>
    <w:rsid w:val="00A87F6B"/>
    <w:rsid w:val="00A9005D"/>
    <w:rsid w:val="00A90063"/>
    <w:rsid w:val="00A9008E"/>
    <w:rsid w:val="00A9008F"/>
    <w:rsid w:val="00A900F3"/>
    <w:rsid w:val="00A901F8"/>
    <w:rsid w:val="00A901FA"/>
    <w:rsid w:val="00A9021D"/>
    <w:rsid w:val="00A90260"/>
    <w:rsid w:val="00A90382"/>
    <w:rsid w:val="00A9039B"/>
    <w:rsid w:val="00A903F4"/>
    <w:rsid w:val="00A903F8"/>
    <w:rsid w:val="00A9049A"/>
    <w:rsid w:val="00A90523"/>
    <w:rsid w:val="00A90540"/>
    <w:rsid w:val="00A9055A"/>
    <w:rsid w:val="00A905A6"/>
    <w:rsid w:val="00A905C2"/>
    <w:rsid w:val="00A905D7"/>
    <w:rsid w:val="00A90668"/>
    <w:rsid w:val="00A90758"/>
    <w:rsid w:val="00A9076E"/>
    <w:rsid w:val="00A908A3"/>
    <w:rsid w:val="00A908D3"/>
    <w:rsid w:val="00A9092A"/>
    <w:rsid w:val="00A90939"/>
    <w:rsid w:val="00A90945"/>
    <w:rsid w:val="00A909AA"/>
    <w:rsid w:val="00A909B7"/>
    <w:rsid w:val="00A909F0"/>
    <w:rsid w:val="00A90A0E"/>
    <w:rsid w:val="00A90A32"/>
    <w:rsid w:val="00A90ADE"/>
    <w:rsid w:val="00A90B3C"/>
    <w:rsid w:val="00A90C44"/>
    <w:rsid w:val="00A90C9D"/>
    <w:rsid w:val="00A90CD0"/>
    <w:rsid w:val="00A90D3C"/>
    <w:rsid w:val="00A90D9E"/>
    <w:rsid w:val="00A90DE5"/>
    <w:rsid w:val="00A90DFC"/>
    <w:rsid w:val="00A90ECB"/>
    <w:rsid w:val="00A90F34"/>
    <w:rsid w:val="00A90FCA"/>
    <w:rsid w:val="00A9100D"/>
    <w:rsid w:val="00A91096"/>
    <w:rsid w:val="00A910CC"/>
    <w:rsid w:val="00A91146"/>
    <w:rsid w:val="00A911EC"/>
    <w:rsid w:val="00A91216"/>
    <w:rsid w:val="00A912D1"/>
    <w:rsid w:val="00A912D7"/>
    <w:rsid w:val="00A912FF"/>
    <w:rsid w:val="00A9135D"/>
    <w:rsid w:val="00A9139D"/>
    <w:rsid w:val="00A913D3"/>
    <w:rsid w:val="00A91427"/>
    <w:rsid w:val="00A91488"/>
    <w:rsid w:val="00A914BD"/>
    <w:rsid w:val="00A914E8"/>
    <w:rsid w:val="00A91579"/>
    <w:rsid w:val="00A9159C"/>
    <w:rsid w:val="00A9161C"/>
    <w:rsid w:val="00A916A3"/>
    <w:rsid w:val="00A916C9"/>
    <w:rsid w:val="00A91705"/>
    <w:rsid w:val="00A9176F"/>
    <w:rsid w:val="00A917E3"/>
    <w:rsid w:val="00A91802"/>
    <w:rsid w:val="00A91828"/>
    <w:rsid w:val="00A918BA"/>
    <w:rsid w:val="00A91920"/>
    <w:rsid w:val="00A91A3C"/>
    <w:rsid w:val="00A91B6A"/>
    <w:rsid w:val="00A91B85"/>
    <w:rsid w:val="00A91BAC"/>
    <w:rsid w:val="00A91BEB"/>
    <w:rsid w:val="00A91CB9"/>
    <w:rsid w:val="00A91DE1"/>
    <w:rsid w:val="00A91EB3"/>
    <w:rsid w:val="00A91ED1"/>
    <w:rsid w:val="00A91F1A"/>
    <w:rsid w:val="00A91F24"/>
    <w:rsid w:val="00A91F5A"/>
    <w:rsid w:val="00A91FA8"/>
    <w:rsid w:val="00A92014"/>
    <w:rsid w:val="00A92044"/>
    <w:rsid w:val="00A920C3"/>
    <w:rsid w:val="00A9227E"/>
    <w:rsid w:val="00A92286"/>
    <w:rsid w:val="00A9229B"/>
    <w:rsid w:val="00A922A8"/>
    <w:rsid w:val="00A922B2"/>
    <w:rsid w:val="00A92444"/>
    <w:rsid w:val="00A92453"/>
    <w:rsid w:val="00A92468"/>
    <w:rsid w:val="00A92499"/>
    <w:rsid w:val="00A92556"/>
    <w:rsid w:val="00A92618"/>
    <w:rsid w:val="00A92669"/>
    <w:rsid w:val="00A9266A"/>
    <w:rsid w:val="00A92683"/>
    <w:rsid w:val="00A92690"/>
    <w:rsid w:val="00A926F6"/>
    <w:rsid w:val="00A92702"/>
    <w:rsid w:val="00A92706"/>
    <w:rsid w:val="00A92783"/>
    <w:rsid w:val="00A9279A"/>
    <w:rsid w:val="00A9280A"/>
    <w:rsid w:val="00A9282B"/>
    <w:rsid w:val="00A92830"/>
    <w:rsid w:val="00A928FD"/>
    <w:rsid w:val="00A928FF"/>
    <w:rsid w:val="00A929EB"/>
    <w:rsid w:val="00A92A0C"/>
    <w:rsid w:val="00A92A2F"/>
    <w:rsid w:val="00A92ABB"/>
    <w:rsid w:val="00A92B39"/>
    <w:rsid w:val="00A92B59"/>
    <w:rsid w:val="00A92B96"/>
    <w:rsid w:val="00A92BA9"/>
    <w:rsid w:val="00A92BF2"/>
    <w:rsid w:val="00A92C87"/>
    <w:rsid w:val="00A92CE1"/>
    <w:rsid w:val="00A92D1B"/>
    <w:rsid w:val="00A92DD8"/>
    <w:rsid w:val="00A92E78"/>
    <w:rsid w:val="00A92FEF"/>
    <w:rsid w:val="00A93088"/>
    <w:rsid w:val="00A930C1"/>
    <w:rsid w:val="00A930F1"/>
    <w:rsid w:val="00A9318F"/>
    <w:rsid w:val="00A931AA"/>
    <w:rsid w:val="00A9335E"/>
    <w:rsid w:val="00A933BB"/>
    <w:rsid w:val="00A93496"/>
    <w:rsid w:val="00A9366B"/>
    <w:rsid w:val="00A9372D"/>
    <w:rsid w:val="00A93771"/>
    <w:rsid w:val="00A937B5"/>
    <w:rsid w:val="00A937CC"/>
    <w:rsid w:val="00A9381A"/>
    <w:rsid w:val="00A9384A"/>
    <w:rsid w:val="00A938C8"/>
    <w:rsid w:val="00A93A99"/>
    <w:rsid w:val="00A93C4B"/>
    <w:rsid w:val="00A93C9D"/>
    <w:rsid w:val="00A93CA6"/>
    <w:rsid w:val="00A93CCF"/>
    <w:rsid w:val="00A93D13"/>
    <w:rsid w:val="00A93D14"/>
    <w:rsid w:val="00A93D65"/>
    <w:rsid w:val="00A93E45"/>
    <w:rsid w:val="00A93E78"/>
    <w:rsid w:val="00A93EC2"/>
    <w:rsid w:val="00A93ED5"/>
    <w:rsid w:val="00A94002"/>
    <w:rsid w:val="00A94032"/>
    <w:rsid w:val="00A94071"/>
    <w:rsid w:val="00A940B7"/>
    <w:rsid w:val="00A94108"/>
    <w:rsid w:val="00A94189"/>
    <w:rsid w:val="00A941B7"/>
    <w:rsid w:val="00A9429A"/>
    <w:rsid w:val="00A9441D"/>
    <w:rsid w:val="00A94551"/>
    <w:rsid w:val="00A94569"/>
    <w:rsid w:val="00A9459F"/>
    <w:rsid w:val="00A9468B"/>
    <w:rsid w:val="00A947AB"/>
    <w:rsid w:val="00A947AC"/>
    <w:rsid w:val="00A948A2"/>
    <w:rsid w:val="00A948ED"/>
    <w:rsid w:val="00A94A16"/>
    <w:rsid w:val="00A94A68"/>
    <w:rsid w:val="00A94A81"/>
    <w:rsid w:val="00A94C27"/>
    <w:rsid w:val="00A94C74"/>
    <w:rsid w:val="00A94C88"/>
    <w:rsid w:val="00A94CAB"/>
    <w:rsid w:val="00A94CFC"/>
    <w:rsid w:val="00A94D87"/>
    <w:rsid w:val="00A94DF2"/>
    <w:rsid w:val="00A94E19"/>
    <w:rsid w:val="00A94E5A"/>
    <w:rsid w:val="00A94E77"/>
    <w:rsid w:val="00A94ED9"/>
    <w:rsid w:val="00A94F90"/>
    <w:rsid w:val="00A94FBB"/>
    <w:rsid w:val="00A951BF"/>
    <w:rsid w:val="00A95221"/>
    <w:rsid w:val="00A9524D"/>
    <w:rsid w:val="00A9529E"/>
    <w:rsid w:val="00A9531E"/>
    <w:rsid w:val="00A95391"/>
    <w:rsid w:val="00A953AF"/>
    <w:rsid w:val="00A95499"/>
    <w:rsid w:val="00A9549A"/>
    <w:rsid w:val="00A954BC"/>
    <w:rsid w:val="00A95506"/>
    <w:rsid w:val="00A955E5"/>
    <w:rsid w:val="00A956C7"/>
    <w:rsid w:val="00A956E8"/>
    <w:rsid w:val="00A95787"/>
    <w:rsid w:val="00A95890"/>
    <w:rsid w:val="00A95956"/>
    <w:rsid w:val="00A9596D"/>
    <w:rsid w:val="00A95A10"/>
    <w:rsid w:val="00A95A36"/>
    <w:rsid w:val="00A95AD3"/>
    <w:rsid w:val="00A95B4F"/>
    <w:rsid w:val="00A95B8A"/>
    <w:rsid w:val="00A95BD0"/>
    <w:rsid w:val="00A95C13"/>
    <w:rsid w:val="00A95C2D"/>
    <w:rsid w:val="00A95C4C"/>
    <w:rsid w:val="00A95C96"/>
    <w:rsid w:val="00A95D09"/>
    <w:rsid w:val="00A95D33"/>
    <w:rsid w:val="00A95D85"/>
    <w:rsid w:val="00A95DD4"/>
    <w:rsid w:val="00A95DF4"/>
    <w:rsid w:val="00A95E9F"/>
    <w:rsid w:val="00A95F52"/>
    <w:rsid w:val="00A9600A"/>
    <w:rsid w:val="00A96085"/>
    <w:rsid w:val="00A960E9"/>
    <w:rsid w:val="00A960F9"/>
    <w:rsid w:val="00A96216"/>
    <w:rsid w:val="00A96283"/>
    <w:rsid w:val="00A9631F"/>
    <w:rsid w:val="00A96325"/>
    <w:rsid w:val="00A9633F"/>
    <w:rsid w:val="00A96370"/>
    <w:rsid w:val="00A9640A"/>
    <w:rsid w:val="00A964FE"/>
    <w:rsid w:val="00A9650F"/>
    <w:rsid w:val="00A9651C"/>
    <w:rsid w:val="00A965BE"/>
    <w:rsid w:val="00A965D7"/>
    <w:rsid w:val="00A9660D"/>
    <w:rsid w:val="00A9667F"/>
    <w:rsid w:val="00A96692"/>
    <w:rsid w:val="00A966EF"/>
    <w:rsid w:val="00A967B3"/>
    <w:rsid w:val="00A967DC"/>
    <w:rsid w:val="00A9681D"/>
    <w:rsid w:val="00A9682D"/>
    <w:rsid w:val="00A96852"/>
    <w:rsid w:val="00A968DE"/>
    <w:rsid w:val="00A9691D"/>
    <w:rsid w:val="00A969DD"/>
    <w:rsid w:val="00A96A0F"/>
    <w:rsid w:val="00A96A32"/>
    <w:rsid w:val="00A96A40"/>
    <w:rsid w:val="00A96AA7"/>
    <w:rsid w:val="00A96B19"/>
    <w:rsid w:val="00A96B37"/>
    <w:rsid w:val="00A96BA5"/>
    <w:rsid w:val="00A96BDA"/>
    <w:rsid w:val="00A96BED"/>
    <w:rsid w:val="00A96C02"/>
    <w:rsid w:val="00A96C4D"/>
    <w:rsid w:val="00A96CB0"/>
    <w:rsid w:val="00A96D65"/>
    <w:rsid w:val="00A96D93"/>
    <w:rsid w:val="00A96DA0"/>
    <w:rsid w:val="00A96DEE"/>
    <w:rsid w:val="00A96E64"/>
    <w:rsid w:val="00A96E79"/>
    <w:rsid w:val="00A96EE3"/>
    <w:rsid w:val="00A96EE9"/>
    <w:rsid w:val="00A96F3D"/>
    <w:rsid w:val="00A96F58"/>
    <w:rsid w:val="00A96FE7"/>
    <w:rsid w:val="00A97002"/>
    <w:rsid w:val="00A97015"/>
    <w:rsid w:val="00A9703A"/>
    <w:rsid w:val="00A97079"/>
    <w:rsid w:val="00A970AA"/>
    <w:rsid w:val="00A970AB"/>
    <w:rsid w:val="00A970B8"/>
    <w:rsid w:val="00A9712F"/>
    <w:rsid w:val="00A9713D"/>
    <w:rsid w:val="00A9716B"/>
    <w:rsid w:val="00A971B3"/>
    <w:rsid w:val="00A971E2"/>
    <w:rsid w:val="00A97265"/>
    <w:rsid w:val="00A97290"/>
    <w:rsid w:val="00A9730C"/>
    <w:rsid w:val="00A97321"/>
    <w:rsid w:val="00A97393"/>
    <w:rsid w:val="00A97449"/>
    <w:rsid w:val="00A974A9"/>
    <w:rsid w:val="00A97632"/>
    <w:rsid w:val="00A976BD"/>
    <w:rsid w:val="00A976F0"/>
    <w:rsid w:val="00A976F2"/>
    <w:rsid w:val="00A97880"/>
    <w:rsid w:val="00A978E5"/>
    <w:rsid w:val="00A9790C"/>
    <w:rsid w:val="00A9791C"/>
    <w:rsid w:val="00A97983"/>
    <w:rsid w:val="00A97984"/>
    <w:rsid w:val="00A97A21"/>
    <w:rsid w:val="00A97A9D"/>
    <w:rsid w:val="00A97AC3"/>
    <w:rsid w:val="00A97B34"/>
    <w:rsid w:val="00A97B7C"/>
    <w:rsid w:val="00A97B90"/>
    <w:rsid w:val="00A97C05"/>
    <w:rsid w:val="00A97C8F"/>
    <w:rsid w:val="00A97CC9"/>
    <w:rsid w:val="00A97CE8"/>
    <w:rsid w:val="00A97D50"/>
    <w:rsid w:val="00A97D83"/>
    <w:rsid w:val="00A97DA0"/>
    <w:rsid w:val="00A97E0E"/>
    <w:rsid w:val="00A97E18"/>
    <w:rsid w:val="00A97ECF"/>
    <w:rsid w:val="00AA005B"/>
    <w:rsid w:val="00AA0062"/>
    <w:rsid w:val="00AA007B"/>
    <w:rsid w:val="00AA00E6"/>
    <w:rsid w:val="00AA0185"/>
    <w:rsid w:val="00AA01A1"/>
    <w:rsid w:val="00AA01DE"/>
    <w:rsid w:val="00AA01E5"/>
    <w:rsid w:val="00AA021F"/>
    <w:rsid w:val="00AA022E"/>
    <w:rsid w:val="00AA02B0"/>
    <w:rsid w:val="00AA0321"/>
    <w:rsid w:val="00AA0353"/>
    <w:rsid w:val="00AA035B"/>
    <w:rsid w:val="00AA036F"/>
    <w:rsid w:val="00AA0374"/>
    <w:rsid w:val="00AA04DC"/>
    <w:rsid w:val="00AA04EA"/>
    <w:rsid w:val="00AA051D"/>
    <w:rsid w:val="00AA0532"/>
    <w:rsid w:val="00AA053A"/>
    <w:rsid w:val="00AA0599"/>
    <w:rsid w:val="00AA059A"/>
    <w:rsid w:val="00AA05BF"/>
    <w:rsid w:val="00AA05F8"/>
    <w:rsid w:val="00AA05FF"/>
    <w:rsid w:val="00AA0616"/>
    <w:rsid w:val="00AA06A0"/>
    <w:rsid w:val="00AA06B1"/>
    <w:rsid w:val="00AA06B9"/>
    <w:rsid w:val="00AA080C"/>
    <w:rsid w:val="00AA083B"/>
    <w:rsid w:val="00AA0857"/>
    <w:rsid w:val="00AA0858"/>
    <w:rsid w:val="00AA0870"/>
    <w:rsid w:val="00AA09AA"/>
    <w:rsid w:val="00AA09EC"/>
    <w:rsid w:val="00AA0A15"/>
    <w:rsid w:val="00AA0AC3"/>
    <w:rsid w:val="00AA0AD3"/>
    <w:rsid w:val="00AA0B01"/>
    <w:rsid w:val="00AA0B7F"/>
    <w:rsid w:val="00AA0BC7"/>
    <w:rsid w:val="00AA0C17"/>
    <w:rsid w:val="00AA0C38"/>
    <w:rsid w:val="00AA0C76"/>
    <w:rsid w:val="00AA0C86"/>
    <w:rsid w:val="00AA0CB6"/>
    <w:rsid w:val="00AA0CF4"/>
    <w:rsid w:val="00AA0CFA"/>
    <w:rsid w:val="00AA0DC1"/>
    <w:rsid w:val="00AA0E20"/>
    <w:rsid w:val="00AA0E9A"/>
    <w:rsid w:val="00AA0EA3"/>
    <w:rsid w:val="00AA0F5F"/>
    <w:rsid w:val="00AA0FCC"/>
    <w:rsid w:val="00AA1014"/>
    <w:rsid w:val="00AA101B"/>
    <w:rsid w:val="00AA109C"/>
    <w:rsid w:val="00AA11CE"/>
    <w:rsid w:val="00AA133C"/>
    <w:rsid w:val="00AA1369"/>
    <w:rsid w:val="00AA13E6"/>
    <w:rsid w:val="00AA148F"/>
    <w:rsid w:val="00AA1553"/>
    <w:rsid w:val="00AA1585"/>
    <w:rsid w:val="00AA15CE"/>
    <w:rsid w:val="00AA1764"/>
    <w:rsid w:val="00AA176D"/>
    <w:rsid w:val="00AA1785"/>
    <w:rsid w:val="00AA18C0"/>
    <w:rsid w:val="00AA18CE"/>
    <w:rsid w:val="00AA18E9"/>
    <w:rsid w:val="00AA1992"/>
    <w:rsid w:val="00AA19AE"/>
    <w:rsid w:val="00AA1A18"/>
    <w:rsid w:val="00AA1A34"/>
    <w:rsid w:val="00AA1B4D"/>
    <w:rsid w:val="00AA1C1B"/>
    <w:rsid w:val="00AA1C20"/>
    <w:rsid w:val="00AA1C2A"/>
    <w:rsid w:val="00AA1CB5"/>
    <w:rsid w:val="00AA1D03"/>
    <w:rsid w:val="00AA1DBE"/>
    <w:rsid w:val="00AA1DD3"/>
    <w:rsid w:val="00AA1DE7"/>
    <w:rsid w:val="00AA1E53"/>
    <w:rsid w:val="00AA1EA4"/>
    <w:rsid w:val="00AA1EAA"/>
    <w:rsid w:val="00AA1F06"/>
    <w:rsid w:val="00AA1F47"/>
    <w:rsid w:val="00AA1F7A"/>
    <w:rsid w:val="00AA207A"/>
    <w:rsid w:val="00AA2091"/>
    <w:rsid w:val="00AA20B5"/>
    <w:rsid w:val="00AA2130"/>
    <w:rsid w:val="00AA21E1"/>
    <w:rsid w:val="00AA2206"/>
    <w:rsid w:val="00AA228A"/>
    <w:rsid w:val="00AA22C6"/>
    <w:rsid w:val="00AA22D1"/>
    <w:rsid w:val="00AA230D"/>
    <w:rsid w:val="00AA2347"/>
    <w:rsid w:val="00AA235A"/>
    <w:rsid w:val="00AA2407"/>
    <w:rsid w:val="00AA240C"/>
    <w:rsid w:val="00AA24D1"/>
    <w:rsid w:val="00AA2532"/>
    <w:rsid w:val="00AA253A"/>
    <w:rsid w:val="00AA256F"/>
    <w:rsid w:val="00AA25E5"/>
    <w:rsid w:val="00AA266C"/>
    <w:rsid w:val="00AA26B3"/>
    <w:rsid w:val="00AA26D3"/>
    <w:rsid w:val="00AA26D4"/>
    <w:rsid w:val="00AA276A"/>
    <w:rsid w:val="00AA276B"/>
    <w:rsid w:val="00AA2788"/>
    <w:rsid w:val="00AA27A3"/>
    <w:rsid w:val="00AA27BD"/>
    <w:rsid w:val="00AA27C4"/>
    <w:rsid w:val="00AA281B"/>
    <w:rsid w:val="00AA287A"/>
    <w:rsid w:val="00AA2974"/>
    <w:rsid w:val="00AA298A"/>
    <w:rsid w:val="00AA29DE"/>
    <w:rsid w:val="00AA29F1"/>
    <w:rsid w:val="00AA2A2A"/>
    <w:rsid w:val="00AA2A40"/>
    <w:rsid w:val="00AA2A76"/>
    <w:rsid w:val="00AA2ABE"/>
    <w:rsid w:val="00AA2AC5"/>
    <w:rsid w:val="00AA2B07"/>
    <w:rsid w:val="00AA2B2A"/>
    <w:rsid w:val="00AA2B38"/>
    <w:rsid w:val="00AA2B4B"/>
    <w:rsid w:val="00AA2BDA"/>
    <w:rsid w:val="00AA2BFE"/>
    <w:rsid w:val="00AA2CCA"/>
    <w:rsid w:val="00AA2CD3"/>
    <w:rsid w:val="00AA2CEE"/>
    <w:rsid w:val="00AA2DAD"/>
    <w:rsid w:val="00AA2DC6"/>
    <w:rsid w:val="00AA2E4F"/>
    <w:rsid w:val="00AA2EA3"/>
    <w:rsid w:val="00AA2F1D"/>
    <w:rsid w:val="00AA2F6A"/>
    <w:rsid w:val="00AA301E"/>
    <w:rsid w:val="00AA3287"/>
    <w:rsid w:val="00AA32B7"/>
    <w:rsid w:val="00AA32FB"/>
    <w:rsid w:val="00AA3349"/>
    <w:rsid w:val="00AA33BA"/>
    <w:rsid w:val="00AA33D2"/>
    <w:rsid w:val="00AA33DE"/>
    <w:rsid w:val="00AA3417"/>
    <w:rsid w:val="00AA3439"/>
    <w:rsid w:val="00AA34D4"/>
    <w:rsid w:val="00AA3567"/>
    <w:rsid w:val="00AA35AE"/>
    <w:rsid w:val="00AA3624"/>
    <w:rsid w:val="00AA364B"/>
    <w:rsid w:val="00AA3672"/>
    <w:rsid w:val="00AA3744"/>
    <w:rsid w:val="00AA37C5"/>
    <w:rsid w:val="00AA3801"/>
    <w:rsid w:val="00AA38F1"/>
    <w:rsid w:val="00AA3948"/>
    <w:rsid w:val="00AA3955"/>
    <w:rsid w:val="00AA3997"/>
    <w:rsid w:val="00AA39D3"/>
    <w:rsid w:val="00AA3A40"/>
    <w:rsid w:val="00AA3A5A"/>
    <w:rsid w:val="00AA3A6E"/>
    <w:rsid w:val="00AA3AB6"/>
    <w:rsid w:val="00AA3B0A"/>
    <w:rsid w:val="00AA3B72"/>
    <w:rsid w:val="00AA3BB1"/>
    <w:rsid w:val="00AA3CA5"/>
    <w:rsid w:val="00AA3CD6"/>
    <w:rsid w:val="00AA3CF0"/>
    <w:rsid w:val="00AA3CFA"/>
    <w:rsid w:val="00AA3D6D"/>
    <w:rsid w:val="00AA3DFC"/>
    <w:rsid w:val="00AA3ECA"/>
    <w:rsid w:val="00AA3F10"/>
    <w:rsid w:val="00AA3F50"/>
    <w:rsid w:val="00AA406B"/>
    <w:rsid w:val="00AA4083"/>
    <w:rsid w:val="00AA419D"/>
    <w:rsid w:val="00AA41AC"/>
    <w:rsid w:val="00AA41E3"/>
    <w:rsid w:val="00AA421D"/>
    <w:rsid w:val="00AA428B"/>
    <w:rsid w:val="00AA4293"/>
    <w:rsid w:val="00AA42B6"/>
    <w:rsid w:val="00AA42CC"/>
    <w:rsid w:val="00AA42E2"/>
    <w:rsid w:val="00AA4339"/>
    <w:rsid w:val="00AA4369"/>
    <w:rsid w:val="00AA43F3"/>
    <w:rsid w:val="00AA44A2"/>
    <w:rsid w:val="00AA44C2"/>
    <w:rsid w:val="00AA4531"/>
    <w:rsid w:val="00AA4540"/>
    <w:rsid w:val="00AA454F"/>
    <w:rsid w:val="00AA458C"/>
    <w:rsid w:val="00AA4597"/>
    <w:rsid w:val="00AA45D4"/>
    <w:rsid w:val="00AA4792"/>
    <w:rsid w:val="00AA47E3"/>
    <w:rsid w:val="00AA483C"/>
    <w:rsid w:val="00AA48AC"/>
    <w:rsid w:val="00AA48E6"/>
    <w:rsid w:val="00AA4972"/>
    <w:rsid w:val="00AA49D2"/>
    <w:rsid w:val="00AA4A6A"/>
    <w:rsid w:val="00AA4B48"/>
    <w:rsid w:val="00AA4B9B"/>
    <w:rsid w:val="00AA4BE0"/>
    <w:rsid w:val="00AA4C26"/>
    <w:rsid w:val="00AA4C47"/>
    <w:rsid w:val="00AA4C8A"/>
    <w:rsid w:val="00AA4CF8"/>
    <w:rsid w:val="00AA4D3D"/>
    <w:rsid w:val="00AA4DA5"/>
    <w:rsid w:val="00AA4E0B"/>
    <w:rsid w:val="00AA4E93"/>
    <w:rsid w:val="00AA4EAE"/>
    <w:rsid w:val="00AA4EEC"/>
    <w:rsid w:val="00AA4EEE"/>
    <w:rsid w:val="00AA4F9A"/>
    <w:rsid w:val="00AA4FAA"/>
    <w:rsid w:val="00AA5002"/>
    <w:rsid w:val="00AA5005"/>
    <w:rsid w:val="00AA505E"/>
    <w:rsid w:val="00AA5131"/>
    <w:rsid w:val="00AA527E"/>
    <w:rsid w:val="00AA529E"/>
    <w:rsid w:val="00AA5307"/>
    <w:rsid w:val="00AA53F9"/>
    <w:rsid w:val="00AA5442"/>
    <w:rsid w:val="00AA545C"/>
    <w:rsid w:val="00AA5463"/>
    <w:rsid w:val="00AA5554"/>
    <w:rsid w:val="00AA55A9"/>
    <w:rsid w:val="00AA55AB"/>
    <w:rsid w:val="00AA55BF"/>
    <w:rsid w:val="00AA5620"/>
    <w:rsid w:val="00AA5655"/>
    <w:rsid w:val="00AA5656"/>
    <w:rsid w:val="00AA56A2"/>
    <w:rsid w:val="00AA56E2"/>
    <w:rsid w:val="00AA573A"/>
    <w:rsid w:val="00AA577F"/>
    <w:rsid w:val="00AA57BB"/>
    <w:rsid w:val="00AA5823"/>
    <w:rsid w:val="00AA5866"/>
    <w:rsid w:val="00AA5876"/>
    <w:rsid w:val="00AA587C"/>
    <w:rsid w:val="00AA58EB"/>
    <w:rsid w:val="00AA5A1F"/>
    <w:rsid w:val="00AA5A86"/>
    <w:rsid w:val="00AA5ABD"/>
    <w:rsid w:val="00AA5AC0"/>
    <w:rsid w:val="00AA5B11"/>
    <w:rsid w:val="00AA5B4E"/>
    <w:rsid w:val="00AA5BAD"/>
    <w:rsid w:val="00AA5BEA"/>
    <w:rsid w:val="00AA5CE9"/>
    <w:rsid w:val="00AA5D73"/>
    <w:rsid w:val="00AA5DA6"/>
    <w:rsid w:val="00AA5E4C"/>
    <w:rsid w:val="00AA5E70"/>
    <w:rsid w:val="00AA5F3D"/>
    <w:rsid w:val="00AA5F56"/>
    <w:rsid w:val="00AA5F57"/>
    <w:rsid w:val="00AA602F"/>
    <w:rsid w:val="00AA6058"/>
    <w:rsid w:val="00AA6062"/>
    <w:rsid w:val="00AA60F5"/>
    <w:rsid w:val="00AA60FA"/>
    <w:rsid w:val="00AA61BF"/>
    <w:rsid w:val="00AA61EC"/>
    <w:rsid w:val="00AA6209"/>
    <w:rsid w:val="00AA62D3"/>
    <w:rsid w:val="00AA6301"/>
    <w:rsid w:val="00AA631B"/>
    <w:rsid w:val="00AA6326"/>
    <w:rsid w:val="00AA63AB"/>
    <w:rsid w:val="00AA63C6"/>
    <w:rsid w:val="00AA6418"/>
    <w:rsid w:val="00AA65F3"/>
    <w:rsid w:val="00AA6625"/>
    <w:rsid w:val="00AA66A0"/>
    <w:rsid w:val="00AA66EE"/>
    <w:rsid w:val="00AA6705"/>
    <w:rsid w:val="00AA670E"/>
    <w:rsid w:val="00AA6770"/>
    <w:rsid w:val="00AA6783"/>
    <w:rsid w:val="00AA6804"/>
    <w:rsid w:val="00AA68C7"/>
    <w:rsid w:val="00AA692A"/>
    <w:rsid w:val="00AA692B"/>
    <w:rsid w:val="00AA6955"/>
    <w:rsid w:val="00AA695C"/>
    <w:rsid w:val="00AA6965"/>
    <w:rsid w:val="00AA696D"/>
    <w:rsid w:val="00AA6978"/>
    <w:rsid w:val="00AA69A1"/>
    <w:rsid w:val="00AA69D4"/>
    <w:rsid w:val="00AA6A11"/>
    <w:rsid w:val="00AA6A36"/>
    <w:rsid w:val="00AA6A74"/>
    <w:rsid w:val="00AA6AA8"/>
    <w:rsid w:val="00AA6AC1"/>
    <w:rsid w:val="00AA6B4E"/>
    <w:rsid w:val="00AA6B8D"/>
    <w:rsid w:val="00AA6BF4"/>
    <w:rsid w:val="00AA6CC7"/>
    <w:rsid w:val="00AA6CD6"/>
    <w:rsid w:val="00AA6D18"/>
    <w:rsid w:val="00AA6D2D"/>
    <w:rsid w:val="00AA6D46"/>
    <w:rsid w:val="00AA6D7D"/>
    <w:rsid w:val="00AA6E01"/>
    <w:rsid w:val="00AA6E0B"/>
    <w:rsid w:val="00AA6EA6"/>
    <w:rsid w:val="00AA6F0F"/>
    <w:rsid w:val="00AA6F42"/>
    <w:rsid w:val="00AA6FA3"/>
    <w:rsid w:val="00AA6FBE"/>
    <w:rsid w:val="00AA702C"/>
    <w:rsid w:val="00AA713E"/>
    <w:rsid w:val="00AA7143"/>
    <w:rsid w:val="00AA719C"/>
    <w:rsid w:val="00AA71DD"/>
    <w:rsid w:val="00AA721C"/>
    <w:rsid w:val="00AA725A"/>
    <w:rsid w:val="00AA726D"/>
    <w:rsid w:val="00AA729F"/>
    <w:rsid w:val="00AA72B6"/>
    <w:rsid w:val="00AA72F7"/>
    <w:rsid w:val="00AA7323"/>
    <w:rsid w:val="00AA7338"/>
    <w:rsid w:val="00AA7355"/>
    <w:rsid w:val="00AA73B7"/>
    <w:rsid w:val="00AA73E4"/>
    <w:rsid w:val="00AA7495"/>
    <w:rsid w:val="00AA7577"/>
    <w:rsid w:val="00AA7598"/>
    <w:rsid w:val="00AA75E8"/>
    <w:rsid w:val="00AA7609"/>
    <w:rsid w:val="00AA7659"/>
    <w:rsid w:val="00AA767C"/>
    <w:rsid w:val="00AA768C"/>
    <w:rsid w:val="00AA7694"/>
    <w:rsid w:val="00AA76D4"/>
    <w:rsid w:val="00AA7715"/>
    <w:rsid w:val="00AA775C"/>
    <w:rsid w:val="00AA77FB"/>
    <w:rsid w:val="00AA7831"/>
    <w:rsid w:val="00AA787E"/>
    <w:rsid w:val="00AA7900"/>
    <w:rsid w:val="00AA799F"/>
    <w:rsid w:val="00AA7A1B"/>
    <w:rsid w:val="00AA7B85"/>
    <w:rsid w:val="00AA7B99"/>
    <w:rsid w:val="00AA7C36"/>
    <w:rsid w:val="00AA7C3D"/>
    <w:rsid w:val="00AA7CA9"/>
    <w:rsid w:val="00AA7D05"/>
    <w:rsid w:val="00AA7D22"/>
    <w:rsid w:val="00AA7E98"/>
    <w:rsid w:val="00AB0048"/>
    <w:rsid w:val="00AB011A"/>
    <w:rsid w:val="00AB01CF"/>
    <w:rsid w:val="00AB01D4"/>
    <w:rsid w:val="00AB0270"/>
    <w:rsid w:val="00AB02CA"/>
    <w:rsid w:val="00AB0349"/>
    <w:rsid w:val="00AB041D"/>
    <w:rsid w:val="00AB04B9"/>
    <w:rsid w:val="00AB05AE"/>
    <w:rsid w:val="00AB06C8"/>
    <w:rsid w:val="00AB070E"/>
    <w:rsid w:val="00AB071B"/>
    <w:rsid w:val="00AB0735"/>
    <w:rsid w:val="00AB07CD"/>
    <w:rsid w:val="00AB0820"/>
    <w:rsid w:val="00AB09DA"/>
    <w:rsid w:val="00AB0A45"/>
    <w:rsid w:val="00AB0A93"/>
    <w:rsid w:val="00AB0ACF"/>
    <w:rsid w:val="00AB0B5F"/>
    <w:rsid w:val="00AB0B65"/>
    <w:rsid w:val="00AB0BEB"/>
    <w:rsid w:val="00AB0C6C"/>
    <w:rsid w:val="00AB0CC6"/>
    <w:rsid w:val="00AB0D15"/>
    <w:rsid w:val="00AB0D6A"/>
    <w:rsid w:val="00AB0DD2"/>
    <w:rsid w:val="00AB0DFF"/>
    <w:rsid w:val="00AB0E2C"/>
    <w:rsid w:val="00AB0F3D"/>
    <w:rsid w:val="00AB0F67"/>
    <w:rsid w:val="00AB0FE3"/>
    <w:rsid w:val="00AB0FEE"/>
    <w:rsid w:val="00AB0FF0"/>
    <w:rsid w:val="00AB0FF2"/>
    <w:rsid w:val="00AB1082"/>
    <w:rsid w:val="00AB10CB"/>
    <w:rsid w:val="00AB121F"/>
    <w:rsid w:val="00AB12C3"/>
    <w:rsid w:val="00AB1353"/>
    <w:rsid w:val="00AB1354"/>
    <w:rsid w:val="00AB1369"/>
    <w:rsid w:val="00AB1473"/>
    <w:rsid w:val="00AB14C7"/>
    <w:rsid w:val="00AB14FF"/>
    <w:rsid w:val="00AB1514"/>
    <w:rsid w:val="00AB1592"/>
    <w:rsid w:val="00AB1593"/>
    <w:rsid w:val="00AB15A9"/>
    <w:rsid w:val="00AB15B6"/>
    <w:rsid w:val="00AB15DF"/>
    <w:rsid w:val="00AB1669"/>
    <w:rsid w:val="00AB1680"/>
    <w:rsid w:val="00AB16B8"/>
    <w:rsid w:val="00AB171E"/>
    <w:rsid w:val="00AB173E"/>
    <w:rsid w:val="00AB17F6"/>
    <w:rsid w:val="00AB1845"/>
    <w:rsid w:val="00AB18C4"/>
    <w:rsid w:val="00AB1902"/>
    <w:rsid w:val="00AB1955"/>
    <w:rsid w:val="00AB1A37"/>
    <w:rsid w:val="00AB1AF7"/>
    <w:rsid w:val="00AB1B15"/>
    <w:rsid w:val="00AB1B47"/>
    <w:rsid w:val="00AB1C21"/>
    <w:rsid w:val="00AB1C98"/>
    <w:rsid w:val="00AB1CA9"/>
    <w:rsid w:val="00AB1CF0"/>
    <w:rsid w:val="00AB1D19"/>
    <w:rsid w:val="00AB1D34"/>
    <w:rsid w:val="00AB1D76"/>
    <w:rsid w:val="00AB1DFD"/>
    <w:rsid w:val="00AB1E89"/>
    <w:rsid w:val="00AB1F29"/>
    <w:rsid w:val="00AB1F36"/>
    <w:rsid w:val="00AB1F50"/>
    <w:rsid w:val="00AB1F68"/>
    <w:rsid w:val="00AB1F8F"/>
    <w:rsid w:val="00AB1F90"/>
    <w:rsid w:val="00AB1FFB"/>
    <w:rsid w:val="00AB203B"/>
    <w:rsid w:val="00AB2084"/>
    <w:rsid w:val="00AB20A4"/>
    <w:rsid w:val="00AB20DE"/>
    <w:rsid w:val="00AB20F4"/>
    <w:rsid w:val="00AB221D"/>
    <w:rsid w:val="00AB2244"/>
    <w:rsid w:val="00AB225E"/>
    <w:rsid w:val="00AB233C"/>
    <w:rsid w:val="00AB2378"/>
    <w:rsid w:val="00AB237A"/>
    <w:rsid w:val="00AB2381"/>
    <w:rsid w:val="00AB23DC"/>
    <w:rsid w:val="00AB2404"/>
    <w:rsid w:val="00AB2466"/>
    <w:rsid w:val="00AB248B"/>
    <w:rsid w:val="00AB260D"/>
    <w:rsid w:val="00AB260F"/>
    <w:rsid w:val="00AB2611"/>
    <w:rsid w:val="00AB269D"/>
    <w:rsid w:val="00AB26F0"/>
    <w:rsid w:val="00AB2756"/>
    <w:rsid w:val="00AB27D4"/>
    <w:rsid w:val="00AB287B"/>
    <w:rsid w:val="00AB28C0"/>
    <w:rsid w:val="00AB296E"/>
    <w:rsid w:val="00AB2971"/>
    <w:rsid w:val="00AB2999"/>
    <w:rsid w:val="00AB29C6"/>
    <w:rsid w:val="00AB29D8"/>
    <w:rsid w:val="00AB2E66"/>
    <w:rsid w:val="00AB2E90"/>
    <w:rsid w:val="00AB2F4F"/>
    <w:rsid w:val="00AB2F87"/>
    <w:rsid w:val="00AB2F9E"/>
    <w:rsid w:val="00AB2FA1"/>
    <w:rsid w:val="00AB2FDC"/>
    <w:rsid w:val="00AB301E"/>
    <w:rsid w:val="00AB3027"/>
    <w:rsid w:val="00AB3110"/>
    <w:rsid w:val="00AB319E"/>
    <w:rsid w:val="00AB3224"/>
    <w:rsid w:val="00AB32ED"/>
    <w:rsid w:val="00AB3306"/>
    <w:rsid w:val="00AB3319"/>
    <w:rsid w:val="00AB3320"/>
    <w:rsid w:val="00AB3348"/>
    <w:rsid w:val="00AB33B9"/>
    <w:rsid w:val="00AB33D7"/>
    <w:rsid w:val="00AB33F2"/>
    <w:rsid w:val="00AB341D"/>
    <w:rsid w:val="00AB3438"/>
    <w:rsid w:val="00AB3487"/>
    <w:rsid w:val="00AB34F4"/>
    <w:rsid w:val="00AB350E"/>
    <w:rsid w:val="00AB351F"/>
    <w:rsid w:val="00AB3532"/>
    <w:rsid w:val="00AB3570"/>
    <w:rsid w:val="00AB359F"/>
    <w:rsid w:val="00AB35DA"/>
    <w:rsid w:val="00AB3665"/>
    <w:rsid w:val="00AB369E"/>
    <w:rsid w:val="00AB3798"/>
    <w:rsid w:val="00AB37B9"/>
    <w:rsid w:val="00AB37D3"/>
    <w:rsid w:val="00AB3911"/>
    <w:rsid w:val="00AB3948"/>
    <w:rsid w:val="00AB39CC"/>
    <w:rsid w:val="00AB3A57"/>
    <w:rsid w:val="00AB3A7F"/>
    <w:rsid w:val="00AB3AA8"/>
    <w:rsid w:val="00AB3AEC"/>
    <w:rsid w:val="00AB3B61"/>
    <w:rsid w:val="00AB3B87"/>
    <w:rsid w:val="00AB3BE9"/>
    <w:rsid w:val="00AB3CD9"/>
    <w:rsid w:val="00AB3CDB"/>
    <w:rsid w:val="00AB3D49"/>
    <w:rsid w:val="00AB3D9A"/>
    <w:rsid w:val="00AB3D9D"/>
    <w:rsid w:val="00AB3DE2"/>
    <w:rsid w:val="00AB3E21"/>
    <w:rsid w:val="00AB3E8D"/>
    <w:rsid w:val="00AB3EEE"/>
    <w:rsid w:val="00AB3F2A"/>
    <w:rsid w:val="00AB3F5C"/>
    <w:rsid w:val="00AB3F97"/>
    <w:rsid w:val="00AB3FA1"/>
    <w:rsid w:val="00AB3FC2"/>
    <w:rsid w:val="00AB3FCE"/>
    <w:rsid w:val="00AB4002"/>
    <w:rsid w:val="00AB40E0"/>
    <w:rsid w:val="00AB40EB"/>
    <w:rsid w:val="00AB4162"/>
    <w:rsid w:val="00AB4173"/>
    <w:rsid w:val="00AB423E"/>
    <w:rsid w:val="00AB423F"/>
    <w:rsid w:val="00AB438A"/>
    <w:rsid w:val="00AB43EB"/>
    <w:rsid w:val="00AB4406"/>
    <w:rsid w:val="00AB4480"/>
    <w:rsid w:val="00AB4507"/>
    <w:rsid w:val="00AB4587"/>
    <w:rsid w:val="00AB459F"/>
    <w:rsid w:val="00AB4629"/>
    <w:rsid w:val="00AB462C"/>
    <w:rsid w:val="00AB4650"/>
    <w:rsid w:val="00AB4663"/>
    <w:rsid w:val="00AB4675"/>
    <w:rsid w:val="00AB473F"/>
    <w:rsid w:val="00AB4776"/>
    <w:rsid w:val="00AB4838"/>
    <w:rsid w:val="00AB4886"/>
    <w:rsid w:val="00AB4890"/>
    <w:rsid w:val="00AB48CC"/>
    <w:rsid w:val="00AB490A"/>
    <w:rsid w:val="00AB4948"/>
    <w:rsid w:val="00AB4959"/>
    <w:rsid w:val="00AB496B"/>
    <w:rsid w:val="00AB4A67"/>
    <w:rsid w:val="00AB4A74"/>
    <w:rsid w:val="00AB4B89"/>
    <w:rsid w:val="00AB4B99"/>
    <w:rsid w:val="00AB4DD1"/>
    <w:rsid w:val="00AB4DE7"/>
    <w:rsid w:val="00AB4DF7"/>
    <w:rsid w:val="00AB4E65"/>
    <w:rsid w:val="00AB4E7E"/>
    <w:rsid w:val="00AB4E8B"/>
    <w:rsid w:val="00AB4ED6"/>
    <w:rsid w:val="00AB4F04"/>
    <w:rsid w:val="00AB4F07"/>
    <w:rsid w:val="00AB4F4E"/>
    <w:rsid w:val="00AB4F53"/>
    <w:rsid w:val="00AB4FCD"/>
    <w:rsid w:val="00AB5093"/>
    <w:rsid w:val="00AB50B6"/>
    <w:rsid w:val="00AB5101"/>
    <w:rsid w:val="00AB5133"/>
    <w:rsid w:val="00AB51F0"/>
    <w:rsid w:val="00AB5200"/>
    <w:rsid w:val="00AB52CE"/>
    <w:rsid w:val="00AB5331"/>
    <w:rsid w:val="00AB53AB"/>
    <w:rsid w:val="00AB549F"/>
    <w:rsid w:val="00AB54AA"/>
    <w:rsid w:val="00AB555A"/>
    <w:rsid w:val="00AB5579"/>
    <w:rsid w:val="00AB55BF"/>
    <w:rsid w:val="00AB566F"/>
    <w:rsid w:val="00AB5695"/>
    <w:rsid w:val="00AB570B"/>
    <w:rsid w:val="00AB5739"/>
    <w:rsid w:val="00AB5768"/>
    <w:rsid w:val="00AB5796"/>
    <w:rsid w:val="00AB57C7"/>
    <w:rsid w:val="00AB581B"/>
    <w:rsid w:val="00AB5862"/>
    <w:rsid w:val="00AB586A"/>
    <w:rsid w:val="00AB58A7"/>
    <w:rsid w:val="00AB5931"/>
    <w:rsid w:val="00AB593C"/>
    <w:rsid w:val="00AB5951"/>
    <w:rsid w:val="00AB5A2A"/>
    <w:rsid w:val="00AB5A9C"/>
    <w:rsid w:val="00AB5AB2"/>
    <w:rsid w:val="00AB5AE9"/>
    <w:rsid w:val="00AB5C29"/>
    <w:rsid w:val="00AB5C71"/>
    <w:rsid w:val="00AB5C93"/>
    <w:rsid w:val="00AB5E28"/>
    <w:rsid w:val="00AB5E84"/>
    <w:rsid w:val="00AB5E8F"/>
    <w:rsid w:val="00AB5E99"/>
    <w:rsid w:val="00AB5EF9"/>
    <w:rsid w:val="00AB5FCF"/>
    <w:rsid w:val="00AB606A"/>
    <w:rsid w:val="00AB61D5"/>
    <w:rsid w:val="00AB61E1"/>
    <w:rsid w:val="00AB621F"/>
    <w:rsid w:val="00AB62AD"/>
    <w:rsid w:val="00AB62F9"/>
    <w:rsid w:val="00AB63E7"/>
    <w:rsid w:val="00AB660E"/>
    <w:rsid w:val="00AB6649"/>
    <w:rsid w:val="00AB6657"/>
    <w:rsid w:val="00AB6669"/>
    <w:rsid w:val="00AB668E"/>
    <w:rsid w:val="00AB677C"/>
    <w:rsid w:val="00AB67F5"/>
    <w:rsid w:val="00AB680F"/>
    <w:rsid w:val="00AB6812"/>
    <w:rsid w:val="00AB6823"/>
    <w:rsid w:val="00AB6824"/>
    <w:rsid w:val="00AB6856"/>
    <w:rsid w:val="00AB6878"/>
    <w:rsid w:val="00AB691F"/>
    <w:rsid w:val="00AB6930"/>
    <w:rsid w:val="00AB695F"/>
    <w:rsid w:val="00AB69B2"/>
    <w:rsid w:val="00AB6A29"/>
    <w:rsid w:val="00AB6A44"/>
    <w:rsid w:val="00AB6AC5"/>
    <w:rsid w:val="00AB6B7A"/>
    <w:rsid w:val="00AB6BC1"/>
    <w:rsid w:val="00AB6BC8"/>
    <w:rsid w:val="00AB6BF4"/>
    <w:rsid w:val="00AB6C4D"/>
    <w:rsid w:val="00AB6C6A"/>
    <w:rsid w:val="00AB6C6F"/>
    <w:rsid w:val="00AB6C71"/>
    <w:rsid w:val="00AB6C74"/>
    <w:rsid w:val="00AB6CA4"/>
    <w:rsid w:val="00AB6CEB"/>
    <w:rsid w:val="00AB6CF8"/>
    <w:rsid w:val="00AB6D6C"/>
    <w:rsid w:val="00AB6DA3"/>
    <w:rsid w:val="00AB6DB2"/>
    <w:rsid w:val="00AB6DBB"/>
    <w:rsid w:val="00AB6E73"/>
    <w:rsid w:val="00AB6F2A"/>
    <w:rsid w:val="00AB6F88"/>
    <w:rsid w:val="00AB6FD3"/>
    <w:rsid w:val="00AB7087"/>
    <w:rsid w:val="00AB70D0"/>
    <w:rsid w:val="00AB7103"/>
    <w:rsid w:val="00AB7129"/>
    <w:rsid w:val="00AB7132"/>
    <w:rsid w:val="00AB7300"/>
    <w:rsid w:val="00AB7311"/>
    <w:rsid w:val="00AB7320"/>
    <w:rsid w:val="00AB734F"/>
    <w:rsid w:val="00AB7354"/>
    <w:rsid w:val="00AB7399"/>
    <w:rsid w:val="00AB75B9"/>
    <w:rsid w:val="00AB75BD"/>
    <w:rsid w:val="00AB7640"/>
    <w:rsid w:val="00AB77A2"/>
    <w:rsid w:val="00AB77EC"/>
    <w:rsid w:val="00AB7807"/>
    <w:rsid w:val="00AB7850"/>
    <w:rsid w:val="00AB78F6"/>
    <w:rsid w:val="00AB7931"/>
    <w:rsid w:val="00AB7A50"/>
    <w:rsid w:val="00AB7C10"/>
    <w:rsid w:val="00AB7C93"/>
    <w:rsid w:val="00AB7D00"/>
    <w:rsid w:val="00AB7D94"/>
    <w:rsid w:val="00AB7D97"/>
    <w:rsid w:val="00AB7E33"/>
    <w:rsid w:val="00AB7EBD"/>
    <w:rsid w:val="00AB7FD5"/>
    <w:rsid w:val="00AB7FE6"/>
    <w:rsid w:val="00AC0005"/>
    <w:rsid w:val="00AC0030"/>
    <w:rsid w:val="00AC0066"/>
    <w:rsid w:val="00AC00A5"/>
    <w:rsid w:val="00AC00E9"/>
    <w:rsid w:val="00AC0179"/>
    <w:rsid w:val="00AC0196"/>
    <w:rsid w:val="00AC020A"/>
    <w:rsid w:val="00AC0247"/>
    <w:rsid w:val="00AC0259"/>
    <w:rsid w:val="00AC031B"/>
    <w:rsid w:val="00AC0339"/>
    <w:rsid w:val="00AC033A"/>
    <w:rsid w:val="00AC03CC"/>
    <w:rsid w:val="00AC0435"/>
    <w:rsid w:val="00AC0470"/>
    <w:rsid w:val="00AC0523"/>
    <w:rsid w:val="00AC0546"/>
    <w:rsid w:val="00AC062C"/>
    <w:rsid w:val="00AC0696"/>
    <w:rsid w:val="00AC06CB"/>
    <w:rsid w:val="00AC06E8"/>
    <w:rsid w:val="00AC06F5"/>
    <w:rsid w:val="00AC074D"/>
    <w:rsid w:val="00AC0764"/>
    <w:rsid w:val="00AC078F"/>
    <w:rsid w:val="00AC0830"/>
    <w:rsid w:val="00AC0842"/>
    <w:rsid w:val="00AC08CC"/>
    <w:rsid w:val="00AC08F1"/>
    <w:rsid w:val="00AC0996"/>
    <w:rsid w:val="00AC09AE"/>
    <w:rsid w:val="00AC09FD"/>
    <w:rsid w:val="00AC0A6D"/>
    <w:rsid w:val="00AC0AEA"/>
    <w:rsid w:val="00AC0BF7"/>
    <w:rsid w:val="00AC0C7A"/>
    <w:rsid w:val="00AC0C7F"/>
    <w:rsid w:val="00AC0C8D"/>
    <w:rsid w:val="00AC0C9A"/>
    <w:rsid w:val="00AC0CA1"/>
    <w:rsid w:val="00AC0CAF"/>
    <w:rsid w:val="00AC0D51"/>
    <w:rsid w:val="00AC0D68"/>
    <w:rsid w:val="00AC0D6D"/>
    <w:rsid w:val="00AC0D80"/>
    <w:rsid w:val="00AC0D86"/>
    <w:rsid w:val="00AC0DDB"/>
    <w:rsid w:val="00AC0DFC"/>
    <w:rsid w:val="00AC0ED1"/>
    <w:rsid w:val="00AC108C"/>
    <w:rsid w:val="00AC10B2"/>
    <w:rsid w:val="00AC10CD"/>
    <w:rsid w:val="00AC10FD"/>
    <w:rsid w:val="00AC1114"/>
    <w:rsid w:val="00AC1180"/>
    <w:rsid w:val="00AC118D"/>
    <w:rsid w:val="00AC11BA"/>
    <w:rsid w:val="00AC1282"/>
    <w:rsid w:val="00AC129B"/>
    <w:rsid w:val="00AC131D"/>
    <w:rsid w:val="00AC13CA"/>
    <w:rsid w:val="00AC1404"/>
    <w:rsid w:val="00AC142B"/>
    <w:rsid w:val="00AC142E"/>
    <w:rsid w:val="00AC1435"/>
    <w:rsid w:val="00AC1453"/>
    <w:rsid w:val="00AC1496"/>
    <w:rsid w:val="00AC1497"/>
    <w:rsid w:val="00AC14C1"/>
    <w:rsid w:val="00AC1545"/>
    <w:rsid w:val="00AC155C"/>
    <w:rsid w:val="00AC15A3"/>
    <w:rsid w:val="00AC1638"/>
    <w:rsid w:val="00AC1640"/>
    <w:rsid w:val="00AC1671"/>
    <w:rsid w:val="00AC1680"/>
    <w:rsid w:val="00AC16B8"/>
    <w:rsid w:val="00AC16D2"/>
    <w:rsid w:val="00AC16EC"/>
    <w:rsid w:val="00AC1701"/>
    <w:rsid w:val="00AC1807"/>
    <w:rsid w:val="00AC1857"/>
    <w:rsid w:val="00AC18C0"/>
    <w:rsid w:val="00AC191D"/>
    <w:rsid w:val="00AC1A9A"/>
    <w:rsid w:val="00AC1B65"/>
    <w:rsid w:val="00AC1BA8"/>
    <w:rsid w:val="00AC1C98"/>
    <w:rsid w:val="00AC1C9B"/>
    <w:rsid w:val="00AC1C9C"/>
    <w:rsid w:val="00AC1D1B"/>
    <w:rsid w:val="00AC1D81"/>
    <w:rsid w:val="00AC1D84"/>
    <w:rsid w:val="00AC1EF7"/>
    <w:rsid w:val="00AC1F5F"/>
    <w:rsid w:val="00AC2045"/>
    <w:rsid w:val="00AC209B"/>
    <w:rsid w:val="00AC218C"/>
    <w:rsid w:val="00AC21ED"/>
    <w:rsid w:val="00AC239F"/>
    <w:rsid w:val="00AC2543"/>
    <w:rsid w:val="00AC2605"/>
    <w:rsid w:val="00AC2606"/>
    <w:rsid w:val="00AC2609"/>
    <w:rsid w:val="00AC2642"/>
    <w:rsid w:val="00AC265D"/>
    <w:rsid w:val="00AC26EE"/>
    <w:rsid w:val="00AC2743"/>
    <w:rsid w:val="00AC279F"/>
    <w:rsid w:val="00AC282C"/>
    <w:rsid w:val="00AC2843"/>
    <w:rsid w:val="00AC286E"/>
    <w:rsid w:val="00AC2894"/>
    <w:rsid w:val="00AC2A6B"/>
    <w:rsid w:val="00AC2A90"/>
    <w:rsid w:val="00AC2AC7"/>
    <w:rsid w:val="00AC2BC0"/>
    <w:rsid w:val="00AC2CA3"/>
    <w:rsid w:val="00AC2CA4"/>
    <w:rsid w:val="00AC2D34"/>
    <w:rsid w:val="00AC2DCB"/>
    <w:rsid w:val="00AC2E0A"/>
    <w:rsid w:val="00AC2E85"/>
    <w:rsid w:val="00AC2F87"/>
    <w:rsid w:val="00AC2FC8"/>
    <w:rsid w:val="00AC3003"/>
    <w:rsid w:val="00AC3007"/>
    <w:rsid w:val="00AC3019"/>
    <w:rsid w:val="00AC3022"/>
    <w:rsid w:val="00AC306B"/>
    <w:rsid w:val="00AC3134"/>
    <w:rsid w:val="00AC325E"/>
    <w:rsid w:val="00AC32B5"/>
    <w:rsid w:val="00AC32BD"/>
    <w:rsid w:val="00AC32CC"/>
    <w:rsid w:val="00AC333F"/>
    <w:rsid w:val="00AC33D0"/>
    <w:rsid w:val="00AC3435"/>
    <w:rsid w:val="00AC34BE"/>
    <w:rsid w:val="00AC353A"/>
    <w:rsid w:val="00AC3594"/>
    <w:rsid w:val="00AC3679"/>
    <w:rsid w:val="00AC37D5"/>
    <w:rsid w:val="00AC3862"/>
    <w:rsid w:val="00AC3946"/>
    <w:rsid w:val="00AC3A04"/>
    <w:rsid w:val="00AC3A38"/>
    <w:rsid w:val="00AC3A49"/>
    <w:rsid w:val="00AC3A62"/>
    <w:rsid w:val="00AC3AD1"/>
    <w:rsid w:val="00AC3BE9"/>
    <w:rsid w:val="00AC3BF2"/>
    <w:rsid w:val="00AC3CD2"/>
    <w:rsid w:val="00AC3D19"/>
    <w:rsid w:val="00AC3D82"/>
    <w:rsid w:val="00AC3DF8"/>
    <w:rsid w:val="00AC3E01"/>
    <w:rsid w:val="00AC3E11"/>
    <w:rsid w:val="00AC3E16"/>
    <w:rsid w:val="00AC3F85"/>
    <w:rsid w:val="00AC3FD8"/>
    <w:rsid w:val="00AC4007"/>
    <w:rsid w:val="00AC4080"/>
    <w:rsid w:val="00AC40ED"/>
    <w:rsid w:val="00AC4144"/>
    <w:rsid w:val="00AC415F"/>
    <w:rsid w:val="00AC4177"/>
    <w:rsid w:val="00AC41A3"/>
    <w:rsid w:val="00AC41CE"/>
    <w:rsid w:val="00AC4200"/>
    <w:rsid w:val="00AC4233"/>
    <w:rsid w:val="00AC4264"/>
    <w:rsid w:val="00AC42EE"/>
    <w:rsid w:val="00AC44FA"/>
    <w:rsid w:val="00AC44FB"/>
    <w:rsid w:val="00AC4527"/>
    <w:rsid w:val="00AC463C"/>
    <w:rsid w:val="00AC463E"/>
    <w:rsid w:val="00AC477C"/>
    <w:rsid w:val="00AC47F5"/>
    <w:rsid w:val="00AC484E"/>
    <w:rsid w:val="00AC4889"/>
    <w:rsid w:val="00AC48F3"/>
    <w:rsid w:val="00AC490D"/>
    <w:rsid w:val="00AC491C"/>
    <w:rsid w:val="00AC4966"/>
    <w:rsid w:val="00AC49EC"/>
    <w:rsid w:val="00AC4A60"/>
    <w:rsid w:val="00AC4A8A"/>
    <w:rsid w:val="00AC4ABE"/>
    <w:rsid w:val="00AC4BD8"/>
    <w:rsid w:val="00AC4BDF"/>
    <w:rsid w:val="00AC4BE3"/>
    <w:rsid w:val="00AC4BF2"/>
    <w:rsid w:val="00AC4C5D"/>
    <w:rsid w:val="00AC4C76"/>
    <w:rsid w:val="00AC4CA6"/>
    <w:rsid w:val="00AC4CDE"/>
    <w:rsid w:val="00AC4CF0"/>
    <w:rsid w:val="00AC4D96"/>
    <w:rsid w:val="00AC4DBA"/>
    <w:rsid w:val="00AC4E36"/>
    <w:rsid w:val="00AC4E50"/>
    <w:rsid w:val="00AC4E5E"/>
    <w:rsid w:val="00AC4F28"/>
    <w:rsid w:val="00AC4F53"/>
    <w:rsid w:val="00AC4F92"/>
    <w:rsid w:val="00AC4FA8"/>
    <w:rsid w:val="00AC5037"/>
    <w:rsid w:val="00AC50F8"/>
    <w:rsid w:val="00AC5178"/>
    <w:rsid w:val="00AC5214"/>
    <w:rsid w:val="00AC5223"/>
    <w:rsid w:val="00AC5308"/>
    <w:rsid w:val="00AC533F"/>
    <w:rsid w:val="00AC53B4"/>
    <w:rsid w:val="00AC53B8"/>
    <w:rsid w:val="00AC53F2"/>
    <w:rsid w:val="00AC541A"/>
    <w:rsid w:val="00AC5524"/>
    <w:rsid w:val="00AC5557"/>
    <w:rsid w:val="00AC55A1"/>
    <w:rsid w:val="00AC56E2"/>
    <w:rsid w:val="00AC5721"/>
    <w:rsid w:val="00AC57B1"/>
    <w:rsid w:val="00AC57EE"/>
    <w:rsid w:val="00AC58CF"/>
    <w:rsid w:val="00AC598A"/>
    <w:rsid w:val="00AC59B1"/>
    <w:rsid w:val="00AC59E2"/>
    <w:rsid w:val="00AC5A05"/>
    <w:rsid w:val="00AC5A0B"/>
    <w:rsid w:val="00AC5A37"/>
    <w:rsid w:val="00AC5A46"/>
    <w:rsid w:val="00AC5ADC"/>
    <w:rsid w:val="00AC5B52"/>
    <w:rsid w:val="00AC5B89"/>
    <w:rsid w:val="00AC5C1C"/>
    <w:rsid w:val="00AC5C95"/>
    <w:rsid w:val="00AC5C9B"/>
    <w:rsid w:val="00AC5CA3"/>
    <w:rsid w:val="00AC5CA5"/>
    <w:rsid w:val="00AC5CBF"/>
    <w:rsid w:val="00AC5D0A"/>
    <w:rsid w:val="00AC5DC4"/>
    <w:rsid w:val="00AC5DD4"/>
    <w:rsid w:val="00AC5DEC"/>
    <w:rsid w:val="00AC5E5F"/>
    <w:rsid w:val="00AC5EE5"/>
    <w:rsid w:val="00AC5FFB"/>
    <w:rsid w:val="00AC605B"/>
    <w:rsid w:val="00AC6077"/>
    <w:rsid w:val="00AC6138"/>
    <w:rsid w:val="00AC613C"/>
    <w:rsid w:val="00AC6164"/>
    <w:rsid w:val="00AC61DC"/>
    <w:rsid w:val="00AC628A"/>
    <w:rsid w:val="00AC6294"/>
    <w:rsid w:val="00AC630F"/>
    <w:rsid w:val="00AC6310"/>
    <w:rsid w:val="00AC6404"/>
    <w:rsid w:val="00AC6414"/>
    <w:rsid w:val="00AC6435"/>
    <w:rsid w:val="00AC644B"/>
    <w:rsid w:val="00AC668C"/>
    <w:rsid w:val="00AC66E9"/>
    <w:rsid w:val="00AC66EC"/>
    <w:rsid w:val="00AC66F2"/>
    <w:rsid w:val="00AC679E"/>
    <w:rsid w:val="00AC6865"/>
    <w:rsid w:val="00AC688F"/>
    <w:rsid w:val="00AC68B6"/>
    <w:rsid w:val="00AC6941"/>
    <w:rsid w:val="00AC6A40"/>
    <w:rsid w:val="00AC6AA0"/>
    <w:rsid w:val="00AC6AF3"/>
    <w:rsid w:val="00AC6B6B"/>
    <w:rsid w:val="00AC6B96"/>
    <w:rsid w:val="00AC6BC0"/>
    <w:rsid w:val="00AC6BCF"/>
    <w:rsid w:val="00AC6C44"/>
    <w:rsid w:val="00AC6CF5"/>
    <w:rsid w:val="00AC6D57"/>
    <w:rsid w:val="00AC6D9B"/>
    <w:rsid w:val="00AC6DFF"/>
    <w:rsid w:val="00AC6EC4"/>
    <w:rsid w:val="00AC6F0E"/>
    <w:rsid w:val="00AC6F63"/>
    <w:rsid w:val="00AC6F6F"/>
    <w:rsid w:val="00AC6FF5"/>
    <w:rsid w:val="00AC70F9"/>
    <w:rsid w:val="00AC70FA"/>
    <w:rsid w:val="00AC71D3"/>
    <w:rsid w:val="00AC720D"/>
    <w:rsid w:val="00AC723A"/>
    <w:rsid w:val="00AC7277"/>
    <w:rsid w:val="00AC7321"/>
    <w:rsid w:val="00AC7343"/>
    <w:rsid w:val="00AC73A1"/>
    <w:rsid w:val="00AC73A8"/>
    <w:rsid w:val="00AC73C1"/>
    <w:rsid w:val="00AC73C5"/>
    <w:rsid w:val="00AC7408"/>
    <w:rsid w:val="00AC7485"/>
    <w:rsid w:val="00AC748D"/>
    <w:rsid w:val="00AC765C"/>
    <w:rsid w:val="00AC7742"/>
    <w:rsid w:val="00AC779C"/>
    <w:rsid w:val="00AC780E"/>
    <w:rsid w:val="00AC78CB"/>
    <w:rsid w:val="00AC78D2"/>
    <w:rsid w:val="00AC79B5"/>
    <w:rsid w:val="00AC7A29"/>
    <w:rsid w:val="00AC7A73"/>
    <w:rsid w:val="00AC7AE3"/>
    <w:rsid w:val="00AC7AE7"/>
    <w:rsid w:val="00AC7AE8"/>
    <w:rsid w:val="00AC7B2A"/>
    <w:rsid w:val="00AC7B9E"/>
    <w:rsid w:val="00AC7BB2"/>
    <w:rsid w:val="00AC7C3D"/>
    <w:rsid w:val="00AC7C4A"/>
    <w:rsid w:val="00AC7C83"/>
    <w:rsid w:val="00AC7D19"/>
    <w:rsid w:val="00AC7E1A"/>
    <w:rsid w:val="00AC7E42"/>
    <w:rsid w:val="00AC7E7B"/>
    <w:rsid w:val="00AC7F2C"/>
    <w:rsid w:val="00AC7F7F"/>
    <w:rsid w:val="00AC7FD2"/>
    <w:rsid w:val="00AC7FFB"/>
    <w:rsid w:val="00AD0052"/>
    <w:rsid w:val="00AD006A"/>
    <w:rsid w:val="00AD0075"/>
    <w:rsid w:val="00AD0081"/>
    <w:rsid w:val="00AD0122"/>
    <w:rsid w:val="00AD020C"/>
    <w:rsid w:val="00AD02B6"/>
    <w:rsid w:val="00AD02E3"/>
    <w:rsid w:val="00AD032C"/>
    <w:rsid w:val="00AD0353"/>
    <w:rsid w:val="00AD0358"/>
    <w:rsid w:val="00AD03A5"/>
    <w:rsid w:val="00AD0438"/>
    <w:rsid w:val="00AD0494"/>
    <w:rsid w:val="00AD04CA"/>
    <w:rsid w:val="00AD04D7"/>
    <w:rsid w:val="00AD04DB"/>
    <w:rsid w:val="00AD0510"/>
    <w:rsid w:val="00AD0522"/>
    <w:rsid w:val="00AD068C"/>
    <w:rsid w:val="00AD06CE"/>
    <w:rsid w:val="00AD0724"/>
    <w:rsid w:val="00AD0740"/>
    <w:rsid w:val="00AD078F"/>
    <w:rsid w:val="00AD07AB"/>
    <w:rsid w:val="00AD080B"/>
    <w:rsid w:val="00AD087F"/>
    <w:rsid w:val="00AD08D2"/>
    <w:rsid w:val="00AD08E4"/>
    <w:rsid w:val="00AD08E6"/>
    <w:rsid w:val="00AD09E8"/>
    <w:rsid w:val="00AD0A0F"/>
    <w:rsid w:val="00AD0A23"/>
    <w:rsid w:val="00AD0A99"/>
    <w:rsid w:val="00AD0B77"/>
    <w:rsid w:val="00AD0BDD"/>
    <w:rsid w:val="00AD0C04"/>
    <w:rsid w:val="00AD0C08"/>
    <w:rsid w:val="00AD0C2F"/>
    <w:rsid w:val="00AD0C70"/>
    <w:rsid w:val="00AD0CEB"/>
    <w:rsid w:val="00AD0D5E"/>
    <w:rsid w:val="00AD0DE3"/>
    <w:rsid w:val="00AD0E10"/>
    <w:rsid w:val="00AD0E5C"/>
    <w:rsid w:val="00AD0EF8"/>
    <w:rsid w:val="00AD0F73"/>
    <w:rsid w:val="00AD0FD0"/>
    <w:rsid w:val="00AD0FFD"/>
    <w:rsid w:val="00AD108F"/>
    <w:rsid w:val="00AD10FD"/>
    <w:rsid w:val="00AD11AC"/>
    <w:rsid w:val="00AD11CE"/>
    <w:rsid w:val="00AD11E9"/>
    <w:rsid w:val="00AD12ED"/>
    <w:rsid w:val="00AD12EE"/>
    <w:rsid w:val="00AD137F"/>
    <w:rsid w:val="00AD14C8"/>
    <w:rsid w:val="00AD1575"/>
    <w:rsid w:val="00AD15E5"/>
    <w:rsid w:val="00AD162C"/>
    <w:rsid w:val="00AD1642"/>
    <w:rsid w:val="00AD1654"/>
    <w:rsid w:val="00AD1715"/>
    <w:rsid w:val="00AD1730"/>
    <w:rsid w:val="00AD1748"/>
    <w:rsid w:val="00AD17A1"/>
    <w:rsid w:val="00AD180B"/>
    <w:rsid w:val="00AD184F"/>
    <w:rsid w:val="00AD19D4"/>
    <w:rsid w:val="00AD1A71"/>
    <w:rsid w:val="00AD1ADD"/>
    <w:rsid w:val="00AD1B3D"/>
    <w:rsid w:val="00AD1B6C"/>
    <w:rsid w:val="00AD1B95"/>
    <w:rsid w:val="00AD1DCB"/>
    <w:rsid w:val="00AD1E6A"/>
    <w:rsid w:val="00AD1E8E"/>
    <w:rsid w:val="00AD1F0C"/>
    <w:rsid w:val="00AD1F30"/>
    <w:rsid w:val="00AD2082"/>
    <w:rsid w:val="00AD22BA"/>
    <w:rsid w:val="00AD231E"/>
    <w:rsid w:val="00AD233B"/>
    <w:rsid w:val="00AD2382"/>
    <w:rsid w:val="00AD23BF"/>
    <w:rsid w:val="00AD2435"/>
    <w:rsid w:val="00AD2448"/>
    <w:rsid w:val="00AD245D"/>
    <w:rsid w:val="00AD2481"/>
    <w:rsid w:val="00AD2579"/>
    <w:rsid w:val="00AD25C6"/>
    <w:rsid w:val="00AD2821"/>
    <w:rsid w:val="00AD2848"/>
    <w:rsid w:val="00AD295B"/>
    <w:rsid w:val="00AD2969"/>
    <w:rsid w:val="00AD2985"/>
    <w:rsid w:val="00AD2A73"/>
    <w:rsid w:val="00AD2A7F"/>
    <w:rsid w:val="00AD2A8E"/>
    <w:rsid w:val="00AD2ABC"/>
    <w:rsid w:val="00AD2ABE"/>
    <w:rsid w:val="00AD2B76"/>
    <w:rsid w:val="00AD2C20"/>
    <w:rsid w:val="00AD2C3B"/>
    <w:rsid w:val="00AD2C5F"/>
    <w:rsid w:val="00AD2CCA"/>
    <w:rsid w:val="00AD2CDC"/>
    <w:rsid w:val="00AD2D16"/>
    <w:rsid w:val="00AD2D77"/>
    <w:rsid w:val="00AD2EDE"/>
    <w:rsid w:val="00AD2F68"/>
    <w:rsid w:val="00AD2F6A"/>
    <w:rsid w:val="00AD2F87"/>
    <w:rsid w:val="00AD2FBA"/>
    <w:rsid w:val="00AD3013"/>
    <w:rsid w:val="00AD301D"/>
    <w:rsid w:val="00AD3069"/>
    <w:rsid w:val="00AD30CD"/>
    <w:rsid w:val="00AD3102"/>
    <w:rsid w:val="00AD3188"/>
    <w:rsid w:val="00AD31D7"/>
    <w:rsid w:val="00AD322D"/>
    <w:rsid w:val="00AD3246"/>
    <w:rsid w:val="00AD3305"/>
    <w:rsid w:val="00AD3351"/>
    <w:rsid w:val="00AD3355"/>
    <w:rsid w:val="00AD336D"/>
    <w:rsid w:val="00AD3390"/>
    <w:rsid w:val="00AD33B0"/>
    <w:rsid w:val="00AD33DC"/>
    <w:rsid w:val="00AD341C"/>
    <w:rsid w:val="00AD347D"/>
    <w:rsid w:val="00AD348A"/>
    <w:rsid w:val="00AD3596"/>
    <w:rsid w:val="00AD36A1"/>
    <w:rsid w:val="00AD3718"/>
    <w:rsid w:val="00AD3731"/>
    <w:rsid w:val="00AD3826"/>
    <w:rsid w:val="00AD386F"/>
    <w:rsid w:val="00AD38C0"/>
    <w:rsid w:val="00AD3936"/>
    <w:rsid w:val="00AD393A"/>
    <w:rsid w:val="00AD3A52"/>
    <w:rsid w:val="00AD3AED"/>
    <w:rsid w:val="00AD3AEE"/>
    <w:rsid w:val="00AD3B20"/>
    <w:rsid w:val="00AD3B25"/>
    <w:rsid w:val="00AD3B76"/>
    <w:rsid w:val="00AD3B8E"/>
    <w:rsid w:val="00AD3BB4"/>
    <w:rsid w:val="00AD3C54"/>
    <w:rsid w:val="00AD3CB9"/>
    <w:rsid w:val="00AD3D61"/>
    <w:rsid w:val="00AD3D76"/>
    <w:rsid w:val="00AD3E0E"/>
    <w:rsid w:val="00AD3E16"/>
    <w:rsid w:val="00AD3E6A"/>
    <w:rsid w:val="00AD4008"/>
    <w:rsid w:val="00AD40F5"/>
    <w:rsid w:val="00AD417E"/>
    <w:rsid w:val="00AD4205"/>
    <w:rsid w:val="00AD4211"/>
    <w:rsid w:val="00AD4287"/>
    <w:rsid w:val="00AD42BA"/>
    <w:rsid w:val="00AD435C"/>
    <w:rsid w:val="00AD438A"/>
    <w:rsid w:val="00AD438D"/>
    <w:rsid w:val="00AD4392"/>
    <w:rsid w:val="00AD4433"/>
    <w:rsid w:val="00AD4442"/>
    <w:rsid w:val="00AD4470"/>
    <w:rsid w:val="00AD44AB"/>
    <w:rsid w:val="00AD44CA"/>
    <w:rsid w:val="00AD44E8"/>
    <w:rsid w:val="00AD4536"/>
    <w:rsid w:val="00AD4577"/>
    <w:rsid w:val="00AD46F0"/>
    <w:rsid w:val="00AD4833"/>
    <w:rsid w:val="00AD49B3"/>
    <w:rsid w:val="00AD49F8"/>
    <w:rsid w:val="00AD4A96"/>
    <w:rsid w:val="00AD4AA5"/>
    <w:rsid w:val="00AD4AAD"/>
    <w:rsid w:val="00AD4AB2"/>
    <w:rsid w:val="00AD4B00"/>
    <w:rsid w:val="00AD4BBA"/>
    <w:rsid w:val="00AD4BCD"/>
    <w:rsid w:val="00AD4C45"/>
    <w:rsid w:val="00AD4C6A"/>
    <w:rsid w:val="00AD4C99"/>
    <w:rsid w:val="00AD4CB0"/>
    <w:rsid w:val="00AD4CB6"/>
    <w:rsid w:val="00AD4D71"/>
    <w:rsid w:val="00AD4DA5"/>
    <w:rsid w:val="00AD4DB1"/>
    <w:rsid w:val="00AD4DC6"/>
    <w:rsid w:val="00AD4DF7"/>
    <w:rsid w:val="00AD4E0D"/>
    <w:rsid w:val="00AD4EFF"/>
    <w:rsid w:val="00AD500A"/>
    <w:rsid w:val="00AD5072"/>
    <w:rsid w:val="00AD509F"/>
    <w:rsid w:val="00AD50C1"/>
    <w:rsid w:val="00AD5147"/>
    <w:rsid w:val="00AD5159"/>
    <w:rsid w:val="00AD51E0"/>
    <w:rsid w:val="00AD522F"/>
    <w:rsid w:val="00AD542A"/>
    <w:rsid w:val="00AD54A5"/>
    <w:rsid w:val="00AD54D0"/>
    <w:rsid w:val="00AD54FE"/>
    <w:rsid w:val="00AD55A3"/>
    <w:rsid w:val="00AD55CB"/>
    <w:rsid w:val="00AD5602"/>
    <w:rsid w:val="00AD5638"/>
    <w:rsid w:val="00AD56D1"/>
    <w:rsid w:val="00AD57F2"/>
    <w:rsid w:val="00AD5811"/>
    <w:rsid w:val="00AD5856"/>
    <w:rsid w:val="00AD58F9"/>
    <w:rsid w:val="00AD5937"/>
    <w:rsid w:val="00AD59F0"/>
    <w:rsid w:val="00AD5A5B"/>
    <w:rsid w:val="00AD5A78"/>
    <w:rsid w:val="00AD5ACE"/>
    <w:rsid w:val="00AD5AEA"/>
    <w:rsid w:val="00AD5BEF"/>
    <w:rsid w:val="00AD5BF6"/>
    <w:rsid w:val="00AD5C11"/>
    <w:rsid w:val="00AD5D16"/>
    <w:rsid w:val="00AD5D43"/>
    <w:rsid w:val="00AD5DD3"/>
    <w:rsid w:val="00AD5E00"/>
    <w:rsid w:val="00AD5E09"/>
    <w:rsid w:val="00AD5E1C"/>
    <w:rsid w:val="00AD5E27"/>
    <w:rsid w:val="00AD5EA3"/>
    <w:rsid w:val="00AD5EFF"/>
    <w:rsid w:val="00AD5F7B"/>
    <w:rsid w:val="00AD5FE2"/>
    <w:rsid w:val="00AD60C9"/>
    <w:rsid w:val="00AD6113"/>
    <w:rsid w:val="00AD6183"/>
    <w:rsid w:val="00AD6188"/>
    <w:rsid w:val="00AD62A8"/>
    <w:rsid w:val="00AD63B7"/>
    <w:rsid w:val="00AD63F1"/>
    <w:rsid w:val="00AD6428"/>
    <w:rsid w:val="00AD6484"/>
    <w:rsid w:val="00AD64B0"/>
    <w:rsid w:val="00AD64E6"/>
    <w:rsid w:val="00AD653A"/>
    <w:rsid w:val="00AD656A"/>
    <w:rsid w:val="00AD657D"/>
    <w:rsid w:val="00AD659A"/>
    <w:rsid w:val="00AD66B1"/>
    <w:rsid w:val="00AD66FA"/>
    <w:rsid w:val="00AD67BB"/>
    <w:rsid w:val="00AD67EA"/>
    <w:rsid w:val="00AD67F5"/>
    <w:rsid w:val="00AD685D"/>
    <w:rsid w:val="00AD6938"/>
    <w:rsid w:val="00AD6971"/>
    <w:rsid w:val="00AD69A4"/>
    <w:rsid w:val="00AD6A3C"/>
    <w:rsid w:val="00AD6A98"/>
    <w:rsid w:val="00AD6C0F"/>
    <w:rsid w:val="00AD6C2D"/>
    <w:rsid w:val="00AD6C76"/>
    <w:rsid w:val="00AD6DBA"/>
    <w:rsid w:val="00AD6E10"/>
    <w:rsid w:val="00AD6E7B"/>
    <w:rsid w:val="00AD6E92"/>
    <w:rsid w:val="00AD6F02"/>
    <w:rsid w:val="00AD6F6D"/>
    <w:rsid w:val="00AD6F9B"/>
    <w:rsid w:val="00AD6FA5"/>
    <w:rsid w:val="00AD700C"/>
    <w:rsid w:val="00AD7016"/>
    <w:rsid w:val="00AD704B"/>
    <w:rsid w:val="00AD70E6"/>
    <w:rsid w:val="00AD71A3"/>
    <w:rsid w:val="00AD71E0"/>
    <w:rsid w:val="00AD7225"/>
    <w:rsid w:val="00AD72BD"/>
    <w:rsid w:val="00AD73DF"/>
    <w:rsid w:val="00AD75F3"/>
    <w:rsid w:val="00AD76C1"/>
    <w:rsid w:val="00AD7782"/>
    <w:rsid w:val="00AD778A"/>
    <w:rsid w:val="00AD778F"/>
    <w:rsid w:val="00AD77CF"/>
    <w:rsid w:val="00AD7824"/>
    <w:rsid w:val="00AD787F"/>
    <w:rsid w:val="00AD78AC"/>
    <w:rsid w:val="00AD78F6"/>
    <w:rsid w:val="00AD7963"/>
    <w:rsid w:val="00AD7977"/>
    <w:rsid w:val="00AD7979"/>
    <w:rsid w:val="00AD79BC"/>
    <w:rsid w:val="00AD79CD"/>
    <w:rsid w:val="00AD7A1A"/>
    <w:rsid w:val="00AD7BA9"/>
    <w:rsid w:val="00AD7BD9"/>
    <w:rsid w:val="00AD7C2D"/>
    <w:rsid w:val="00AD7CAD"/>
    <w:rsid w:val="00AD7D08"/>
    <w:rsid w:val="00AD7D42"/>
    <w:rsid w:val="00AD7DFE"/>
    <w:rsid w:val="00AD7F1E"/>
    <w:rsid w:val="00AD7F35"/>
    <w:rsid w:val="00AD7FDF"/>
    <w:rsid w:val="00AE0072"/>
    <w:rsid w:val="00AE00AF"/>
    <w:rsid w:val="00AE00FF"/>
    <w:rsid w:val="00AE024B"/>
    <w:rsid w:val="00AE02D9"/>
    <w:rsid w:val="00AE02E4"/>
    <w:rsid w:val="00AE02F9"/>
    <w:rsid w:val="00AE0308"/>
    <w:rsid w:val="00AE032B"/>
    <w:rsid w:val="00AE03B5"/>
    <w:rsid w:val="00AE0404"/>
    <w:rsid w:val="00AE0423"/>
    <w:rsid w:val="00AE042B"/>
    <w:rsid w:val="00AE0441"/>
    <w:rsid w:val="00AE0462"/>
    <w:rsid w:val="00AE04D7"/>
    <w:rsid w:val="00AE0506"/>
    <w:rsid w:val="00AE054C"/>
    <w:rsid w:val="00AE055B"/>
    <w:rsid w:val="00AE0619"/>
    <w:rsid w:val="00AE06B6"/>
    <w:rsid w:val="00AE06F8"/>
    <w:rsid w:val="00AE07BD"/>
    <w:rsid w:val="00AE0838"/>
    <w:rsid w:val="00AE0963"/>
    <w:rsid w:val="00AE0968"/>
    <w:rsid w:val="00AE097F"/>
    <w:rsid w:val="00AE09D2"/>
    <w:rsid w:val="00AE09F1"/>
    <w:rsid w:val="00AE0A7F"/>
    <w:rsid w:val="00AE0B0D"/>
    <w:rsid w:val="00AE0B61"/>
    <w:rsid w:val="00AE0B64"/>
    <w:rsid w:val="00AE0B74"/>
    <w:rsid w:val="00AE0CDF"/>
    <w:rsid w:val="00AE0DA0"/>
    <w:rsid w:val="00AE0DC3"/>
    <w:rsid w:val="00AE0EB4"/>
    <w:rsid w:val="00AE0EBB"/>
    <w:rsid w:val="00AE0EBF"/>
    <w:rsid w:val="00AE0EE3"/>
    <w:rsid w:val="00AE0F4B"/>
    <w:rsid w:val="00AE0F68"/>
    <w:rsid w:val="00AE0FF3"/>
    <w:rsid w:val="00AE1025"/>
    <w:rsid w:val="00AE103C"/>
    <w:rsid w:val="00AE1060"/>
    <w:rsid w:val="00AE1098"/>
    <w:rsid w:val="00AE10B8"/>
    <w:rsid w:val="00AE10F6"/>
    <w:rsid w:val="00AE11B8"/>
    <w:rsid w:val="00AE1379"/>
    <w:rsid w:val="00AE13AE"/>
    <w:rsid w:val="00AE13B1"/>
    <w:rsid w:val="00AE13D1"/>
    <w:rsid w:val="00AE13F5"/>
    <w:rsid w:val="00AE1401"/>
    <w:rsid w:val="00AE1404"/>
    <w:rsid w:val="00AE1430"/>
    <w:rsid w:val="00AE1436"/>
    <w:rsid w:val="00AE1463"/>
    <w:rsid w:val="00AE1472"/>
    <w:rsid w:val="00AE1490"/>
    <w:rsid w:val="00AE166E"/>
    <w:rsid w:val="00AE168C"/>
    <w:rsid w:val="00AE176C"/>
    <w:rsid w:val="00AE179A"/>
    <w:rsid w:val="00AE185E"/>
    <w:rsid w:val="00AE1878"/>
    <w:rsid w:val="00AE18B1"/>
    <w:rsid w:val="00AE191F"/>
    <w:rsid w:val="00AE1954"/>
    <w:rsid w:val="00AE1A08"/>
    <w:rsid w:val="00AE1A89"/>
    <w:rsid w:val="00AE1AE3"/>
    <w:rsid w:val="00AE1AE5"/>
    <w:rsid w:val="00AE1BD9"/>
    <w:rsid w:val="00AE1BE0"/>
    <w:rsid w:val="00AE1C59"/>
    <w:rsid w:val="00AE1CD4"/>
    <w:rsid w:val="00AE1D0A"/>
    <w:rsid w:val="00AE1E6E"/>
    <w:rsid w:val="00AE1E93"/>
    <w:rsid w:val="00AE1EBC"/>
    <w:rsid w:val="00AE1F39"/>
    <w:rsid w:val="00AE1FFB"/>
    <w:rsid w:val="00AE2051"/>
    <w:rsid w:val="00AE206A"/>
    <w:rsid w:val="00AE209D"/>
    <w:rsid w:val="00AE20BF"/>
    <w:rsid w:val="00AE2187"/>
    <w:rsid w:val="00AE218A"/>
    <w:rsid w:val="00AE21BB"/>
    <w:rsid w:val="00AE220B"/>
    <w:rsid w:val="00AE22D2"/>
    <w:rsid w:val="00AE22D3"/>
    <w:rsid w:val="00AE23D8"/>
    <w:rsid w:val="00AE2463"/>
    <w:rsid w:val="00AE24FF"/>
    <w:rsid w:val="00AE2508"/>
    <w:rsid w:val="00AE25D0"/>
    <w:rsid w:val="00AE25E3"/>
    <w:rsid w:val="00AE260F"/>
    <w:rsid w:val="00AE262D"/>
    <w:rsid w:val="00AE2679"/>
    <w:rsid w:val="00AE2690"/>
    <w:rsid w:val="00AE2720"/>
    <w:rsid w:val="00AE27BD"/>
    <w:rsid w:val="00AE27E4"/>
    <w:rsid w:val="00AE281A"/>
    <w:rsid w:val="00AE28B3"/>
    <w:rsid w:val="00AE2917"/>
    <w:rsid w:val="00AE294F"/>
    <w:rsid w:val="00AE2962"/>
    <w:rsid w:val="00AE2A34"/>
    <w:rsid w:val="00AE2A3F"/>
    <w:rsid w:val="00AE2A59"/>
    <w:rsid w:val="00AE2A8D"/>
    <w:rsid w:val="00AE2B7A"/>
    <w:rsid w:val="00AE2C75"/>
    <w:rsid w:val="00AE2C99"/>
    <w:rsid w:val="00AE2CA4"/>
    <w:rsid w:val="00AE2CE4"/>
    <w:rsid w:val="00AE2D5C"/>
    <w:rsid w:val="00AE2D5D"/>
    <w:rsid w:val="00AE2D8F"/>
    <w:rsid w:val="00AE2E1A"/>
    <w:rsid w:val="00AE2E97"/>
    <w:rsid w:val="00AE2EB4"/>
    <w:rsid w:val="00AE2F04"/>
    <w:rsid w:val="00AE2F1A"/>
    <w:rsid w:val="00AE2F7D"/>
    <w:rsid w:val="00AE2F88"/>
    <w:rsid w:val="00AE2FFE"/>
    <w:rsid w:val="00AE306E"/>
    <w:rsid w:val="00AE3070"/>
    <w:rsid w:val="00AE3071"/>
    <w:rsid w:val="00AE3139"/>
    <w:rsid w:val="00AE3173"/>
    <w:rsid w:val="00AE31E1"/>
    <w:rsid w:val="00AE3301"/>
    <w:rsid w:val="00AE332C"/>
    <w:rsid w:val="00AE333A"/>
    <w:rsid w:val="00AE3345"/>
    <w:rsid w:val="00AE3360"/>
    <w:rsid w:val="00AE337A"/>
    <w:rsid w:val="00AE33DA"/>
    <w:rsid w:val="00AE3465"/>
    <w:rsid w:val="00AE3482"/>
    <w:rsid w:val="00AE348F"/>
    <w:rsid w:val="00AE350F"/>
    <w:rsid w:val="00AE35E6"/>
    <w:rsid w:val="00AE3654"/>
    <w:rsid w:val="00AE371A"/>
    <w:rsid w:val="00AE3736"/>
    <w:rsid w:val="00AE378D"/>
    <w:rsid w:val="00AE37CC"/>
    <w:rsid w:val="00AE396C"/>
    <w:rsid w:val="00AE39C0"/>
    <w:rsid w:val="00AE39F6"/>
    <w:rsid w:val="00AE3A51"/>
    <w:rsid w:val="00AE3A63"/>
    <w:rsid w:val="00AE3B39"/>
    <w:rsid w:val="00AE3B4B"/>
    <w:rsid w:val="00AE3B7C"/>
    <w:rsid w:val="00AE3BD2"/>
    <w:rsid w:val="00AE3C09"/>
    <w:rsid w:val="00AE3CAA"/>
    <w:rsid w:val="00AE3D16"/>
    <w:rsid w:val="00AE3D37"/>
    <w:rsid w:val="00AE3DDC"/>
    <w:rsid w:val="00AE3DE5"/>
    <w:rsid w:val="00AE3E2E"/>
    <w:rsid w:val="00AE3E46"/>
    <w:rsid w:val="00AE3E85"/>
    <w:rsid w:val="00AE3EA1"/>
    <w:rsid w:val="00AE3EB6"/>
    <w:rsid w:val="00AE3EC2"/>
    <w:rsid w:val="00AE3F09"/>
    <w:rsid w:val="00AE3F20"/>
    <w:rsid w:val="00AE3F47"/>
    <w:rsid w:val="00AE3FE4"/>
    <w:rsid w:val="00AE418D"/>
    <w:rsid w:val="00AE41CC"/>
    <w:rsid w:val="00AE4435"/>
    <w:rsid w:val="00AE4488"/>
    <w:rsid w:val="00AE44C5"/>
    <w:rsid w:val="00AE4533"/>
    <w:rsid w:val="00AE45E4"/>
    <w:rsid w:val="00AE463F"/>
    <w:rsid w:val="00AE465C"/>
    <w:rsid w:val="00AE46C2"/>
    <w:rsid w:val="00AE46E4"/>
    <w:rsid w:val="00AE4701"/>
    <w:rsid w:val="00AE4759"/>
    <w:rsid w:val="00AE4766"/>
    <w:rsid w:val="00AE47D7"/>
    <w:rsid w:val="00AE4828"/>
    <w:rsid w:val="00AE4834"/>
    <w:rsid w:val="00AE483A"/>
    <w:rsid w:val="00AE483B"/>
    <w:rsid w:val="00AE48A6"/>
    <w:rsid w:val="00AE48D5"/>
    <w:rsid w:val="00AE497E"/>
    <w:rsid w:val="00AE4A9F"/>
    <w:rsid w:val="00AE4ACF"/>
    <w:rsid w:val="00AE4B4D"/>
    <w:rsid w:val="00AE4C16"/>
    <w:rsid w:val="00AE4C4D"/>
    <w:rsid w:val="00AE4D30"/>
    <w:rsid w:val="00AE4DC6"/>
    <w:rsid w:val="00AE4DF1"/>
    <w:rsid w:val="00AE4E53"/>
    <w:rsid w:val="00AE4EEE"/>
    <w:rsid w:val="00AE4F07"/>
    <w:rsid w:val="00AE504D"/>
    <w:rsid w:val="00AE5055"/>
    <w:rsid w:val="00AE5114"/>
    <w:rsid w:val="00AE514F"/>
    <w:rsid w:val="00AE517F"/>
    <w:rsid w:val="00AE51CF"/>
    <w:rsid w:val="00AE51E8"/>
    <w:rsid w:val="00AE5206"/>
    <w:rsid w:val="00AE522B"/>
    <w:rsid w:val="00AE5231"/>
    <w:rsid w:val="00AE5263"/>
    <w:rsid w:val="00AE52A5"/>
    <w:rsid w:val="00AE52E3"/>
    <w:rsid w:val="00AE5309"/>
    <w:rsid w:val="00AE5323"/>
    <w:rsid w:val="00AE5324"/>
    <w:rsid w:val="00AE53D3"/>
    <w:rsid w:val="00AE541D"/>
    <w:rsid w:val="00AE54B0"/>
    <w:rsid w:val="00AE54BD"/>
    <w:rsid w:val="00AE55F9"/>
    <w:rsid w:val="00AE5608"/>
    <w:rsid w:val="00AE564C"/>
    <w:rsid w:val="00AE5732"/>
    <w:rsid w:val="00AE57DF"/>
    <w:rsid w:val="00AE57EF"/>
    <w:rsid w:val="00AE5827"/>
    <w:rsid w:val="00AE588D"/>
    <w:rsid w:val="00AE58E2"/>
    <w:rsid w:val="00AE59AE"/>
    <w:rsid w:val="00AE5A61"/>
    <w:rsid w:val="00AE5A65"/>
    <w:rsid w:val="00AE5A93"/>
    <w:rsid w:val="00AE5B4E"/>
    <w:rsid w:val="00AE5B77"/>
    <w:rsid w:val="00AE5BBF"/>
    <w:rsid w:val="00AE5C24"/>
    <w:rsid w:val="00AE5D8D"/>
    <w:rsid w:val="00AE5DC8"/>
    <w:rsid w:val="00AE5DDE"/>
    <w:rsid w:val="00AE5E8C"/>
    <w:rsid w:val="00AE5EE8"/>
    <w:rsid w:val="00AE5F23"/>
    <w:rsid w:val="00AE5F2E"/>
    <w:rsid w:val="00AE5F3F"/>
    <w:rsid w:val="00AE5F69"/>
    <w:rsid w:val="00AE6022"/>
    <w:rsid w:val="00AE6027"/>
    <w:rsid w:val="00AE6064"/>
    <w:rsid w:val="00AE60D4"/>
    <w:rsid w:val="00AE6134"/>
    <w:rsid w:val="00AE61C4"/>
    <w:rsid w:val="00AE628E"/>
    <w:rsid w:val="00AE629E"/>
    <w:rsid w:val="00AE630F"/>
    <w:rsid w:val="00AE631F"/>
    <w:rsid w:val="00AE6329"/>
    <w:rsid w:val="00AE6351"/>
    <w:rsid w:val="00AE63C3"/>
    <w:rsid w:val="00AE63DF"/>
    <w:rsid w:val="00AE6411"/>
    <w:rsid w:val="00AE6414"/>
    <w:rsid w:val="00AE643B"/>
    <w:rsid w:val="00AE648C"/>
    <w:rsid w:val="00AE64C6"/>
    <w:rsid w:val="00AE6537"/>
    <w:rsid w:val="00AE6538"/>
    <w:rsid w:val="00AE6540"/>
    <w:rsid w:val="00AE6588"/>
    <w:rsid w:val="00AE65A0"/>
    <w:rsid w:val="00AE661D"/>
    <w:rsid w:val="00AE6640"/>
    <w:rsid w:val="00AE6673"/>
    <w:rsid w:val="00AE66EF"/>
    <w:rsid w:val="00AE6723"/>
    <w:rsid w:val="00AE67C6"/>
    <w:rsid w:val="00AE67E0"/>
    <w:rsid w:val="00AE67E5"/>
    <w:rsid w:val="00AE686B"/>
    <w:rsid w:val="00AE691E"/>
    <w:rsid w:val="00AE69A9"/>
    <w:rsid w:val="00AE6A5D"/>
    <w:rsid w:val="00AE6B22"/>
    <w:rsid w:val="00AE6BDB"/>
    <w:rsid w:val="00AE6C00"/>
    <w:rsid w:val="00AE6C15"/>
    <w:rsid w:val="00AE6C75"/>
    <w:rsid w:val="00AE6E96"/>
    <w:rsid w:val="00AE6F06"/>
    <w:rsid w:val="00AE6F1C"/>
    <w:rsid w:val="00AE6F5C"/>
    <w:rsid w:val="00AE6FBA"/>
    <w:rsid w:val="00AE6FEC"/>
    <w:rsid w:val="00AE704F"/>
    <w:rsid w:val="00AE7055"/>
    <w:rsid w:val="00AE7091"/>
    <w:rsid w:val="00AE70CF"/>
    <w:rsid w:val="00AE70FE"/>
    <w:rsid w:val="00AE711F"/>
    <w:rsid w:val="00AE71DC"/>
    <w:rsid w:val="00AE7214"/>
    <w:rsid w:val="00AE72A9"/>
    <w:rsid w:val="00AE7326"/>
    <w:rsid w:val="00AE7359"/>
    <w:rsid w:val="00AE738A"/>
    <w:rsid w:val="00AE73AC"/>
    <w:rsid w:val="00AE73B8"/>
    <w:rsid w:val="00AE743E"/>
    <w:rsid w:val="00AE7455"/>
    <w:rsid w:val="00AE7491"/>
    <w:rsid w:val="00AE74C9"/>
    <w:rsid w:val="00AE7512"/>
    <w:rsid w:val="00AE7566"/>
    <w:rsid w:val="00AE7601"/>
    <w:rsid w:val="00AE7635"/>
    <w:rsid w:val="00AE7764"/>
    <w:rsid w:val="00AE7788"/>
    <w:rsid w:val="00AE778C"/>
    <w:rsid w:val="00AE7790"/>
    <w:rsid w:val="00AE77B3"/>
    <w:rsid w:val="00AE7830"/>
    <w:rsid w:val="00AE785A"/>
    <w:rsid w:val="00AE7860"/>
    <w:rsid w:val="00AE786E"/>
    <w:rsid w:val="00AE78E8"/>
    <w:rsid w:val="00AE793B"/>
    <w:rsid w:val="00AE793F"/>
    <w:rsid w:val="00AE7974"/>
    <w:rsid w:val="00AE7A6A"/>
    <w:rsid w:val="00AE7ADE"/>
    <w:rsid w:val="00AE7AF3"/>
    <w:rsid w:val="00AE7B30"/>
    <w:rsid w:val="00AE7B77"/>
    <w:rsid w:val="00AE7D18"/>
    <w:rsid w:val="00AE7D56"/>
    <w:rsid w:val="00AE7E9F"/>
    <w:rsid w:val="00AE7EFE"/>
    <w:rsid w:val="00AE7F64"/>
    <w:rsid w:val="00AF001C"/>
    <w:rsid w:val="00AF01DA"/>
    <w:rsid w:val="00AF01EA"/>
    <w:rsid w:val="00AF0237"/>
    <w:rsid w:val="00AF0312"/>
    <w:rsid w:val="00AF0374"/>
    <w:rsid w:val="00AF03CB"/>
    <w:rsid w:val="00AF05A5"/>
    <w:rsid w:val="00AF063C"/>
    <w:rsid w:val="00AF0689"/>
    <w:rsid w:val="00AF06AC"/>
    <w:rsid w:val="00AF06CF"/>
    <w:rsid w:val="00AF06D3"/>
    <w:rsid w:val="00AF06E1"/>
    <w:rsid w:val="00AF06E3"/>
    <w:rsid w:val="00AF0738"/>
    <w:rsid w:val="00AF0779"/>
    <w:rsid w:val="00AF089B"/>
    <w:rsid w:val="00AF08F0"/>
    <w:rsid w:val="00AF093D"/>
    <w:rsid w:val="00AF0975"/>
    <w:rsid w:val="00AF0997"/>
    <w:rsid w:val="00AF09B0"/>
    <w:rsid w:val="00AF09BB"/>
    <w:rsid w:val="00AF09F8"/>
    <w:rsid w:val="00AF0A15"/>
    <w:rsid w:val="00AF0A91"/>
    <w:rsid w:val="00AF0A93"/>
    <w:rsid w:val="00AF0AAA"/>
    <w:rsid w:val="00AF0ABD"/>
    <w:rsid w:val="00AF0B4B"/>
    <w:rsid w:val="00AF0C60"/>
    <w:rsid w:val="00AF0C63"/>
    <w:rsid w:val="00AF0C69"/>
    <w:rsid w:val="00AF0C9B"/>
    <w:rsid w:val="00AF0CC2"/>
    <w:rsid w:val="00AF0CC6"/>
    <w:rsid w:val="00AF0D13"/>
    <w:rsid w:val="00AF0DA2"/>
    <w:rsid w:val="00AF0E0D"/>
    <w:rsid w:val="00AF0EB5"/>
    <w:rsid w:val="00AF0EDC"/>
    <w:rsid w:val="00AF0F37"/>
    <w:rsid w:val="00AF1082"/>
    <w:rsid w:val="00AF117E"/>
    <w:rsid w:val="00AF11BD"/>
    <w:rsid w:val="00AF1261"/>
    <w:rsid w:val="00AF12DC"/>
    <w:rsid w:val="00AF12F9"/>
    <w:rsid w:val="00AF13B7"/>
    <w:rsid w:val="00AF140A"/>
    <w:rsid w:val="00AF142A"/>
    <w:rsid w:val="00AF1522"/>
    <w:rsid w:val="00AF1532"/>
    <w:rsid w:val="00AF15CC"/>
    <w:rsid w:val="00AF161E"/>
    <w:rsid w:val="00AF169D"/>
    <w:rsid w:val="00AF16B2"/>
    <w:rsid w:val="00AF18A1"/>
    <w:rsid w:val="00AF18DA"/>
    <w:rsid w:val="00AF18F3"/>
    <w:rsid w:val="00AF195D"/>
    <w:rsid w:val="00AF19C2"/>
    <w:rsid w:val="00AF1A63"/>
    <w:rsid w:val="00AF1AFC"/>
    <w:rsid w:val="00AF1B21"/>
    <w:rsid w:val="00AF1B63"/>
    <w:rsid w:val="00AF1C14"/>
    <w:rsid w:val="00AF1C5B"/>
    <w:rsid w:val="00AF1C94"/>
    <w:rsid w:val="00AF1C9A"/>
    <w:rsid w:val="00AF1CC6"/>
    <w:rsid w:val="00AF1D1F"/>
    <w:rsid w:val="00AF1D82"/>
    <w:rsid w:val="00AF1DD5"/>
    <w:rsid w:val="00AF1E4E"/>
    <w:rsid w:val="00AF1EAB"/>
    <w:rsid w:val="00AF1EF5"/>
    <w:rsid w:val="00AF1F14"/>
    <w:rsid w:val="00AF1F57"/>
    <w:rsid w:val="00AF1F80"/>
    <w:rsid w:val="00AF1FC5"/>
    <w:rsid w:val="00AF203F"/>
    <w:rsid w:val="00AF216D"/>
    <w:rsid w:val="00AF2179"/>
    <w:rsid w:val="00AF2311"/>
    <w:rsid w:val="00AF2335"/>
    <w:rsid w:val="00AF2420"/>
    <w:rsid w:val="00AF2425"/>
    <w:rsid w:val="00AF247C"/>
    <w:rsid w:val="00AF24D5"/>
    <w:rsid w:val="00AF2546"/>
    <w:rsid w:val="00AF2566"/>
    <w:rsid w:val="00AF2577"/>
    <w:rsid w:val="00AF25C1"/>
    <w:rsid w:val="00AF2656"/>
    <w:rsid w:val="00AF26C4"/>
    <w:rsid w:val="00AF26E8"/>
    <w:rsid w:val="00AF26ED"/>
    <w:rsid w:val="00AF2711"/>
    <w:rsid w:val="00AF2718"/>
    <w:rsid w:val="00AF2754"/>
    <w:rsid w:val="00AF281A"/>
    <w:rsid w:val="00AF2838"/>
    <w:rsid w:val="00AF287A"/>
    <w:rsid w:val="00AF28A4"/>
    <w:rsid w:val="00AF28EF"/>
    <w:rsid w:val="00AF2941"/>
    <w:rsid w:val="00AF297B"/>
    <w:rsid w:val="00AF29BA"/>
    <w:rsid w:val="00AF2A15"/>
    <w:rsid w:val="00AF2A59"/>
    <w:rsid w:val="00AF2ACD"/>
    <w:rsid w:val="00AF2B0A"/>
    <w:rsid w:val="00AF2BDA"/>
    <w:rsid w:val="00AF2BE6"/>
    <w:rsid w:val="00AF2C25"/>
    <w:rsid w:val="00AF2C4A"/>
    <w:rsid w:val="00AF2CD9"/>
    <w:rsid w:val="00AF2D9B"/>
    <w:rsid w:val="00AF2DA6"/>
    <w:rsid w:val="00AF2DE0"/>
    <w:rsid w:val="00AF2F78"/>
    <w:rsid w:val="00AF30CF"/>
    <w:rsid w:val="00AF313D"/>
    <w:rsid w:val="00AF3153"/>
    <w:rsid w:val="00AF32B8"/>
    <w:rsid w:val="00AF32DB"/>
    <w:rsid w:val="00AF32ED"/>
    <w:rsid w:val="00AF32EE"/>
    <w:rsid w:val="00AF330E"/>
    <w:rsid w:val="00AF3326"/>
    <w:rsid w:val="00AF33AE"/>
    <w:rsid w:val="00AF33DD"/>
    <w:rsid w:val="00AF36B8"/>
    <w:rsid w:val="00AF371C"/>
    <w:rsid w:val="00AF371F"/>
    <w:rsid w:val="00AF3809"/>
    <w:rsid w:val="00AF38D5"/>
    <w:rsid w:val="00AF393B"/>
    <w:rsid w:val="00AF39DC"/>
    <w:rsid w:val="00AF39E6"/>
    <w:rsid w:val="00AF3A0F"/>
    <w:rsid w:val="00AF3A7A"/>
    <w:rsid w:val="00AF3AFC"/>
    <w:rsid w:val="00AF3B2B"/>
    <w:rsid w:val="00AF3B2D"/>
    <w:rsid w:val="00AF3B6B"/>
    <w:rsid w:val="00AF3BDF"/>
    <w:rsid w:val="00AF3C0A"/>
    <w:rsid w:val="00AF3C4A"/>
    <w:rsid w:val="00AF3C86"/>
    <w:rsid w:val="00AF3D59"/>
    <w:rsid w:val="00AF3DF4"/>
    <w:rsid w:val="00AF3E53"/>
    <w:rsid w:val="00AF3F8B"/>
    <w:rsid w:val="00AF3FEE"/>
    <w:rsid w:val="00AF4068"/>
    <w:rsid w:val="00AF407F"/>
    <w:rsid w:val="00AF4256"/>
    <w:rsid w:val="00AF42AA"/>
    <w:rsid w:val="00AF42B2"/>
    <w:rsid w:val="00AF42D9"/>
    <w:rsid w:val="00AF42E7"/>
    <w:rsid w:val="00AF4312"/>
    <w:rsid w:val="00AF4315"/>
    <w:rsid w:val="00AF4351"/>
    <w:rsid w:val="00AF43D8"/>
    <w:rsid w:val="00AF4408"/>
    <w:rsid w:val="00AF44A7"/>
    <w:rsid w:val="00AF4529"/>
    <w:rsid w:val="00AF4567"/>
    <w:rsid w:val="00AF4598"/>
    <w:rsid w:val="00AF45D2"/>
    <w:rsid w:val="00AF4662"/>
    <w:rsid w:val="00AF471C"/>
    <w:rsid w:val="00AF4728"/>
    <w:rsid w:val="00AF479E"/>
    <w:rsid w:val="00AF47C8"/>
    <w:rsid w:val="00AF47DB"/>
    <w:rsid w:val="00AF48C1"/>
    <w:rsid w:val="00AF48D8"/>
    <w:rsid w:val="00AF48F2"/>
    <w:rsid w:val="00AF492A"/>
    <w:rsid w:val="00AF497B"/>
    <w:rsid w:val="00AF49B2"/>
    <w:rsid w:val="00AF49CF"/>
    <w:rsid w:val="00AF4AA5"/>
    <w:rsid w:val="00AF4AAD"/>
    <w:rsid w:val="00AF4B16"/>
    <w:rsid w:val="00AF4B63"/>
    <w:rsid w:val="00AF4C03"/>
    <w:rsid w:val="00AF4C14"/>
    <w:rsid w:val="00AF4C17"/>
    <w:rsid w:val="00AF4C5E"/>
    <w:rsid w:val="00AF4C94"/>
    <w:rsid w:val="00AF4D02"/>
    <w:rsid w:val="00AF4E0E"/>
    <w:rsid w:val="00AF4EED"/>
    <w:rsid w:val="00AF4F5A"/>
    <w:rsid w:val="00AF5110"/>
    <w:rsid w:val="00AF5171"/>
    <w:rsid w:val="00AF5179"/>
    <w:rsid w:val="00AF51B3"/>
    <w:rsid w:val="00AF51BB"/>
    <w:rsid w:val="00AF51E2"/>
    <w:rsid w:val="00AF51EA"/>
    <w:rsid w:val="00AF52C5"/>
    <w:rsid w:val="00AF52E2"/>
    <w:rsid w:val="00AF52E3"/>
    <w:rsid w:val="00AF5319"/>
    <w:rsid w:val="00AF532B"/>
    <w:rsid w:val="00AF5348"/>
    <w:rsid w:val="00AF5418"/>
    <w:rsid w:val="00AF541C"/>
    <w:rsid w:val="00AF542A"/>
    <w:rsid w:val="00AF5461"/>
    <w:rsid w:val="00AF546A"/>
    <w:rsid w:val="00AF5482"/>
    <w:rsid w:val="00AF54A6"/>
    <w:rsid w:val="00AF5504"/>
    <w:rsid w:val="00AF556E"/>
    <w:rsid w:val="00AF55A6"/>
    <w:rsid w:val="00AF55D6"/>
    <w:rsid w:val="00AF5634"/>
    <w:rsid w:val="00AF5679"/>
    <w:rsid w:val="00AF5698"/>
    <w:rsid w:val="00AF5710"/>
    <w:rsid w:val="00AF5761"/>
    <w:rsid w:val="00AF5794"/>
    <w:rsid w:val="00AF583A"/>
    <w:rsid w:val="00AF5891"/>
    <w:rsid w:val="00AF58CE"/>
    <w:rsid w:val="00AF5930"/>
    <w:rsid w:val="00AF5A25"/>
    <w:rsid w:val="00AF5AD9"/>
    <w:rsid w:val="00AF5B50"/>
    <w:rsid w:val="00AF5C49"/>
    <w:rsid w:val="00AF5CDF"/>
    <w:rsid w:val="00AF5D06"/>
    <w:rsid w:val="00AF5D0E"/>
    <w:rsid w:val="00AF5D6E"/>
    <w:rsid w:val="00AF5D89"/>
    <w:rsid w:val="00AF5DC5"/>
    <w:rsid w:val="00AF5DF0"/>
    <w:rsid w:val="00AF5E25"/>
    <w:rsid w:val="00AF5E37"/>
    <w:rsid w:val="00AF5E53"/>
    <w:rsid w:val="00AF5E67"/>
    <w:rsid w:val="00AF5ED1"/>
    <w:rsid w:val="00AF5EFA"/>
    <w:rsid w:val="00AF5F28"/>
    <w:rsid w:val="00AF5F33"/>
    <w:rsid w:val="00AF5F3C"/>
    <w:rsid w:val="00AF5F66"/>
    <w:rsid w:val="00AF5FA0"/>
    <w:rsid w:val="00AF609C"/>
    <w:rsid w:val="00AF613A"/>
    <w:rsid w:val="00AF61B9"/>
    <w:rsid w:val="00AF61E8"/>
    <w:rsid w:val="00AF623A"/>
    <w:rsid w:val="00AF62B7"/>
    <w:rsid w:val="00AF62BB"/>
    <w:rsid w:val="00AF63E6"/>
    <w:rsid w:val="00AF63F6"/>
    <w:rsid w:val="00AF6464"/>
    <w:rsid w:val="00AF6573"/>
    <w:rsid w:val="00AF65FD"/>
    <w:rsid w:val="00AF6641"/>
    <w:rsid w:val="00AF668D"/>
    <w:rsid w:val="00AF669F"/>
    <w:rsid w:val="00AF6763"/>
    <w:rsid w:val="00AF682C"/>
    <w:rsid w:val="00AF6835"/>
    <w:rsid w:val="00AF685C"/>
    <w:rsid w:val="00AF68CC"/>
    <w:rsid w:val="00AF690B"/>
    <w:rsid w:val="00AF696B"/>
    <w:rsid w:val="00AF697F"/>
    <w:rsid w:val="00AF699C"/>
    <w:rsid w:val="00AF6A93"/>
    <w:rsid w:val="00AF6B25"/>
    <w:rsid w:val="00AF6B62"/>
    <w:rsid w:val="00AF6B69"/>
    <w:rsid w:val="00AF6BB2"/>
    <w:rsid w:val="00AF6CFD"/>
    <w:rsid w:val="00AF6D99"/>
    <w:rsid w:val="00AF6DCB"/>
    <w:rsid w:val="00AF6E01"/>
    <w:rsid w:val="00AF6E12"/>
    <w:rsid w:val="00AF6F1F"/>
    <w:rsid w:val="00AF6F4B"/>
    <w:rsid w:val="00AF6FF7"/>
    <w:rsid w:val="00AF7011"/>
    <w:rsid w:val="00AF7053"/>
    <w:rsid w:val="00AF71E3"/>
    <w:rsid w:val="00AF7269"/>
    <w:rsid w:val="00AF728B"/>
    <w:rsid w:val="00AF73CE"/>
    <w:rsid w:val="00AF7476"/>
    <w:rsid w:val="00AF751D"/>
    <w:rsid w:val="00AF7557"/>
    <w:rsid w:val="00AF7563"/>
    <w:rsid w:val="00AF758E"/>
    <w:rsid w:val="00AF7675"/>
    <w:rsid w:val="00AF7701"/>
    <w:rsid w:val="00AF774C"/>
    <w:rsid w:val="00AF778E"/>
    <w:rsid w:val="00AF7791"/>
    <w:rsid w:val="00AF77BB"/>
    <w:rsid w:val="00AF77D5"/>
    <w:rsid w:val="00AF78BF"/>
    <w:rsid w:val="00AF78CF"/>
    <w:rsid w:val="00AF794F"/>
    <w:rsid w:val="00AF7A55"/>
    <w:rsid w:val="00AF7A6E"/>
    <w:rsid w:val="00AF7A70"/>
    <w:rsid w:val="00AF7AAB"/>
    <w:rsid w:val="00AF7ACA"/>
    <w:rsid w:val="00AF7B0E"/>
    <w:rsid w:val="00AF7B7E"/>
    <w:rsid w:val="00AF7B8A"/>
    <w:rsid w:val="00AF7B97"/>
    <w:rsid w:val="00AF7C04"/>
    <w:rsid w:val="00AF7C63"/>
    <w:rsid w:val="00AF7CD8"/>
    <w:rsid w:val="00AF7D04"/>
    <w:rsid w:val="00AF7E2D"/>
    <w:rsid w:val="00AF7EB2"/>
    <w:rsid w:val="00AF7EB6"/>
    <w:rsid w:val="00AF7F05"/>
    <w:rsid w:val="00AF7F30"/>
    <w:rsid w:val="00AF7F4C"/>
    <w:rsid w:val="00AF7F98"/>
    <w:rsid w:val="00AF7FF1"/>
    <w:rsid w:val="00B00054"/>
    <w:rsid w:val="00B000A1"/>
    <w:rsid w:val="00B000B3"/>
    <w:rsid w:val="00B00113"/>
    <w:rsid w:val="00B00128"/>
    <w:rsid w:val="00B0018A"/>
    <w:rsid w:val="00B0021C"/>
    <w:rsid w:val="00B00239"/>
    <w:rsid w:val="00B002AC"/>
    <w:rsid w:val="00B002B4"/>
    <w:rsid w:val="00B002F4"/>
    <w:rsid w:val="00B00364"/>
    <w:rsid w:val="00B003AF"/>
    <w:rsid w:val="00B003B2"/>
    <w:rsid w:val="00B003B5"/>
    <w:rsid w:val="00B003DA"/>
    <w:rsid w:val="00B00467"/>
    <w:rsid w:val="00B005A8"/>
    <w:rsid w:val="00B005C7"/>
    <w:rsid w:val="00B00692"/>
    <w:rsid w:val="00B006D6"/>
    <w:rsid w:val="00B00721"/>
    <w:rsid w:val="00B00779"/>
    <w:rsid w:val="00B00781"/>
    <w:rsid w:val="00B007AA"/>
    <w:rsid w:val="00B007D4"/>
    <w:rsid w:val="00B0081C"/>
    <w:rsid w:val="00B00979"/>
    <w:rsid w:val="00B00992"/>
    <w:rsid w:val="00B00A9F"/>
    <w:rsid w:val="00B00AA8"/>
    <w:rsid w:val="00B00BAD"/>
    <w:rsid w:val="00B00BAE"/>
    <w:rsid w:val="00B00BCD"/>
    <w:rsid w:val="00B00BF0"/>
    <w:rsid w:val="00B00C0D"/>
    <w:rsid w:val="00B00C1D"/>
    <w:rsid w:val="00B00C78"/>
    <w:rsid w:val="00B00D67"/>
    <w:rsid w:val="00B00DEC"/>
    <w:rsid w:val="00B00E34"/>
    <w:rsid w:val="00B00F71"/>
    <w:rsid w:val="00B00F8F"/>
    <w:rsid w:val="00B01051"/>
    <w:rsid w:val="00B01057"/>
    <w:rsid w:val="00B01114"/>
    <w:rsid w:val="00B011BE"/>
    <w:rsid w:val="00B011D6"/>
    <w:rsid w:val="00B01207"/>
    <w:rsid w:val="00B01224"/>
    <w:rsid w:val="00B01265"/>
    <w:rsid w:val="00B0128B"/>
    <w:rsid w:val="00B01356"/>
    <w:rsid w:val="00B01405"/>
    <w:rsid w:val="00B014DC"/>
    <w:rsid w:val="00B01588"/>
    <w:rsid w:val="00B015ED"/>
    <w:rsid w:val="00B01602"/>
    <w:rsid w:val="00B01628"/>
    <w:rsid w:val="00B01639"/>
    <w:rsid w:val="00B01688"/>
    <w:rsid w:val="00B016CF"/>
    <w:rsid w:val="00B016E9"/>
    <w:rsid w:val="00B017C6"/>
    <w:rsid w:val="00B01842"/>
    <w:rsid w:val="00B01856"/>
    <w:rsid w:val="00B01877"/>
    <w:rsid w:val="00B01893"/>
    <w:rsid w:val="00B0189E"/>
    <w:rsid w:val="00B01904"/>
    <w:rsid w:val="00B01956"/>
    <w:rsid w:val="00B0197F"/>
    <w:rsid w:val="00B0198A"/>
    <w:rsid w:val="00B01A38"/>
    <w:rsid w:val="00B01A63"/>
    <w:rsid w:val="00B01AD0"/>
    <w:rsid w:val="00B01AE4"/>
    <w:rsid w:val="00B01B1D"/>
    <w:rsid w:val="00B01B35"/>
    <w:rsid w:val="00B01BDB"/>
    <w:rsid w:val="00B01CDD"/>
    <w:rsid w:val="00B01D03"/>
    <w:rsid w:val="00B01DB3"/>
    <w:rsid w:val="00B01DB7"/>
    <w:rsid w:val="00B01DBA"/>
    <w:rsid w:val="00B01DC5"/>
    <w:rsid w:val="00B01E48"/>
    <w:rsid w:val="00B01F30"/>
    <w:rsid w:val="00B0204D"/>
    <w:rsid w:val="00B020D3"/>
    <w:rsid w:val="00B02110"/>
    <w:rsid w:val="00B021A2"/>
    <w:rsid w:val="00B021B4"/>
    <w:rsid w:val="00B021B9"/>
    <w:rsid w:val="00B021E4"/>
    <w:rsid w:val="00B02262"/>
    <w:rsid w:val="00B02275"/>
    <w:rsid w:val="00B02277"/>
    <w:rsid w:val="00B02288"/>
    <w:rsid w:val="00B02344"/>
    <w:rsid w:val="00B0235C"/>
    <w:rsid w:val="00B0239F"/>
    <w:rsid w:val="00B02471"/>
    <w:rsid w:val="00B02477"/>
    <w:rsid w:val="00B024BA"/>
    <w:rsid w:val="00B0252B"/>
    <w:rsid w:val="00B025CC"/>
    <w:rsid w:val="00B02631"/>
    <w:rsid w:val="00B0266C"/>
    <w:rsid w:val="00B026AA"/>
    <w:rsid w:val="00B027EE"/>
    <w:rsid w:val="00B02830"/>
    <w:rsid w:val="00B028C0"/>
    <w:rsid w:val="00B028FD"/>
    <w:rsid w:val="00B0291A"/>
    <w:rsid w:val="00B0294B"/>
    <w:rsid w:val="00B02A2C"/>
    <w:rsid w:val="00B02A39"/>
    <w:rsid w:val="00B02A97"/>
    <w:rsid w:val="00B02ADE"/>
    <w:rsid w:val="00B02B1F"/>
    <w:rsid w:val="00B02B63"/>
    <w:rsid w:val="00B02B85"/>
    <w:rsid w:val="00B02BEF"/>
    <w:rsid w:val="00B02CB6"/>
    <w:rsid w:val="00B02D33"/>
    <w:rsid w:val="00B02D58"/>
    <w:rsid w:val="00B02D9F"/>
    <w:rsid w:val="00B02DCE"/>
    <w:rsid w:val="00B02E30"/>
    <w:rsid w:val="00B02E9D"/>
    <w:rsid w:val="00B02EAC"/>
    <w:rsid w:val="00B02ECF"/>
    <w:rsid w:val="00B02EF0"/>
    <w:rsid w:val="00B02EFF"/>
    <w:rsid w:val="00B02F2D"/>
    <w:rsid w:val="00B03016"/>
    <w:rsid w:val="00B03038"/>
    <w:rsid w:val="00B03065"/>
    <w:rsid w:val="00B03070"/>
    <w:rsid w:val="00B030BF"/>
    <w:rsid w:val="00B030F2"/>
    <w:rsid w:val="00B03134"/>
    <w:rsid w:val="00B03199"/>
    <w:rsid w:val="00B0319E"/>
    <w:rsid w:val="00B031DE"/>
    <w:rsid w:val="00B03209"/>
    <w:rsid w:val="00B03244"/>
    <w:rsid w:val="00B032F7"/>
    <w:rsid w:val="00B033BE"/>
    <w:rsid w:val="00B033D4"/>
    <w:rsid w:val="00B033EA"/>
    <w:rsid w:val="00B035D5"/>
    <w:rsid w:val="00B03656"/>
    <w:rsid w:val="00B0373F"/>
    <w:rsid w:val="00B037F5"/>
    <w:rsid w:val="00B038C3"/>
    <w:rsid w:val="00B03923"/>
    <w:rsid w:val="00B03957"/>
    <w:rsid w:val="00B0398C"/>
    <w:rsid w:val="00B039F1"/>
    <w:rsid w:val="00B03A9B"/>
    <w:rsid w:val="00B03AE8"/>
    <w:rsid w:val="00B03B5D"/>
    <w:rsid w:val="00B03BA7"/>
    <w:rsid w:val="00B03C05"/>
    <w:rsid w:val="00B03C52"/>
    <w:rsid w:val="00B03C9D"/>
    <w:rsid w:val="00B03D07"/>
    <w:rsid w:val="00B03D19"/>
    <w:rsid w:val="00B03DAD"/>
    <w:rsid w:val="00B03DD1"/>
    <w:rsid w:val="00B03E51"/>
    <w:rsid w:val="00B03EBF"/>
    <w:rsid w:val="00B03EFC"/>
    <w:rsid w:val="00B03F23"/>
    <w:rsid w:val="00B03F36"/>
    <w:rsid w:val="00B03F75"/>
    <w:rsid w:val="00B03FBF"/>
    <w:rsid w:val="00B0401C"/>
    <w:rsid w:val="00B0401D"/>
    <w:rsid w:val="00B040B2"/>
    <w:rsid w:val="00B041BF"/>
    <w:rsid w:val="00B041DF"/>
    <w:rsid w:val="00B04201"/>
    <w:rsid w:val="00B04220"/>
    <w:rsid w:val="00B0429A"/>
    <w:rsid w:val="00B04341"/>
    <w:rsid w:val="00B043E9"/>
    <w:rsid w:val="00B043FC"/>
    <w:rsid w:val="00B044AC"/>
    <w:rsid w:val="00B0455B"/>
    <w:rsid w:val="00B045FE"/>
    <w:rsid w:val="00B04612"/>
    <w:rsid w:val="00B0462D"/>
    <w:rsid w:val="00B04641"/>
    <w:rsid w:val="00B0468C"/>
    <w:rsid w:val="00B046D7"/>
    <w:rsid w:val="00B04714"/>
    <w:rsid w:val="00B0482E"/>
    <w:rsid w:val="00B04895"/>
    <w:rsid w:val="00B0491B"/>
    <w:rsid w:val="00B04999"/>
    <w:rsid w:val="00B04A28"/>
    <w:rsid w:val="00B04C02"/>
    <w:rsid w:val="00B04C07"/>
    <w:rsid w:val="00B04C17"/>
    <w:rsid w:val="00B04C64"/>
    <w:rsid w:val="00B04C90"/>
    <w:rsid w:val="00B04CDE"/>
    <w:rsid w:val="00B04CF2"/>
    <w:rsid w:val="00B04DA4"/>
    <w:rsid w:val="00B04DFA"/>
    <w:rsid w:val="00B04E06"/>
    <w:rsid w:val="00B04E1D"/>
    <w:rsid w:val="00B04F84"/>
    <w:rsid w:val="00B04FBC"/>
    <w:rsid w:val="00B04FFA"/>
    <w:rsid w:val="00B050B4"/>
    <w:rsid w:val="00B0515C"/>
    <w:rsid w:val="00B05174"/>
    <w:rsid w:val="00B051F8"/>
    <w:rsid w:val="00B05211"/>
    <w:rsid w:val="00B05257"/>
    <w:rsid w:val="00B05332"/>
    <w:rsid w:val="00B05353"/>
    <w:rsid w:val="00B053E9"/>
    <w:rsid w:val="00B054BD"/>
    <w:rsid w:val="00B055B2"/>
    <w:rsid w:val="00B0564D"/>
    <w:rsid w:val="00B056AE"/>
    <w:rsid w:val="00B0570F"/>
    <w:rsid w:val="00B05929"/>
    <w:rsid w:val="00B05935"/>
    <w:rsid w:val="00B059E6"/>
    <w:rsid w:val="00B059EC"/>
    <w:rsid w:val="00B05AE6"/>
    <w:rsid w:val="00B05B6D"/>
    <w:rsid w:val="00B05BB6"/>
    <w:rsid w:val="00B05BD2"/>
    <w:rsid w:val="00B05CC1"/>
    <w:rsid w:val="00B05CC8"/>
    <w:rsid w:val="00B05CD5"/>
    <w:rsid w:val="00B05D84"/>
    <w:rsid w:val="00B05DDB"/>
    <w:rsid w:val="00B05E52"/>
    <w:rsid w:val="00B05F18"/>
    <w:rsid w:val="00B06000"/>
    <w:rsid w:val="00B06075"/>
    <w:rsid w:val="00B06096"/>
    <w:rsid w:val="00B06176"/>
    <w:rsid w:val="00B06216"/>
    <w:rsid w:val="00B06235"/>
    <w:rsid w:val="00B06248"/>
    <w:rsid w:val="00B0626F"/>
    <w:rsid w:val="00B06282"/>
    <w:rsid w:val="00B06283"/>
    <w:rsid w:val="00B0628F"/>
    <w:rsid w:val="00B06304"/>
    <w:rsid w:val="00B063CF"/>
    <w:rsid w:val="00B063D7"/>
    <w:rsid w:val="00B063F9"/>
    <w:rsid w:val="00B06400"/>
    <w:rsid w:val="00B064F7"/>
    <w:rsid w:val="00B064FA"/>
    <w:rsid w:val="00B06524"/>
    <w:rsid w:val="00B065E9"/>
    <w:rsid w:val="00B065ED"/>
    <w:rsid w:val="00B065F7"/>
    <w:rsid w:val="00B06649"/>
    <w:rsid w:val="00B06668"/>
    <w:rsid w:val="00B0673A"/>
    <w:rsid w:val="00B06760"/>
    <w:rsid w:val="00B0678A"/>
    <w:rsid w:val="00B067F4"/>
    <w:rsid w:val="00B06873"/>
    <w:rsid w:val="00B068DB"/>
    <w:rsid w:val="00B068F9"/>
    <w:rsid w:val="00B06968"/>
    <w:rsid w:val="00B069BA"/>
    <w:rsid w:val="00B06AF4"/>
    <w:rsid w:val="00B06AFF"/>
    <w:rsid w:val="00B06B52"/>
    <w:rsid w:val="00B06B88"/>
    <w:rsid w:val="00B06BC7"/>
    <w:rsid w:val="00B06C2A"/>
    <w:rsid w:val="00B06C54"/>
    <w:rsid w:val="00B06C78"/>
    <w:rsid w:val="00B06CE4"/>
    <w:rsid w:val="00B06D21"/>
    <w:rsid w:val="00B06D6C"/>
    <w:rsid w:val="00B06DA1"/>
    <w:rsid w:val="00B06DA3"/>
    <w:rsid w:val="00B06E92"/>
    <w:rsid w:val="00B06EB8"/>
    <w:rsid w:val="00B06F2A"/>
    <w:rsid w:val="00B06F45"/>
    <w:rsid w:val="00B0700F"/>
    <w:rsid w:val="00B07031"/>
    <w:rsid w:val="00B07032"/>
    <w:rsid w:val="00B0710B"/>
    <w:rsid w:val="00B07222"/>
    <w:rsid w:val="00B07305"/>
    <w:rsid w:val="00B07337"/>
    <w:rsid w:val="00B0733B"/>
    <w:rsid w:val="00B0739F"/>
    <w:rsid w:val="00B07452"/>
    <w:rsid w:val="00B0746F"/>
    <w:rsid w:val="00B076A2"/>
    <w:rsid w:val="00B076CA"/>
    <w:rsid w:val="00B07720"/>
    <w:rsid w:val="00B077EC"/>
    <w:rsid w:val="00B07970"/>
    <w:rsid w:val="00B079A4"/>
    <w:rsid w:val="00B079EA"/>
    <w:rsid w:val="00B07A9E"/>
    <w:rsid w:val="00B07AD7"/>
    <w:rsid w:val="00B07AF5"/>
    <w:rsid w:val="00B07B05"/>
    <w:rsid w:val="00B07B26"/>
    <w:rsid w:val="00B07BD0"/>
    <w:rsid w:val="00B07C6D"/>
    <w:rsid w:val="00B07CB4"/>
    <w:rsid w:val="00B07CC2"/>
    <w:rsid w:val="00B07D63"/>
    <w:rsid w:val="00B07D77"/>
    <w:rsid w:val="00B07DB6"/>
    <w:rsid w:val="00B07DD9"/>
    <w:rsid w:val="00B07DE8"/>
    <w:rsid w:val="00B07F7B"/>
    <w:rsid w:val="00B07FE8"/>
    <w:rsid w:val="00B1000B"/>
    <w:rsid w:val="00B1000C"/>
    <w:rsid w:val="00B10021"/>
    <w:rsid w:val="00B1002E"/>
    <w:rsid w:val="00B1008A"/>
    <w:rsid w:val="00B100C1"/>
    <w:rsid w:val="00B10147"/>
    <w:rsid w:val="00B1016B"/>
    <w:rsid w:val="00B101FF"/>
    <w:rsid w:val="00B1022C"/>
    <w:rsid w:val="00B102C7"/>
    <w:rsid w:val="00B102CD"/>
    <w:rsid w:val="00B10389"/>
    <w:rsid w:val="00B103D7"/>
    <w:rsid w:val="00B103F1"/>
    <w:rsid w:val="00B104C8"/>
    <w:rsid w:val="00B105B7"/>
    <w:rsid w:val="00B105CA"/>
    <w:rsid w:val="00B105DF"/>
    <w:rsid w:val="00B10610"/>
    <w:rsid w:val="00B10672"/>
    <w:rsid w:val="00B106B6"/>
    <w:rsid w:val="00B1076F"/>
    <w:rsid w:val="00B107F9"/>
    <w:rsid w:val="00B1090C"/>
    <w:rsid w:val="00B10A2E"/>
    <w:rsid w:val="00B10A8C"/>
    <w:rsid w:val="00B10AB2"/>
    <w:rsid w:val="00B10B19"/>
    <w:rsid w:val="00B10B28"/>
    <w:rsid w:val="00B10B71"/>
    <w:rsid w:val="00B10BBD"/>
    <w:rsid w:val="00B10BE2"/>
    <w:rsid w:val="00B10C89"/>
    <w:rsid w:val="00B10CA3"/>
    <w:rsid w:val="00B10CBB"/>
    <w:rsid w:val="00B10D29"/>
    <w:rsid w:val="00B10DAB"/>
    <w:rsid w:val="00B10DBC"/>
    <w:rsid w:val="00B10DF5"/>
    <w:rsid w:val="00B10E0F"/>
    <w:rsid w:val="00B10E58"/>
    <w:rsid w:val="00B10F0A"/>
    <w:rsid w:val="00B10F0E"/>
    <w:rsid w:val="00B10F10"/>
    <w:rsid w:val="00B10F65"/>
    <w:rsid w:val="00B1105B"/>
    <w:rsid w:val="00B110CF"/>
    <w:rsid w:val="00B110F2"/>
    <w:rsid w:val="00B11116"/>
    <w:rsid w:val="00B11147"/>
    <w:rsid w:val="00B11211"/>
    <w:rsid w:val="00B11284"/>
    <w:rsid w:val="00B112C4"/>
    <w:rsid w:val="00B1136A"/>
    <w:rsid w:val="00B11395"/>
    <w:rsid w:val="00B113C3"/>
    <w:rsid w:val="00B11410"/>
    <w:rsid w:val="00B1143E"/>
    <w:rsid w:val="00B1145F"/>
    <w:rsid w:val="00B114A4"/>
    <w:rsid w:val="00B114BF"/>
    <w:rsid w:val="00B11560"/>
    <w:rsid w:val="00B11567"/>
    <w:rsid w:val="00B11596"/>
    <w:rsid w:val="00B115DE"/>
    <w:rsid w:val="00B11681"/>
    <w:rsid w:val="00B116BC"/>
    <w:rsid w:val="00B11735"/>
    <w:rsid w:val="00B11758"/>
    <w:rsid w:val="00B1176A"/>
    <w:rsid w:val="00B11776"/>
    <w:rsid w:val="00B117DC"/>
    <w:rsid w:val="00B11938"/>
    <w:rsid w:val="00B11955"/>
    <w:rsid w:val="00B11A09"/>
    <w:rsid w:val="00B11ACC"/>
    <w:rsid w:val="00B11AD4"/>
    <w:rsid w:val="00B11AF4"/>
    <w:rsid w:val="00B11B07"/>
    <w:rsid w:val="00B11B39"/>
    <w:rsid w:val="00B11B89"/>
    <w:rsid w:val="00B11BAB"/>
    <w:rsid w:val="00B11BC4"/>
    <w:rsid w:val="00B11BCD"/>
    <w:rsid w:val="00B11C31"/>
    <w:rsid w:val="00B11C4B"/>
    <w:rsid w:val="00B11CB2"/>
    <w:rsid w:val="00B11CC0"/>
    <w:rsid w:val="00B11CF0"/>
    <w:rsid w:val="00B11D4C"/>
    <w:rsid w:val="00B11D51"/>
    <w:rsid w:val="00B11DF7"/>
    <w:rsid w:val="00B11E90"/>
    <w:rsid w:val="00B11FE3"/>
    <w:rsid w:val="00B12030"/>
    <w:rsid w:val="00B12055"/>
    <w:rsid w:val="00B120AB"/>
    <w:rsid w:val="00B120B2"/>
    <w:rsid w:val="00B121B6"/>
    <w:rsid w:val="00B122F1"/>
    <w:rsid w:val="00B123C3"/>
    <w:rsid w:val="00B12426"/>
    <w:rsid w:val="00B1242F"/>
    <w:rsid w:val="00B1248F"/>
    <w:rsid w:val="00B126A7"/>
    <w:rsid w:val="00B126BB"/>
    <w:rsid w:val="00B12702"/>
    <w:rsid w:val="00B12725"/>
    <w:rsid w:val="00B1275B"/>
    <w:rsid w:val="00B12767"/>
    <w:rsid w:val="00B1281D"/>
    <w:rsid w:val="00B12847"/>
    <w:rsid w:val="00B1284B"/>
    <w:rsid w:val="00B12864"/>
    <w:rsid w:val="00B1291F"/>
    <w:rsid w:val="00B1295F"/>
    <w:rsid w:val="00B12970"/>
    <w:rsid w:val="00B12A88"/>
    <w:rsid w:val="00B12AA0"/>
    <w:rsid w:val="00B12ACB"/>
    <w:rsid w:val="00B12AED"/>
    <w:rsid w:val="00B12B3B"/>
    <w:rsid w:val="00B12B8A"/>
    <w:rsid w:val="00B12BBF"/>
    <w:rsid w:val="00B12BFA"/>
    <w:rsid w:val="00B12CC2"/>
    <w:rsid w:val="00B12CE1"/>
    <w:rsid w:val="00B12CF1"/>
    <w:rsid w:val="00B12D4B"/>
    <w:rsid w:val="00B12D86"/>
    <w:rsid w:val="00B12DE1"/>
    <w:rsid w:val="00B12EE0"/>
    <w:rsid w:val="00B12EE3"/>
    <w:rsid w:val="00B12F17"/>
    <w:rsid w:val="00B12FC6"/>
    <w:rsid w:val="00B13028"/>
    <w:rsid w:val="00B13068"/>
    <w:rsid w:val="00B13139"/>
    <w:rsid w:val="00B131B4"/>
    <w:rsid w:val="00B131E8"/>
    <w:rsid w:val="00B132AC"/>
    <w:rsid w:val="00B132EE"/>
    <w:rsid w:val="00B1331D"/>
    <w:rsid w:val="00B133DD"/>
    <w:rsid w:val="00B13443"/>
    <w:rsid w:val="00B1344A"/>
    <w:rsid w:val="00B134D9"/>
    <w:rsid w:val="00B135CB"/>
    <w:rsid w:val="00B135DE"/>
    <w:rsid w:val="00B13662"/>
    <w:rsid w:val="00B136C5"/>
    <w:rsid w:val="00B13768"/>
    <w:rsid w:val="00B137E5"/>
    <w:rsid w:val="00B137F3"/>
    <w:rsid w:val="00B1382E"/>
    <w:rsid w:val="00B13830"/>
    <w:rsid w:val="00B1383B"/>
    <w:rsid w:val="00B1384A"/>
    <w:rsid w:val="00B13882"/>
    <w:rsid w:val="00B138B1"/>
    <w:rsid w:val="00B1396D"/>
    <w:rsid w:val="00B139D6"/>
    <w:rsid w:val="00B13AE8"/>
    <w:rsid w:val="00B13B09"/>
    <w:rsid w:val="00B13B1B"/>
    <w:rsid w:val="00B13B62"/>
    <w:rsid w:val="00B13BFB"/>
    <w:rsid w:val="00B13C3F"/>
    <w:rsid w:val="00B13C68"/>
    <w:rsid w:val="00B13D62"/>
    <w:rsid w:val="00B13E50"/>
    <w:rsid w:val="00B13F05"/>
    <w:rsid w:val="00B13FC0"/>
    <w:rsid w:val="00B1418B"/>
    <w:rsid w:val="00B141A6"/>
    <w:rsid w:val="00B141F4"/>
    <w:rsid w:val="00B141F6"/>
    <w:rsid w:val="00B14228"/>
    <w:rsid w:val="00B14379"/>
    <w:rsid w:val="00B1441A"/>
    <w:rsid w:val="00B14437"/>
    <w:rsid w:val="00B1447F"/>
    <w:rsid w:val="00B144B0"/>
    <w:rsid w:val="00B144CF"/>
    <w:rsid w:val="00B144DD"/>
    <w:rsid w:val="00B14515"/>
    <w:rsid w:val="00B1451C"/>
    <w:rsid w:val="00B1453C"/>
    <w:rsid w:val="00B14584"/>
    <w:rsid w:val="00B1458F"/>
    <w:rsid w:val="00B145CC"/>
    <w:rsid w:val="00B14618"/>
    <w:rsid w:val="00B1466A"/>
    <w:rsid w:val="00B14752"/>
    <w:rsid w:val="00B14795"/>
    <w:rsid w:val="00B147F7"/>
    <w:rsid w:val="00B147FC"/>
    <w:rsid w:val="00B14899"/>
    <w:rsid w:val="00B1489B"/>
    <w:rsid w:val="00B1489F"/>
    <w:rsid w:val="00B148B0"/>
    <w:rsid w:val="00B148BB"/>
    <w:rsid w:val="00B1497D"/>
    <w:rsid w:val="00B1498E"/>
    <w:rsid w:val="00B14A14"/>
    <w:rsid w:val="00B14AE0"/>
    <w:rsid w:val="00B14AF2"/>
    <w:rsid w:val="00B14B0C"/>
    <w:rsid w:val="00B14B7A"/>
    <w:rsid w:val="00B14BC7"/>
    <w:rsid w:val="00B14C3D"/>
    <w:rsid w:val="00B14C4F"/>
    <w:rsid w:val="00B14D3C"/>
    <w:rsid w:val="00B14D6F"/>
    <w:rsid w:val="00B14D88"/>
    <w:rsid w:val="00B14E77"/>
    <w:rsid w:val="00B14E91"/>
    <w:rsid w:val="00B14EC1"/>
    <w:rsid w:val="00B14EF9"/>
    <w:rsid w:val="00B14F9B"/>
    <w:rsid w:val="00B14FAF"/>
    <w:rsid w:val="00B15024"/>
    <w:rsid w:val="00B15148"/>
    <w:rsid w:val="00B15183"/>
    <w:rsid w:val="00B151BE"/>
    <w:rsid w:val="00B152D0"/>
    <w:rsid w:val="00B152ED"/>
    <w:rsid w:val="00B15323"/>
    <w:rsid w:val="00B15331"/>
    <w:rsid w:val="00B1536B"/>
    <w:rsid w:val="00B1539B"/>
    <w:rsid w:val="00B15409"/>
    <w:rsid w:val="00B1541E"/>
    <w:rsid w:val="00B1542B"/>
    <w:rsid w:val="00B154AE"/>
    <w:rsid w:val="00B154F0"/>
    <w:rsid w:val="00B15559"/>
    <w:rsid w:val="00B1558F"/>
    <w:rsid w:val="00B15595"/>
    <w:rsid w:val="00B1561E"/>
    <w:rsid w:val="00B156B0"/>
    <w:rsid w:val="00B156B2"/>
    <w:rsid w:val="00B1570A"/>
    <w:rsid w:val="00B15758"/>
    <w:rsid w:val="00B157B0"/>
    <w:rsid w:val="00B15876"/>
    <w:rsid w:val="00B15992"/>
    <w:rsid w:val="00B159BD"/>
    <w:rsid w:val="00B15A63"/>
    <w:rsid w:val="00B15A68"/>
    <w:rsid w:val="00B15A88"/>
    <w:rsid w:val="00B15BCB"/>
    <w:rsid w:val="00B15BD6"/>
    <w:rsid w:val="00B15CA6"/>
    <w:rsid w:val="00B15CBD"/>
    <w:rsid w:val="00B15DAF"/>
    <w:rsid w:val="00B15DFF"/>
    <w:rsid w:val="00B15F9E"/>
    <w:rsid w:val="00B15FE2"/>
    <w:rsid w:val="00B15FE5"/>
    <w:rsid w:val="00B16053"/>
    <w:rsid w:val="00B1605E"/>
    <w:rsid w:val="00B161B1"/>
    <w:rsid w:val="00B1627C"/>
    <w:rsid w:val="00B16297"/>
    <w:rsid w:val="00B1631E"/>
    <w:rsid w:val="00B1633B"/>
    <w:rsid w:val="00B16567"/>
    <w:rsid w:val="00B16593"/>
    <w:rsid w:val="00B16616"/>
    <w:rsid w:val="00B1663F"/>
    <w:rsid w:val="00B166FD"/>
    <w:rsid w:val="00B1671F"/>
    <w:rsid w:val="00B16733"/>
    <w:rsid w:val="00B16820"/>
    <w:rsid w:val="00B168B2"/>
    <w:rsid w:val="00B16A7B"/>
    <w:rsid w:val="00B16ABE"/>
    <w:rsid w:val="00B16AF4"/>
    <w:rsid w:val="00B16B19"/>
    <w:rsid w:val="00B16B50"/>
    <w:rsid w:val="00B16B93"/>
    <w:rsid w:val="00B16BD3"/>
    <w:rsid w:val="00B16C36"/>
    <w:rsid w:val="00B16C4C"/>
    <w:rsid w:val="00B16C5B"/>
    <w:rsid w:val="00B16C77"/>
    <w:rsid w:val="00B16D9D"/>
    <w:rsid w:val="00B16DA6"/>
    <w:rsid w:val="00B16DA8"/>
    <w:rsid w:val="00B16E27"/>
    <w:rsid w:val="00B16EC8"/>
    <w:rsid w:val="00B16FD6"/>
    <w:rsid w:val="00B17093"/>
    <w:rsid w:val="00B1710F"/>
    <w:rsid w:val="00B1716F"/>
    <w:rsid w:val="00B17285"/>
    <w:rsid w:val="00B172C8"/>
    <w:rsid w:val="00B173C4"/>
    <w:rsid w:val="00B173F7"/>
    <w:rsid w:val="00B17427"/>
    <w:rsid w:val="00B1749C"/>
    <w:rsid w:val="00B174CC"/>
    <w:rsid w:val="00B174DD"/>
    <w:rsid w:val="00B174F9"/>
    <w:rsid w:val="00B17555"/>
    <w:rsid w:val="00B17564"/>
    <w:rsid w:val="00B175AF"/>
    <w:rsid w:val="00B175DF"/>
    <w:rsid w:val="00B17657"/>
    <w:rsid w:val="00B17690"/>
    <w:rsid w:val="00B176BD"/>
    <w:rsid w:val="00B176C2"/>
    <w:rsid w:val="00B17778"/>
    <w:rsid w:val="00B17807"/>
    <w:rsid w:val="00B17809"/>
    <w:rsid w:val="00B17834"/>
    <w:rsid w:val="00B1784F"/>
    <w:rsid w:val="00B17858"/>
    <w:rsid w:val="00B178F5"/>
    <w:rsid w:val="00B179F7"/>
    <w:rsid w:val="00B179FB"/>
    <w:rsid w:val="00B17A01"/>
    <w:rsid w:val="00B17A79"/>
    <w:rsid w:val="00B17A82"/>
    <w:rsid w:val="00B17B4C"/>
    <w:rsid w:val="00B17B54"/>
    <w:rsid w:val="00B17BD4"/>
    <w:rsid w:val="00B17BE8"/>
    <w:rsid w:val="00B17C5B"/>
    <w:rsid w:val="00B17D0E"/>
    <w:rsid w:val="00B17D21"/>
    <w:rsid w:val="00B17D6D"/>
    <w:rsid w:val="00B17E5B"/>
    <w:rsid w:val="00B17EC8"/>
    <w:rsid w:val="00B17EDD"/>
    <w:rsid w:val="00B17F10"/>
    <w:rsid w:val="00B17FE5"/>
    <w:rsid w:val="00B20012"/>
    <w:rsid w:val="00B2002C"/>
    <w:rsid w:val="00B20077"/>
    <w:rsid w:val="00B200B9"/>
    <w:rsid w:val="00B200BC"/>
    <w:rsid w:val="00B2016C"/>
    <w:rsid w:val="00B201A4"/>
    <w:rsid w:val="00B2026E"/>
    <w:rsid w:val="00B2052F"/>
    <w:rsid w:val="00B20569"/>
    <w:rsid w:val="00B205E3"/>
    <w:rsid w:val="00B20641"/>
    <w:rsid w:val="00B20784"/>
    <w:rsid w:val="00B20792"/>
    <w:rsid w:val="00B20862"/>
    <w:rsid w:val="00B208BB"/>
    <w:rsid w:val="00B208BE"/>
    <w:rsid w:val="00B2091F"/>
    <w:rsid w:val="00B2095E"/>
    <w:rsid w:val="00B209BF"/>
    <w:rsid w:val="00B20A19"/>
    <w:rsid w:val="00B20A56"/>
    <w:rsid w:val="00B20B6B"/>
    <w:rsid w:val="00B20C0C"/>
    <w:rsid w:val="00B20C34"/>
    <w:rsid w:val="00B20C6D"/>
    <w:rsid w:val="00B20CF5"/>
    <w:rsid w:val="00B20D17"/>
    <w:rsid w:val="00B20DBD"/>
    <w:rsid w:val="00B20E73"/>
    <w:rsid w:val="00B20EBC"/>
    <w:rsid w:val="00B20F6B"/>
    <w:rsid w:val="00B20FC9"/>
    <w:rsid w:val="00B20FD0"/>
    <w:rsid w:val="00B2103B"/>
    <w:rsid w:val="00B21057"/>
    <w:rsid w:val="00B210B9"/>
    <w:rsid w:val="00B2111B"/>
    <w:rsid w:val="00B21171"/>
    <w:rsid w:val="00B211A7"/>
    <w:rsid w:val="00B211BC"/>
    <w:rsid w:val="00B211C3"/>
    <w:rsid w:val="00B211D9"/>
    <w:rsid w:val="00B21272"/>
    <w:rsid w:val="00B2127F"/>
    <w:rsid w:val="00B21299"/>
    <w:rsid w:val="00B21304"/>
    <w:rsid w:val="00B2137A"/>
    <w:rsid w:val="00B21574"/>
    <w:rsid w:val="00B215CF"/>
    <w:rsid w:val="00B215E7"/>
    <w:rsid w:val="00B215EA"/>
    <w:rsid w:val="00B21672"/>
    <w:rsid w:val="00B216A7"/>
    <w:rsid w:val="00B2171B"/>
    <w:rsid w:val="00B21760"/>
    <w:rsid w:val="00B2176F"/>
    <w:rsid w:val="00B21785"/>
    <w:rsid w:val="00B217A1"/>
    <w:rsid w:val="00B2180F"/>
    <w:rsid w:val="00B2182B"/>
    <w:rsid w:val="00B21856"/>
    <w:rsid w:val="00B2190D"/>
    <w:rsid w:val="00B2199B"/>
    <w:rsid w:val="00B219FA"/>
    <w:rsid w:val="00B21A68"/>
    <w:rsid w:val="00B21B14"/>
    <w:rsid w:val="00B21B1F"/>
    <w:rsid w:val="00B21B45"/>
    <w:rsid w:val="00B21BBE"/>
    <w:rsid w:val="00B21BCB"/>
    <w:rsid w:val="00B21C08"/>
    <w:rsid w:val="00B21C32"/>
    <w:rsid w:val="00B21CAC"/>
    <w:rsid w:val="00B21DB5"/>
    <w:rsid w:val="00B21DF3"/>
    <w:rsid w:val="00B21E24"/>
    <w:rsid w:val="00B21F99"/>
    <w:rsid w:val="00B21FEE"/>
    <w:rsid w:val="00B22008"/>
    <w:rsid w:val="00B2208E"/>
    <w:rsid w:val="00B220AC"/>
    <w:rsid w:val="00B22102"/>
    <w:rsid w:val="00B2226C"/>
    <w:rsid w:val="00B2229D"/>
    <w:rsid w:val="00B223DD"/>
    <w:rsid w:val="00B223E5"/>
    <w:rsid w:val="00B22412"/>
    <w:rsid w:val="00B22434"/>
    <w:rsid w:val="00B22438"/>
    <w:rsid w:val="00B22449"/>
    <w:rsid w:val="00B22476"/>
    <w:rsid w:val="00B2252E"/>
    <w:rsid w:val="00B2253A"/>
    <w:rsid w:val="00B2262C"/>
    <w:rsid w:val="00B226DC"/>
    <w:rsid w:val="00B22866"/>
    <w:rsid w:val="00B22889"/>
    <w:rsid w:val="00B229DF"/>
    <w:rsid w:val="00B22AA4"/>
    <w:rsid w:val="00B22B0A"/>
    <w:rsid w:val="00B22BCA"/>
    <w:rsid w:val="00B22BCE"/>
    <w:rsid w:val="00B22BFE"/>
    <w:rsid w:val="00B22C26"/>
    <w:rsid w:val="00B22C4F"/>
    <w:rsid w:val="00B22CAD"/>
    <w:rsid w:val="00B22D27"/>
    <w:rsid w:val="00B22DCA"/>
    <w:rsid w:val="00B22E96"/>
    <w:rsid w:val="00B22EB8"/>
    <w:rsid w:val="00B2302A"/>
    <w:rsid w:val="00B2306C"/>
    <w:rsid w:val="00B2309C"/>
    <w:rsid w:val="00B230FD"/>
    <w:rsid w:val="00B23180"/>
    <w:rsid w:val="00B231A1"/>
    <w:rsid w:val="00B231E4"/>
    <w:rsid w:val="00B23252"/>
    <w:rsid w:val="00B232BF"/>
    <w:rsid w:val="00B232C4"/>
    <w:rsid w:val="00B232D7"/>
    <w:rsid w:val="00B23352"/>
    <w:rsid w:val="00B2335D"/>
    <w:rsid w:val="00B23537"/>
    <w:rsid w:val="00B2355C"/>
    <w:rsid w:val="00B23570"/>
    <w:rsid w:val="00B2359C"/>
    <w:rsid w:val="00B235AD"/>
    <w:rsid w:val="00B23662"/>
    <w:rsid w:val="00B2371B"/>
    <w:rsid w:val="00B2371D"/>
    <w:rsid w:val="00B23743"/>
    <w:rsid w:val="00B23763"/>
    <w:rsid w:val="00B23769"/>
    <w:rsid w:val="00B23787"/>
    <w:rsid w:val="00B23795"/>
    <w:rsid w:val="00B237BF"/>
    <w:rsid w:val="00B237EC"/>
    <w:rsid w:val="00B23842"/>
    <w:rsid w:val="00B23896"/>
    <w:rsid w:val="00B238E3"/>
    <w:rsid w:val="00B23908"/>
    <w:rsid w:val="00B23935"/>
    <w:rsid w:val="00B23972"/>
    <w:rsid w:val="00B239FD"/>
    <w:rsid w:val="00B23A01"/>
    <w:rsid w:val="00B23A4D"/>
    <w:rsid w:val="00B23AF0"/>
    <w:rsid w:val="00B23B63"/>
    <w:rsid w:val="00B23C89"/>
    <w:rsid w:val="00B23CA3"/>
    <w:rsid w:val="00B23CD1"/>
    <w:rsid w:val="00B23CE3"/>
    <w:rsid w:val="00B23D36"/>
    <w:rsid w:val="00B23E04"/>
    <w:rsid w:val="00B23E18"/>
    <w:rsid w:val="00B23EDC"/>
    <w:rsid w:val="00B23EED"/>
    <w:rsid w:val="00B23FC1"/>
    <w:rsid w:val="00B24011"/>
    <w:rsid w:val="00B2403C"/>
    <w:rsid w:val="00B240AF"/>
    <w:rsid w:val="00B241DD"/>
    <w:rsid w:val="00B241E2"/>
    <w:rsid w:val="00B24211"/>
    <w:rsid w:val="00B2425F"/>
    <w:rsid w:val="00B242AA"/>
    <w:rsid w:val="00B24308"/>
    <w:rsid w:val="00B243CF"/>
    <w:rsid w:val="00B24491"/>
    <w:rsid w:val="00B244C7"/>
    <w:rsid w:val="00B244E1"/>
    <w:rsid w:val="00B24527"/>
    <w:rsid w:val="00B24584"/>
    <w:rsid w:val="00B245BD"/>
    <w:rsid w:val="00B245F2"/>
    <w:rsid w:val="00B2463D"/>
    <w:rsid w:val="00B24672"/>
    <w:rsid w:val="00B24702"/>
    <w:rsid w:val="00B2474D"/>
    <w:rsid w:val="00B24866"/>
    <w:rsid w:val="00B24890"/>
    <w:rsid w:val="00B248B1"/>
    <w:rsid w:val="00B248DD"/>
    <w:rsid w:val="00B248ED"/>
    <w:rsid w:val="00B24920"/>
    <w:rsid w:val="00B24975"/>
    <w:rsid w:val="00B249B3"/>
    <w:rsid w:val="00B24A3B"/>
    <w:rsid w:val="00B24AC5"/>
    <w:rsid w:val="00B24B35"/>
    <w:rsid w:val="00B24B51"/>
    <w:rsid w:val="00B24B83"/>
    <w:rsid w:val="00B24D65"/>
    <w:rsid w:val="00B24D8E"/>
    <w:rsid w:val="00B24E43"/>
    <w:rsid w:val="00B24EE9"/>
    <w:rsid w:val="00B24F3C"/>
    <w:rsid w:val="00B24F8A"/>
    <w:rsid w:val="00B25061"/>
    <w:rsid w:val="00B25065"/>
    <w:rsid w:val="00B250F7"/>
    <w:rsid w:val="00B2515B"/>
    <w:rsid w:val="00B251CA"/>
    <w:rsid w:val="00B251EA"/>
    <w:rsid w:val="00B2521A"/>
    <w:rsid w:val="00B25266"/>
    <w:rsid w:val="00B25455"/>
    <w:rsid w:val="00B254C6"/>
    <w:rsid w:val="00B255C0"/>
    <w:rsid w:val="00B255C8"/>
    <w:rsid w:val="00B256B3"/>
    <w:rsid w:val="00B25745"/>
    <w:rsid w:val="00B257AC"/>
    <w:rsid w:val="00B257B5"/>
    <w:rsid w:val="00B257E4"/>
    <w:rsid w:val="00B258F8"/>
    <w:rsid w:val="00B25938"/>
    <w:rsid w:val="00B2595B"/>
    <w:rsid w:val="00B25A75"/>
    <w:rsid w:val="00B25AC7"/>
    <w:rsid w:val="00B25B9E"/>
    <w:rsid w:val="00B25C58"/>
    <w:rsid w:val="00B25CDA"/>
    <w:rsid w:val="00B25D11"/>
    <w:rsid w:val="00B25D65"/>
    <w:rsid w:val="00B25D82"/>
    <w:rsid w:val="00B25D9B"/>
    <w:rsid w:val="00B25DC6"/>
    <w:rsid w:val="00B25DE6"/>
    <w:rsid w:val="00B25DF5"/>
    <w:rsid w:val="00B25E5F"/>
    <w:rsid w:val="00B25F3B"/>
    <w:rsid w:val="00B25F9C"/>
    <w:rsid w:val="00B25FDF"/>
    <w:rsid w:val="00B26003"/>
    <w:rsid w:val="00B2613F"/>
    <w:rsid w:val="00B2618E"/>
    <w:rsid w:val="00B261B6"/>
    <w:rsid w:val="00B2626B"/>
    <w:rsid w:val="00B262CF"/>
    <w:rsid w:val="00B26321"/>
    <w:rsid w:val="00B26415"/>
    <w:rsid w:val="00B26464"/>
    <w:rsid w:val="00B26613"/>
    <w:rsid w:val="00B26770"/>
    <w:rsid w:val="00B2679A"/>
    <w:rsid w:val="00B267A6"/>
    <w:rsid w:val="00B267D7"/>
    <w:rsid w:val="00B26886"/>
    <w:rsid w:val="00B2689E"/>
    <w:rsid w:val="00B269D9"/>
    <w:rsid w:val="00B269DF"/>
    <w:rsid w:val="00B269E1"/>
    <w:rsid w:val="00B26A02"/>
    <w:rsid w:val="00B26AC3"/>
    <w:rsid w:val="00B26AED"/>
    <w:rsid w:val="00B26BC7"/>
    <w:rsid w:val="00B26C04"/>
    <w:rsid w:val="00B26C49"/>
    <w:rsid w:val="00B26CC3"/>
    <w:rsid w:val="00B26CD4"/>
    <w:rsid w:val="00B26E23"/>
    <w:rsid w:val="00B26E45"/>
    <w:rsid w:val="00B26EAB"/>
    <w:rsid w:val="00B26EDB"/>
    <w:rsid w:val="00B26F43"/>
    <w:rsid w:val="00B26F69"/>
    <w:rsid w:val="00B2702A"/>
    <w:rsid w:val="00B2703E"/>
    <w:rsid w:val="00B27040"/>
    <w:rsid w:val="00B270BE"/>
    <w:rsid w:val="00B2711B"/>
    <w:rsid w:val="00B27159"/>
    <w:rsid w:val="00B27174"/>
    <w:rsid w:val="00B272A7"/>
    <w:rsid w:val="00B273C8"/>
    <w:rsid w:val="00B27414"/>
    <w:rsid w:val="00B27443"/>
    <w:rsid w:val="00B274F9"/>
    <w:rsid w:val="00B2750B"/>
    <w:rsid w:val="00B2759E"/>
    <w:rsid w:val="00B275CC"/>
    <w:rsid w:val="00B2767C"/>
    <w:rsid w:val="00B27683"/>
    <w:rsid w:val="00B2775A"/>
    <w:rsid w:val="00B277A6"/>
    <w:rsid w:val="00B27857"/>
    <w:rsid w:val="00B278A2"/>
    <w:rsid w:val="00B278CA"/>
    <w:rsid w:val="00B279BC"/>
    <w:rsid w:val="00B27A25"/>
    <w:rsid w:val="00B27A8A"/>
    <w:rsid w:val="00B27A99"/>
    <w:rsid w:val="00B27B0E"/>
    <w:rsid w:val="00B27B73"/>
    <w:rsid w:val="00B27B84"/>
    <w:rsid w:val="00B27BC5"/>
    <w:rsid w:val="00B27BDE"/>
    <w:rsid w:val="00B27C82"/>
    <w:rsid w:val="00B27CBA"/>
    <w:rsid w:val="00B27CC0"/>
    <w:rsid w:val="00B27D76"/>
    <w:rsid w:val="00B27D90"/>
    <w:rsid w:val="00B27DE3"/>
    <w:rsid w:val="00B27DF0"/>
    <w:rsid w:val="00B27E06"/>
    <w:rsid w:val="00B27E92"/>
    <w:rsid w:val="00B27EDD"/>
    <w:rsid w:val="00B27F33"/>
    <w:rsid w:val="00B27FB7"/>
    <w:rsid w:val="00B300DC"/>
    <w:rsid w:val="00B30140"/>
    <w:rsid w:val="00B30217"/>
    <w:rsid w:val="00B30236"/>
    <w:rsid w:val="00B30272"/>
    <w:rsid w:val="00B30276"/>
    <w:rsid w:val="00B30307"/>
    <w:rsid w:val="00B3039F"/>
    <w:rsid w:val="00B303AC"/>
    <w:rsid w:val="00B303E5"/>
    <w:rsid w:val="00B30494"/>
    <w:rsid w:val="00B3051C"/>
    <w:rsid w:val="00B3061C"/>
    <w:rsid w:val="00B3062E"/>
    <w:rsid w:val="00B30641"/>
    <w:rsid w:val="00B3072D"/>
    <w:rsid w:val="00B3073C"/>
    <w:rsid w:val="00B3082D"/>
    <w:rsid w:val="00B308F1"/>
    <w:rsid w:val="00B3090D"/>
    <w:rsid w:val="00B3092D"/>
    <w:rsid w:val="00B3094C"/>
    <w:rsid w:val="00B3095A"/>
    <w:rsid w:val="00B30982"/>
    <w:rsid w:val="00B309AB"/>
    <w:rsid w:val="00B309F4"/>
    <w:rsid w:val="00B30A09"/>
    <w:rsid w:val="00B30A0E"/>
    <w:rsid w:val="00B30A1A"/>
    <w:rsid w:val="00B30ACB"/>
    <w:rsid w:val="00B30B0B"/>
    <w:rsid w:val="00B30B26"/>
    <w:rsid w:val="00B30B99"/>
    <w:rsid w:val="00B30BF9"/>
    <w:rsid w:val="00B30C1B"/>
    <w:rsid w:val="00B30C4C"/>
    <w:rsid w:val="00B30C8C"/>
    <w:rsid w:val="00B30CCD"/>
    <w:rsid w:val="00B30E92"/>
    <w:rsid w:val="00B30F09"/>
    <w:rsid w:val="00B30F72"/>
    <w:rsid w:val="00B3104B"/>
    <w:rsid w:val="00B3104D"/>
    <w:rsid w:val="00B31068"/>
    <w:rsid w:val="00B311FD"/>
    <w:rsid w:val="00B312B0"/>
    <w:rsid w:val="00B3133E"/>
    <w:rsid w:val="00B31380"/>
    <w:rsid w:val="00B31382"/>
    <w:rsid w:val="00B313A4"/>
    <w:rsid w:val="00B313FA"/>
    <w:rsid w:val="00B314BF"/>
    <w:rsid w:val="00B31522"/>
    <w:rsid w:val="00B31552"/>
    <w:rsid w:val="00B3159B"/>
    <w:rsid w:val="00B315C8"/>
    <w:rsid w:val="00B315C9"/>
    <w:rsid w:val="00B315D9"/>
    <w:rsid w:val="00B315E9"/>
    <w:rsid w:val="00B31610"/>
    <w:rsid w:val="00B31640"/>
    <w:rsid w:val="00B31668"/>
    <w:rsid w:val="00B31669"/>
    <w:rsid w:val="00B3172D"/>
    <w:rsid w:val="00B31790"/>
    <w:rsid w:val="00B31826"/>
    <w:rsid w:val="00B31866"/>
    <w:rsid w:val="00B31A79"/>
    <w:rsid w:val="00B31AF7"/>
    <w:rsid w:val="00B31B24"/>
    <w:rsid w:val="00B31B7E"/>
    <w:rsid w:val="00B31BB9"/>
    <w:rsid w:val="00B31BC5"/>
    <w:rsid w:val="00B31C38"/>
    <w:rsid w:val="00B31CE2"/>
    <w:rsid w:val="00B31CF5"/>
    <w:rsid w:val="00B31D68"/>
    <w:rsid w:val="00B31E64"/>
    <w:rsid w:val="00B31E92"/>
    <w:rsid w:val="00B31EA1"/>
    <w:rsid w:val="00B31EAB"/>
    <w:rsid w:val="00B31EDD"/>
    <w:rsid w:val="00B31EE8"/>
    <w:rsid w:val="00B31F2C"/>
    <w:rsid w:val="00B31FE2"/>
    <w:rsid w:val="00B31FE8"/>
    <w:rsid w:val="00B31FF1"/>
    <w:rsid w:val="00B32270"/>
    <w:rsid w:val="00B32319"/>
    <w:rsid w:val="00B323B6"/>
    <w:rsid w:val="00B32409"/>
    <w:rsid w:val="00B32462"/>
    <w:rsid w:val="00B324C7"/>
    <w:rsid w:val="00B325F9"/>
    <w:rsid w:val="00B326D3"/>
    <w:rsid w:val="00B326E0"/>
    <w:rsid w:val="00B327C4"/>
    <w:rsid w:val="00B3282B"/>
    <w:rsid w:val="00B32872"/>
    <w:rsid w:val="00B3287A"/>
    <w:rsid w:val="00B3297B"/>
    <w:rsid w:val="00B3297D"/>
    <w:rsid w:val="00B32989"/>
    <w:rsid w:val="00B32A3B"/>
    <w:rsid w:val="00B32A75"/>
    <w:rsid w:val="00B32AC9"/>
    <w:rsid w:val="00B32AEE"/>
    <w:rsid w:val="00B32B09"/>
    <w:rsid w:val="00B32B14"/>
    <w:rsid w:val="00B32C12"/>
    <w:rsid w:val="00B32C4F"/>
    <w:rsid w:val="00B32CB6"/>
    <w:rsid w:val="00B32D72"/>
    <w:rsid w:val="00B32DC9"/>
    <w:rsid w:val="00B32E2C"/>
    <w:rsid w:val="00B32E78"/>
    <w:rsid w:val="00B32ED8"/>
    <w:rsid w:val="00B32EF9"/>
    <w:rsid w:val="00B32F26"/>
    <w:rsid w:val="00B32F8E"/>
    <w:rsid w:val="00B33009"/>
    <w:rsid w:val="00B3300C"/>
    <w:rsid w:val="00B3301F"/>
    <w:rsid w:val="00B33033"/>
    <w:rsid w:val="00B33062"/>
    <w:rsid w:val="00B330F8"/>
    <w:rsid w:val="00B33133"/>
    <w:rsid w:val="00B331BE"/>
    <w:rsid w:val="00B331D1"/>
    <w:rsid w:val="00B3322B"/>
    <w:rsid w:val="00B33270"/>
    <w:rsid w:val="00B3329C"/>
    <w:rsid w:val="00B332CF"/>
    <w:rsid w:val="00B332FB"/>
    <w:rsid w:val="00B33304"/>
    <w:rsid w:val="00B33364"/>
    <w:rsid w:val="00B333AD"/>
    <w:rsid w:val="00B333C0"/>
    <w:rsid w:val="00B33408"/>
    <w:rsid w:val="00B33428"/>
    <w:rsid w:val="00B33439"/>
    <w:rsid w:val="00B3343E"/>
    <w:rsid w:val="00B33449"/>
    <w:rsid w:val="00B3345A"/>
    <w:rsid w:val="00B3345C"/>
    <w:rsid w:val="00B3349F"/>
    <w:rsid w:val="00B334D0"/>
    <w:rsid w:val="00B33525"/>
    <w:rsid w:val="00B33773"/>
    <w:rsid w:val="00B33823"/>
    <w:rsid w:val="00B33827"/>
    <w:rsid w:val="00B3387D"/>
    <w:rsid w:val="00B33955"/>
    <w:rsid w:val="00B339D0"/>
    <w:rsid w:val="00B33A88"/>
    <w:rsid w:val="00B33B50"/>
    <w:rsid w:val="00B33B7E"/>
    <w:rsid w:val="00B33B85"/>
    <w:rsid w:val="00B33C0B"/>
    <w:rsid w:val="00B33C24"/>
    <w:rsid w:val="00B33D27"/>
    <w:rsid w:val="00B33D29"/>
    <w:rsid w:val="00B33D30"/>
    <w:rsid w:val="00B33D9D"/>
    <w:rsid w:val="00B33DC8"/>
    <w:rsid w:val="00B33DF8"/>
    <w:rsid w:val="00B33E74"/>
    <w:rsid w:val="00B33EBF"/>
    <w:rsid w:val="00B33EFA"/>
    <w:rsid w:val="00B33F0A"/>
    <w:rsid w:val="00B33FB5"/>
    <w:rsid w:val="00B34034"/>
    <w:rsid w:val="00B3408E"/>
    <w:rsid w:val="00B340A9"/>
    <w:rsid w:val="00B340AE"/>
    <w:rsid w:val="00B34123"/>
    <w:rsid w:val="00B34167"/>
    <w:rsid w:val="00B3418C"/>
    <w:rsid w:val="00B34205"/>
    <w:rsid w:val="00B34222"/>
    <w:rsid w:val="00B342CB"/>
    <w:rsid w:val="00B342DD"/>
    <w:rsid w:val="00B34317"/>
    <w:rsid w:val="00B34339"/>
    <w:rsid w:val="00B343E8"/>
    <w:rsid w:val="00B343F9"/>
    <w:rsid w:val="00B3440C"/>
    <w:rsid w:val="00B34431"/>
    <w:rsid w:val="00B344BA"/>
    <w:rsid w:val="00B345D7"/>
    <w:rsid w:val="00B345E3"/>
    <w:rsid w:val="00B347F3"/>
    <w:rsid w:val="00B34836"/>
    <w:rsid w:val="00B348AF"/>
    <w:rsid w:val="00B348F6"/>
    <w:rsid w:val="00B3495D"/>
    <w:rsid w:val="00B34985"/>
    <w:rsid w:val="00B349DA"/>
    <w:rsid w:val="00B34AAD"/>
    <w:rsid w:val="00B34ABB"/>
    <w:rsid w:val="00B34B3C"/>
    <w:rsid w:val="00B34B67"/>
    <w:rsid w:val="00B34B87"/>
    <w:rsid w:val="00B34BD8"/>
    <w:rsid w:val="00B34C4B"/>
    <w:rsid w:val="00B34C59"/>
    <w:rsid w:val="00B34C9D"/>
    <w:rsid w:val="00B34D02"/>
    <w:rsid w:val="00B34D57"/>
    <w:rsid w:val="00B34D64"/>
    <w:rsid w:val="00B34D65"/>
    <w:rsid w:val="00B34DB3"/>
    <w:rsid w:val="00B34DC2"/>
    <w:rsid w:val="00B34E00"/>
    <w:rsid w:val="00B34EFE"/>
    <w:rsid w:val="00B34F21"/>
    <w:rsid w:val="00B34F9A"/>
    <w:rsid w:val="00B34FEC"/>
    <w:rsid w:val="00B350D6"/>
    <w:rsid w:val="00B3532D"/>
    <w:rsid w:val="00B35360"/>
    <w:rsid w:val="00B3552F"/>
    <w:rsid w:val="00B35576"/>
    <w:rsid w:val="00B355FE"/>
    <w:rsid w:val="00B35601"/>
    <w:rsid w:val="00B35648"/>
    <w:rsid w:val="00B3565D"/>
    <w:rsid w:val="00B35675"/>
    <w:rsid w:val="00B3567D"/>
    <w:rsid w:val="00B35685"/>
    <w:rsid w:val="00B356CF"/>
    <w:rsid w:val="00B35725"/>
    <w:rsid w:val="00B3575A"/>
    <w:rsid w:val="00B357E9"/>
    <w:rsid w:val="00B3589A"/>
    <w:rsid w:val="00B3592A"/>
    <w:rsid w:val="00B35A6C"/>
    <w:rsid w:val="00B35AAD"/>
    <w:rsid w:val="00B35AB4"/>
    <w:rsid w:val="00B35ADC"/>
    <w:rsid w:val="00B35AE6"/>
    <w:rsid w:val="00B35B44"/>
    <w:rsid w:val="00B35B62"/>
    <w:rsid w:val="00B35B65"/>
    <w:rsid w:val="00B35BD5"/>
    <w:rsid w:val="00B35D2F"/>
    <w:rsid w:val="00B35D6E"/>
    <w:rsid w:val="00B35D7F"/>
    <w:rsid w:val="00B35DCE"/>
    <w:rsid w:val="00B35DF5"/>
    <w:rsid w:val="00B35E11"/>
    <w:rsid w:val="00B35F00"/>
    <w:rsid w:val="00B36099"/>
    <w:rsid w:val="00B360A6"/>
    <w:rsid w:val="00B360B6"/>
    <w:rsid w:val="00B360E3"/>
    <w:rsid w:val="00B360E6"/>
    <w:rsid w:val="00B36225"/>
    <w:rsid w:val="00B362D2"/>
    <w:rsid w:val="00B36335"/>
    <w:rsid w:val="00B363C1"/>
    <w:rsid w:val="00B3646B"/>
    <w:rsid w:val="00B364EB"/>
    <w:rsid w:val="00B36569"/>
    <w:rsid w:val="00B36656"/>
    <w:rsid w:val="00B36672"/>
    <w:rsid w:val="00B366CA"/>
    <w:rsid w:val="00B366DF"/>
    <w:rsid w:val="00B36748"/>
    <w:rsid w:val="00B3674D"/>
    <w:rsid w:val="00B36792"/>
    <w:rsid w:val="00B36867"/>
    <w:rsid w:val="00B36955"/>
    <w:rsid w:val="00B36B37"/>
    <w:rsid w:val="00B36B88"/>
    <w:rsid w:val="00B36BA7"/>
    <w:rsid w:val="00B36BE5"/>
    <w:rsid w:val="00B36C36"/>
    <w:rsid w:val="00B36CC8"/>
    <w:rsid w:val="00B36CD4"/>
    <w:rsid w:val="00B36D01"/>
    <w:rsid w:val="00B36D3B"/>
    <w:rsid w:val="00B36D73"/>
    <w:rsid w:val="00B36E1E"/>
    <w:rsid w:val="00B36EA6"/>
    <w:rsid w:val="00B36F4C"/>
    <w:rsid w:val="00B36F52"/>
    <w:rsid w:val="00B36F63"/>
    <w:rsid w:val="00B36FA7"/>
    <w:rsid w:val="00B370C0"/>
    <w:rsid w:val="00B371C6"/>
    <w:rsid w:val="00B371EE"/>
    <w:rsid w:val="00B3727F"/>
    <w:rsid w:val="00B372D4"/>
    <w:rsid w:val="00B372EB"/>
    <w:rsid w:val="00B3730A"/>
    <w:rsid w:val="00B37327"/>
    <w:rsid w:val="00B37369"/>
    <w:rsid w:val="00B3739D"/>
    <w:rsid w:val="00B373C7"/>
    <w:rsid w:val="00B37412"/>
    <w:rsid w:val="00B374C8"/>
    <w:rsid w:val="00B375CC"/>
    <w:rsid w:val="00B377EA"/>
    <w:rsid w:val="00B37842"/>
    <w:rsid w:val="00B37846"/>
    <w:rsid w:val="00B37855"/>
    <w:rsid w:val="00B3787F"/>
    <w:rsid w:val="00B378A1"/>
    <w:rsid w:val="00B37910"/>
    <w:rsid w:val="00B379CA"/>
    <w:rsid w:val="00B37A8B"/>
    <w:rsid w:val="00B37AB9"/>
    <w:rsid w:val="00B37ABB"/>
    <w:rsid w:val="00B37AC1"/>
    <w:rsid w:val="00B37B23"/>
    <w:rsid w:val="00B37B9C"/>
    <w:rsid w:val="00B37BD3"/>
    <w:rsid w:val="00B37C14"/>
    <w:rsid w:val="00B37C34"/>
    <w:rsid w:val="00B37D1D"/>
    <w:rsid w:val="00B37DB7"/>
    <w:rsid w:val="00B37E15"/>
    <w:rsid w:val="00B37E71"/>
    <w:rsid w:val="00B37E95"/>
    <w:rsid w:val="00B37E96"/>
    <w:rsid w:val="00B37EB3"/>
    <w:rsid w:val="00B37FB1"/>
    <w:rsid w:val="00B37FC1"/>
    <w:rsid w:val="00B37FE0"/>
    <w:rsid w:val="00B40020"/>
    <w:rsid w:val="00B40028"/>
    <w:rsid w:val="00B4009A"/>
    <w:rsid w:val="00B400BF"/>
    <w:rsid w:val="00B401A8"/>
    <w:rsid w:val="00B401D9"/>
    <w:rsid w:val="00B40212"/>
    <w:rsid w:val="00B40228"/>
    <w:rsid w:val="00B402B3"/>
    <w:rsid w:val="00B40331"/>
    <w:rsid w:val="00B4035D"/>
    <w:rsid w:val="00B40445"/>
    <w:rsid w:val="00B40470"/>
    <w:rsid w:val="00B4048A"/>
    <w:rsid w:val="00B404F2"/>
    <w:rsid w:val="00B40577"/>
    <w:rsid w:val="00B4057E"/>
    <w:rsid w:val="00B4061E"/>
    <w:rsid w:val="00B4065F"/>
    <w:rsid w:val="00B406BA"/>
    <w:rsid w:val="00B40730"/>
    <w:rsid w:val="00B40793"/>
    <w:rsid w:val="00B407E6"/>
    <w:rsid w:val="00B407EE"/>
    <w:rsid w:val="00B40808"/>
    <w:rsid w:val="00B4082A"/>
    <w:rsid w:val="00B40851"/>
    <w:rsid w:val="00B4086F"/>
    <w:rsid w:val="00B408CF"/>
    <w:rsid w:val="00B40911"/>
    <w:rsid w:val="00B40971"/>
    <w:rsid w:val="00B4099C"/>
    <w:rsid w:val="00B409A0"/>
    <w:rsid w:val="00B409CE"/>
    <w:rsid w:val="00B40A23"/>
    <w:rsid w:val="00B40A30"/>
    <w:rsid w:val="00B40A32"/>
    <w:rsid w:val="00B40B19"/>
    <w:rsid w:val="00B40B67"/>
    <w:rsid w:val="00B40BC1"/>
    <w:rsid w:val="00B40C38"/>
    <w:rsid w:val="00B40D80"/>
    <w:rsid w:val="00B40DA3"/>
    <w:rsid w:val="00B40EA3"/>
    <w:rsid w:val="00B40F4E"/>
    <w:rsid w:val="00B40FCF"/>
    <w:rsid w:val="00B40FD8"/>
    <w:rsid w:val="00B40FDE"/>
    <w:rsid w:val="00B4108C"/>
    <w:rsid w:val="00B41190"/>
    <w:rsid w:val="00B41393"/>
    <w:rsid w:val="00B41399"/>
    <w:rsid w:val="00B413F8"/>
    <w:rsid w:val="00B4140B"/>
    <w:rsid w:val="00B41473"/>
    <w:rsid w:val="00B4150D"/>
    <w:rsid w:val="00B415E6"/>
    <w:rsid w:val="00B4161B"/>
    <w:rsid w:val="00B41621"/>
    <w:rsid w:val="00B416E6"/>
    <w:rsid w:val="00B4171C"/>
    <w:rsid w:val="00B4179F"/>
    <w:rsid w:val="00B417AD"/>
    <w:rsid w:val="00B419AE"/>
    <w:rsid w:val="00B419DF"/>
    <w:rsid w:val="00B419FC"/>
    <w:rsid w:val="00B41AB8"/>
    <w:rsid w:val="00B41BA6"/>
    <w:rsid w:val="00B41C32"/>
    <w:rsid w:val="00B41D19"/>
    <w:rsid w:val="00B41D52"/>
    <w:rsid w:val="00B41DC1"/>
    <w:rsid w:val="00B41E40"/>
    <w:rsid w:val="00B41F3F"/>
    <w:rsid w:val="00B41F40"/>
    <w:rsid w:val="00B41FAF"/>
    <w:rsid w:val="00B42078"/>
    <w:rsid w:val="00B420A0"/>
    <w:rsid w:val="00B420E8"/>
    <w:rsid w:val="00B42347"/>
    <w:rsid w:val="00B42355"/>
    <w:rsid w:val="00B4236E"/>
    <w:rsid w:val="00B423A7"/>
    <w:rsid w:val="00B4244A"/>
    <w:rsid w:val="00B42465"/>
    <w:rsid w:val="00B42563"/>
    <w:rsid w:val="00B42583"/>
    <w:rsid w:val="00B425F6"/>
    <w:rsid w:val="00B4263A"/>
    <w:rsid w:val="00B426EE"/>
    <w:rsid w:val="00B4271C"/>
    <w:rsid w:val="00B42865"/>
    <w:rsid w:val="00B428C5"/>
    <w:rsid w:val="00B429F5"/>
    <w:rsid w:val="00B42AEB"/>
    <w:rsid w:val="00B42B05"/>
    <w:rsid w:val="00B42B06"/>
    <w:rsid w:val="00B42B2A"/>
    <w:rsid w:val="00B42B60"/>
    <w:rsid w:val="00B42B88"/>
    <w:rsid w:val="00B42BAB"/>
    <w:rsid w:val="00B42BC8"/>
    <w:rsid w:val="00B42CB0"/>
    <w:rsid w:val="00B42D18"/>
    <w:rsid w:val="00B42D72"/>
    <w:rsid w:val="00B42DE4"/>
    <w:rsid w:val="00B42DFF"/>
    <w:rsid w:val="00B42E11"/>
    <w:rsid w:val="00B42E92"/>
    <w:rsid w:val="00B42FF6"/>
    <w:rsid w:val="00B42FF8"/>
    <w:rsid w:val="00B43017"/>
    <w:rsid w:val="00B4307F"/>
    <w:rsid w:val="00B430D1"/>
    <w:rsid w:val="00B43140"/>
    <w:rsid w:val="00B431CA"/>
    <w:rsid w:val="00B43227"/>
    <w:rsid w:val="00B4325D"/>
    <w:rsid w:val="00B43345"/>
    <w:rsid w:val="00B4339B"/>
    <w:rsid w:val="00B433DE"/>
    <w:rsid w:val="00B43417"/>
    <w:rsid w:val="00B4343E"/>
    <w:rsid w:val="00B43449"/>
    <w:rsid w:val="00B4344F"/>
    <w:rsid w:val="00B43664"/>
    <w:rsid w:val="00B436D1"/>
    <w:rsid w:val="00B43721"/>
    <w:rsid w:val="00B43753"/>
    <w:rsid w:val="00B43805"/>
    <w:rsid w:val="00B43876"/>
    <w:rsid w:val="00B438CF"/>
    <w:rsid w:val="00B438E9"/>
    <w:rsid w:val="00B43980"/>
    <w:rsid w:val="00B43ACC"/>
    <w:rsid w:val="00B43B05"/>
    <w:rsid w:val="00B43BA4"/>
    <w:rsid w:val="00B43CB3"/>
    <w:rsid w:val="00B43CF3"/>
    <w:rsid w:val="00B43CFC"/>
    <w:rsid w:val="00B43D06"/>
    <w:rsid w:val="00B43D40"/>
    <w:rsid w:val="00B43DA3"/>
    <w:rsid w:val="00B43DBC"/>
    <w:rsid w:val="00B43DD6"/>
    <w:rsid w:val="00B43E70"/>
    <w:rsid w:val="00B43EA1"/>
    <w:rsid w:val="00B43EEB"/>
    <w:rsid w:val="00B43EF0"/>
    <w:rsid w:val="00B43F1F"/>
    <w:rsid w:val="00B43F25"/>
    <w:rsid w:val="00B43F27"/>
    <w:rsid w:val="00B43F67"/>
    <w:rsid w:val="00B43FCD"/>
    <w:rsid w:val="00B440B0"/>
    <w:rsid w:val="00B440BF"/>
    <w:rsid w:val="00B440F3"/>
    <w:rsid w:val="00B44133"/>
    <w:rsid w:val="00B44223"/>
    <w:rsid w:val="00B442AC"/>
    <w:rsid w:val="00B4432E"/>
    <w:rsid w:val="00B4437B"/>
    <w:rsid w:val="00B443F1"/>
    <w:rsid w:val="00B4451D"/>
    <w:rsid w:val="00B4456F"/>
    <w:rsid w:val="00B44573"/>
    <w:rsid w:val="00B4458A"/>
    <w:rsid w:val="00B4458B"/>
    <w:rsid w:val="00B44600"/>
    <w:rsid w:val="00B446E2"/>
    <w:rsid w:val="00B44776"/>
    <w:rsid w:val="00B447A3"/>
    <w:rsid w:val="00B44849"/>
    <w:rsid w:val="00B4489C"/>
    <w:rsid w:val="00B4497C"/>
    <w:rsid w:val="00B449D0"/>
    <w:rsid w:val="00B449DB"/>
    <w:rsid w:val="00B449EB"/>
    <w:rsid w:val="00B44B32"/>
    <w:rsid w:val="00B44BA4"/>
    <w:rsid w:val="00B44BDB"/>
    <w:rsid w:val="00B44C48"/>
    <w:rsid w:val="00B44C54"/>
    <w:rsid w:val="00B44CAF"/>
    <w:rsid w:val="00B44D2C"/>
    <w:rsid w:val="00B44D7C"/>
    <w:rsid w:val="00B44DB2"/>
    <w:rsid w:val="00B44E32"/>
    <w:rsid w:val="00B44F46"/>
    <w:rsid w:val="00B44F5E"/>
    <w:rsid w:val="00B44F72"/>
    <w:rsid w:val="00B450E6"/>
    <w:rsid w:val="00B4514E"/>
    <w:rsid w:val="00B4521E"/>
    <w:rsid w:val="00B45280"/>
    <w:rsid w:val="00B4528A"/>
    <w:rsid w:val="00B45323"/>
    <w:rsid w:val="00B45357"/>
    <w:rsid w:val="00B453EF"/>
    <w:rsid w:val="00B4542B"/>
    <w:rsid w:val="00B45527"/>
    <w:rsid w:val="00B4558B"/>
    <w:rsid w:val="00B4563D"/>
    <w:rsid w:val="00B4566B"/>
    <w:rsid w:val="00B45751"/>
    <w:rsid w:val="00B45787"/>
    <w:rsid w:val="00B457F1"/>
    <w:rsid w:val="00B45809"/>
    <w:rsid w:val="00B45810"/>
    <w:rsid w:val="00B45849"/>
    <w:rsid w:val="00B4585C"/>
    <w:rsid w:val="00B4585E"/>
    <w:rsid w:val="00B4586E"/>
    <w:rsid w:val="00B4587D"/>
    <w:rsid w:val="00B45896"/>
    <w:rsid w:val="00B4598B"/>
    <w:rsid w:val="00B459DE"/>
    <w:rsid w:val="00B45A45"/>
    <w:rsid w:val="00B45B7B"/>
    <w:rsid w:val="00B45B89"/>
    <w:rsid w:val="00B45BAB"/>
    <w:rsid w:val="00B45BF0"/>
    <w:rsid w:val="00B45C3B"/>
    <w:rsid w:val="00B45D69"/>
    <w:rsid w:val="00B45D8C"/>
    <w:rsid w:val="00B45DA0"/>
    <w:rsid w:val="00B45DD1"/>
    <w:rsid w:val="00B45EE3"/>
    <w:rsid w:val="00B45F95"/>
    <w:rsid w:val="00B45F99"/>
    <w:rsid w:val="00B4617B"/>
    <w:rsid w:val="00B461AE"/>
    <w:rsid w:val="00B461EA"/>
    <w:rsid w:val="00B4621F"/>
    <w:rsid w:val="00B46229"/>
    <w:rsid w:val="00B46254"/>
    <w:rsid w:val="00B462E3"/>
    <w:rsid w:val="00B462FD"/>
    <w:rsid w:val="00B46385"/>
    <w:rsid w:val="00B463BC"/>
    <w:rsid w:val="00B463D7"/>
    <w:rsid w:val="00B4648B"/>
    <w:rsid w:val="00B464E4"/>
    <w:rsid w:val="00B46534"/>
    <w:rsid w:val="00B465A9"/>
    <w:rsid w:val="00B465E6"/>
    <w:rsid w:val="00B465E9"/>
    <w:rsid w:val="00B4660E"/>
    <w:rsid w:val="00B46687"/>
    <w:rsid w:val="00B4677F"/>
    <w:rsid w:val="00B46905"/>
    <w:rsid w:val="00B46933"/>
    <w:rsid w:val="00B46985"/>
    <w:rsid w:val="00B469D9"/>
    <w:rsid w:val="00B469F4"/>
    <w:rsid w:val="00B46A0D"/>
    <w:rsid w:val="00B46A59"/>
    <w:rsid w:val="00B46B0A"/>
    <w:rsid w:val="00B46B4B"/>
    <w:rsid w:val="00B46B79"/>
    <w:rsid w:val="00B46B9F"/>
    <w:rsid w:val="00B46BB6"/>
    <w:rsid w:val="00B46BEB"/>
    <w:rsid w:val="00B46CC7"/>
    <w:rsid w:val="00B46CD8"/>
    <w:rsid w:val="00B46D23"/>
    <w:rsid w:val="00B46D55"/>
    <w:rsid w:val="00B46EB0"/>
    <w:rsid w:val="00B46FB4"/>
    <w:rsid w:val="00B46FD1"/>
    <w:rsid w:val="00B471AA"/>
    <w:rsid w:val="00B47207"/>
    <w:rsid w:val="00B4725A"/>
    <w:rsid w:val="00B4727E"/>
    <w:rsid w:val="00B473A9"/>
    <w:rsid w:val="00B47456"/>
    <w:rsid w:val="00B47458"/>
    <w:rsid w:val="00B47535"/>
    <w:rsid w:val="00B475CB"/>
    <w:rsid w:val="00B475FE"/>
    <w:rsid w:val="00B476A8"/>
    <w:rsid w:val="00B476E3"/>
    <w:rsid w:val="00B4772B"/>
    <w:rsid w:val="00B4774B"/>
    <w:rsid w:val="00B478BA"/>
    <w:rsid w:val="00B478ED"/>
    <w:rsid w:val="00B479E2"/>
    <w:rsid w:val="00B47A12"/>
    <w:rsid w:val="00B47A82"/>
    <w:rsid w:val="00B47ABE"/>
    <w:rsid w:val="00B47B56"/>
    <w:rsid w:val="00B47BB7"/>
    <w:rsid w:val="00B47C1F"/>
    <w:rsid w:val="00B47C56"/>
    <w:rsid w:val="00B47C60"/>
    <w:rsid w:val="00B47C70"/>
    <w:rsid w:val="00B47C91"/>
    <w:rsid w:val="00B47C98"/>
    <w:rsid w:val="00B47DB1"/>
    <w:rsid w:val="00B47DD4"/>
    <w:rsid w:val="00B47DD8"/>
    <w:rsid w:val="00B47E5B"/>
    <w:rsid w:val="00B47E8C"/>
    <w:rsid w:val="00B47E99"/>
    <w:rsid w:val="00B47ED1"/>
    <w:rsid w:val="00B47F24"/>
    <w:rsid w:val="00B47F31"/>
    <w:rsid w:val="00B47F44"/>
    <w:rsid w:val="00B50000"/>
    <w:rsid w:val="00B50059"/>
    <w:rsid w:val="00B500F0"/>
    <w:rsid w:val="00B5014C"/>
    <w:rsid w:val="00B50169"/>
    <w:rsid w:val="00B501C4"/>
    <w:rsid w:val="00B5022B"/>
    <w:rsid w:val="00B5030E"/>
    <w:rsid w:val="00B503C4"/>
    <w:rsid w:val="00B50433"/>
    <w:rsid w:val="00B50463"/>
    <w:rsid w:val="00B50536"/>
    <w:rsid w:val="00B505BB"/>
    <w:rsid w:val="00B505C7"/>
    <w:rsid w:val="00B50604"/>
    <w:rsid w:val="00B50614"/>
    <w:rsid w:val="00B50673"/>
    <w:rsid w:val="00B506A2"/>
    <w:rsid w:val="00B506C3"/>
    <w:rsid w:val="00B506EC"/>
    <w:rsid w:val="00B5071B"/>
    <w:rsid w:val="00B507E4"/>
    <w:rsid w:val="00B50894"/>
    <w:rsid w:val="00B508E1"/>
    <w:rsid w:val="00B50956"/>
    <w:rsid w:val="00B50992"/>
    <w:rsid w:val="00B509BE"/>
    <w:rsid w:val="00B50B7A"/>
    <w:rsid w:val="00B50BB9"/>
    <w:rsid w:val="00B50C4A"/>
    <w:rsid w:val="00B50C62"/>
    <w:rsid w:val="00B50C8F"/>
    <w:rsid w:val="00B50C9F"/>
    <w:rsid w:val="00B50E45"/>
    <w:rsid w:val="00B50F00"/>
    <w:rsid w:val="00B50F34"/>
    <w:rsid w:val="00B50F89"/>
    <w:rsid w:val="00B50FE2"/>
    <w:rsid w:val="00B50FF0"/>
    <w:rsid w:val="00B5103F"/>
    <w:rsid w:val="00B51055"/>
    <w:rsid w:val="00B510A0"/>
    <w:rsid w:val="00B510B3"/>
    <w:rsid w:val="00B510CC"/>
    <w:rsid w:val="00B510E0"/>
    <w:rsid w:val="00B5111B"/>
    <w:rsid w:val="00B51147"/>
    <w:rsid w:val="00B5120E"/>
    <w:rsid w:val="00B51216"/>
    <w:rsid w:val="00B51251"/>
    <w:rsid w:val="00B51253"/>
    <w:rsid w:val="00B512A6"/>
    <w:rsid w:val="00B51342"/>
    <w:rsid w:val="00B51455"/>
    <w:rsid w:val="00B5148F"/>
    <w:rsid w:val="00B51492"/>
    <w:rsid w:val="00B515A7"/>
    <w:rsid w:val="00B515F7"/>
    <w:rsid w:val="00B516B7"/>
    <w:rsid w:val="00B5171C"/>
    <w:rsid w:val="00B51809"/>
    <w:rsid w:val="00B518A6"/>
    <w:rsid w:val="00B518C6"/>
    <w:rsid w:val="00B518DB"/>
    <w:rsid w:val="00B51A04"/>
    <w:rsid w:val="00B51A17"/>
    <w:rsid w:val="00B51A82"/>
    <w:rsid w:val="00B51A8D"/>
    <w:rsid w:val="00B51A93"/>
    <w:rsid w:val="00B51ACC"/>
    <w:rsid w:val="00B51BC7"/>
    <w:rsid w:val="00B51CEA"/>
    <w:rsid w:val="00B51D3A"/>
    <w:rsid w:val="00B51E4E"/>
    <w:rsid w:val="00B51E76"/>
    <w:rsid w:val="00B51E8C"/>
    <w:rsid w:val="00B51F49"/>
    <w:rsid w:val="00B51F68"/>
    <w:rsid w:val="00B51FD9"/>
    <w:rsid w:val="00B51FDC"/>
    <w:rsid w:val="00B5209D"/>
    <w:rsid w:val="00B520B7"/>
    <w:rsid w:val="00B5217B"/>
    <w:rsid w:val="00B52188"/>
    <w:rsid w:val="00B521BA"/>
    <w:rsid w:val="00B52236"/>
    <w:rsid w:val="00B5226F"/>
    <w:rsid w:val="00B52270"/>
    <w:rsid w:val="00B522A0"/>
    <w:rsid w:val="00B522AB"/>
    <w:rsid w:val="00B522F9"/>
    <w:rsid w:val="00B5231D"/>
    <w:rsid w:val="00B5234A"/>
    <w:rsid w:val="00B52419"/>
    <w:rsid w:val="00B524F7"/>
    <w:rsid w:val="00B524FF"/>
    <w:rsid w:val="00B525D2"/>
    <w:rsid w:val="00B52608"/>
    <w:rsid w:val="00B5263E"/>
    <w:rsid w:val="00B526F7"/>
    <w:rsid w:val="00B5288B"/>
    <w:rsid w:val="00B528EB"/>
    <w:rsid w:val="00B52985"/>
    <w:rsid w:val="00B529A0"/>
    <w:rsid w:val="00B529CA"/>
    <w:rsid w:val="00B52AD1"/>
    <w:rsid w:val="00B52BF3"/>
    <w:rsid w:val="00B52C00"/>
    <w:rsid w:val="00B52C60"/>
    <w:rsid w:val="00B52CB4"/>
    <w:rsid w:val="00B52E16"/>
    <w:rsid w:val="00B52E58"/>
    <w:rsid w:val="00B52EEF"/>
    <w:rsid w:val="00B530A3"/>
    <w:rsid w:val="00B53258"/>
    <w:rsid w:val="00B53309"/>
    <w:rsid w:val="00B53310"/>
    <w:rsid w:val="00B53319"/>
    <w:rsid w:val="00B53328"/>
    <w:rsid w:val="00B53445"/>
    <w:rsid w:val="00B5354B"/>
    <w:rsid w:val="00B535B8"/>
    <w:rsid w:val="00B535BC"/>
    <w:rsid w:val="00B53669"/>
    <w:rsid w:val="00B5369B"/>
    <w:rsid w:val="00B536AF"/>
    <w:rsid w:val="00B536FB"/>
    <w:rsid w:val="00B53756"/>
    <w:rsid w:val="00B537EA"/>
    <w:rsid w:val="00B53834"/>
    <w:rsid w:val="00B538E2"/>
    <w:rsid w:val="00B5395B"/>
    <w:rsid w:val="00B53A13"/>
    <w:rsid w:val="00B53A45"/>
    <w:rsid w:val="00B53A4D"/>
    <w:rsid w:val="00B53A76"/>
    <w:rsid w:val="00B53A7D"/>
    <w:rsid w:val="00B53AEF"/>
    <w:rsid w:val="00B53C89"/>
    <w:rsid w:val="00B53C8F"/>
    <w:rsid w:val="00B53C97"/>
    <w:rsid w:val="00B53CC4"/>
    <w:rsid w:val="00B53CCE"/>
    <w:rsid w:val="00B53D0C"/>
    <w:rsid w:val="00B53D7F"/>
    <w:rsid w:val="00B53DC3"/>
    <w:rsid w:val="00B53E25"/>
    <w:rsid w:val="00B53E6B"/>
    <w:rsid w:val="00B53E9F"/>
    <w:rsid w:val="00B53F01"/>
    <w:rsid w:val="00B53F4A"/>
    <w:rsid w:val="00B53F6D"/>
    <w:rsid w:val="00B53F72"/>
    <w:rsid w:val="00B53F90"/>
    <w:rsid w:val="00B53FF9"/>
    <w:rsid w:val="00B54024"/>
    <w:rsid w:val="00B54045"/>
    <w:rsid w:val="00B5404D"/>
    <w:rsid w:val="00B54069"/>
    <w:rsid w:val="00B540C7"/>
    <w:rsid w:val="00B540F8"/>
    <w:rsid w:val="00B54103"/>
    <w:rsid w:val="00B54123"/>
    <w:rsid w:val="00B54165"/>
    <w:rsid w:val="00B541C3"/>
    <w:rsid w:val="00B541F3"/>
    <w:rsid w:val="00B54280"/>
    <w:rsid w:val="00B542B1"/>
    <w:rsid w:val="00B542F3"/>
    <w:rsid w:val="00B543DB"/>
    <w:rsid w:val="00B543E3"/>
    <w:rsid w:val="00B54400"/>
    <w:rsid w:val="00B54422"/>
    <w:rsid w:val="00B54471"/>
    <w:rsid w:val="00B5448F"/>
    <w:rsid w:val="00B544DD"/>
    <w:rsid w:val="00B54518"/>
    <w:rsid w:val="00B5455A"/>
    <w:rsid w:val="00B54569"/>
    <w:rsid w:val="00B5457F"/>
    <w:rsid w:val="00B545EE"/>
    <w:rsid w:val="00B54618"/>
    <w:rsid w:val="00B5466C"/>
    <w:rsid w:val="00B5474B"/>
    <w:rsid w:val="00B54785"/>
    <w:rsid w:val="00B547B3"/>
    <w:rsid w:val="00B547D0"/>
    <w:rsid w:val="00B547FD"/>
    <w:rsid w:val="00B54865"/>
    <w:rsid w:val="00B5486F"/>
    <w:rsid w:val="00B5495C"/>
    <w:rsid w:val="00B549DB"/>
    <w:rsid w:val="00B54AE5"/>
    <w:rsid w:val="00B54B8D"/>
    <w:rsid w:val="00B54D10"/>
    <w:rsid w:val="00B54D9C"/>
    <w:rsid w:val="00B54DED"/>
    <w:rsid w:val="00B54E37"/>
    <w:rsid w:val="00B54E41"/>
    <w:rsid w:val="00B54EE8"/>
    <w:rsid w:val="00B54F35"/>
    <w:rsid w:val="00B550CD"/>
    <w:rsid w:val="00B55102"/>
    <w:rsid w:val="00B55142"/>
    <w:rsid w:val="00B5520E"/>
    <w:rsid w:val="00B552D7"/>
    <w:rsid w:val="00B5544E"/>
    <w:rsid w:val="00B554B7"/>
    <w:rsid w:val="00B5551F"/>
    <w:rsid w:val="00B55533"/>
    <w:rsid w:val="00B555BD"/>
    <w:rsid w:val="00B5561E"/>
    <w:rsid w:val="00B556AA"/>
    <w:rsid w:val="00B55767"/>
    <w:rsid w:val="00B557F8"/>
    <w:rsid w:val="00B5580A"/>
    <w:rsid w:val="00B55834"/>
    <w:rsid w:val="00B55885"/>
    <w:rsid w:val="00B558A9"/>
    <w:rsid w:val="00B558B3"/>
    <w:rsid w:val="00B558F1"/>
    <w:rsid w:val="00B5591A"/>
    <w:rsid w:val="00B55922"/>
    <w:rsid w:val="00B55970"/>
    <w:rsid w:val="00B55972"/>
    <w:rsid w:val="00B5597B"/>
    <w:rsid w:val="00B55A61"/>
    <w:rsid w:val="00B55AEC"/>
    <w:rsid w:val="00B55B4A"/>
    <w:rsid w:val="00B55B53"/>
    <w:rsid w:val="00B55B7E"/>
    <w:rsid w:val="00B55BDC"/>
    <w:rsid w:val="00B55BFC"/>
    <w:rsid w:val="00B55C38"/>
    <w:rsid w:val="00B55C5E"/>
    <w:rsid w:val="00B55CBF"/>
    <w:rsid w:val="00B55D06"/>
    <w:rsid w:val="00B55E04"/>
    <w:rsid w:val="00B55E13"/>
    <w:rsid w:val="00B55E82"/>
    <w:rsid w:val="00B55FEF"/>
    <w:rsid w:val="00B560B7"/>
    <w:rsid w:val="00B5610F"/>
    <w:rsid w:val="00B5615D"/>
    <w:rsid w:val="00B561A3"/>
    <w:rsid w:val="00B56250"/>
    <w:rsid w:val="00B562B0"/>
    <w:rsid w:val="00B562F8"/>
    <w:rsid w:val="00B563CB"/>
    <w:rsid w:val="00B56432"/>
    <w:rsid w:val="00B564C7"/>
    <w:rsid w:val="00B5651B"/>
    <w:rsid w:val="00B56560"/>
    <w:rsid w:val="00B56572"/>
    <w:rsid w:val="00B56579"/>
    <w:rsid w:val="00B565C6"/>
    <w:rsid w:val="00B56616"/>
    <w:rsid w:val="00B56654"/>
    <w:rsid w:val="00B56767"/>
    <w:rsid w:val="00B56768"/>
    <w:rsid w:val="00B5676C"/>
    <w:rsid w:val="00B567D8"/>
    <w:rsid w:val="00B56815"/>
    <w:rsid w:val="00B5683C"/>
    <w:rsid w:val="00B568C6"/>
    <w:rsid w:val="00B56985"/>
    <w:rsid w:val="00B569A9"/>
    <w:rsid w:val="00B569E3"/>
    <w:rsid w:val="00B56A35"/>
    <w:rsid w:val="00B56A37"/>
    <w:rsid w:val="00B56A47"/>
    <w:rsid w:val="00B56A7F"/>
    <w:rsid w:val="00B56B42"/>
    <w:rsid w:val="00B56B5A"/>
    <w:rsid w:val="00B56BF7"/>
    <w:rsid w:val="00B56C1F"/>
    <w:rsid w:val="00B56C63"/>
    <w:rsid w:val="00B56C76"/>
    <w:rsid w:val="00B56CA2"/>
    <w:rsid w:val="00B56CB0"/>
    <w:rsid w:val="00B56D12"/>
    <w:rsid w:val="00B56DCD"/>
    <w:rsid w:val="00B56F11"/>
    <w:rsid w:val="00B56FF0"/>
    <w:rsid w:val="00B5701A"/>
    <w:rsid w:val="00B570D3"/>
    <w:rsid w:val="00B571BE"/>
    <w:rsid w:val="00B572D1"/>
    <w:rsid w:val="00B57303"/>
    <w:rsid w:val="00B573AA"/>
    <w:rsid w:val="00B57425"/>
    <w:rsid w:val="00B57429"/>
    <w:rsid w:val="00B574EC"/>
    <w:rsid w:val="00B575C3"/>
    <w:rsid w:val="00B57602"/>
    <w:rsid w:val="00B57653"/>
    <w:rsid w:val="00B5766D"/>
    <w:rsid w:val="00B576BB"/>
    <w:rsid w:val="00B57713"/>
    <w:rsid w:val="00B5775E"/>
    <w:rsid w:val="00B577CA"/>
    <w:rsid w:val="00B57831"/>
    <w:rsid w:val="00B57842"/>
    <w:rsid w:val="00B578AF"/>
    <w:rsid w:val="00B57972"/>
    <w:rsid w:val="00B579BB"/>
    <w:rsid w:val="00B57A18"/>
    <w:rsid w:val="00B57A49"/>
    <w:rsid w:val="00B57B4D"/>
    <w:rsid w:val="00B57BF0"/>
    <w:rsid w:val="00B57D79"/>
    <w:rsid w:val="00B57DA3"/>
    <w:rsid w:val="00B57E71"/>
    <w:rsid w:val="00B57E8A"/>
    <w:rsid w:val="00B57EAF"/>
    <w:rsid w:val="00B57EB6"/>
    <w:rsid w:val="00B57ED9"/>
    <w:rsid w:val="00B57F4C"/>
    <w:rsid w:val="00B600F7"/>
    <w:rsid w:val="00B60110"/>
    <w:rsid w:val="00B6017B"/>
    <w:rsid w:val="00B601B4"/>
    <w:rsid w:val="00B6023F"/>
    <w:rsid w:val="00B602A4"/>
    <w:rsid w:val="00B6030F"/>
    <w:rsid w:val="00B60375"/>
    <w:rsid w:val="00B603F9"/>
    <w:rsid w:val="00B60448"/>
    <w:rsid w:val="00B6045E"/>
    <w:rsid w:val="00B60520"/>
    <w:rsid w:val="00B60525"/>
    <w:rsid w:val="00B60654"/>
    <w:rsid w:val="00B60665"/>
    <w:rsid w:val="00B60674"/>
    <w:rsid w:val="00B6078B"/>
    <w:rsid w:val="00B607E0"/>
    <w:rsid w:val="00B60804"/>
    <w:rsid w:val="00B60816"/>
    <w:rsid w:val="00B60829"/>
    <w:rsid w:val="00B6084F"/>
    <w:rsid w:val="00B608AE"/>
    <w:rsid w:val="00B608BA"/>
    <w:rsid w:val="00B608D9"/>
    <w:rsid w:val="00B608DE"/>
    <w:rsid w:val="00B609D1"/>
    <w:rsid w:val="00B60A76"/>
    <w:rsid w:val="00B60A7C"/>
    <w:rsid w:val="00B60C34"/>
    <w:rsid w:val="00B60D82"/>
    <w:rsid w:val="00B60DD4"/>
    <w:rsid w:val="00B60E55"/>
    <w:rsid w:val="00B60F1C"/>
    <w:rsid w:val="00B60F6D"/>
    <w:rsid w:val="00B61020"/>
    <w:rsid w:val="00B6112E"/>
    <w:rsid w:val="00B61133"/>
    <w:rsid w:val="00B61135"/>
    <w:rsid w:val="00B6114B"/>
    <w:rsid w:val="00B61166"/>
    <w:rsid w:val="00B61189"/>
    <w:rsid w:val="00B611F8"/>
    <w:rsid w:val="00B6125B"/>
    <w:rsid w:val="00B61298"/>
    <w:rsid w:val="00B612C4"/>
    <w:rsid w:val="00B61335"/>
    <w:rsid w:val="00B61370"/>
    <w:rsid w:val="00B613CA"/>
    <w:rsid w:val="00B61411"/>
    <w:rsid w:val="00B6143F"/>
    <w:rsid w:val="00B6150D"/>
    <w:rsid w:val="00B61621"/>
    <w:rsid w:val="00B6171A"/>
    <w:rsid w:val="00B6172D"/>
    <w:rsid w:val="00B6176C"/>
    <w:rsid w:val="00B617B2"/>
    <w:rsid w:val="00B617C1"/>
    <w:rsid w:val="00B618E9"/>
    <w:rsid w:val="00B6190B"/>
    <w:rsid w:val="00B6190E"/>
    <w:rsid w:val="00B61948"/>
    <w:rsid w:val="00B619F3"/>
    <w:rsid w:val="00B61A59"/>
    <w:rsid w:val="00B61ABA"/>
    <w:rsid w:val="00B61ACA"/>
    <w:rsid w:val="00B61B1D"/>
    <w:rsid w:val="00B61B2E"/>
    <w:rsid w:val="00B61BE0"/>
    <w:rsid w:val="00B61D1F"/>
    <w:rsid w:val="00B61D6D"/>
    <w:rsid w:val="00B61D97"/>
    <w:rsid w:val="00B61DA9"/>
    <w:rsid w:val="00B61E67"/>
    <w:rsid w:val="00B61FAC"/>
    <w:rsid w:val="00B62080"/>
    <w:rsid w:val="00B62098"/>
    <w:rsid w:val="00B62160"/>
    <w:rsid w:val="00B621C3"/>
    <w:rsid w:val="00B621E7"/>
    <w:rsid w:val="00B62326"/>
    <w:rsid w:val="00B623CA"/>
    <w:rsid w:val="00B6240D"/>
    <w:rsid w:val="00B62436"/>
    <w:rsid w:val="00B62496"/>
    <w:rsid w:val="00B6249E"/>
    <w:rsid w:val="00B624A0"/>
    <w:rsid w:val="00B62511"/>
    <w:rsid w:val="00B62512"/>
    <w:rsid w:val="00B62560"/>
    <w:rsid w:val="00B625EA"/>
    <w:rsid w:val="00B62623"/>
    <w:rsid w:val="00B626EC"/>
    <w:rsid w:val="00B62760"/>
    <w:rsid w:val="00B62767"/>
    <w:rsid w:val="00B6277C"/>
    <w:rsid w:val="00B627AD"/>
    <w:rsid w:val="00B6295E"/>
    <w:rsid w:val="00B62A32"/>
    <w:rsid w:val="00B62AB9"/>
    <w:rsid w:val="00B62C93"/>
    <w:rsid w:val="00B62CD4"/>
    <w:rsid w:val="00B62D2D"/>
    <w:rsid w:val="00B62D30"/>
    <w:rsid w:val="00B62D6F"/>
    <w:rsid w:val="00B62DE1"/>
    <w:rsid w:val="00B62E33"/>
    <w:rsid w:val="00B62E66"/>
    <w:rsid w:val="00B62EC9"/>
    <w:rsid w:val="00B62EF1"/>
    <w:rsid w:val="00B62F83"/>
    <w:rsid w:val="00B62FB5"/>
    <w:rsid w:val="00B6301F"/>
    <w:rsid w:val="00B63054"/>
    <w:rsid w:val="00B63104"/>
    <w:rsid w:val="00B63118"/>
    <w:rsid w:val="00B631BF"/>
    <w:rsid w:val="00B63334"/>
    <w:rsid w:val="00B6336E"/>
    <w:rsid w:val="00B63396"/>
    <w:rsid w:val="00B6349D"/>
    <w:rsid w:val="00B634F9"/>
    <w:rsid w:val="00B63541"/>
    <w:rsid w:val="00B63566"/>
    <w:rsid w:val="00B63584"/>
    <w:rsid w:val="00B635BA"/>
    <w:rsid w:val="00B635DA"/>
    <w:rsid w:val="00B636FF"/>
    <w:rsid w:val="00B63715"/>
    <w:rsid w:val="00B63727"/>
    <w:rsid w:val="00B63820"/>
    <w:rsid w:val="00B63870"/>
    <w:rsid w:val="00B63895"/>
    <w:rsid w:val="00B638B7"/>
    <w:rsid w:val="00B638C0"/>
    <w:rsid w:val="00B63901"/>
    <w:rsid w:val="00B63902"/>
    <w:rsid w:val="00B63942"/>
    <w:rsid w:val="00B639C0"/>
    <w:rsid w:val="00B639DF"/>
    <w:rsid w:val="00B639E4"/>
    <w:rsid w:val="00B63A9B"/>
    <w:rsid w:val="00B63B3B"/>
    <w:rsid w:val="00B63BB6"/>
    <w:rsid w:val="00B63BBA"/>
    <w:rsid w:val="00B63BE1"/>
    <w:rsid w:val="00B63C04"/>
    <w:rsid w:val="00B63CE0"/>
    <w:rsid w:val="00B63CF0"/>
    <w:rsid w:val="00B63D46"/>
    <w:rsid w:val="00B63E00"/>
    <w:rsid w:val="00B63EDA"/>
    <w:rsid w:val="00B63F28"/>
    <w:rsid w:val="00B63F42"/>
    <w:rsid w:val="00B63F8C"/>
    <w:rsid w:val="00B6409D"/>
    <w:rsid w:val="00B640AF"/>
    <w:rsid w:val="00B640B1"/>
    <w:rsid w:val="00B640EB"/>
    <w:rsid w:val="00B64165"/>
    <w:rsid w:val="00B6418A"/>
    <w:rsid w:val="00B64199"/>
    <w:rsid w:val="00B6425F"/>
    <w:rsid w:val="00B64261"/>
    <w:rsid w:val="00B6435B"/>
    <w:rsid w:val="00B643CD"/>
    <w:rsid w:val="00B643E0"/>
    <w:rsid w:val="00B64408"/>
    <w:rsid w:val="00B6441A"/>
    <w:rsid w:val="00B6445A"/>
    <w:rsid w:val="00B644E3"/>
    <w:rsid w:val="00B64653"/>
    <w:rsid w:val="00B646DF"/>
    <w:rsid w:val="00B64731"/>
    <w:rsid w:val="00B64852"/>
    <w:rsid w:val="00B6492E"/>
    <w:rsid w:val="00B64A00"/>
    <w:rsid w:val="00B64A0F"/>
    <w:rsid w:val="00B64A3A"/>
    <w:rsid w:val="00B64A88"/>
    <w:rsid w:val="00B64AE8"/>
    <w:rsid w:val="00B64AFA"/>
    <w:rsid w:val="00B64B0E"/>
    <w:rsid w:val="00B64B13"/>
    <w:rsid w:val="00B64B24"/>
    <w:rsid w:val="00B64B65"/>
    <w:rsid w:val="00B64B96"/>
    <w:rsid w:val="00B64B99"/>
    <w:rsid w:val="00B64BA3"/>
    <w:rsid w:val="00B64BDB"/>
    <w:rsid w:val="00B64BF7"/>
    <w:rsid w:val="00B64C38"/>
    <w:rsid w:val="00B64CED"/>
    <w:rsid w:val="00B64DC1"/>
    <w:rsid w:val="00B64E75"/>
    <w:rsid w:val="00B64E7E"/>
    <w:rsid w:val="00B64F4F"/>
    <w:rsid w:val="00B64F84"/>
    <w:rsid w:val="00B64FCC"/>
    <w:rsid w:val="00B64FD5"/>
    <w:rsid w:val="00B6507E"/>
    <w:rsid w:val="00B6509F"/>
    <w:rsid w:val="00B6515F"/>
    <w:rsid w:val="00B65190"/>
    <w:rsid w:val="00B6519C"/>
    <w:rsid w:val="00B65208"/>
    <w:rsid w:val="00B6520B"/>
    <w:rsid w:val="00B6521D"/>
    <w:rsid w:val="00B6526D"/>
    <w:rsid w:val="00B6528E"/>
    <w:rsid w:val="00B652CE"/>
    <w:rsid w:val="00B6534A"/>
    <w:rsid w:val="00B65372"/>
    <w:rsid w:val="00B65474"/>
    <w:rsid w:val="00B655B8"/>
    <w:rsid w:val="00B655BD"/>
    <w:rsid w:val="00B6567E"/>
    <w:rsid w:val="00B656A0"/>
    <w:rsid w:val="00B65701"/>
    <w:rsid w:val="00B65711"/>
    <w:rsid w:val="00B65760"/>
    <w:rsid w:val="00B6576B"/>
    <w:rsid w:val="00B657A4"/>
    <w:rsid w:val="00B657B2"/>
    <w:rsid w:val="00B65817"/>
    <w:rsid w:val="00B6584A"/>
    <w:rsid w:val="00B658A7"/>
    <w:rsid w:val="00B65929"/>
    <w:rsid w:val="00B6595A"/>
    <w:rsid w:val="00B65988"/>
    <w:rsid w:val="00B65A20"/>
    <w:rsid w:val="00B65A85"/>
    <w:rsid w:val="00B65AB3"/>
    <w:rsid w:val="00B65AC4"/>
    <w:rsid w:val="00B65B12"/>
    <w:rsid w:val="00B65B53"/>
    <w:rsid w:val="00B65C2E"/>
    <w:rsid w:val="00B65C4E"/>
    <w:rsid w:val="00B65CBC"/>
    <w:rsid w:val="00B65CE5"/>
    <w:rsid w:val="00B65D87"/>
    <w:rsid w:val="00B65D92"/>
    <w:rsid w:val="00B65DC2"/>
    <w:rsid w:val="00B65E11"/>
    <w:rsid w:val="00B65ED8"/>
    <w:rsid w:val="00B6601C"/>
    <w:rsid w:val="00B6601F"/>
    <w:rsid w:val="00B6602D"/>
    <w:rsid w:val="00B6602E"/>
    <w:rsid w:val="00B66070"/>
    <w:rsid w:val="00B660A8"/>
    <w:rsid w:val="00B660AF"/>
    <w:rsid w:val="00B660DA"/>
    <w:rsid w:val="00B6614A"/>
    <w:rsid w:val="00B6624D"/>
    <w:rsid w:val="00B662D5"/>
    <w:rsid w:val="00B662E8"/>
    <w:rsid w:val="00B6630A"/>
    <w:rsid w:val="00B66326"/>
    <w:rsid w:val="00B66347"/>
    <w:rsid w:val="00B663EE"/>
    <w:rsid w:val="00B66449"/>
    <w:rsid w:val="00B66466"/>
    <w:rsid w:val="00B664B7"/>
    <w:rsid w:val="00B6659B"/>
    <w:rsid w:val="00B666A1"/>
    <w:rsid w:val="00B6675B"/>
    <w:rsid w:val="00B66766"/>
    <w:rsid w:val="00B6689E"/>
    <w:rsid w:val="00B668C3"/>
    <w:rsid w:val="00B66996"/>
    <w:rsid w:val="00B669C9"/>
    <w:rsid w:val="00B66A57"/>
    <w:rsid w:val="00B66C0B"/>
    <w:rsid w:val="00B66C9E"/>
    <w:rsid w:val="00B66D55"/>
    <w:rsid w:val="00B66DB1"/>
    <w:rsid w:val="00B66DD9"/>
    <w:rsid w:val="00B66DDF"/>
    <w:rsid w:val="00B66DE2"/>
    <w:rsid w:val="00B66DFD"/>
    <w:rsid w:val="00B66E73"/>
    <w:rsid w:val="00B66E94"/>
    <w:rsid w:val="00B66EE9"/>
    <w:rsid w:val="00B66EFF"/>
    <w:rsid w:val="00B66F0F"/>
    <w:rsid w:val="00B66F75"/>
    <w:rsid w:val="00B66F88"/>
    <w:rsid w:val="00B67124"/>
    <w:rsid w:val="00B67154"/>
    <w:rsid w:val="00B67197"/>
    <w:rsid w:val="00B672B9"/>
    <w:rsid w:val="00B672E3"/>
    <w:rsid w:val="00B67329"/>
    <w:rsid w:val="00B67399"/>
    <w:rsid w:val="00B673E9"/>
    <w:rsid w:val="00B67448"/>
    <w:rsid w:val="00B674E5"/>
    <w:rsid w:val="00B67514"/>
    <w:rsid w:val="00B67530"/>
    <w:rsid w:val="00B675EB"/>
    <w:rsid w:val="00B675ED"/>
    <w:rsid w:val="00B67650"/>
    <w:rsid w:val="00B677FC"/>
    <w:rsid w:val="00B6787B"/>
    <w:rsid w:val="00B6787E"/>
    <w:rsid w:val="00B678D2"/>
    <w:rsid w:val="00B678FB"/>
    <w:rsid w:val="00B6790A"/>
    <w:rsid w:val="00B679A5"/>
    <w:rsid w:val="00B679AF"/>
    <w:rsid w:val="00B679D4"/>
    <w:rsid w:val="00B679DF"/>
    <w:rsid w:val="00B67A04"/>
    <w:rsid w:val="00B67A73"/>
    <w:rsid w:val="00B67A84"/>
    <w:rsid w:val="00B67AED"/>
    <w:rsid w:val="00B67B0B"/>
    <w:rsid w:val="00B67B61"/>
    <w:rsid w:val="00B67C9A"/>
    <w:rsid w:val="00B67CAF"/>
    <w:rsid w:val="00B67D0A"/>
    <w:rsid w:val="00B67D49"/>
    <w:rsid w:val="00B67E43"/>
    <w:rsid w:val="00B67E83"/>
    <w:rsid w:val="00B67F3D"/>
    <w:rsid w:val="00B67FAD"/>
    <w:rsid w:val="00B70074"/>
    <w:rsid w:val="00B700BB"/>
    <w:rsid w:val="00B700D1"/>
    <w:rsid w:val="00B7017C"/>
    <w:rsid w:val="00B70214"/>
    <w:rsid w:val="00B702C2"/>
    <w:rsid w:val="00B702D0"/>
    <w:rsid w:val="00B702DE"/>
    <w:rsid w:val="00B703A7"/>
    <w:rsid w:val="00B703A9"/>
    <w:rsid w:val="00B70437"/>
    <w:rsid w:val="00B7043D"/>
    <w:rsid w:val="00B70496"/>
    <w:rsid w:val="00B704B1"/>
    <w:rsid w:val="00B704E3"/>
    <w:rsid w:val="00B704F0"/>
    <w:rsid w:val="00B70509"/>
    <w:rsid w:val="00B70558"/>
    <w:rsid w:val="00B705C2"/>
    <w:rsid w:val="00B705EB"/>
    <w:rsid w:val="00B70605"/>
    <w:rsid w:val="00B7066D"/>
    <w:rsid w:val="00B70684"/>
    <w:rsid w:val="00B706C1"/>
    <w:rsid w:val="00B7074B"/>
    <w:rsid w:val="00B7087B"/>
    <w:rsid w:val="00B708CA"/>
    <w:rsid w:val="00B70951"/>
    <w:rsid w:val="00B70967"/>
    <w:rsid w:val="00B70997"/>
    <w:rsid w:val="00B70A12"/>
    <w:rsid w:val="00B70A9A"/>
    <w:rsid w:val="00B70ADF"/>
    <w:rsid w:val="00B70B1D"/>
    <w:rsid w:val="00B70B37"/>
    <w:rsid w:val="00B70B3B"/>
    <w:rsid w:val="00B70BD0"/>
    <w:rsid w:val="00B70C6C"/>
    <w:rsid w:val="00B70E53"/>
    <w:rsid w:val="00B70E84"/>
    <w:rsid w:val="00B70EA0"/>
    <w:rsid w:val="00B70EDB"/>
    <w:rsid w:val="00B70F4C"/>
    <w:rsid w:val="00B70F5C"/>
    <w:rsid w:val="00B70F92"/>
    <w:rsid w:val="00B71055"/>
    <w:rsid w:val="00B7107D"/>
    <w:rsid w:val="00B71165"/>
    <w:rsid w:val="00B71237"/>
    <w:rsid w:val="00B712A0"/>
    <w:rsid w:val="00B712D1"/>
    <w:rsid w:val="00B71322"/>
    <w:rsid w:val="00B71366"/>
    <w:rsid w:val="00B713B2"/>
    <w:rsid w:val="00B713BC"/>
    <w:rsid w:val="00B713DD"/>
    <w:rsid w:val="00B71406"/>
    <w:rsid w:val="00B71423"/>
    <w:rsid w:val="00B715A0"/>
    <w:rsid w:val="00B715DC"/>
    <w:rsid w:val="00B715E6"/>
    <w:rsid w:val="00B71605"/>
    <w:rsid w:val="00B71678"/>
    <w:rsid w:val="00B716D6"/>
    <w:rsid w:val="00B716DD"/>
    <w:rsid w:val="00B716EA"/>
    <w:rsid w:val="00B7175A"/>
    <w:rsid w:val="00B71815"/>
    <w:rsid w:val="00B7187A"/>
    <w:rsid w:val="00B71946"/>
    <w:rsid w:val="00B719D1"/>
    <w:rsid w:val="00B719EC"/>
    <w:rsid w:val="00B71A9F"/>
    <w:rsid w:val="00B71BDF"/>
    <w:rsid w:val="00B71BE3"/>
    <w:rsid w:val="00B71C98"/>
    <w:rsid w:val="00B71CD4"/>
    <w:rsid w:val="00B71D18"/>
    <w:rsid w:val="00B71D47"/>
    <w:rsid w:val="00B71DDB"/>
    <w:rsid w:val="00B71E09"/>
    <w:rsid w:val="00B71EA7"/>
    <w:rsid w:val="00B71ED4"/>
    <w:rsid w:val="00B71F6F"/>
    <w:rsid w:val="00B71F94"/>
    <w:rsid w:val="00B71FB3"/>
    <w:rsid w:val="00B72028"/>
    <w:rsid w:val="00B72041"/>
    <w:rsid w:val="00B720E5"/>
    <w:rsid w:val="00B72138"/>
    <w:rsid w:val="00B7214A"/>
    <w:rsid w:val="00B721A3"/>
    <w:rsid w:val="00B72245"/>
    <w:rsid w:val="00B722AE"/>
    <w:rsid w:val="00B722C5"/>
    <w:rsid w:val="00B722C7"/>
    <w:rsid w:val="00B722ED"/>
    <w:rsid w:val="00B72370"/>
    <w:rsid w:val="00B72373"/>
    <w:rsid w:val="00B7239A"/>
    <w:rsid w:val="00B723E9"/>
    <w:rsid w:val="00B7241C"/>
    <w:rsid w:val="00B724AA"/>
    <w:rsid w:val="00B724DF"/>
    <w:rsid w:val="00B72529"/>
    <w:rsid w:val="00B725CB"/>
    <w:rsid w:val="00B72743"/>
    <w:rsid w:val="00B72798"/>
    <w:rsid w:val="00B7279E"/>
    <w:rsid w:val="00B72842"/>
    <w:rsid w:val="00B72891"/>
    <w:rsid w:val="00B728E4"/>
    <w:rsid w:val="00B7292D"/>
    <w:rsid w:val="00B72963"/>
    <w:rsid w:val="00B7296E"/>
    <w:rsid w:val="00B72A80"/>
    <w:rsid w:val="00B72B53"/>
    <w:rsid w:val="00B72BB7"/>
    <w:rsid w:val="00B72BBC"/>
    <w:rsid w:val="00B72BBD"/>
    <w:rsid w:val="00B72C12"/>
    <w:rsid w:val="00B72C90"/>
    <w:rsid w:val="00B72CD8"/>
    <w:rsid w:val="00B72D0D"/>
    <w:rsid w:val="00B72D18"/>
    <w:rsid w:val="00B72E59"/>
    <w:rsid w:val="00B72F22"/>
    <w:rsid w:val="00B72F40"/>
    <w:rsid w:val="00B7305E"/>
    <w:rsid w:val="00B73066"/>
    <w:rsid w:val="00B73234"/>
    <w:rsid w:val="00B73237"/>
    <w:rsid w:val="00B7326F"/>
    <w:rsid w:val="00B73284"/>
    <w:rsid w:val="00B732F6"/>
    <w:rsid w:val="00B73300"/>
    <w:rsid w:val="00B73402"/>
    <w:rsid w:val="00B73454"/>
    <w:rsid w:val="00B73468"/>
    <w:rsid w:val="00B734E8"/>
    <w:rsid w:val="00B73545"/>
    <w:rsid w:val="00B73599"/>
    <w:rsid w:val="00B735CD"/>
    <w:rsid w:val="00B735FC"/>
    <w:rsid w:val="00B7373F"/>
    <w:rsid w:val="00B7376C"/>
    <w:rsid w:val="00B737CA"/>
    <w:rsid w:val="00B7383E"/>
    <w:rsid w:val="00B7386E"/>
    <w:rsid w:val="00B7387B"/>
    <w:rsid w:val="00B738A3"/>
    <w:rsid w:val="00B7390E"/>
    <w:rsid w:val="00B73999"/>
    <w:rsid w:val="00B73A51"/>
    <w:rsid w:val="00B73C4D"/>
    <w:rsid w:val="00B73C98"/>
    <w:rsid w:val="00B73DBA"/>
    <w:rsid w:val="00B73E76"/>
    <w:rsid w:val="00B73E78"/>
    <w:rsid w:val="00B73F60"/>
    <w:rsid w:val="00B74034"/>
    <w:rsid w:val="00B74079"/>
    <w:rsid w:val="00B740FD"/>
    <w:rsid w:val="00B74142"/>
    <w:rsid w:val="00B7417D"/>
    <w:rsid w:val="00B742EF"/>
    <w:rsid w:val="00B74379"/>
    <w:rsid w:val="00B744BE"/>
    <w:rsid w:val="00B744BF"/>
    <w:rsid w:val="00B74515"/>
    <w:rsid w:val="00B74517"/>
    <w:rsid w:val="00B746FE"/>
    <w:rsid w:val="00B74715"/>
    <w:rsid w:val="00B74719"/>
    <w:rsid w:val="00B7473B"/>
    <w:rsid w:val="00B747D3"/>
    <w:rsid w:val="00B747EF"/>
    <w:rsid w:val="00B7486B"/>
    <w:rsid w:val="00B74878"/>
    <w:rsid w:val="00B7487A"/>
    <w:rsid w:val="00B748DE"/>
    <w:rsid w:val="00B74904"/>
    <w:rsid w:val="00B7494C"/>
    <w:rsid w:val="00B7494E"/>
    <w:rsid w:val="00B749C0"/>
    <w:rsid w:val="00B749FD"/>
    <w:rsid w:val="00B74A2D"/>
    <w:rsid w:val="00B74AC2"/>
    <w:rsid w:val="00B74C76"/>
    <w:rsid w:val="00B74CD7"/>
    <w:rsid w:val="00B74CEF"/>
    <w:rsid w:val="00B74D82"/>
    <w:rsid w:val="00B74E36"/>
    <w:rsid w:val="00B74EB6"/>
    <w:rsid w:val="00B74F7A"/>
    <w:rsid w:val="00B74FB2"/>
    <w:rsid w:val="00B75055"/>
    <w:rsid w:val="00B7507A"/>
    <w:rsid w:val="00B750B4"/>
    <w:rsid w:val="00B750BC"/>
    <w:rsid w:val="00B75188"/>
    <w:rsid w:val="00B751D5"/>
    <w:rsid w:val="00B75271"/>
    <w:rsid w:val="00B752FD"/>
    <w:rsid w:val="00B75412"/>
    <w:rsid w:val="00B754B8"/>
    <w:rsid w:val="00B7556E"/>
    <w:rsid w:val="00B75631"/>
    <w:rsid w:val="00B7563F"/>
    <w:rsid w:val="00B7565D"/>
    <w:rsid w:val="00B756DE"/>
    <w:rsid w:val="00B756F1"/>
    <w:rsid w:val="00B75795"/>
    <w:rsid w:val="00B757C3"/>
    <w:rsid w:val="00B7586B"/>
    <w:rsid w:val="00B75879"/>
    <w:rsid w:val="00B7588D"/>
    <w:rsid w:val="00B7592E"/>
    <w:rsid w:val="00B75963"/>
    <w:rsid w:val="00B75972"/>
    <w:rsid w:val="00B759AB"/>
    <w:rsid w:val="00B759CF"/>
    <w:rsid w:val="00B75A6C"/>
    <w:rsid w:val="00B75AD3"/>
    <w:rsid w:val="00B75AF4"/>
    <w:rsid w:val="00B75B65"/>
    <w:rsid w:val="00B75BBA"/>
    <w:rsid w:val="00B75C1F"/>
    <w:rsid w:val="00B75C58"/>
    <w:rsid w:val="00B75C5E"/>
    <w:rsid w:val="00B75D7E"/>
    <w:rsid w:val="00B75DA6"/>
    <w:rsid w:val="00B75DD7"/>
    <w:rsid w:val="00B75E83"/>
    <w:rsid w:val="00B75EC9"/>
    <w:rsid w:val="00B75F05"/>
    <w:rsid w:val="00B76174"/>
    <w:rsid w:val="00B761D9"/>
    <w:rsid w:val="00B761DF"/>
    <w:rsid w:val="00B76245"/>
    <w:rsid w:val="00B762AA"/>
    <w:rsid w:val="00B7636C"/>
    <w:rsid w:val="00B76388"/>
    <w:rsid w:val="00B76462"/>
    <w:rsid w:val="00B7651F"/>
    <w:rsid w:val="00B76524"/>
    <w:rsid w:val="00B76549"/>
    <w:rsid w:val="00B76554"/>
    <w:rsid w:val="00B76578"/>
    <w:rsid w:val="00B765AC"/>
    <w:rsid w:val="00B765B4"/>
    <w:rsid w:val="00B765BB"/>
    <w:rsid w:val="00B765EC"/>
    <w:rsid w:val="00B7665B"/>
    <w:rsid w:val="00B76678"/>
    <w:rsid w:val="00B76769"/>
    <w:rsid w:val="00B76789"/>
    <w:rsid w:val="00B767DE"/>
    <w:rsid w:val="00B767F9"/>
    <w:rsid w:val="00B768BE"/>
    <w:rsid w:val="00B768C6"/>
    <w:rsid w:val="00B769AE"/>
    <w:rsid w:val="00B769F5"/>
    <w:rsid w:val="00B76A9D"/>
    <w:rsid w:val="00B76BD4"/>
    <w:rsid w:val="00B76C14"/>
    <w:rsid w:val="00B76C8E"/>
    <w:rsid w:val="00B76CEE"/>
    <w:rsid w:val="00B76DD4"/>
    <w:rsid w:val="00B76ECD"/>
    <w:rsid w:val="00B76F21"/>
    <w:rsid w:val="00B76F7D"/>
    <w:rsid w:val="00B76FBF"/>
    <w:rsid w:val="00B7705C"/>
    <w:rsid w:val="00B7706B"/>
    <w:rsid w:val="00B771D2"/>
    <w:rsid w:val="00B771FD"/>
    <w:rsid w:val="00B7727E"/>
    <w:rsid w:val="00B772C5"/>
    <w:rsid w:val="00B772E6"/>
    <w:rsid w:val="00B7737C"/>
    <w:rsid w:val="00B774BF"/>
    <w:rsid w:val="00B77524"/>
    <w:rsid w:val="00B7753D"/>
    <w:rsid w:val="00B7759E"/>
    <w:rsid w:val="00B775D3"/>
    <w:rsid w:val="00B77640"/>
    <w:rsid w:val="00B776B2"/>
    <w:rsid w:val="00B77737"/>
    <w:rsid w:val="00B7774D"/>
    <w:rsid w:val="00B778C9"/>
    <w:rsid w:val="00B77907"/>
    <w:rsid w:val="00B779CA"/>
    <w:rsid w:val="00B779D8"/>
    <w:rsid w:val="00B77A9D"/>
    <w:rsid w:val="00B77AB8"/>
    <w:rsid w:val="00B77ADA"/>
    <w:rsid w:val="00B77AE6"/>
    <w:rsid w:val="00B77AE9"/>
    <w:rsid w:val="00B77B9E"/>
    <w:rsid w:val="00B77BE8"/>
    <w:rsid w:val="00B77BF0"/>
    <w:rsid w:val="00B77D67"/>
    <w:rsid w:val="00B77D81"/>
    <w:rsid w:val="00B77D9F"/>
    <w:rsid w:val="00B77E66"/>
    <w:rsid w:val="00B77EB2"/>
    <w:rsid w:val="00B800B2"/>
    <w:rsid w:val="00B800F7"/>
    <w:rsid w:val="00B80108"/>
    <w:rsid w:val="00B80112"/>
    <w:rsid w:val="00B801D4"/>
    <w:rsid w:val="00B8033E"/>
    <w:rsid w:val="00B80351"/>
    <w:rsid w:val="00B80363"/>
    <w:rsid w:val="00B8039A"/>
    <w:rsid w:val="00B803A9"/>
    <w:rsid w:val="00B803FA"/>
    <w:rsid w:val="00B804F1"/>
    <w:rsid w:val="00B80523"/>
    <w:rsid w:val="00B80582"/>
    <w:rsid w:val="00B805F6"/>
    <w:rsid w:val="00B807CE"/>
    <w:rsid w:val="00B8083D"/>
    <w:rsid w:val="00B80893"/>
    <w:rsid w:val="00B809AB"/>
    <w:rsid w:val="00B809FF"/>
    <w:rsid w:val="00B80A90"/>
    <w:rsid w:val="00B80AD0"/>
    <w:rsid w:val="00B80ADB"/>
    <w:rsid w:val="00B80AFC"/>
    <w:rsid w:val="00B80B45"/>
    <w:rsid w:val="00B80BE4"/>
    <w:rsid w:val="00B80C48"/>
    <w:rsid w:val="00B80CC1"/>
    <w:rsid w:val="00B80CD2"/>
    <w:rsid w:val="00B80D53"/>
    <w:rsid w:val="00B80D60"/>
    <w:rsid w:val="00B80D6B"/>
    <w:rsid w:val="00B80D6F"/>
    <w:rsid w:val="00B80D7B"/>
    <w:rsid w:val="00B80D9C"/>
    <w:rsid w:val="00B80DD2"/>
    <w:rsid w:val="00B80E5E"/>
    <w:rsid w:val="00B80EBC"/>
    <w:rsid w:val="00B80ED8"/>
    <w:rsid w:val="00B80F2E"/>
    <w:rsid w:val="00B80F5D"/>
    <w:rsid w:val="00B81014"/>
    <w:rsid w:val="00B8105D"/>
    <w:rsid w:val="00B81084"/>
    <w:rsid w:val="00B8109F"/>
    <w:rsid w:val="00B810B8"/>
    <w:rsid w:val="00B8117A"/>
    <w:rsid w:val="00B81188"/>
    <w:rsid w:val="00B81245"/>
    <w:rsid w:val="00B81274"/>
    <w:rsid w:val="00B8127B"/>
    <w:rsid w:val="00B812B5"/>
    <w:rsid w:val="00B8141B"/>
    <w:rsid w:val="00B81424"/>
    <w:rsid w:val="00B814D0"/>
    <w:rsid w:val="00B81582"/>
    <w:rsid w:val="00B815E2"/>
    <w:rsid w:val="00B816A4"/>
    <w:rsid w:val="00B816B2"/>
    <w:rsid w:val="00B816D2"/>
    <w:rsid w:val="00B816FA"/>
    <w:rsid w:val="00B81706"/>
    <w:rsid w:val="00B817CF"/>
    <w:rsid w:val="00B81923"/>
    <w:rsid w:val="00B819B0"/>
    <w:rsid w:val="00B81B84"/>
    <w:rsid w:val="00B81B8F"/>
    <w:rsid w:val="00B81C08"/>
    <w:rsid w:val="00B81CAB"/>
    <w:rsid w:val="00B81CEE"/>
    <w:rsid w:val="00B81D38"/>
    <w:rsid w:val="00B81D5D"/>
    <w:rsid w:val="00B81DCA"/>
    <w:rsid w:val="00B81E07"/>
    <w:rsid w:val="00B81E2C"/>
    <w:rsid w:val="00B81E2E"/>
    <w:rsid w:val="00B81F1E"/>
    <w:rsid w:val="00B81F72"/>
    <w:rsid w:val="00B81F8D"/>
    <w:rsid w:val="00B81FAA"/>
    <w:rsid w:val="00B82043"/>
    <w:rsid w:val="00B82080"/>
    <w:rsid w:val="00B820AC"/>
    <w:rsid w:val="00B820EE"/>
    <w:rsid w:val="00B82129"/>
    <w:rsid w:val="00B8217A"/>
    <w:rsid w:val="00B821BB"/>
    <w:rsid w:val="00B8220C"/>
    <w:rsid w:val="00B8227A"/>
    <w:rsid w:val="00B8228F"/>
    <w:rsid w:val="00B82296"/>
    <w:rsid w:val="00B822AC"/>
    <w:rsid w:val="00B822C5"/>
    <w:rsid w:val="00B8230C"/>
    <w:rsid w:val="00B823DB"/>
    <w:rsid w:val="00B82581"/>
    <w:rsid w:val="00B82627"/>
    <w:rsid w:val="00B826AA"/>
    <w:rsid w:val="00B826C3"/>
    <w:rsid w:val="00B8274C"/>
    <w:rsid w:val="00B827F6"/>
    <w:rsid w:val="00B8281F"/>
    <w:rsid w:val="00B82824"/>
    <w:rsid w:val="00B8289C"/>
    <w:rsid w:val="00B829B2"/>
    <w:rsid w:val="00B82A3A"/>
    <w:rsid w:val="00B82A77"/>
    <w:rsid w:val="00B82A8F"/>
    <w:rsid w:val="00B82AAE"/>
    <w:rsid w:val="00B82B46"/>
    <w:rsid w:val="00B82C2D"/>
    <w:rsid w:val="00B82CC4"/>
    <w:rsid w:val="00B82D13"/>
    <w:rsid w:val="00B82D33"/>
    <w:rsid w:val="00B82D60"/>
    <w:rsid w:val="00B82D66"/>
    <w:rsid w:val="00B82DDD"/>
    <w:rsid w:val="00B82EF0"/>
    <w:rsid w:val="00B83047"/>
    <w:rsid w:val="00B83214"/>
    <w:rsid w:val="00B83358"/>
    <w:rsid w:val="00B833C4"/>
    <w:rsid w:val="00B83421"/>
    <w:rsid w:val="00B8346A"/>
    <w:rsid w:val="00B8349F"/>
    <w:rsid w:val="00B834CE"/>
    <w:rsid w:val="00B83524"/>
    <w:rsid w:val="00B835EC"/>
    <w:rsid w:val="00B83788"/>
    <w:rsid w:val="00B83921"/>
    <w:rsid w:val="00B83932"/>
    <w:rsid w:val="00B839C8"/>
    <w:rsid w:val="00B83AA5"/>
    <w:rsid w:val="00B83B08"/>
    <w:rsid w:val="00B83B3C"/>
    <w:rsid w:val="00B83B64"/>
    <w:rsid w:val="00B83B9A"/>
    <w:rsid w:val="00B83BC5"/>
    <w:rsid w:val="00B83BC6"/>
    <w:rsid w:val="00B83BD7"/>
    <w:rsid w:val="00B83C01"/>
    <w:rsid w:val="00B83C23"/>
    <w:rsid w:val="00B83C81"/>
    <w:rsid w:val="00B83CED"/>
    <w:rsid w:val="00B83DCA"/>
    <w:rsid w:val="00B83DE8"/>
    <w:rsid w:val="00B83E29"/>
    <w:rsid w:val="00B83E3C"/>
    <w:rsid w:val="00B83F66"/>
    <w:rsid w:val="00B83F67"/>
    <w:rsid w:val="00B83F7C"/>
    <w:rsid w:val="00B83FA7"/>
    <w:rsid w:val="00B83FBB"/>
    <w:rsid w:val="00B84002"/>
    <w:rsid w:val="00B8403C"/>
    <w:rsid w:val="00B840CE"/>
    <w:rsid w:val="00B84233"/>
    <w:rsid w:val="00B84329"/>
    <w:rsid w:val="00B84349"/>
    <w:rsid w:val="00B843A6"/>
    <w:rsid w:val="00B84452"/>
    <w:rsid w:val="00B84460"/>
    <w:rsid w:val="00B845E7"/>
    <w:rsid w:val="00B84696"/>
    <w:rsid w:val="00B846A2"/>
    <w:rsid w:val="00B846F8"/>
    <w:rsid w:val="00B84722"/>
    <w:rsid w:val="00B84733"/>
    <w:rsid w:val="00B84788"/>
    <w:rsid w:val="00B84874"/>
    <w:rsid w:val="00B848AD"/>
    <w:rsid w:val="00B8499A"/>
    <w:rsid w:val="00B849A6"/>
    <w:rsid w:val="00B849E5"/>
    <w:rsid w:val="00B84A18"/>
    <w:rsid w:val="00B84AC9"/>
    <w:rsid w:val="00B84AD7"/>
    <w:rsid w:val="00B84BA6"/>
    <w:rsid w:val="00B84CF8"/>
    <w:rsid w:val="00B84DB3"/>
    <w:rsid w:val="00B84DF2"/>
    <w:rsid w:val="00B84E4E"/>
    <w:rsid w:val="00B84E76"/>
    <w:rsid w:val="00B84EEC"/>
    <w:rsid w:val="00B84F0D"/>
    <w:rsid w:val="00B84F2D"/>
    <w:rsid w:val="00B84F88"/>
    <w:rsid w:val="00B84F94"/>
    <w:rsid w:val="00B8501F"/>
    <w:rsid w:val="00B85027"/>
    <w:rsid w:val="00B8502D"/>
    <w:rsid w:val="00B850A8"/>
    <w:rsid w:val="00B850AE"/>
    <w:rsid w:val="00B850F4"/>
    <w:rsid w:val="00B8510D"/>
    <w:rsid w:val="00B85154"/>
    <w:rsid w:val="00B851A2"/>
    <w:rsid w:val="00B85213"/>
    <w:rsid w:val="00B8528A"/>
    <w:rsid w:val="00B852C2"/>
    <w:rsid w:val="00B85302"/>
    <w:rsid w:val="00B85373"/>
    <w:rsid w:val="00B85391"/>
    <w:rsid w:val="00B853F7"/>
    <w:rsid w:val="00B855AF"/>
    <w:rsid w:val="00B855C6"/>
    <w:rsid w:val="00B855FB"/>
    <w:rsid w:val="00B8573A"/>
    <w:rsid w:val="00B85866"/>
    <w:rsid w:val="00B858AD"/>
    <w:rsid w:val="00B85953"/>
    <w:rsid w:val="00B859C1"/>
    <w:rsid w:val="00B859DB"/>
    <w:rsid w:val="00B859DD"/>
    <w:rsid w:val="00B85A3C"/>
    <w:rsid w:val="00B85A9D"/>
    <w:rsid w:val="00B85AEF"/>
    <w:rsid w:val="00B85B51"/>
    <w:rsid w:val="00B85B82"/>
    <w:rsid w:val="00B85B96"/>
    <w:rsid w:val="00B85CBF"/>
    <w:rsid w:val="00B85CD4"/>
    <w:rsid w:val="00B85D34"/>
    <w:rsid w:val="00B85D44"/>
    <w:rsid w:val="00B85D4F"/>
    <w:rsid w:val="00B85D70"/>
    <w:rsid w:val="00B85DA1"/>
    <w:rsid w:val="00B85EDC"/>
    <w:rsid w:val="00B85EE3"/>
    <w:rsid w:val="00B85F1C"/>
    <w:rsid w:val="00B8603E"/>
    <w:rsid w:val="00B86044"/>
    <w:rsid w:val="00B860C0"/>
    <w:rsid w:val="00B860E8"/>
    <w:rsid w:val="00B86131"/>
    <w:rsid w:val="00B8613A"/>
    <w:rsid w:val="00B8619C"/>
    <w:rsid w:val="00B861A2"/>
    <w:rsid w:val="00B8622B"/>
    <w:rsid w:val="00B86274"/>
    <w:rsid w:val="00B8628B"/>
    <w:rsid w:val="00B862DE"/>
    <w:rsid w:val="00B86340"/>
    <w:rsid w:val="00B86345"/>
    <w:rsid w:val="00B8635F"/>
    <w:rsid w:val="00B863CB"/>
    <w:rsid w:val="00B86405"/>
    <w:rsid w:val="00B86416"/>
    <w:rsid w:val="00B864A8"/>
    <w:rsid w:val="00B864BA"/>
    <w:rsid w:val="00B864BE"/>
    <w:rsid w:val="00B86536"/>
    <w:rsid w:val="00B8660C"/>
    <w:rsid w:val="00B8670E"/>
    <w:rsid w:val="00B86930"/>
    <w:rsid w:val="00B8699F"/>
    <w:rsid w:val="00B86A5D"/>
    <w:rsid w:val="00B86A6B"/>
    <w:rsid w:val="00B86B09"/>
    <w:rsid w:val="00B86C96"/>
    <w:rsid w:val="00B86CCC"/>
    <w:rsid w:val="00B86D0F"/>
    <w:rsid w:val="00B86D3C"/>
    <w:rsid w:val="00B86D43"/>
    <w:rsid w:val="00B86DDD"/>
    <w:rsid w:val="00B86E77"/>
    <w:rsid w:val="00B86EDB"/>
    <w:rsid w:val="00B87091"/>
    <w:rsid w:val="00B87180"/>
    <w:rsid w:val="00B871A8"/>
    <w:rsid w:val="00B871D2"/>
    <w:rsid w:val="00B872D2"/>
    <w:rsid w:val="00B87320"/>
    <w:rsid w:val="00B8734A"/>
    <w:rsid w:val="00B8739D"/>
    <w:rsid w:val="00B873B4"/>
    <w:rsid w:val="00B87489"/>
    <w:rsid w:val="00B874C6"/>
    <w:rsid w:val="00B875B7"/>
    <w:rsid w:val="00B876A9"/>
    <w:rsid w:val="00B876B5"/>
    <w:rsid w:val="00B8773B"/>
    <w:rsid w:val="00B87770"/>
    <w:rsid w:val="00B87786"/>
    <w:rsid w:val="00B877D0"/>
    <w:rsid w:val="00B877ED"/>
    <w:rsid w:val="00B878E3"/>
    <w:rsid w:val="00B87902"/>
    <w:rsid w:val="00B87990"/>
    <w:rsid w:val="00B8799F"/>
    <w:rsid w:val="00B879A8"/>
    <w:rsid w:val="00B87A24"/>
    <w:rsid w:val="00B87AF8"/>
    <w:rsid w:val="00B87B12"/>
    <w:rsid w:val="00B87B63"/>
    <w:rsid w:val="00B87C1B"/>
    <w:rsid w:val="00B87C85"/>
    <w:rsid w:val="00B87CB5"/>
    <w:rsid w:val="00B87CEC"/>
    <w:rsid w:val="00B87D99"/>
    <w:rsid w:val="00B87DD9"/>
    <w:rsid w:val="00B87DEE"/>
    <w:rsid w:val="00B87F6F"/>
    <w:rsid w:val="00B87FC3"/>
    <w:rsid w:val="00B9001E"/>
    <w:rsid w:val="00B90034"/>
    <w:rsid w:val="00B90062"/>
    <w:rsid w:val="00B9009E"/>
    <w:rsid w:val="00B90105"/>
    <w:rsid w:val="00B90132"/>
    <w:rsid w:val="00B9015C"/>
    <w:rsid w:val="00B90185"/>
    <w:rsid w:val="00B901B5"/>
    <w:rsid w:val="00B901C3"/>
    <w:rsid w:val="00B901F0"/>
    <w:rsid w:val="00B901F6"/>
    <w:rsid w:val="00B90203"/>
    <w:rsid w:val="00B9020F"/>
    <w:rsid w:val="00B9024C"/>
    <w:rsid w:val="00B902B3"/>
    <w:rsid w:val="00B903C1"/>
    <w:rsid w:val="00B903C9"/>
    <w:rsid w:val="00B903ED"/>
    <w:rsid w:val="00B903EF"/>
    <w:rsid w:val="00B90583"/>
    <w:rsid w:val="00B90634"/>
    <w:rsid w:val="00B9064B"/>
    <w:rsid w:val="00B90671"/>
    <w:rsid w:val="00B906B3"/>
    <w:rsid w:val="00B9070B"/>
    <w:rsid w:val="00B90764"/>
    <w:rsid w:val="00B908BD"/>
    <w:rsid w:val="00B90A31"/>
    <w:rsid w:val="00B90A97"/>
    <w:rsid w:val="00B90AE5"/>
    <w:rsid w:val="00B90B23"/>
    <w:rsid w:val="00B90B64"/>
    <w:rsid w:val="00B90C1E"/>
    <w:rsid w:val="00B90CA1"/>
    <w:rsid w:val="00B90CBC"/>
    <w:rsid w:val="00B90CDD"/>
    <w:rsid w:val="00B90D0D"/>
    <w:rsid w:val="00B90D6E"/>
    <w:rsid w:val="00B90DD6"/>
    <w:rsid w:val="00B90E19"/>
    <w:rsid w:val="00B90EF3"/>
    <w:rsid w:val="00B90FDD"/>
    <w:rsid w:val="00B91046"/>
    <w:rsid w:val="00B910AA"/>
    <w:rsid w:val="00B910D1"/>
    <w:rsid w:val="00B91102"/>
    <w:rsid w:val="00B91136"/>
    <w:rsid w:val="00B9117B"/>
    <w:rsid w:val="00B91188"/>
    <w:rsid w:val="00B911A4"/>
    <w:rsid w:val="00B9124F"/>
    <w:rsid w:val="00B9125D"/>
    <w:rsid w:val="00B91260"/>
    <w:rsid w:val="00B91289"/>
    <w:rsid w:val="00B912DD"/>
    <w:rsid w:val="00B913B0"/>
    <w:rsid w:val="00B91426"/>
    <w:rsid w:val="00B9149A"/>
    <w:rsid w:val="00B91530"/>
    <w:rsid w:val="00B915B9"/>
    <w:rsid w:val="00B915EB"/>
    <w:rsid w:val="00B91658"/>
    <w:rsid w:val="00B9165B"/>
    <w:rsid w:val="00B91727"/>
    <w:rsid w:val="00B917FA"/>
    <w:rsid w:val="00B918A2"/>
    <w:rsid w:val="00B91936"/>
    <w:rsid w:val="00B9194D"/>
    <w:rsid w:val="00B919D2"/>
    <w:rsid w:val="00B919D7"/>
    <w:rsid w:val="00B919F0"/>
    <w:rsid w:val="00B91AAA"/>
    <w:rsid w:val="00B91B1C"/>
    <w:rsid w:val="00B91B7A"/>
    <w:rsid w:val="00B91B7B"/>
    <w:rsid w:val="00B91C7C"/>
    <w:rsid w:val="00B91C99"/>
    <w:rsid w:val="00B91D10"/>
    <w:rsid w:val="00B91D6A"/>
    <w:rsid w:val="00B91D70"/>
    <w:rsid w:val="00B91D8A"/>
    <w:rsid w:val="00B91E95"/>
    <w:rsid w:val="00B91EC1"/>
    <w:rsid w:val="00B91F4A"/>
    <w:rsid w:val="00B91FB4"/>
    <w:rsid w:val="00B920A9"/>
    <w:rsid w:val="00B920CE"/>
    <w:rsid w:val="00B922D4"/>
    <w:rsid w:val="00B923E9"/>
    <w:rsid w:val="00B92402"/>
    <w:rsid w:val="00B92451"/>
    <w:rsid w:val="00B92466"/>
    <w:rsid w:val="00B924D7"/>
    <w:rsid w:val="00B9255E"/>
    <w:rsid w:val="00B925C0"/>
    <w:rsid w:val="00B925EB"/>
    <w:rsid w:val="00B92606"/>
    <w:rsid w:val="00B9266A"/>
    <w:rsid w:val="00B9267A"/>
    <w:rsid w:val="00B92688"/>
    <w:rsid w:val="00B92693"/>
    <w:rsid w:val="00B926CE"/>
    <w:rsid w:val="00B926DC"/>
    <w:rsid w:val="00B926E9"/>
    <w:rsid w:val="00B926FF"/>
    <w:rsid w:val="00B927D8"/>
    <w:rsid w:val="00B927E7"/>
    <w:rsid w:val="00B927F6"/>
    <w:rsid w:val="00B927FD"/>
    <w:rsid w:val="00B92956"/>
    <w:rsid w:val="00B9297B"/>
    <w:rsid w:val="00B9299F"/>
    <w:rsid w:val="00B92AFD"/>
    <w:rsid w:val="00B92B41"/>
    <w:rsid w:val="00B92B54"/>
    <w:rsid w:val="00B92BAD"/>
    <w:rsid w:val="00B92DE6"/>
    <w:rsid w:val="00B92E2A"/>
    <w:rsid w:val="00B92E48"/>
    <w:rsid w:val="00B92EED"/>
    <w:rsid w:val="00B92F0B"/>
    <w:rsid w:val="00B9306B"/>
    <w:rsid w:val="00B93073"/>
    <w:rsid w:val="00B930C1"/>
    <w:rsid w:val="00B930D9"/>
    <w:rsid w:val="00B93104"/>
    <w:rsid w:val="00B93131"/>
    <w:rsid w:val="00B9314A"/>
    <w:rsid w:val="00B931EC"/>
    <w:rsid w:val="00B932EC"/>
    <w:rsid w:val="00B93301"/>
    <w:rsid w:val="00B93354"/>
    <w:rsid w:val="00B93361"/>
    <w:rsid w:val="00B9336E"/>
    <w:rsid w:val="00B93390"/>
    <w:rsid w:val="00B933AE"/>
    <w:rsid w:val="00B933B5"/>
    <w:rsid w:val="00B93515"/>
    <w:rsid w:val="00B9351F"/>
    <w:rsid w:val="00B93632"/>
    <w:rsid w:val="00B9367E"/>
    <w:rsid w:val="00B9370A"/>
    <w:rsid w:val="00B9378C"/>
    <w:rsid w:val="00B937FA"/>
    <w:rsid w:val="00B9387A"/>
    <w:rsid w:val="00B9388B"/>
    <w:rsid w:val="00B93929"/>
    <w:rsid w:val="00B939A6"/>
    <w:rsid w:val="00B939DB"/>
    <w:rsid w:val="00B93A0B"/>
    <w:rsid w:val="00B93A44"/>
    <w:rsid w:val="00B93A8D"/>
    <w:rsid w:val="00B93AC0"/>
    <w:rsid w:val="00B93B2F"/>
    <w:rsid w:val="00B93BA0"/>
    <w:rsid w:val="00B93C2F"/>
    <w:rsid w:val="00B93C67"/>
    <w:rsid w:val="00B93CA9"/>
    <w:rsid w:val="00B93CB4"/>
    <w:rsid w:val="00B93D4E"/>
    <w:rsid w:val="00B93D69"/>
    <w:rsid w:val="00B93E5B"/>
    <w:rsid w:val="00B93F77"/>
    <w:rsid w:val="00B9405D"/>
    <w:rsid w:val="00B94077"/>
    <w:rsid w:val="00B94094"/>
    <w:rsid w:val="00B940EB"/>
    <w:rsid w:val="00B94166"/>
    <w:rsid w:val="00B9418C"/>
    <w:rsid w:val="00B94194"/>
    <w:rsid w:val="00B941A8"/>
    <w:rsid w:val="00B942E5"/>
    <w:rsid w:val="00B942F2"/>
    <w:rsid w:val="00B94302"/>
    <w:rsid w:val="00B943AF"/>
    <w:rsid w:val="00B943BC"/>
    <w:rsid w:val="00B943F2"/>
    <w:rsid w:val="00B94507"/>
    <w:rsid w:val="00B9453F"/>
    <w:rsid w:val="00B94562"/>
    <w:rsid w:val="00B945AF"/>
    <w:rsid w:val="00B94651"/>
    <w:rsid w:val="00B946C5"/>
    <w:rsid w:val="00B9471C"/>
    <w:rsid w:val="00B9472F"/>
    <w:rsid w:val="00B94779"/>
    <w:rsid w:val="00B94870"/>
    <w:rsid w:val="00B948A5"/>
    <w:rsid w:val="00B9497D"/>
    <w:rsid w:val="00B94981"/>
    <w:rsid w:val="00B949B5"/>
    <w:rsid w:val="00B94A13"/>
    <w:rsid w:val="00B94A22"/>
    <w:rsid w:val="00B94A7D"/>
    <w:rsid w:val="00B94B24"/>
    <w:rsid w:val="00B94B34"/>
    <w:rsid w:val="00B94BAC"/>
    <w:rsid w:val="00B94BD2"/>
    <w:rsid w:val="00B94C1A"/>
    <w:rsid w:val="00B94C72"/>
    <w:rsid w:val="00B94C95"/>
    <w:rsid w:val="00B94D1D"/>
    <w:rsid w:val="00B94D49"/>
    <w:rsid w:val="00B94E1E"/>
    <w:rsid w:val="00B94EA4"/>
    <w:rsid w:val="00B94F2B"/>
    <w:rsid w:val="00B94F52"/>
    <w:rsid w:val="00B94FFC"/>
    <w:rsid w:val="00B95033"/>
    <w:rsid w:val="00B95048"/>
    <w:rsid w:val="00B95082"/>
    <w:rsid w:val="00B9508B"/>
    <w:rsid w:val="00B950BC"/>
    <w:rsid w:val="00B950FB"/>
    <w:rsid w:val="00B951F8"/>
    <w:rsid w:val="00B9521E"/>
    <w:rsid w:val="00B952CB"/>
    <w:rsid w:val="00B95315"/>
    <w:rsid w:val="00B95340"/>
    <w:rsid w:val="00B95374"/>
    <w:rsid w:val="00B9538D"/>
    <w:rsid w:val="00B9550B"/>
    <w:rsid w:val="00B95551"/>
    <w:rsid w:val="00B95595"/>
    <w:rsid w:val="00B95654"/>
    <w:rsid w:val="00B9566B"/>
    <w:rsid w:val="00B956A0"/>
    <w:rsid w:val="00B956C6"/>
    <w:rsid w:val="00B9579A"/>
    <w:rsid w:val="00B957B1"/>
    <w:rsid w:val="00B957C8"/>
    <w:rsid w:val="00B9583A"/>
    <w:rsid w:val="00B958C2"/>
    <w:rsid w:val="00B958EF"/>
    <w:rsid w:val="00B958F1"/>
    <w:rsid w:val="00B95981"/>
    <w:rsid w:val="00B959C5"/>
    <w:rsid w:val="00B95A23"/>
    <w:rsid w:val="00B95A38"/>
    <w:rsid w:val="00B95ACD"/>
    <w:rsid w:val="00B95BA8"/>
    <w:rsid w:val="00B95BE5"/>
    <w:rsid w:val="00B95BFB"/>
    <w:rsid w:val="00B95C3B"/>
    <w:rsid w:val="00B95D5C"/>
    <w:rsid w:val="00B95DA8"/>
    <w:rsid w:val="00B95DC7"/>
    <w:rsid w:val="00B95DE7"/>
    <w:rsid w:val="00B95E0A"/>
    <w:rsid w:val="00B95E32"/>
    <w:rsid w:val="00B95E6F"/>
    <w:rsid w:val="00B95E91"/>
    <w:rsid w:val="00B95EDF"/>
    <w:rsid w:val="00B95F38"/>
    <w:rsid w:val="00B95F4A"/>
    <w:rsid w:val="00B95F5E"/>
    <w:rsid w:val="00B9603B"/>
    <w:rsid w:val="00B960CA"/>
    <w:rsid w:val="00B960DC"/>
    <w:rsid w:val="00B96106"/>
    <w:rsid w:val="00B96132"/>
    <w:rsid w:val="00B961B4"/>
    <w:rsid w:val="00B961C6"/>
    <w:rsid w:val="00B961F3"/>
    <w:rsid w:val="00B96227"/>
    <w:rsid w:val="00B96234"/>
    <w:rsid w:val="00B96294"/>
    <w:rsid w:val="00B962A1"/>
    <w:rsid w:val="00B962E0"/>
    <w:rsid w:val="00B96309"/>
    <w:rsid w:val="00B96338"/>
    <w:rsid w:val="00B9637F"/>
    <w:rsid w:val="00B963C8"/>
    <w:rsid w:val="00B96423"/>
    <w:rsid w:val="00B964D0"/>
    <w:rsid w:val="00B964EA"/>
    <w:rsid w:val="00B9650A"/>
    <w:rsid w:val="00B965AA"/>
    <w:rsid w:val="00B965EF"/>
    <w:rsid w:val="00B966B8"/>
    <w:rsid w:val="00B96705"/>
    <w:rsid w:val="00B96833"/>
    <w:rsid w:val="00B96991"/>
    <w:rsid w:val="00B969BC"/>
    <w:rsid w:val="00B969EB"/>
    <w:rsid w:val="00B96A30"/>
    <w:rsid w:val="00B96A4F"/>
    <w:rsid w:val="00B96A51"/>
    <w:rsid w:val="00B96A76"/>
    <w:rsid w:val="00B96B0E"/>
    <w:rsid w:val="00B96B1F"/>
    <w:rsid w:val="00B96B6B"/>
    <w:rsid w:val="00B96BAE"/>
    <w:rsid w:val="00B96C02"/>
    <w:rsid w:val="00B96C0F"/>
    <w:rsid w:val="00B96CC9"/>
    <w:rsid w:val="00B96D09"/>
    <w:rsid w:val="00B96D0F"/>
    <w:rsid w:val="00B96DD0"/>
    <w:rsid w:val="00B96DF9"/>
    <w:rsid w:val="00B96E93"/>
    <w:rsid w:val="00B96EC9"/>
    <w:rsid w:val="00B96F1B"/>
    <w:rsid w:val="00B96F4C"/>
    <w:rsid w:val="00B96F79"/>
    <w:rsid w:val="00B96FE4"/>
    <w:rsid w:val="00B97002"/>
    <w:rsid w:val="00B97123"/>
    <w:rsid w:val="00B97154"/>
    <w:rsid w:val="00B971CE"/>
    <w:rsid w:val="00B9726D"/>
    <w:rsid w:val="00B97294"/>
    <w:rsid w:val="00B972AC"/>
    <w:rsid w:val="00B972BF"/>
    <w:rsid w:val="00B97376"/>
    <w:rsid w:val="00B9739E"/>
    <w:rsid w:val="00B973C9"/>
    <w:rsid w:val="00B973EE"/>
    <w:rsid w:val="00B973F0"/>
    <w:rsid w:val="00B9743D"/>
    <w:rsid w:val="00B975B6"/>
    <w:rsid w:val="00B975E3"/>
    <w:rsid w:val="00B976E7"/>
    <w:rsid w:val="00B97768"/>
    <w:rsid w:val="00B9776C"/>
    <w:rsid w:val="00B97840"/>
    <w:rsid w:val="00B97875"/>
    <w:rsid w:val="00B978AE"/>
    <w:rsid w:val="00B978C5"/>
    <w:rsid w:val="00B978D1"/>
    <w:rsid w:val="00B97909"/>
    <w:rsid w:val="00B979BD"/>
    <w:rsid w:val="00B97A9C"/>
    <w:rsid w:val="00B97AF2"/>
    <w:rsid w:val="00B97B0B"/>
    <w:rsid w:val="00B97B10"/>
    <w:rsid w:val="00B97C1D"/>
    <w:rsid w:val="00B97C1E"/>
    <w:rsid w:val="00B97D08"/>
    <w:rsid w:val="00B97D42"/>
    <w:rsid w:val="00B97DA5"/>
    <w:rsid w:val="00B97E20"/>
    <w:rsid w:val="00B97FB5"/>
    <w:rsid w:val="00B97FE4"/>
    <w:rsid w:val="00BA0135"/>
    <w:rsid w:val="00BA0182"/>
    <w:rsid w:val="00BA01C8"/>
    <w:rsid w:val="00BA023A"/>
    <w:rsid w:val="00BA0256"/>
    <w:rsid w:val="00BA0278"/>
    <w:rsid w:val="00BA02C2"/>
    <w:rsid w:val="00BA02CD"/>
    <w:rsid w:val="00BA039E"/>
    <w:rsid w:val="00BA03B1"/>
    <w:rsid w:val="00BA03E5"/>
    <w:rsid w:val="00BA0452"/>
    <w:rsid w:val="00BA047F"/>
    <w:rsid w:val="00BA060B"/>
    <w:rsid w:val="00BA065C"/>
    <w:rsid w:val="00BA06A4"/>
    <w:rsid w:val="00BA06D5"/>
    <w:rsid w:val="00BA0824"/>
    <w:rsid w:val="00BA0857"/>
    <w:rsid w:val="00BA0901"/>
    <w:rsid w:val="00BA0928"/>
    <w:rsid w:val="00BA0A62"/>
    <w:rsid w:val="00BA0AFD"/>
    <w:rsid w:val="00BA0B8C"/>
    <w:rsid w:val="00BA0BE4"/>
    <w:rsid w:val="00BA0C79"/>
    <w:rsid w:val="00BA0C90"/>
    <w:rsid w:val="00BA0D1E"/>
    <w:rsid w:val="00BA0D5B"/>
    <w:rsid w:val="00BA0D8A"/>
    <w:rsid w:val="00BA0D8F"/>
    <w:rsid w:val="00BA0DC3"/>
    <w:rsid w:val="00BA0E00"/>
    <w:rsid w:val="00BA0E22"/>
    <w:rsid w:val="00BA0E61"/>
    <w:rsid w:val="00BA0EFF"/>
    <w:rsid w:val="00BA0F35"/>
    <w:rsid w:val="00BA0F68"/>
    <w:rsid w:val="00BA0F6B"/>
    <w:rsid w:val="00BA1013"/>
    <w:rsid w:val="00BA1039"/>
    <w:rsid w:val="00BA107F"/>
    <w:rsid w:val="00BA10D6"/>
    <w:rsid w:val="00BA10EA"/>
    <w:rsid w:val="00BA1112"/>
    <w:rsid w:val="00BA1117"/>
    <w:rsid w:val="00BA115F"/>
    <w:rsid w:val="00BA1259"/>
    <w:rsid w:val="00BA1273"/>
    <w:rsid w:val="00BA1285"/>
    <w:rsid w:val="00BA1301"/>
    <w:rsid w:val="00BA13AC"/>
    <w:rsid w:val="00BA1474"/>
    <w:rsid w:val="00BA14AE"/>
    <w:rsid w:val="00BA14E5"/>
    <w:rsid w:val="00BA15CE"/>
    <w:rsid w:val="00BA1612"/>
    <w:rsid w:val="00BA161D"/>
    <w:rsid w:val="00BA16AC"/>
    <w:rsid w:val="00BA16CE"/>
    <w:rsid w:val="00BA176A"/>
    <w:rsid w:val="00BA179F"/>
    <w:rsid w:val="00BA17F4"/>
    <w:rsid w:val="00BA1893"/>
    <w:rsid w:val="00BA1921"/>
    <w:rsid w:val="00BA194D"/>
    <w:rsid w:val="00BA1A04"/>
    <w:rsid w:val="00BA1A2D"/>
    <w:rsid w:val="00BA1A84"/>
    <w:rsid w:val="00BA1B39"/>
    <w:rsid w:val="00BA1B48"/>
    <w:rsid w:val="00BA1BD3"/>
    <w:rsid w:val="00BA1CAF"/>
    <w:rsid w:val="00BA1D25"/>
    <w:rsid w:val="00BA1D7F"/>
    <w:rsid w:val="00BA1DD4"/>
    <w:rsid w:val="00BA1E2D"/>
    <w:rsid w:val="00BA1E37"/>
    <w:rsid w:val="00BA1E5B"/>
    <w:rsid w:val="00BA1E83"/>
    <w:rsid w:val="00BA1F01"/>
    <w:rsid w:val="00BA1F07"/>
    <w:rsid w:val="00BA1FF9"/>
    <w:rsid w:val="00BA2003"/>
    <w:rsid w:val="00BA222C"/>
    <w:rsid w:val="00BA2270"/>
    <w:rsid w:val="00BA22AE"/>
    <w:rsid w:val="00BA22EE"/>
    <w:rsid w:val="00BA23C0"/>
    <w:rsid w:val="00BA23CD"/>
    <w:rsid w:val="00BA246A"/>
    <w:rsid w:val="00BA246E"/>
    <w:rsid w:val="00BA24FA"/>
    <w:rsid w:val="00BA2547"/>
    <w:rsid w:val="00BA2552"/>
    <w:rsid w:val="00BA26FF"/>
    <w:rsid w:val="00BA279A"/>
    <w:rsid w:val="00BA27C5"/>
    <w:rsid w:val="00BA2878"/>
    <w:rsid w:val="00BA28E3"/>
    <w:rsid w:val="00BA28ED"/>
    <w:rsid w:val="00BA291A"/>
    <w:rsid w:val="00BA2A83"/>
    <w:rsid w:val="00BA2AB5"/>
    <w:rsid w:val="00BA2BB0"/>
    <w:rsid w:val="00BA2BBD"/>
    <w:rsid w:val="00BA2C08"/>
    <w:rsid w:val="00BA2D82"/>
    <w:rsid w:val="00BA2DB0"/>
    <w:rsid w:val="00BA2DD7"/>
    <w:rsid w:val="00BA2EC1"/>
    <w:rsid w:val="00BA2EC4"/>
    <w:rsid w:val="00BA2EDE"/>
    <w:rsid w:val="00BA307A"/>
    <w:rsid w:val="00BA3095"/>
    <w:rsid w:val="00BA30BF"/>
    <w:rsid w:val="00BA30E6"/>
    <w:rsid w:val="00BA31C1"/>
    <w:rsid w:val="00BA3289"/>
    <w:rsid w:val="00BA32AE"/>
    <w:rsid w:val="00BA32C9"/>
    <w:rsid w:val="00BA3376"/>
    <w:rsid w:val="00BA343C"/>
    <w:rsid w:val="00BA3445"/>
    <w:rsid w:val="00BA3487"/>
    <w:rsid w:val="00BA349C"/>
    <w:rsid w:val="00BA34F3"/>
    <w:rsid w:val="00BA3656"/>
    <w:rsid w:val="00BA3666"/>
    <w:rsid w:val="00BA3675"/>
    <w:rsid w:val="00BA36DE"/>
    <w:rsid w:val="00BA371F"/>
    <w:rsid w:val="00BA37CB"/>
    <w:rsid w:val="00BA37D1"/>
    <w:rsid w:val="00BA3868"/>
    <w:rsid w:val="00BA387B"/>
    <w:rsid w:val="00BA38D4"/>
    <w:rsid w:val="00BA3968"/>
    <w:rsid w:val="00BA3988"/>
    <w:rsid w:val="00BA3993"/>
    <w:rsid w:val="00BA39E3"/>
    <w:rsid w:val="00BA39F4"/>
    <w:rsid w:val="00BA39F5"/>
    <w:rsid w:val="00BA3AD8"/>
    <w:rsid w:val="00BA3B46"/>
    <w:rsid w:val="00BA3B72"/>
    <w:rsid w:val="00BA3B96"/>
    <w:rsid w:val="00BA3C68"/>
    <w:rsid w:val="00BA3CA9"/>
    <w:rsid w:val="00BA3CF7"/>
    <w:rsid w:val="00BA3D53"/>
    <w:rsid w:val="00BA3DDE"/>
    <w:rsid w:val="00BA3E53"/>
    <w:rsid w:val="00BA3E74"/>
    <w:rsid w:val="00BA3EB2"/>
    <w:rsid w:val="00BA3FBF"/>
    <w:rsid w:val="00BA3FD2"/>
    <w:rsid w:val="00BA4014"/>
    <w:rsid w:val="00BA4076"/>
    <w:rsid w:val="00BA40F8"/>
    <w:rsid w:val="00BA4132"/>
    <w:rsid w:val="00BA41BE"/>
    <w:rsid w:val="00BA41FD"/>
    <w:rsid w:val="00BA4201"/>
    <w:rsid w:val="00BA4232"/>
    <w:rsid w:val="00BA4234"/>
    <w:rsid w:val="00BA4259"/>
    <w:rsid w:val="00BA4269"/>
    <w:rsid w:val="00BA42E4"/>
    <w:rsid w:val="00BA430A"/>
    <w:rsid w:val="00BA43F8"/>
    <w:rsid w:val="00BA4406"/>
    <w:rsid w:val="00BA44A9"/>
    <w:rsid w:val="00BA4509"/>
    <w:rsid w:val="00BA4532"/>
    <w:rsid w:val="00BA4576"/>
    <w:rsid w:val="00BA45AC"/>
    <w:rsid w:val="00BA45E4"/>
    <w:rsid w:val="00BA460E"/>
    <w:rsid w:val="00BA463E"/>
    <w:rsid w:val="00BA463F"/>
    <w:rsid w:val="00BA4695"/>
    <w:rsid w:val="00BA4697"/>
    <w:rsid w:val="00BA46A0"/>
    <w:rsid w:val="00BA470F"/>
    <w:rsid w:val="00BA47A0"/>
    <w:rsid w:val="00BA47A7"/>
    <w:rsid w:val="00BA47F9"/>
    <w:rsid w:val="00BA480E"/>
    <w:rsid w:val="00BA4811"/>
    <w:rsid w:val="00BA4827"/>
    <w:rsid w:val="00BA4829"/>
    <w:rsid w:val="00BA483A"/>
    <w:rsid w:val="00BA483C"/>
    <w:rsid w:val="00BA487E"/>
    <w:rsid w:val="00BA49B3"/>
    <w:rsid w:val="00BA4A10"/>
    <w:rsid w:val="00BA4A42"/>
    <w:rsid w:val="00BA4AC7"/>
    <w:rsid w:val="00BA4B32"/>
    <w:rsid w:val="00BA4B5C"/>
    <w:rsid w:val="00BA4B84"/>
    <w:rsid w:val="00BA4BD8"/>
    <w:rsid w:val="00BA4BDD"/>
    <w:rsid w:val="00BA4CCD"/>
    <w:rsid w:val="00BA4DEC"/>
    <w:rsid w:val="00BA4E81"/>
    <w:rsid w:val="00BA4EC7"/>
    <w:rsid w:val="00BA4F21"/>
    <w:rsid w:val="00BA4FE5"/>
    <w:rsid w:val="00BA4FF3"/>
    <w:rsid w:val="00BA5015"/>
    <w:rsid w:val="00BA5029"/>
    <w:rsid w:val="00BA5057"/>
    <w:rsid w:val="00BA50EC"/>
    <w:rsid w:val="00BA50F6"/>
    <w:rsid w:val="00BA5113"/>
    <w:rsid w:val="00BA5199"/>
    <w:rsid w:val="00BA51B4"/>
    <w:rsid w:val="00BA5205"/>
    <w:rsid w:val="00BA5217"/>
    <w:rsid w:val="00BA5245"/>
    <w:rsid w:val="00BA5297"/>
    <w:rsid w:val="00BA5341"/>
    <w:rsid w:val="00BA53B6"/>
    <w:rsid w:val="00BA540F"/>
    <w:rsid w:val="00BA542A"/>
    <w:rsid w:val="00BA5432"/>
    <w:rsid w:val="00BA5500"/>
    <w:rsid w:val="00BA5534"/>
    <w:rsid w:val="00BA5599"/>
    <w:rsid w:val="00BA55B9"/>
    <w:rsid w:val="00BA575A"/>
    <w:rsid w:val="00BA5799"/>
    <w:rsid w:val="00BA57B5"/>
    <w:rsid w:val="00BA583D"/>
    <w:rsid w:val="00BA5858"/>
    <w:rsid w:val="00BA5889"/>
    <w:rsid w:val="00BA58D0"/>
    <w:rsid w:val="00BA58F6"/>
    <w:rsid w:val="00BA593E"/>
    <w:rsid w:val="00BA594F"/>
    <w:rsid w:val="00BA5987"/>
    <w:rsid w:val="00BA59BD"/>
    <w:rsid w:val="00BA59F7"/>
    <w:rsid w:val="00BA5A71"/>
    <w:rsid w:val="00BA5A8F"/>
    <w:rsid w:val="00BA5AA1"/>
    <w:rsid w:val="00BA5B19"/>
    <w:rsid w:val="00BA5B21"/>
    <w:rsid w:val="00BA5B52"/>
    <w:rsid w:val="00BA5BB6"/>
    <w:rsid w:val="00BA5C00"/>
    <w:rsid w:val="00BA5C58"/>
    <w:rsid w:val="00BA5D22"/>
    <w:rsid w:val="00BA5D93"/>
    <w:rsid w:val="00BA5DA2"/>
    <w:rsid w:val="00BA5DDD"/>
    <w:rsid w:val="00BA5E31"/>
    <w:rsid w:val="00BA5E5C"/>
    <w:rsid w:val="00BA5EE7"/>
    <w:rsid w:val="00BA5F73"/>
    <w:rsid w:val="00BA5FA0"/>
    <w:rsid w:val="00BA605E"/>
    <w:rsid w:val="00BA617B"/>
    <w:rsid w:val="00BA61B0"/>
    <w:rsid w:val="00BA625C"/>
    <w:rsid w:val="00BA6303"/>
    <w:rsid w:val="00BA6367"/>
    <w:rsid w:val="00BA639D"/>
    <w:rsid w:val="00BA63F6"/>
    <w:rsid w:val="00BA6421"/>
    <w:rsid w:val="00BA646F"/>
    <w:rsid w:val="00BA6486"/>
    <w:rsid w:val="00BA6505"/>
    <w:rsid w:val="00BA6509"/>
    <w:rsid w:val="00BA6604"/>
    <w:rsid w:val="00BA665D"/>
    <w:rsid w:val="00BA66B6"/>
    <w:rsid w:val="00BA670D"/>
    <w:rsid w:val="00BA6710"/>
    <w:rsid w:val="00BA67FC"/>
    <w:rsid w:val="00BA686E"/>
    <w:rsid w:val="00BA6873"/>
    <w:rsid w:val="00BA68C4"/>
    <w:rsid w:val="00BA690B"/>
    <w:rsid w:val="00BA6924"/>
    <w:rsid w:val="00BA6962"/>
    <w:rsid w:val="00BA69B5"/>
    <w:rsid w:val="00BA69D0"/>
    <w:rsid w:val="00BA6AD3"/>
    <w:rsid w:val="00BA6B06"/>
    <w:rsid w:val="00BA6B2D"/>
    <w:rsid w:val="00BA6B4D"/>
    <w:rsid w:val="00BA6BBA"/>
    <w:rsid w:val="00BA6C67"/>
    <w:rsid w:val="00BA6CD0"/>
    <w:rsid w:val="00BA6CE3"/>
    <w:rsid w:val="00BA6D5A"/>
    <w:rsid w:val="00BA6E27"/>
    <w:rsid w:val="00BA6E52"/>
    <w:rsid w:val="00BA6E97"/>
    <w:rsid w:val="00BA6EBF"/>
    <w:rsid w:val="00BA6F38"/>
    <w:rsid w:val="00BA6F3A"/>
    <w:rsid w:val="00BA6FBF"/>
    <w:rsid w:val="00BA7046"/>
    <w:rsid w:val="00BA704D"/>
    <w:rsid w:val="00BA7054"/>
    <w:rsid w:val="00BA70DB"/>
    <w:rsid w:val="00BA7100"/>
    <w:rsid w:val="00BA7113"/>
    <w:rsid w:val="00BA712C"/>
    <w:rsid w:val="00BA7139"/>
    <w:rsid w:val="00BA71CE"/>
    <w:rsid w:val="00BA71DA"/>
    <w:rsid w:val="00BA71DC"/>
    <w:rsid w:val="00BA71FD"/>
    <w:rsid w:val="00BA7260"/>
    <w:rsid w:val="00BA728E"/>
    <w:rsid w:val="00BA736B"/>
    <w:rsid w:val="00BA738D"/>
    <w:rsid w:val="00BA73B8"/>
    <w:rsid w:val="00BA73E2"/>
    <w:rsid w:val="00BA7445"/>
    <w:rsid w:val="00BA74AB"/>
    <w:rsid w:val="00BA74CD"/>
    <w:rsid w:val="00BA7552"/>
    <w:rsid w:val="00BA7593"/>
    <w:rsid w:val="00BA75C9"/>
    <w:rsid w:val="00BA760F"/>
    <w:rsid w:val="00BA76C2"/>
    <w:rsid w:val="00BA772D"/>
    <w:rsid w:val="00BA7848"/>
    <w:rsid w:val="00BA78DA"/>
    <w:rsid w:val="00BA78F4"/>
    <w:rsid w:val="00BA7910"/>
    <w:rsid w:val="00BA792D"/>
    <w:rsid w:val="00BA794E"/>
    <w:rsid w:val="00BA7A47"/>
    <w:rsid w:val="00BA7AD0"/>
    <w:rsid w:val="00BA7B48"/>
    <w:rsid w:val="00BA7C5A"/>
    <w:rsid w:val="00BA7C63"/>
    <w:rsid w:val="00BA7CE5"/>
    <w:rsid w:val="00BA7D47"/>
    <w:rsid w:val="00BA7D6D"/>
    <w:rsid w:val="00BA7D95"/>
    <w:rsid w:val="00BA7F76"/>
    <w:rsid w:val="00BA7FD1"/>
    <w:rsid w:val="00BA7FFA"/>
    <w:rsid w:val="00BB0014"/>
    <w:rsid w:val="00BB0027"/>
    <w:rsid w:val="00BB003C"/>
    <w:rsid w:val="00BB0076"/>
    <w:rsid w:val="00BB0090"/>
    <w:rsid w:val="00BB0174"/>
    <w:rsid w:val="00BB01FA"/>
    <w:rsid w:val="00BB02BF"/>
    <w:rsid w:val="00BB02FE"/>
    <w:rsid w:val="00BB0311"/>
    <w:rsid w:val="00BB0330"/>
    <w:rsid w:val="00BB03DD"/>
    <w:rsid w:val="00BB0427"/>
    <w:rsid w:val="00BB0469"/>
    <w:rsid w:val="00BB058F"/>
    <w:rsid w:val="00BB0590"/>
    <w:rsid w:val="00BB0631"/>
    <w:rsid w:val="00BB0764"/>
    <w:rsid w:val="00BB07E4"/>
    <w:rsid w:val="00BB082D"/>
    <w:rsid w:val="00BB0842"/>
    <w:rsid w:val="00BB085F"/>
    <w:rsid w:val="00BB086D"/>
    <w:rsid w:val="00BB087B"/>
    <w:rsid w:val="00BB08DF"/>
    <w:rsid w:val="00BB0910"/>
    <w:rsid w:val="00BB0918"/>
    <w:rsid w:val="00BB09BB"/>
    <w:rsid w:val="00BB0A44"/>
    <w:rsid w:val="00BB0CBE"/>
    <w:rsid w:val="00BB0D6B"/>
    <w:rsid w:val="00BB0D77"/>
    <w:rsid w:val="00BB0DB6"/>
    <w:rsid w:val="00BB0E5B"/>
    <w:rsid w:val="00BB0EFD"/>
    <w:rsid w:val="00BB0F60"/>
    <w:rsid w:val="00BB1004"/>
    <w:rsid w:val="00BB1025"/>
    <w:rsid w:val="00BB1069"/>
    <w:rsid w:val="00BB10F6"/>
    <w:rsid w:val="00BB10FF"/>
    <w:rsid w:val="00BB110B"/>
    <w:rsid w:val="00BB112B"/>
    <w:rsid w:val="00BB11F8"/>
    <w:rsid w:val="00BB121B"/>
    <w:rsid w:val="00BB127D"/>
    <w:rsid w:val="00BB12B4"/>
    <w:rsid w:val="00BB12E4"/>
    <w:rsid w:val="00BB12F3"/>
    <w:rsid w:val="00BB12FD"/>
    <w:rsid w:val="00BB1374"/>
    <w:rsid w:val="00BB13DC"/>
    <w:rsid w:val="00BB1522"/>
    <w:rsid w:val="00BB1605"/>
    <w:rsid w:val="00BB1681"/>
    <w:rsid w:val="00BB1688"/>
    <w:rsid w:val="00BB16A2"/>
    <w:rsid w:val="00BB170D"/>
    <w:rsid w:val="00BB171D"/>
    <w:rsid w:val="00BB1763"/>
    <w:rsid w:val="00BB1777"/>
    <w:rsid w:val="00BB177B"/>
    <w:rsid w:val="00BB179E"/>
    <w:rsid w:val="00BB17DD"/>
    <w:rsid w:val="00BB17E1"/>
    <w:rsid w:val="00BB1830"/>
    <w:rsid w:val="00BB183C"/>
    <w:rsid w:val="00BB185A"/>
    <w:rsid w:val="00BB18BA"/>
    <w:rsid w:val="00BB194F"/>
    <w:rsid w:val="00BB19CB"/>
    <w:rsid w:val="00BB1A13"/>
    <w:rsid w:val="00BB1C4B"/>
    <w:rsid w:val="00BB1CD5"/>
    <w:rsid w:val="00BB1CE3"/>
    <w:rsid w:val="00BB1DB3"/>
    <w:rsid w:val="00BB1DB8"/>
    <w:rsid w:val="00BB1DC6"/>
    <w:rsid w:val="00BB1DFE"/>
    <w:rsid w:val="00BB1E0B"/>
    <w:rsid w:val="00BB1E16"/>
    <w:rsid w:val="00BB1EFE"/>
    <w:rsid w:val="00BB1FB0"/>
    <w:rsid w:val="00BB2037"/>
    <w:rsid w:val="00BB2070"/>
    <w:rsid w:val="00BB20A0"/>
    <w:rsid w:val="00BB20A7"/>
    <w:rsid w:val="00BB2135"/>
    <w:rsid w:val="00BB21F0"/>
    <w:rsid w:val="00BB2201"/>
    <w:rsid w:val="00BB221A"/>
    <w:rsid w:val="00BB2263"/>
    <w:rsid w:val="00BB226C"/>
    <w:rsid w:val="00BB22B2"/>
    <w:rsid w:val="00BB22BC"/>
    <w:rsid w:val="00BB233A"/>
    <w:rsid w:val="00BB238E"/>
    <w:rsid w:val="00BB23F3"/>
    <w:rsid w:val="00BB24A6"/>
    <w:rsid w:val="00BB24DC"/>
    <w:rsid w:val="00BB2527"/>
    <w:rsid w:val="00BB2566"/>
    <w:rsid w:val="00BB25A6"/>
    <w:rsid w:val="00BB26BC"/>
    <w:rsid w:val="00BB2732"/>
    <w:rsid w:val="00BB2734"/>
    <w:rsid w:val="00BB2783"/>
    <w:rsid w:val="00BB2798"/>
    <w:rsid w:val="00BB27DC"/>
    <w:rsid w:val="00BB27F1"/>
    <w:rsid w:val="00BB2850"/>
    <w:rsid w:val="00BB2869"/>
    <w:rsid w:val="00BB2963"/>
    <w:rsid w:val="00BB2A8B"/>
    <w:rsid w:val="00BB2A98"/>
    <w:rsid w:val="00BB2B23"/>
    <w:rsid w:val="00BB2B2A"/>
    <w:rsid w:val="00BB2BFF"/>
    <w:rsid w:val="00BB2C31"/>
    <w:rsid w:val="00BB2C56"/>
    <w:rsid w:val="00BB2E18"/>
    <w:rsid w:val="00BB2F0B"/>
    <w:rsid w:val="00BB2F1D"/>
    <w:rsid w:val="00BB30E1"/>
    <w:rsid w:val="00BB31E5"/>
    <w:rsid w:val="00BB3242"/>
    <w:rsid w:val="00BB3267"/>
    <w:rsid w:val="00BB33CB"/>
    <w:rsid w:val="00BB347D"/>
    <w:rsid w:val="00BB357C"/>
    <w:rsid w:val="00BB358A"/>
    <w:rsid w:val="00BB35B3"/>
    <w:rsid w:val="00BB35F8"/>
    <w:rsid w:val="00BB35FD"/>
    <w:rsid w:val="00BB3614"/>
    <w:rsid w:val="00BB369B"/>
    <w:rsid w:val="00BB36A4"/>
    <w:rsid w:val="00BB36ED"/>
    <w:rsid w:val="00BB3756"/>
    <w:rsid w:val="00BB376C"/>
    <w:rsid w:val="00BB3774"/>
    <w:rsid w:val="00BB3898"/>
    <w:rsid w:val="00BB38A7"/>
    <w:rsid w:val="00BB391E"/>
    <w:rsid w:val="00BB393D"/>
    <w:rsid w:val="00BB3950"/>
    <w:rsid w:val="00BB3954"/>
    <w:rsid w:val="00BB3967"/>
    <w:rsid w:val="00BB39BC"/>
    <w:rsid w:val="00BB39DF"/>
    <w:rsid w:val="00BB3A6D"/>
    <w:rsid w:val="00BB3A9B"/>
    <w:rsid w:val="00BB3AE4"/>
    <w:rsid w:val="00BB3BA3"/>
    <w:rsid w:val="00BB3BC8"/>
    <w:rsid w:val="00BB3C25"/>
    <w:rsid w:val="00BB3C71"/>
    <w:rsid w:val="00BB3CE9"/>
    <w:rsid w:val="00BB3CF8"/>
    <w:rsid w:val="00BB3D62"/>
    <w:rsid w:val="00BB3D69"/>
    <w:rsid w:val="00BB3D7A"/>
    <w:rsid w:val="00BB3E0E"/>
    <w:rsid w:val="00BB3E6B"/>
    <w:rsid w:val="00BB3EDD"/>
    <w:rsid w:val="00BB3F47"/>
    <w:rsid w:val="00BB406F"/>
    <w:rsid w:val="00BB40B7"/>
    <w:rsid w:val="00BB40DC"/>
    <w:rsid w:val="00BB411C"/>
    <w:rsid w:val="00BB4167"/>
    <w:rsid w:val="00BB419E"/>
    <w:rsid w:val="00BB4223"/>
    <w:rsid w:val="00BB42EB"/>
    <w:rsid w:val="00BB42F7"/>
    <w:rsid w:val="00BB4397"/>
    <w:rsid w:val="00BB43BA"/>
    <w:rsid w:val="00BB452C"/>
    <w:rsid w:val="00BB4547"/>
    <w:rsid w:val="00BB4602"/>
    <w:rsid w:val="00BB4649"/>
    <w:rsid w:val="00BB4661"/>
    <w:rsid w:val="00BB466A"/>
    <w:rsid w:val="00BB4670"/>
    <w:rsid w:val="00BB46C0"/>
    <w:rsid w:val="00BB4702"/>
    <w:rsid w:val="00BB481A"/>
    <w:rsid w:val="00BB4843"/>
    <w:rsid w:val="00BB4887"/>
    <w:rsid w:val="00BB488E"/>
    <w:rsid w:val="00BB4A0B"/>
    <w:rsid w:val="00BB4A51"/>
    <w:rsid w:val="00BB4AC0"/>
    <w:rsid w:val="00BB4AF4"/>
    <w:rsid w:val="00BB4B2B"/>
    <w:rsid w:val="00BB4BA8"/>
    <w:rsid w:val="00BB4C6B"/>
    <w:rsid w:val="00BB4D0A"/>
    <w:rsid w:val="00BB4D36"/>
    <w:rsid w:val="00BB4D9C"/>
    <w:rsid w:val="00BB4E55"/>
    <w:rsid w:val="00BB4E6A"/>
    <w:rsid w:val="00BB4EA7"/>
    <w:rsid w:val="00BB4ED0"/>
    <w:rsid w:val="00BB4F44"/>
    <w:rsid w:val="00BB504B"/>
    <w:rsid w:val="00BB506A"/>
    <w:rsid w:val="00BB50D8"/>
    <w:rsid w:val="00BB51DE"/>
    <w:rsid w:val="00BB523C"/>
    <w:rsid w:val="00BB52BE"/>
    <w:rsid w:val="00BB536D"/>
    <w:rsid w:val="00BB5408"/>
    <w:rsid w:val="00BB540F"/>
    <w:rsid w:val="00BB5418"/>
    <w:rsid w:val="00BB544F"/>
    <w:rsid w:val="00BB5453"/>
    <w:rsid w:val="00BB5465"/>
    <w:rsid w:val="00BB5475"/>
    <w:rsid w:val="00BB55B5"/>
    <w:rsid w:val="00BB5609"/>
    <w:rsid w:val="00BB569E"/>
    <w:rsid w:val="00BB56AB"/>
    <w:rsid w:val="00BB57AA"/>
    <w:rsid w:val="00BB57B5"/>
    <w:rsid w:val="00BB57C7"/>
    <w:rsid w:val="00BB5819"/>
    <w:rsid w:val="00BB583A"/>
    <w:rsid w:val="00BB58A7"/>
    <w:rsid w:val="00BB5905"/>
    <w:rsid w:val="00BB59C1"/>
    <w:rsid w:val="00BB59D2"/>
    <w:rsid w:val="00BB59ED"/>
    <w:rsid w:val="00BB5A38"/>
    <w:rsid w:val="00BB5A9A"/>
    <w:rsid w:val="00BB5AC8"/>
    <w:rsid w:val="00BB5ACA"/>
    <w:rsid w:val="00BB5B5F"/>
    <w:rsid w:val="00BB5B78"/>
    <w:rsid w:val="00BB5B7F"/>
    <w:rsid w:val="00BB5CBB"/>
    <w:rsid w:val="00BB5D70"/>
    <w:rsid w:val="00BB5D81"/>
    <w:rsid w:val="00BB5D85"/>
    <w:rsid w:val="00BB5D95"/>
    <w:rsid w:val="00BB5DA4"/>
    <w:rsid w:val="00BB5DD7"/>
    <w:rsid w:val="00BB5E8E"/>
    <w:rsid w:val="00BB5F76"/>
    <w:rsid w:val="00BB6077"/>
    <w:rsid w:val="00BB60FD"/>
    <w:rsid w:val="00BB6147"/>
    <w:rsid w:val="00BB6206"/>
    <w:rsid w:val="00BB6230"/>
    <w:rsid w:val="00BB62B0"/>
    <w:rsid w:val="00BB62C2"/>
    <w:rsid w:val="00BB63BB"/>
    <w:rsid w:val="00BB63F3"/>
    <w:rsid w:val="00BB6409"/>
    <w:rsid w:val="00BB643A"/>
    <w:rsid w:val="00BB6495"/>
    <w:rsid w:val="00BB64A5"/>
    <w:rsid w:val="00BB64B8"/>
    <w:rsid w:val="00BB6577"/>
    <w:rsid w:val="00BB65C2"/>
    <w:rsid w:val="00BB65F0"/>
    <w:rsid w:val="00BB65FD"/>
    <w:rsid w:val="00BB6658"/>
    <w:rsid w:val="00BB6679"/>
    <w:rsid w:val="00BB66C0"/>
    <w:rsid w:val="00BB66DA"/>
    <w:rsid w:val="00BB676F"/>
    <w:rsid w:val="00BB6788"/>
    <w:rsid w:val="00BB6811"/>
    <w:rsid w:val="00BB6817"/>
    <w:rsid w:val="00BB6825"/>
    <w:rsid w:val="00BB68AA"/>
    <w:rsid w:val="00BB6955"/>
    <w:rsid w:val="00BB699C"/>
    <w:rsid w:val="00BB6A3A"/>
    <w:rsid w:val="00BB6AA3"/>
    <w:rsid w:val="00BB6AB7"/>
    <w:rsid w:val="00BB6AEB"/>
    <w:rsid w:val="00BB6B12"/>
    <w:rsid w:val="00BB6B58"/>
    <w:rsid w:val="00BB6C54"/>
    <w:rsid w:val="00BB6C91"/>
    <w:rsid w:val="00BB6D1A"/>
    <w:rsid w:val="00BB6D22"/>
    <w:rsid w:val="00BB6E7B"/>
    <w:rsid w:val="00BB6E93"/>
    <w:rsid w:val="00BB6FB6"/>
    <w:rsid w:val="00BB7080"/>
    <w:rsid w:val="00BB712B"/>
    <w:rsid w:val="00BB7189"/>
    <w:rsid w:val="00BB720E"/>
    <w:rsid w:val="00BB7246"/>
    <w:rsid w:val="00BB730F"/>
    <w:rsid w:val="00BB731B"/>
    <w:rsid w:val="00BB734B"/>
    <w:rsid w:val="00BB7401"/>
    <w:rsid w:val="00BB740D"/>
    <w:rsid w:val="00BB7485"/>
    <w:rsid w:val="00BB74E4"/>
    <w:rsid w:val="00BB7603"/>
    <w:rsid w:val="00BB7619"/>
    <w:rsid w:val="00BB7655"/>
    <w:rsid w:val="00BB765B"/>
    <w:rsid w:val="00BB76B5"/>
    <w:rsid w:val="00BB76B7"/>
    <w:rsid w:val="00BB7712"/>
    <w:rsid w:val="00BB77EE"/>
    <w:rsid w:val="00BB7867"/>
    <w:rsid w:val="00BB7889"/>
    <w:rsid w:val="00BB78F1"/>
    <w:rsid w:val="00BB79C1"/>
    <w:rsid w:val="00BB7A14"/>
    <w:rsid w:val="00BB7A1A"/>
    <w:rsid w:val="00BB7A58"/>
    <w:rsid w:val="00BB7AA9"/>
    <w:rsid w:val="00BB7AD8"/>
    <w:rsid w:val="00BB7BFC"/>
    <w:rsid w:val="00BB7C06"/>
    <w:rsid w:val="00BB7C0B"/>
    <w:rsid w:val="00BB7C60"/>
    <w:rsid w:val="00BB7C79"/>
    <w:rsid w:val="00BB7D43"/>
    <w:rsid w:val="00BB7E43"/>
    <w:rsid w:val="00BB7E8B"/>
    <w:rsid w:val="00BB7EB4"/>
    <w:rsid w:val="00BB7F1D"/>
    <w:rsid w:val="00BB7F2A"/>
    <w:rsid w:val="00BB7F7D"/>
    <w:rsid w:val="00BB7FB0"/>
    <w:rsid w:val="00BC00A0"/>
    <w:rsid w:val="00BC0115"/>
    <w:rsid w:val="00BC0180"/>
    <w:rsid w:val="00BC01B4"/>
    <w:rsid w:val="00BC01E4"/>
    <w:rsid w:val="00BC0220"/>
    <w:rsid w:val="00BC024A"/>
    <w:rsid w:val="00BC0308"/>
    <w:rsid w:val="00BC0320"/>
    <w:rsid w:val="00BC034B"/>
    <w:rsid w:val="00BC0352"/>
    <w:rsid w:val="00BC0366"/>
    <w:rsid w:val="00BC039D"/>
    <w:rsid w:val="00BC03D0"/>
    <w:rsid w:val="00BC045C"/>
    <w:rsid w:val="00BC0565"/>
    <w:rsid w:val="00BC0572"/>
    <w:rsid w:val="00BC0578"/>
    <w:rsid w:val="00BC0593"/>
    <w:rsid w:val="00BC05CC"/>
    <w:rsid w:val="00BC05F5"/>
    <w:rsid w:val="00BC0752"/>
    <w:rsid w:val="00BC0793"/>
    <w:rsid w:val="00BC0822"/>
    <w:rsid w:val="00BC084A"/>
    <w:rsid w:val="00BC0885"/>
    <w:rsid w:val="00BC08BA"/>
    <w:rsid w:val="00BC0980"/>
    <w:rsid w:val="00BC0998"/>
    <w:rsid w:val="00BC09E7"/>
    <w:rsid w:val="00BC0A11"/>
    <w:rsid w:val="00BC0A16"/>
    <w:rsid w:val="00BC0A40"/>
    <w:rsid w:val="00BC0AAE"/>
    <w:rsid w:val="00BC0ACD"/>
    <w:rsid w:val="00BC0C40"/>
    <w:rsid w:val="00BC0C52"/>
    <w:rsid w:val="00BC0C5E"/>
    <w:rsid w:val="00BC0C85"/>
    <w:rsid w:val="00BC0CA6"/>
    <w:rsid w:val="00BC0D23"/>
    <w:rsid w:val="00BC0ECC"/>
    <w:rsid w:val="00BC0EDF"/>
    <w:rsid w:val="00BC0F4A"/>
    <w:rsid w:val="00BC100B"/>
    <w:rsid w:val="00BC101C"/>
    <w:rsid w:val="00BC1025"/>
    <w:rsid w:val="00BC10BE"/>
    <w:rsid w:val="00BC11C8"/>
    <w:rsid w:val="00BC11C9"/>
    <w:rsid w:val="00BC11E9"/>
    <w:rsid w:val="00BC1297"/>
    <w:rsid w:val="00BC1380"/>
    <w:rsid w:val="00BC1486"/>
    <w:rsid w:val="00BC14AD"/>
    <w:rsid w:val="00BC153C"/>
    <w:rsid w:val="00BC1618"/>
    <w:rsid w:val="00BC1672"/>
    <w:rsid w:val="00BC1697"/>
    <w:rsid w:val="00BC1783"/>
    <w:rsid w:val="00BC17A1"/>
    <w:rsid w:val="00BC17BF"/>
    <w:rsid w:val="00BC1867"/>
    <w:rsid w:val="00BC192C"/>
    <w:rsid w:val="00BC1963"/>
    <w:rsid w:val="00BC197C"/>
    <w:rsid w:val="00BC1A0C"/>
    <w:rsid w:val="00BC1A19"/>
    <w:rsid w:val="00BC1A1A"/>
    <w:rsid w:val="00BC1A81"/>
    <w:rsid w:val="00BC1ABF"/>
    <w:rsid w:val="00BC1BBE"/>
    <w:rsid w:val="00BC1BD5"/>
    <w:rsid w:val="00BC1C31"/>
    <w:rsid w:val="00BC1C58"/>
    <w:rsid w:val="00BC1CA6"/>
    <w:rsid w:val="00BC1D01"/>
    <w:rsid w:val="00BC1D79"/>
    <w:rsid w:val="00BC1D80"/>
    <w:rsid w:val="00BC1E65"/>
    <w:rsid w:val="00BC1E68"/>
    <w:rsid w:val="00BC1EB5"/>
    <w:rsid w:val="00BC1F2C"/>
    <w:rsid w:val="00BC1F35"/>
    <w:rsid w:val="00BC1FE8"/>
    <w:rsid w:val="00BC20A3"/>
    <w:rsid w:val="00BC212D"/>
    <w:rsid w:val="00BC2163"/>
    <w:rsid w:val="00BC21C1"/>
    <w:rsid w:val="00BC2209"/>
    <w:rsid w:val="00BC2233"/>
    <w:rsid w:val="00BC2249"/>
    <w:rsid w:val="00BC2270"/>
    <w:rsid w:val="00BC22CD"/>
    <w:rsid w:val="00BC2337"/>
    <w:rsid w:val="00BC2339"/>
    <w:rsid w:val="00BC234B"/>
    <w:rsid w:val="00BC2361"/>
    <w:rsid w:val="00BC23D2"/>
    <w:rsid w:val="00BC2437"/>
    <w:rsid w:val="00BC24A9"/>
    <w:rsid w:val="00BC2564"/>
    <w:rsid w:val="00BC2596"/>
    <w:rsid w:val="00BC25ED"/>
    <w:rsid w:val="00BC261A"/>
    <w:rsid w:val="00BC2637"/>
    <w:rsid w:val="00BC266D"/>
    <w:rsid w:val="00BC2696"/>
    <w:rsid w:val="00BC26B0"/>
    <w:rsid w:val="00BC26DF"/>
    <w:rsid w:val="00BC2752"/>
    <w:rsid w:val="00BC2797"/>
    <w:rsid w:val="00BC27E3"/>
    <w:rsid w:val="00BC2872"/>
    <w:rsid w:val="00BC28D9"/>
    <w:rsid w:val="00BC29A7"/>
    <w:rsid w:val="00BC2A6D"/>
    <w:rsid w:val="00BC2A73"/>
    <w:rsid w:val="00BC2B6D"/>
    <w:rsid w:val="00BC2B74"/>
    <w:rsid w:val="00BC2BFD"/>
    <w:rsid w:val="00BC2C16"/>
    <w:rsid w:val="00BC2C3D"/>
    <w:rsid w:val="00BC2C5D"/>
    <w:rsid w:val="00BC2C7D"/>
    <w:rsid w:val="00BC2C91"/>
    <w:rsid w:val="00BC2C9E"/>
    <w:rsid w:val="00BC2CE3"/>
    <w:rsid w:val="00BC2D05"/>
    <w:rsid w:val="00BC2D24"/>
    <w:rsid w:val="00BC2D62"/>
    <w:rsid w:val="00BC2D88"/>
    <w:rsid w:val="00BC2D90"/>
    <w:rsid w:val="00BC2DCC"/>
    <w:rsid w:val="00BC2E29"/>
    <w:rsid w:val="00BC2F4F"/>
    <w:rsid w:val="00BC2F66"/>
    <w:rsid w:val="00BC2FBC"/>
    <w:rsid w:val="00BC2FDB"/>
    <w:rsid w:val="00BC3027"/>
    <w:rsid w:val="00BC3061"/>
    <w:rsid w:val="00BC308B"/>
    <w:rsid w:val="00BC308D"/>
    <w:rsid w:val="00BC3185"/>
    <w:rsid w:val="00BC3252"/>
    <w:rsid w:val="00BC3389"/>
    <w:rsid w:val="00BC33E0"/>
    <w:rsid w:val="00BC3414"/>
    <w:rsid w:val="00BC34D5"/>
    <w:rsid w:val="00BC34F4"/>
    <w:rsid w:val="00BC3731"/>
    <w:rsid w:val="00BC37A6"/>
    <w:rsid w:val="00BC3814"/>
    <w:rsid w:val="00BC386E"/>
    <w:rsid w:val="00BC3948"/>
    <w:rsid w:val="00BC394B"/>
    <w:rsid w:val="00BC39B5"/>
    <w:rsid w:val="00BC3A40"/>
    <w:rsid w:val="00BC3A42"/>
    <w:rsid w:val="00BC3A99"/>
    <w:rsid w:val="00BC3AD8"/>
    <w:rsid w:val="00BC3C91"/>
    <w:rsid w:val="00BC3D86"/>
    <w:rsid w:val="00BC3DA7"/>
    <w:rsid w:val="00BC3DD9"/>
    <w:rsid w:val="00BC3E46"/>
    <w:rsid w:val="00BC3E52"/>
    <w:rsid w:val="00BC3F0B"/>
    <w:rsid w:val="00BC3F15"/>
    <w:rsid w:val="00BC3F23"/>
    <w:rsid w:val="00BC3F3E"/>
    <w:rsid w:val="00BC3F98"/>
    <w:rsid w:val="00BC4007"/>
    <w:rsid w:val="00BC4066"/>
    <w:rsid w:val="00BC4092"/>
    <w:rsid w:val="00BC4111"/>
    <w:rsid w:val="00BC414A"/>
    <w:rsid w:val="00BC41B9"/>
    <w:rsid w:val="00BC41C7"/>
    <w:rsid w:val="00BC4246"/>
    <w:rsid w:val="00BC42AC"/>
    <w:rsid w:val="00BC4317"/>
    <w:rsid w:val="00BC4332"/>
    <w:rsid w:val="00BC4366"/>
    <w:rsid w:val="00BC43B5"/>
    <w:rsid w:val="00BC4426"/>
    <w:rsid w:val="00BC4453"/>
    <w:rsid w:val="00BC445C"/>
    <w:rsid w:val="00BC44BC"/>
    <w:rsid w:val="00BC44CD"/>
    <w:rsid w:val="00BC4550"/>
    <w:rsid w:val="00BC455F"/>
    <w:rsid w:val="00BC459E"/>
    <w:rsid w:val="00BC45A8"/>
    <w:rsid w:val="00BC45FB"/>
    <w:rsid w:val="00BC4654"/>
    <w:rsid w:val="00BC4734"/>
    <w:rsid w:val="00BC4761"/>
    <w:rsid w:val="00BC478C"/>
    <w:rsid w:val="00BC47C4"/>
    <w:rsid w:val="00BC48DF"/>
    <w:rsid w:val="00BC49DC"/>
    <w:rsid w:val="00BC4A27"/>
    <w:rsid w:val="00BC4BDF"/>
    <w:rsid w:val="00BC4BF9"/>
    <w:rsid w:val="00BC4C17"/>
    <w:rsid w:val="00BC4C8A"/>
    <w:rsid w:val="00BC4E44"/>
    <w:rsid w:val="00BC4F7D"/>
    <w:rsid w:val="00BC4FE0"/>
    <w:rsid w:val="00BC504B"/>
    <w:rsid w:val="00BC508D"/>
    <w:rsid w:val="00BC50A0"/>
    <w:rsid w:val="00BC50A6"/>
    <w:rsid w:val="00BC50B6"/>
    <w:rsid w:val="00BC5113"/>
    <w:rsid w:val="00BC519A"/>
    <w:rsid w:val="00BC51B2"/>
    <w:rsid w:val="00BC529F"/>
    <w:rsid w:val="00BC52DE"/>
    <w:rsid w:val="00BC530A"/>
    <w:rsid w:val="00BC532E"/>
    <w:rsid w:val="00BC5420"/>
    <w:rsid w:val="00BC54D4"/>
    <w:rsid w:val="00BC5531"/>
    <w:rsid w:val="00BC5540"/>
    <w:rsid w:val="00BC5572"/>
    <w:rsid w:val="00BC5587"/>
    <w:rsid w:val="00BC566A"/>
    <w:rsid w:val="00BC5690"/>
    <w:rsid w:val="00BC56A0"/>
    <w:rsid w:val="00BC5737"/>
    <w:rsid w:val="00BC575E"/>
    <w:rsid w:val="00BC57EF"/>
    <w:rsid w:val="00BC5818"/>
    <w:rsid w:val="00BC58C0"/>
    <w:rsid w:val="00BC58F0"/>
    <w:rsid w:val="00BC58FE"/>
    <w:rsid w:val="00BC5980"/>
    <w:rsid w:val="00BC59DB"/>
    <w:rsid w:val="00BC5B04"/>
    <w:rsid w:val="00BC5B1E"/>
    <w:rsid w:val="00BC5BDF"/>
    <w:rsid w:val="00BC5BFD"/>
    <w:rsid w:val="00BC5C0F"/>
    <w:rsid w:val="00BC5C3C"/>
    <w:rsid w:val="00BC5C7C"/>
    <w:rsid w:val="00BC5D5E"/>
    <w:rsid w:val="00BC5D99"/>
    <w:rsid w:val="00BC5D9B"/>
    <w:rsid w:val="00BC5DAB"/>
    <w:rsid w:val="00BC5DCA"/>
    <w:rsid w:val="00BC5DCE"/>
    <w:rsid w:val="00BC5DE8"/>
    <w:rsid w:val="00BC5E37"/>
    <w:rsid w:val="00BC5F6D"/>
    <w:rsid w:val="00BC5F83"/>
    <w:rsid w:val="00BC5F8B"/>
    <w:rsid w:val="00BC6034"/>
    <w:rsid w:val="00BC60C1"/>
    <w:rsid w:val="00BC60C6"/>
    <w:rsid w:val="00BC61D5"/>
    <w:rsid w:val="00BC61DE"/>
    <w:rsid w:val="00BC6206"/>
    <w:rsid w:val="00BC6212"/>
    <w:rsid w:val="00BC6219"/>
    <w:rsid w:val="00BC6243"/>
    <w:rsid w:val="00BC627E"/>
    <w:rsid w:val="00BC6283"/>
    <w:rsid w:val="00BC628A"/>
    <w:rsid w:val="00BC62E5"/>
    <w:rsid w:val="00BC62E6"/>
    <w:rsid w:val="00BC6346"/>
    <w:rsid w:val="00BC641A"/>
    <w:rsid w:val="00BC642C"/>
    <w:rsid w:val="00BC6456"/>
    <w:rsid w:val="00BC6461"/>
    <w:rsid w:val="00BC649B"/>
    <w:rsid w:val="00BC64A6"/>
    <w:rsid w:val="00BC64B7"/>
    <w:rsid w:val="00BC66DB"/>
    <w:rsid w:val="00BC6733"/>
    <w:rsid w:val="00BC6747"/>
    <w:rsid w:val="00BC674F"/>
    <w:rsid w:val="00BC6766"/>
    <w:rsid w:val="00BC67D4"/>
    <w:rsid w:val="00BC6822"/>
    <w:rsid w:val="00BC6844"/>
    <w:rsid w:val="00BC68E8"/>
    <w:rsid w:val="00BC6971"/>
    <w:rsid w:val="00BC69C0"/>
    <w:rsid w:val="00BC69E2"/>
    <w:rsid w:val="00BC6AB3"/>
    <w:rsid w:val="00BC6B43"/>
    <w:rsid w:val="00BC6C43"/>
    <w:rsid w:val="00BC6C4D"/>
    <w:rsid w:val="00BC6C56"/>
    <w:rsid w:val="00BC6CAA"/>
    <w:rsid w:val="00BC6DBD"/>
    <w:rsid w:val="00BC6E20"/>
    <w:rsid w:val="00BC6E27"/>
    <w:rsid w:val="00BC6E8F"/>
    <w:rsid w:val="00BC6F23"/>
    <w:rsid w:val="00BC6F25"/>
    <w:rsid w:val="00BC6F27"/>
    <w:rsid w:val="00BC6F8A"/>
    <w:rsid w:val="00BC6FCC"/>
    <w:rsid w:val="00BC6FCE"/>
    <w:rsid w:val="00BC7009"/>
    <w:rsid w:val="00BC708A"/>
    <w:rsid w:val="00BC7124"/>
    <w:rsid w:val="00BC715F"/>
    <w:rsid w:val="00BC71EB"/>
    <w:rsid w:val="00BC727B"/>
    <w:rsid w:val="00BC7395"/>
    <w:rsid w:val="00BC73A6"/>
    <w:rsid w:val="00BC7517"/>
    <w:rsid w:val="00BC7598"/>
    <w:rsid w:val="00BC75AD"/>
    <w:rsid w:val="00BC75EC"/>
    <w:rsid w:val="00BC76B5"/>
    <w:rsid w:val="00BC7702"/>
    <w:rsid w:val="00BC7722"/>
    <w:rsid w:val="00BC7857"/>
    <w:rsid w:val="00BC78C4"/>
    <w:rsid w:val="00BC78C6"/>
    <w:rsid w:val="00BC7947"/>
    <w:rsid w:val="00BC796A"/>
    <w:rsid w:val="00BC7A1D"/>
    <w:rsid w:val="00BC7A20"/>
    <w:rsid w:val="00BC7A4D"/>
    <w:rsid w:val="00BC7A94"/>
    <w:rsid w:val="00BC7B6B"/>
    <w:rsid w:val="00BC7BDD"/>
    <w:rsid w:val="00BC7CE7"/>
    <w:rsid w:val="00BC7DA0"/>
    <w:rsid w:val="00BC7E3F"/>
    <w:rsid w:val="00BC7E46"/>
    <w:rsid w:val="00BC7E8B"/>
    <w:rsid w:val="00BC7EDB"/>
    <w:rsid w:val="00BC7F01"/>
    <w:rsid w:val="00BD0029"/>
    <w:rsid w:val="00BD004D"/>
    <w:rsid w:val="00BD00D1"/>
    <w:rsid w:val="00BD00E5"/>
    <w:rsid w:val="00BD0132"/>
    <w:rsid w:val="00BD019E"/>
    <w:rsid w:val="00BD026C"/>
    <w:rsid w:val="00BD02A8"/>
    <w:rsid w:val="00BD02E4"/>
    <w:rsid w:val="00BD0310"/>
    <w:rsid w:val="00BD031F"/>
    <w:rsid w:val="00BD0326"/>
    <w:rsid w:val="00BD0367"/>
    <w:rsid w:val="00BD03D3"/>
    <w:rsid w:val="00BD0435"/>
    <w:rsid w:val="00BD0499"/>
    <w:rsid w:val="00BD04AA"/>
    <w:rsid w:val="00BD050F"/>
    <w:rsid w:val="00BD0537"/>
    <w:rsid w:val="00BD0564"/>
    <w:rsid w:val="00BD0607"/>
    <w:rsid w:val="00BD0632"/>
    <w:rsid w:val="00BD063D"/>
    <w:rsid w:val="00BD0698"/>
    <w:rsid w:val="00BD06A4"/>
    <w:rsid w:val="00BD0787"/>
    <w:rsid w:val="00BD07A6"/>
    <w:rsid w:val="00BD091D"/>
    <w:rsid w:val="00BD0923"/>
    <w:rsid w:val="00BD09B7"/>
    <w:rsid w:val="00BD0A1A"/>
    <w:rsid w:val="00BD0A58"/>
    <w:rsid w:val="00BD0A97"/>
    <w:rsid w:val="00BD0B42"/>
    <w:rsid w:val="00BD0B5B"/>
    <w:rsid w:val="00BD0BB8"/>
    <w:rsid w:val="00BD0BC3"/>
    <w:rsid w:val="00BD0C6A"/>
    <w:rsid w:val="00BD0C9C"/>
    <w:rsid w:val="00BD0CDF"/>
    <w:rsid w:val="00BD0D1F"/>
    <w:rsid w:val="00BD0E03"/>
    <w:rsid w:val="00BD0E2F"/>
    <w:rsid w:val="00BD0EAD"/>
    <w:rsid w:val="00BD0F6C"/>
    <w:rsid w:val="00BD1047"/>
    <w:rsid w:val="00BD1055"/>
    <w:rsid w:val="00BD10EA"/>
    <w:rsid w:val="00BD10F1"/>
    <w:rsid w:val="00BD1158"/>
    <w:rsid w:val="00BD1175"/>
    <w:rsid w:val="00BD1183"/>
    <w:rsid w:val="00BD119F"/>
    <w:rsid w:val="00BD1233"/>
    <w:rsid w:val="00BD12C1"/>
    <w:rsid w:val="00BD12C6"/>
    <w:rsid w:val="00BD12D3"/>
    <w:rsid w:val="00BD1348"/>
    <w:rsid w:val="00BD134C"/>
    <w:rsid w:val="00BD134D"/>
    <w:rsid w:val="00BD1388"/>
    <w:rsid w:val="00BD13C8"/>
    <w:rsid w:val="00BD13DF"/>
    <w:rsid w:val="00BD1575"/>
    <w:rsid w:val="00BD1594"/>
    <w:rsid w:val="00BD1607"/>
    <w:rsid w:val="00BD1611"/>
    <w:rsid w:val="00BD165B"/>
    <w:rsid w:val="00BD1691"/>
    <w:rsid w:val="00BD16A7"/>
    <w:rsid w:val="00BD176B"/>
    <w:rsid w:val="00BD17E2"/>
    <w:rsid w:val="00BD1806"/>
    <w:rsid w:val="00BD1833"/>
    <w:rsid w:val="00BD1838"/>
    <w:rsid w:val="00BD187D"/>
    <w:rsid w:val="00BD1880"/>
    <w:rsid w:val="00BD18C7"/>
    <w:rsid w:val="00BD1977"/>
    <w:rsid w:val="00BD1990"/>
    <w:rsid w:val="00BD19CD"/>
    <w:rsid w:val="00BD1AC9"/>
    <w:rsid w:val="00BD1BA8"/>
    <w:rsid w:val="00BD1BB0"/>
    <w:rsid w:val="00BD1BE9"/>
    <w:rsid w:val="00BD1C25"/>
    <w:rsid w:val="00BD1C8F"/>
    <w:rsid w:val="00BD1CAA"/>
    <w:rsid w:val="00BD1CDC"/>
    <w:rsid w:val="00BD1D57"/>
    <w:rsid w:val="00BD1DD3"/>
    <w:rsid w:val="00BD1E64"/>
    <w:rsid w:val="00BD1F97"/>
    <w:rsid w:val="00BD200E"/>
    <w:rsid w:val="00BD2017"/>
    <w:rsid w:val="00BD209E"/>
    <w:rsid w:val="00BD20B4"/>
    <w:rsid w:val="00BD212B"/>
    <w:rsid w:val="00BD2144"/>
    <w:rsid w:val="00BD21EB"/>
    <w:rsid w:val="00BD230A"/>
    <w:rsid w:val="00BD2312"/>
    <w:rsid w:val="00BD2320"/>
    <w:rsid w:val="00BD2367"/>
    <w:rsid w:val="00BD2379"/>
    <w:rsid w:val="00BD23D1"/>
    <w:rsid w:val="00BD2468"/>
    <w:rsid w:val="00BD24EF"/>
    <w:rsid w:val="00BD253D"/>
    <w:rsid w:val="00BD2548"/>
    <w:rsid w:val="00BD2556"/>
    <w:rsid w:val="00BD2581"/>
    <w:rsid w:val="00BD2594"/>
    <w:rsid w:val="00BD25B4"/>
    <w:rsid w:val="00BD26AA"/>
    <w:rsid w:val="00BD26F7"/>
    <w:rsid w:val="00BD273A"/>
    <w:rsid w:val="00BD2753"/>
    <w:rsid w:val="00BD277B"/>
    <w:rsid w:val="00BD2807"/>
    <w:rsid w:val="00BD2842"/>
    <w:rsid w:val="00BD2891"/>
    <w:rsid w:val="00BD28A7"/>
    <w:rsid w:val="00BD2933"/>
    <w:rsid w:val="00BD2936"/>
    <w:rsid w:val="00BD29C0"/>
    <w:rsid w:val="00BD29DC"/>
    <w:rsid w:val="00BD29F1"/>
    <w:rsid w:val="00BD2A09"/>
    <w:rsid w:val="00BD2A43"/>
    <w:rsid w:val="00BD2AE8"/>
    <w:rsid w:val="00BD2B26"/>
    <w:rsid w:val="00BD2B54"/>
    <w:rsid w:val="00BD2B62"/>
    <w:rsid w:val="00BD2B78"/>
    <w:rsid w:val="00BD2BD6"/>
    <w:rsid w:val="00BD2D35"/>
    <w:rsid w:val="00BD2E63"/>
    <w:rsid w:val="00BD2E77"/>
    <w:rsid w:val="00BD2EB0"/>
    <w:rsid w:val="00BD2EF5"/>
    <w:rsid w:val="00BD2F26"/>
    <w:rsid w:val="00BD2FBF"/>
    <w:rsid w:val="00BD2FE3"/>
    <w:rsid w:val="00BD3129"/>
    <w:rsid w:val="00BD31C1"/>
    <w:rsid w:val="00BD31D3"/>
    <w:rsid w:val="00BD31F1"/>
    <w:rsid w:val="00BD324E"/>
    <w:rsid w:val="00BD3294"/>
    <w:rsid w:val="00BD32A5"/>
    <w:rsid w:val="00BD32A6"/>
    <w:rsid w:val="00BD32C7"/>
    <w:rsid w:val="00BD32F0"/>
    <w:rsid w:val="00BD3348"/>
    <w:rsid w:val="00BD3408"/>
    <w:rsid w:val="00BD3411"/>
    <w:rsid w:val="00BD34B9"/>
    <w:rsid w:val="00BD3558"/>
    <w:rsid w:val="00BD36FF"/>
    <w:rsid w:val="00BD3723"/>
    <w:rsid w:val="00BD3751"/>
    <w:rsid w:val="00BD37BD"/>
    <w:rsid w:val="00BD38A0"/>
    <w:rsid w:val="00BD392D"/>
    <w:rsid w:val="00BD39AF"/>
    <w:rsid w:val="00BD3A2F"/>
    <w:rsid w:val="00BD3AA1"/>
    <w:rsid w:val="00BD3AB3"/>
    <w:rsid w:val="00BD3AB8"/>
    <w:rsid w:val="00BD3BC0"/>
    <w:rsid w:val="00BD3C21"/>
    <w:rsid w:val="00BD3D01"/>
    <w:rsid w:val="00BD3D48"/>
    <w:rsid w:val="00BD3E4D"/>
    <w:rsid w:val="00BD3ECD"/>
    <w:rsid w:val="00BD3F1D"/>
    <w:rsid w:val="00BD3F84"/>
    <w:rsid w:val="00BD3FEE"/>
    <w:rsid w:val="00BD3FF9"/>
    <w:rsid w:val="00BD4127"/>
    <w:rsid w:val="00BD41BD"/>
    <w:rsid w:val="00BD420E"/>
    <w:rsid w:val="00BD4232"/>
    <w:rsid w:val="00BD4250"/>
    <w:rsid w:val="00BD42E0"/>
    <w:rsid w:val="00BD42EB"/>
    <w:rsid w:val="00BD4390"/>
    <w:rsid w:val="00BD4397"/>
    <w:rsid w:val="00BD43BF"/>
    <w:rsid w:val="00BD4402"/>
    <w:rsid w:val="00BD445E"/>
    <w:rsid w:val="00BD446E"/>
    <w:rsid w:val="00BD44A4"/>
    <w:rsid w:val="00BD45A3"/>
    <w:rsid w:val="00BD462E"/>
    <w:rsid w:val="00BD46E2"/>
    <w:rsid w:val="00BD4710"/>
    <w:rsid w:val="00BD4750"/>
    <w:rsid w:val="00BD47B3"/>
    <w:rsid w:val="00BD47E9"/>
    <w:rsid w:val="00BD47F0"/>
    <w:rsid w:val="00BD4846"/>
    <w:rsid w:val="00BD4857"/>
    <w:rsid w:val="00BD490E"/>
    <w:rsid w:val="00BD4928"/>
    <w:rsid w:val="00BD4966"/>
    <w:rsid w:val="00BD49CE"/>
    <w:rsid w:val="00BD4A97"/>
    <w:rsid w:val="00BD4B4A"/>
    <w:rsid w:val="00BD4B73"/>
    <w:rsid w:val="00BD4BDB"/>
    <w:rsid w:val="00BD4C04"/>
    <w:rsid w:val="00BD4C70"/>
    <w:rsid w:val="00BD4C9D"/>
    <w:rsid w:val="00BD4CB8"/>
    <w:rsid w:val="00BD4CFA"/>
    <w:rsid w:val="00BD4D15"/>
    <w:rsid w:val="00BD4D44"/>
    <w:rsid w:val="00BD4D64"/>
    <w:rsid w:val="00BD4E89"/>
    <w:rsid w:val="00BD4EB8"/>
    <w:rsid w:val="00BD4EC2"/>
    <w:rsid w:val="00BD4F2B"/>
    <w:rsid w:val="00BD4F5E"/>
    <w:rsid w:val="00BD4FE2"/>
    <w:rsid w:val="00BD50C5"/>
    <w:rsid w:val="00BD5113"/>
    <w:rsid w:val="00BD5116"/>
    <w:rsid w:val="00BD5153"/>
    <w:rsid w:val="00BD519B"/>
    <w:rsid w:val="00BD51AE"/>
    <w:rsid w:val="00BD51EB"/>
    <w:rsid w:val="00BD527B"/>
    <w:rsid w:val="00BD52C8"/>
    <w:rsid w:val="00BD52D9"/>
    <w:rsid w:val="00BD530E"/>
    <w:rsid w:val="00BD5346"/>
    <w:rsid w:val="00BD53D8"/>
    <w:rsid w:val="00BD548B"/>
    <w:rsid w:val="00BD54D1"/>
    <w:rsid w:val="00BD559D"/>
    <w:rsid w:val="00BD55AB"/>
    <w:rsid w:val="00BD55D3"/>
    <w:rsid w:val="00BD5670"/>
    <w:rsid w:val="00BD5696"/>
    <w:rsid w:val="00BD5704"/>
    <w:rsid w:val="00BD5722"/>
    <w:rsid w:val="00BD5760"/>
    <w:rsid w:val="00BD579B"/>
    <w:rsid w:val="00BD57A2"/>
    <w:rsid w:val="00BD57D0"/>
    <w:rsid w:val="00BD58F3"/>
    <w:rsid w:val="00BD5925"/>
    <w:rsid w:val="00BD592F"/>
    <w:rsid w:val="00BD5931"/>
    <w:rsid w:val="00BD59AC"/>
    <w:rsid w:val="00BD59FA"/>
    <w:rsid w:val="00BD5B42"/>
    <w:rsid w:val="00BD5B83"/>
    <w:rsid w:val="00BD5B95"/>
    <w:rsid w:val="00BD5E35"/>
    <w:rsid w:val="00BD5E43"/>
    <w:rsid w:val="00BD5E45"/>
    <w:rsid w:val="00BD5E8F"/>
    <w:rsid w:val="00BD5EFA"/>
    <w:rsid w:val="00BD5F58"/>
    <w:rsid w:val="00BD5FA9"/>
    <w:rsid w:val="00BD5FAC"/>
    <w:rsid w:val="00BD5FDA"/>
    <w:rsid w:val="00BD601C"/>
    <w:rsid w:val="00BD6058"/>
    <w:rsid w:val="00BD6157"/>
    <w:rsid w:val="00BD616C"/>
    <w:rsid w:val="00BD6192"/>
    <w:rsid w:val="00BD61A1"/>
    <w:rsid w:val="00BD61CC"/>
    <w:rsid w:val="00BD61F8"/>
    <w:rsid w:val="00BD627A"/>
    <w:rsid w:val="00BD62FA"/>
    <w:rsid w:val="00BD6334"/>
    <w:rsid w:val="00BD6348"/>
    <w:rsid w:val="00BD637B"/>
    <w:rsid w:val="00BD63CF"/>
    <w:rsid w:val="00BD63EB"/>
    <w:rsid w:val="00BD6405"/>
    <w:rsid w:val="00BD6424"/>
    <w:rsid w:val="00BD648B"/>
    <w:rsid w:val="00BD64E2"/>
    <w:rsid w:val="00BD65AF"/>
    <w:rsid w:val="00BD65DF"/>
    <w:rsid w:val="00BD666C"/>
    <w:rsid w:val="00BD671A"/>
    <w:rsid w:val="00BD6721"/>
    <w:rsid w:val="00BD6742"/>
    <w:rsid w:val="00BD67EA"/>
    <w:rsid w:val="00BD680C"/>
    <w:rsid w:val="00BD6812"/>
    <w:rsid w:val="00BD681E"/>
    <w:rsid w:val="00BD687F"/>
    <w:rsid w:val="00BD690B"/>
    <w:rsid w:val="00BD6959"/>
    <w:rsid w:val="00BD69BF"/>
    <w:rsid w:val="00BD69EB"/>
    <w:rsid w:val="00BD6A4B"/>
    <w:rsid w:val="00BD6A55"/>
    <w:rsid w:val="00BD6B11"/>
    <w:rsid w:val="00BD6B19"/>
    <w:rsid w:val="00BD6BBB"/>
    <w:rsid w:val="00BD6C98"/>
    <w:rsid w:val="00BD6CE9"/>
    <w:rsid w:val="00BD6CFC"/>
    <w:rsid w:val="00BD6D28"/>
    <w:rsid w:val="00BD6D4F"/>
    <w:rsid w:val="00BD6DA0"/>
    <w:rsid w:val="00BD6DEA"/>
    <w:rsid w:val="00BD6DEC"/>
    <w:rsid w:val="00BD6E68"/>
    <w:rsid w:val="00BD6EDD"/>
    <w:rsid w:val="00BD6F28"/>
    <w:rsid w:val="00BD704D"/>
    <w:rsid w:val="00BD717E"/>
    <w:rsid w:val="00BD7180"/>
    <w:rsid w:val="00BD7192"/>
    <w:rsid w:val="00BD728C"/>
    <w:rsid w:val="00BD72AB"/>
    <w:rsid w:val="00BD72E1"/>
    <w:rsid w:val="00BD734C"/>
    <w:rsid w:val="00BD735C"/>
    <w:rsid w:val="00BD73C8"/>
    <w:rsid w:val="00BD750A"/>
    <w:rsid w:val="00BD7520"/>
    <w:rsid w:val="00BD7615"/>
    <w:rsid w:val="00BD7647"/>
    <w:rsid w:val="00BD76FC"/>
    <w:rsid w:val="00BD771A"/>
    <w:rsid w:val="00BD7735"/>
    <w:rsid w:val="00BD77BC"/>
    <w:rsid w:val="00BD77EA"/>
    <w:rsid w:val="00BD77F5"/>
    <w:rsid w:val="00BD7973"/>
    <w:rsid w:val="00BD7A7C"/>
    <w:rsid w:val="00BD7AA8"/>
    <w:rsid w:val="00BD7ACF"/>
    <w:rsid w:val="00BD7B9C"/>
    <w:rsid w:val="00BD7C21"/>
    <w:rsid w:val="00BD7CAF"/>
    <w:rsid w:val="00BD7D4F"/>
    <w:rsid w:val="00BD7E25"/>
    <w:rsid w:val="00BD7E26"/>
    <w:rsid w:val="00BD7EE7"/>
    <w:rsid w:val="00BD7F71"/>
    <w:rsid w:val="00BD7F9E"/>
    <w:rsid w:val="00BD7FF1"/>
    <w:rsid w:val="00BD82EE"/>
    <w:rsid w:val="00BE0001"/>
    <w:rsid w:val="00BE00A2"/>
    <w:rsid w:val="00BE0201"/>
    <w:rsid w:val="00BE020A"/>
    <w:rsid w:val="00BE0213"/>
    <w:rsid w:val="00BE0287"/>
    <w:rsid w:val="00BE02B7"/>
    <w:rsid w:val="00BE0303"/>
    <w:rsid w:val="00BE035C"/>
    <w:rsid w:val="00BE0456"/>
    <w:rsid w:val="00BE0488"/>
    <w:rsid w:val="00BE04C8"/>
    <w:rsid w:val="00BE04D4"/>
    <w:rsid w:val="00BE0524"/>
    <w:rsid w:val="00BE055B"/>
    <w:rsid w:val="00BE057D"/>
    <w:rsid w:val="00BE06AC"/>
    <w:rsid w:val="00BE07AD"/>
    <w:rsid w:val="00BE083C"/>
    <w:rsid w:val="00BE091E"/>
    <w:rsid w:val="00BE097C"/>
    <w:rsid w:val="00BE0A49"/>
    <w:rsid w:val="00BE0AA6"/>
    <w:rsid w:val="00BE0AB5"/>
    <w:rsid w:val="00BE0BC6"/>
    <w:rsid w:val="00BE0C6A"/>
    <w:rsid w:val="00BE0C7A"/>
    <w:rsid w:val="00BE0CF6"/>
    <w:rsid w:val="00BE0CFA"/>
    <w:rsid w:val="00BE0DD0"/>
    <w:rsid w:val="00BE0DFB"/>
    <w:rsid w:val="00BE0EC9"/>
    <w:rsid w:val="00BE0EEB"/>
    <w:rsid w:val="00BE0F54"/>
    <w:rsid w:val="00BE0F57"/>
    <w:rsid w:val="00BE0F66"/>
    <w:rsid w:val="00BE1070"/>
    <w:rsid w:val="00BE112B"/>
    <w:rsid w:val="00BE11C3"/>
    <w:rsid w:val="00BE1207"/>
    <w:rsid w:val="00BE1219"/>
    <w:rsid w:val="00BE1335"/>
    <w:rsid w:val="00BE135E"/>
    <w:rsid w:val="00BE1479"/>
    <w:rsid w:val="00BE14E1"/>
    <w:rsid w:val="00BE1577"/>
    <w:rsid w:val="00BE15A1"/>
    <w:rsid w:val="00BE16CF"/>
    <w:rsid w:val="00BE16D3"/>
    <w:rsid w:val="00BE1738"/>
    <w:rsid w:val="00BE1748"/>
    <w:rsid w:val="00BE1768"/>
    <w:rsid w:val="00BE1772"/>
    <w:rsid w:val="00BE180C"/>
    <w:rsid w:val="00BE180F"/>
    <w:rsid w:val="00BE1833"/>
    <w:rsid w:val="00BE1862"/>
    <w:rsid w:val="00BE18BC"/>
    <w:rsid w:val="00BE1935"/>
    <w:rsid w:val="00BE1954"/>
    <w:rsid w:val="00BE1A0C"/>
    <w:rsid w:val="00BE1A5F"/>
    <w:rsid w:val="00BE1AC3"/>
    <w:rsid w:val="00BE1AE9"/>
    <w:rsid w:val="00BE1AFD"/>
    <w:rsid w:val="00BE1B2F"/>
    <w:rsid w:val="00BE1B40"/>
    <w:rsid w:val="00BE1B8B"/>
    <w:rsid w:val="00BE1BC9"/>
    <w:rsid w:val="00BE1BED"/>
    <w:rsid w:val="00BE1CE7"/>
    <w:rsid w:val="00BE1CFD"/>
    <w:rsid w:val="00BE1D76"/>
    <w:rsid w:val="00BE1D97"/>
    <w:rsid w:val="00BE1E02"/>
    <w:rsid w:val="00BE1E55"/>
    <w:rsid w:val="00BE1E95"/>
    <w:rsid w:val="00BE1EF0"/>
    <w:rsid w:val="00BE1FEB"/>
    <w:rsid w:val="00BE219B"/>
    <w:rsid w:val="00BE21A4"/>
    <w:rsid w:val="00BE2268"/>
    <w:rsid w:val="00BE2332"/>
    <w:rsid w:val="00BE236E"/>
    <w:rsid w:val="00BE23AD"/>
    <w:rsid w:val="00BE23D2"/>
    <w:rsid w:val="00BE2434"/>
    <w:rsid w:val="00BE2457"/>
    <w:rsid w:val="00BE2499"/>
    <w:rsid w:val="00BE24B7"/>
    <w:rsid w:val="00BE2554"/>
    <w:rsid w:val="00BE256E"/>
    <w:rsid w:val="00BE2588"/>
    <w:rsid w:val="00BE266E"/>
    <w:rsid w:val="00BE271B"/>
    <w:rsid w:val="00BE271F"/>
    <w:rsid w:val="00BE2739"/>
    <w:rsid w:val="00BE2890"/>
    <w:rsid w:val="00BE28C8"/>
    <w:rsid w:val="00BE28E3"/>
    <w:rsid w:val="00BE2A3B"/>
    <w:rsid w:val="00BE2A3F"/>
    <w:rsid w:val="00BE2AFB"/>
    <w:rsid w:val="00BE2B7F"/>
    <w:rsid w:val="00BE2C35"/>
    <w:rsid w:val="00BE2C76"/>
    <w:rsid w:val="00BE2D5F"/>
    <w:rsid w:val="00BE2D7F"/>
    <w:rsid w:val="00BE2DA0"/>
    <w:rsid w:val="00BE2DC7"/>
    <w:rsid w:val="00BE2DCA"/>
    <w:rsid w:val="00BE2E56"/>
    <w:rsid w:val="00BE2EC3"/>
    <w:rsid w:val="00BE2F0B"/>
    <w:rsid w:val="00BE2FA8"/>
    <w:rsid w:val="00BE31AA"/>
    <w:rsid w:val="00BE3229"/>
    <w:rsid w:val="00BE323B"/>
    <w:rsid w:val="00BE32B1"/>
    <w:rsid w:val="00BE32C8"/>
    <w:rsid w:val="00BE32DF"/>
    <w:rsid w:val="00BE32F7"/>
    <w:rsid w:val="00BE3374"/>
    <w:rsid w:val="00BE33C0"/>
    <w:rsid w:val="00BE34E9"/>
    <w:rsid w:val="00BE3555"/>
    <w:rsid w:val="00BE35DB"/>
    <w:rsid w:val="00BE3659"/>
    <w:rsid w:val="00BE3691"/>
    <w:rsid w:val="00BE3718"/>
    <w:rsid w:val="00BE373C"/>
    <w:rsid w:val="00BE3787"/>
    <w:rsid w:val="00BE3822"/>
    <w:rsid w:val="00BE382D"/>
    <w:rsid w:val="00BE38CF"/>
    <w:rsid w:val="00BE38D2"/>
    <w:rsid w:val="00BE3971"/>
    <w:rsid w:val="00BE3990"/>
    <w:rsid w:val="00BE39AE"/>
    <w:rsid w:val="00BE39C4"/>
    <w:rsid w:val="00BE3B3F"/>
    <w:rsid w:val="00BE3B4C"/>
    <w:rsid w:val="00BE3B50"/>
    <w:rsid w:val="00BE3B6B"/>
    <w:rsid w:val="00BE3BA9"/>
    <w:rsid w:val="00BE3BC2"/>
    <w:rsid w:val="00BE3C07"/>
    <w:rsid w:val="00BE3D1D"/>
    <w:rsid w:val="00BE3D2B"/>
    <w:rsid w:val="00BE3D5B"/>
    <w:rsid w:val="00BE3D91"/>
    <w:rsid w:val="00BE3ECB"/>
    <w:rsid w:val="00BE3FDE"/>
    <w:rsid w:val="00BE405A"/>
    <w:rsid w:val="00BE40EA"/>
    <w:rsid w:val="00BE4104"/>
    <w:rsid w:val="00BE4215"/>
    <w:rsid w:val="00BE42C8"/>
    <w:rsid w:val="00BE4360"/>
    <w:rsid w:val="00BE43B1"/>
    <w:rsid w:val="00BE43B5"/>
    <w:rsid w:val="00BE440C"/>
    <w:rsid w:val="00BE451C"/>
    <w:rsid w:val="00BE4555"/>
    <w:rsid w:val="00BE459F"/>
    <w:rsid w:val="00BE45C3"/>
    <w:rsid w:val="00BE45E2"/>
    <w:rsid w:val="00BE4614"/>
    <w:rsid w:val="00BE465C"/>
    <w:rsid w:val="00BE469B"/>
    <w:rsid w:val="00BE46CC"/>
    <w:rsid w:val="00BE47A1"/>
    <w:rsid w:val="00BE4859"/>
    <w:rsid w:val="00BE4955"/>
    <w:rsid w:val="00BE49FF"/>
    <w:rsid w:val="00BE4A01"/>
    <w:rsid w:val="00BE4A34"/>
    <w:rsid w:val="00BE4ACE"/>
    <w:rsid w:val="00BE4AD2"/>
    <w:rsid w:val="00BE4B62"/>
    <w:rsid w:val="00BE4BA2"/>
    <w:rsid w:val="00BE4C8C"/>
    <w:rsid w:val="00BE4CFA"/>
    <w:rsid w:val="00BE4D16"/>
    <w:rsid w:val="00BE4D35"/>
    <w:rsid w:val="00BE4D9C"/>
    <w:rsid w:val="00BE4DD3"/>
    <w:rsid w:val="00BE4DDF"/>
    <w:rsid w:val="00BE4DFE"/>
    <w:rsid w:val="00BE4E5E"/>
    <w:rsid w:val="00BE4EE9"/>
    <w:rsid w:val="00BE4EF7"/>
    <w:rsid w:val="00BE501A"/>
    <w:rsid w:val="00BE5049"/>
    <w:rsid w:val="00BE508C"/>
    <w:rsid w:val="00BE50E4"/>
    <w:rsid w:val="00BE518B"/>
    <w:rsid w:val="00BE51E6"/>
    <w:rsid w:val="00BE52D9"/>
    <w:rsid w:val="00BE5395"/>
    <w:rsid w:val="00BE552D"/>
    <w:rsid w:val="00BE5627"/>
    <w:rsid w:val="00BE5629"/>
    <w:rsid w:val="00BE5653"/>
    <w:rsid w:val="00BE56CD"/>
    <w:rsid w:val="00BE56D6"/>
    <w:rsid w:val="00BE57F6"/>
    <w:rsid w:val="00BE5813"/>
    <w:rsid w:val="00BE5887"/>
    <w:rsid w:val="00BE58A9"/>
    <w:rsid w:val="00BE58B5"/>
    <w:rsid w:val="00BE597B"/>
    <w:rsid w:val="00BE5980"/>
    <w:rsid w:val="00BE5A83"/>
    <w:rsid w:val="00BE5AE3"/>
    <w:rsid w:val="00BE5B07"/>
    <w:rsid w:val="00BE5B28"/>
    <w:rsid w:val="00BE5B6B"/>
    <w:rsid w:val="00BE5B7D"/>
    <w:rsid w:val="00BE5B8A"/>
    <w:rsid w:val="00BE5BCA"/>
    <w:rsid w:val="00BE5BEB"/>
    <w:rsid w:val="00BE5C03"/>
    <w:rsid w:val="00BE5CAF"/>
    <w:rsid w:val="00BE5D9D"/>
    <w:rsid w:val="00BE5DE6"/>
    <w:rsid w:val="00BE5E14"/>
    <w:rsid w:val="00BE5F7D"/>
    <w:rsid w:val="00BE6017"/>
    <w:rsid w:val="00BE6031"/>
    <w:rsid w:val="00BE60FD"/>
    <w:rsid w:val="00BE614F"/>
    <w:rsid w:val="00BE616B"/>
    <w:rsid w:val="00BE6191"/>
    <w:rsid w:val="00BE61EF"/>
    <w:rsid w:val="00BE6251"/>
    <w:rsid w:val="00BE6321"/>
    <w:rsid w:val="00BE632C"/>
    <w:rsid w:val="00BE6331"/>
    <w:rsid w:val="00BE6350"/>
    <w:rsid w:val="00BE63B6"/>
    <w:rsid w:val="00BE6574"/>
    <w:rsid w:val="00BE65D4"/>
    <w:rsid w:val="00BE6627"/>
    <w:rsid w:val="00BE6628"/>
    <w:rsid w:val="00BE666F"/>
    <w:rsid w:val="00BE66A0"/>
    <w:rsid w:val="00BE66A9"/>
    <w:rsid w:val="00BE66E6"/>
    <w:rsid w:val="00BE66EB"/>
    <w:rsid w:val="00BE66F8"/>
    <w:rsid w:val="00BE66F9"/>
    <w:rsid w:val="00BE6717"/>
    <w:rsid w:val="00BE68F7"/>
    <w:rsid w:val="00BE6905"/>
    <w:rsid w:val="00BE69C3"/>
    <w:rsid w:val="00BE6A19"/>
    <w:rsid w:val="00BE6A63"/>
    <w:rsid w:val="00BE6AB8"/>
    <w:rsid w:val="00BE6B40"/>
    <w:rsid w:val="00BE6BA4"/>
    <w:rsid w:val="00BE6BDC"/>
    <w:rsid w:val="00BE6C84"/>
    <w:rsid w:val="00BE6CBA"/>
    <w:rsid w:val="00BE6CFE"/>
    <w:rsid w:val="00BE6E4C"/>
    <w:rsid w:val="00BE6E60"/>
    <w:rsid w:val="00BE6ED5"/>
    <w:rsid w:val="00BE6F14"/>
    <w:rsid w:val="00BE6FAA"/>
    <w:rsid w:val="00BE6FC7"/>
    <w:rsid w:val="00BE700E"/>
    <w:rsid w:val="00BE708C"/>
    <w:rsid w:val="00BE7097"/>
    <w:rsid w:val="00BE70E1"/>
    <w:rsid w:val="00BE720B"/>
    <w:rsid w:val="00BE7288"/>
    <w:rsid w:val="00BE7292"/>
    <w:rsid w:val="00BE72F8"/>
    <w:rsid w:val="00BE7303"/>
    <w:rsid w:val="00BE7377"/>
    <w:rsid w:val="00BE73C8"/>
    <w:rsid w:val="00BE73CE"/>
    <w:rsid w:val="00BE7408"/>
    <w:rsid w:val="00BE7445"/>
    <w:rsid w:val="00BE7486"/>
    <w:rsid w:val="00BE7533"/>
    <w:rsid w:val="00BE7597"/>
    <w:rsid w:val="00BE762C"/>
    <w:rsid w:val="00BE764B"/>
    <w:rsid w:val="00BE7684"/>
    <w:rsid w:val="00BE76EE"/>
    <w:rsid w:val="00BE787C"/>
    <w:rsid w:val="00BE78A8"/>
    <w:rsid w:val="00BE78B8"/>
    <w:rsid w:val="00BE78FC"/>
    <w:rsid w:val="00BE7919"/>
    <w:rsid w:val="00BE7A67"/>
    <w:rsid w:val="00BE7A7D"/>
    <w:rsid w:val="00BE7B78"/>
    <w:rsid w:val="00BE7B7E"/>
    <w:rsid w:val="00BE7B85"/>
    <w:rsid w:val="00BE7C23"/>
    <w:rsid w:val="00BE7C80"/>
    <w:rsid w:val="00BE7C91"/>
    <w:rsid w:val="00BE7C98"/>
    <w:rsid w:val="00BE7CA0"/>
    <w:rsid w:val="00BE7DAF"/>
    <w:rsid w:val="00BE7DC2"/>
    <w:rsid w:val="00BE7EAE"/>
    <w:rsid w:val="00BE7ECD"/>
    <w:rsid w:val="00BE7F5D"/>
    <w:rsid w:val="00BE7FC0"/>
    <w:rsid w:val="00BF001C"/>
    <w:rsid w:val="00BF0027"/>
    <w:rsid w:val="00BF0111"/>
    <w:rsid w:val="00BF0216"/>
    <w:rsid w:val="00BF0243"/>
    <w:rsid w:val="00BF02C0"/>
    <w:rsid w:val="00BF0319"/>
    <w:rsid w:val="00BF044C"/>
    <w:rsid w:val="00BF045B"/>
    <w:rsid w:val="00BF0479"/>
    <w:rsid w:val="00BF04A1"/>
    <w:rsid w:val="00BF04CA"/>
    <w:rsid w:val="00BF0545"/>
    <w:rsid w:val="00BF0557"/>
    <w:rsid w:val="00BF05A9"/>
    <w:rsid w:val="00BF05DD"/>
    <w:rsid w:val="00BF0606"/>
    <w:rsid w:val="00BF0713"/>
    <w:rsid w:val="00BF072C"/>
    <w:rsid w:val="00BF07CC"/>
    <w:rsid w:val="00BF0861"/>
    <w:rsid w:val="00BF0881"/>
    <w:rsid w:val="00BF0950"/>
    <w:rsid w:val="00BF09AE"/>
    <w:rsid w:val="00BF0AAC"/>
    <w:rsid w:val="00BF0B08"/>
    <w:rsid w:val="00BF0B0F"/>
    <w:rsid w:val="00BF0B35"/>
    <w:rsid w:val="00BF0B6D"/>
    <w:rsid w:val="00BF0BC0"/>
    <w:rsid w:val="00BF0BDA"/>
    <w:rsid w:val="00BF0C58"/>
    <w:rsid w:val="00BF0C76"/>
    <w:rsid w:val="00BF0D0E"/>
    <w:rsid w:val="00BF0DC3"/>
    <w:rsid w:val="00BF0E5F"/>
    <w:rsid w:val="00BF0E8F"/>
    <w:rsid w:val="00BF0E9E"/>
    <w:rsid w:val="00BF0EAB"/>
    <w:rsid w:val="00BF0EB9"/>
    <w:rsid w:val="00BF0EBF"/>
    <w:rsid w:val="00BF0ECB"/>
    <w:rsid w:val="00BF0EF9"/>
    <w:rsid w:val="00BF1058"/>
    <w:rsid w:val="00BF108C"/>
    <w:rsid w:val="00BF10B9"/>
    <w:rsid w:val="00BF1102"/>
    <w:rsid w:val="00BF11F5"/>
    <w:rsid w:val="00BF1235"/>
    <w:rsid w:val="00BF12AF"/>
    <w:rsid w:val="00BF12E7"/>
    <w:rsid w:val="00BF12F4"/>
    <w:rsid w:val="00BF133F"/>
    <w:rsid w:val="00BF1391"/>
    <w:rsid w:val="00BF13EF"/>
    <w:rsid w:val="00BF1415"/>
    <w:rsid w:val="00BF1419"/>
    <w:rsid w:val="00BF1428"/>
    <w:rsid w:val="00BF1521"/>
    <w:rsid w:val="00BF15F1"/>
    <w:rsid w:val="00BF163C"/>
    <w:rsid w:val="00BF1656"/>
    <w:rsid w:val="00BF16F1"/>
    <w:rsid w:val="00BF1751"/>
    <w:rsid w:val="00BF189E"/>
    <w:rsid w:val="00BF18DE"/>
    <w:rsid w:val="00BF18F0"/>
    <w:rsid w:val="00BF193D"/>
    <w:rsid w:val="00BF1A84"/>
    <w:rsid w:val="00BF1ADF"/>
    <w:rsid w:val="00BF1B16"/>
    <w:rsid w:val="00BF1B19"/>
    <w:rsid w:val="00BF1B67"/>
    <w:rsid w:val="00BF1BE4"/>
    <w:rsid w:val="00BF1C0E"/>
    <w:rsid w:val="00BF1C21"/>
    <w:rsid w:val="00BF1C44"/>
    <w:rsid w:val="00BF1C63"/>
    <w:rsid w:val="00BF1CD3"/>
    <w:rsid w:val="00BF1D0C"/>
    <w:rsid w:val="00BF1D5F"/>
    <w:rsid w:val="00BF1DD3"/>
    <w:rsid w:val="00BF1E4A"/>
    <w:rsid w:val="00BF1E9D"/>
    <w:rsid w:val="00BF1EA4"/>
    <w:rsid w:val="00BF1F6C"/>
    <w:rsid w:val="00BF1F76"/>
    <w:rsid w:val="00BF20D7"/>
    <w:rsid w:val="00BF217D"/>
    <w:rsid w:val="00BF21B3"/>
    <w:rsid w:val="00BF21BB"/>
    <w:rsid w:val="00BF226F"/>
    <w:rsid w:val="00BF22BE"/>
    <w:rsid w:val="00BF22D8"/>
    <w:rsid w:val="00BF2328"/>
    <w:rsid w:val="00BF24A7"/>
    <w:rsid w:val="00BF24EF"/>
    <w:rsid w:val="00BF24F2"/>
    <w:rsid w:val="00BF26FC"/>
    <w:rsid w:val="00BF272D"/>
    <w:rsid w:val="00BF2764"/>
    <w:rsid w:val="00BF278C"/>
    <w:rsid w:val="00BF2861"/>
    <w:rsid w:val="00BF2882"/>
    <w:rsid w:val="00BF29F0"/>
    <w:rsid w:val="00BF2A2F"/>
    <w:rsid w:val="00BF2A58"/>
    <w:rsid w:val="00BF2B28"/>
    <w:rsid w:val="00BF2B4F"/>
    <w:rsid w:val="00BF2C9A"/>
    <w:rsid w:val="00BF2D83"/>
    <w:rsid w:val="00BF2DB7"/>
    <w:rsid w:val="00BF2E66"/>
    <w:rsid w:val="00BF2EEA"/>
    <w:rsid w:val="00BF2F23"/>
    <w:rsid w:val="00BF2F4A"/>
    <w:rsid w:val="00BF2F6A"/>
    <w:rsid w:val="00BF2F74"/>
    <w:rsid w:val="00BF2FA4"/>
    <w:rsid w:val="00BF3094"/>
    <w:rsid w:val="00BF312F"/>
    <w:rsid w:val="00BF315D"/>
    <w:rsid w:val="00BF3215"/>
    <w:rsid w:val="00BF326E"/>
    <w:rsid w:val="00BF328D"/>
    <w:rsid w:val="00BF3293"/>
    <w:rsid w:val="00BF3317"/>
    <w:rsid w:val="00BF3322"/>
    <w:rsid w:val="00BF3346"/>
    <w:rsid w:val="00BF337C"/>
    <w:rsid w:val="00BF3395"/>
    <w:rsid w:val="00BF33BA"/>
    <w:rsid w:val="00BF33EF"/>
    <w:rsid w:val="00BF34E3"/>
    <w:rsid w:val="00BF35A3"/>
    <w:rsid w:val="00BF36B1"/>
    <w:rsid w:val="00BF3709"/>
    <w:rsid w:val="00BF3713"/>
    <w:rsid w:val="00BF3761"/>
    <w:rsid w:val="00BF3762"/>
    <w:rsid w:val="00BF377E"/>
    <w:rsid w:val="00BF37FD"/>
    <w:rsid w:val="00BF3807"/>
    <w:rsid w:val="00BF385B"/>
    <w:rsid w:val="00BF3875"/>
    <w:rsid w:val="00BF387A"/>
    <w:rsid w:val="00BF3894"/>
    <w:rsid w:val="00BF3A17"/>
    <w:rsid w:val="00BF3A38"/>
    <w:rsid w:val="00BF3A74"/>
    <w:rsid w:val="00BF3A82"/>
    <w:rsid w:val="00BF3A8A"/>
    <w:rsid w:val="00BF3B30"/>
    <w:rsid w:val="00BF3B3B"/>
    <w:rsid w:val="00BF3BEC"/>
    <w:rsid w:val="00BF3C42"/>
    <w:rsid w:val="00BF3C5F"/>
    <w:rsid w:val="00BF3C76"/>
    <w:rsid w:val="00BF3D37"/>
    <w:rsid w:val="00BF3D59"/>
    <w:rsid w:val="00BF3DF5"/>
    <w:rsid w:val="00BF3E32"/>
    <w:rsid w:val="00BF3EAD"/>
    <w:rsid w:val="00BF3EB3"/>
    <w:rsid w:val="00BF3EBF"/>
    <w:rsid w:val="00BF3F87"/>
    <w:rsid w:val="00BF3FDA"/>
    <w:rsid w:val="00BF3FFC"/>
    <w:rsid w:val="00BF405A"/>
    <w:rsid w:val="00BF407B"/>
    <w:rsid w:val="00BF40EF"/>
    <w:rsid w:val="00BF413D"/>
    <w:rsid w:val="00BF4141"/>
    <w:rsid w:val="00BF4216"/>
    <w:rsid w:val="00BF42CC"/>
    <w:rsid w:val="00BF42FE"/>
    <w:rsid w:val="00BF4419"/>
    <w:rsid w:val="00BF4477"/>
    <w:rsid w:val="00BF4534"/>
    <w:rsid w:val="00BF455C"/>
    <w:rsid w:val="00BF457E"/>
    <w:rsid w:val="00BF4592"/>
    <w:rsid w:val="00BF45AA"/>
    <w:rsid w:val="00BF465A"/>
    <w:rsid w:val="00BF46FC"/>
    <w:rsid w:val="00BF47BD"/>
    <w:rsid w:val="00BF49A1"/>
    <w:rsid w:val="00BF49D6"/>
    <w:rsid w:val="00BF4A11"/>
    <w:rsid w:val="00BF4A68"/>
    <w:rsid w:val="00BF4A74"/>
    <w:rsid w:val="00BF4B06"/>
    <w:rsid w:val="00BF4B09"/>
    <w:rsid w:val="00BF4B76"/>
    <w:rsid w:val="00BF4B99"/>
    <w:rsid w:val="00BF4CAE"/>
    <w:rsid w:val="00BF4CAF"/>
    <w:rsid w:val="00BF4D6B"/>
    <w:rsid w:val="00BF4D92"/>
    <w:rsid w:val="00BF4EA5"/>
    <w:rsid w:val="00BF4EAB"/>
    <w:rsid w:val="00BF4F37"/>
    <w:rsid w:val="00BF4F8C"/>
    <w:rsid w:val="00BF4FAA"/>
    <w:rsid w:val="00BF5025"/>
    <w:rsid w:val="00BF5041"/>
    <w:rsid w:val="00BF5082"/>
    <w:rsid w:val="00BF50F3"/>
    <w:rsid w:val="00BF51E4"/>
    <w:rsid w:val="00BF521E"/>
    <w:rsid w:val="00BF523C"/>
    <w:rsid w:val="00BF5269"/>
    <w:rsid w:val="00BF52F8"/>
    <w:rsid w:val="00BF53AD"/>
    <w:rsid w:val="00BF53C5"/>
    <w:rsid w:val="00BF5438"/>
    <w:rsid w:val="00BF558B"/>
    <w:rsid w:val="00BF55CD"/>
    <w:rsid w:val="00BF55DC"/>
    <w:rsid w:val="00BF55F8"/>
    <w:rsid w:val="00BF566D"/>
    <w:rsid w:val="00BF5706"/>
    <w:rsid w:val="00BF5794"/>
    <w:rsid w:val="00BF583C"/>
    <w:rsid w:val="00BF5840"/>
    <w:rsid w:val="00BF58F1"/>
    <w:rsid w:val="00BF5918"/>
    <w:rsid w:val="00BF5A6A"/>
    <w:rsid w:val="00BF5A81"/>
    <w:rsid w:val="00BF5ACD"/>
    <w:rsid w:val="00BF5B13"/>
    <w:rsid w:val="00BF5B15"/>
    <w:rsid w:val="00BF5B18"/>
    <w:rsid w:val="00BF5B81"/>
    <w:rsid w:val="00BF5BEC"/>
    <w:rsid w:val="00BF5C24"/>
    <w:rsid w:val="00BF5D21"/>
    <w:rsid w:val="00BF5D3E"/>
    <w:rsid w:val="00BF5D92"/>
    <w:rsid w:val="00BF5E09"/>
    <w:rsid w:val="00BF5F59"/>
    <w:rsid w:val="00BF5F8F"/>
    <w:rsid w:val="00BF601E"/>
    <w:rsid w:val="00BF607F"/>
    <w:rsid w:val="00BF6130"/>
    <w:rsid w:val="00BF618B"/>
    <w:rsid w:val="00BF61D8"/>
    <w:rsid w:val="00BF61FD"/>
    <w:rsid w:val="00BF637F"/>
    <w:rsid w:val="00BF6428"/>
    <w:rsid w:val="00BF644C"/>
    <w:rsid w:val="00BF6490"/>
    <w:rsid w:val="00BF64F7"/>
    <w:rsid w:val="00BF6561"/>
    <w:rsid w:val="00BF65DB"/>
    <w:rsid w:val="00BF65FC"/>
    <w:rsid w:val="00BF6615"/>
    <w:rsid w:val="00BF6694"/>
    <w:rsid w:val="00BF67A5"/>
    <w:rsid w:val="00BF6826"/>
    <w:rsid w:val="00BF6876"/>
    <w:rsid w:val="00BF6878"/>
    <w:rsid w:val="00BF6914"/>
    <w:rsid w:val="00BF692D"/>
    <w:rsid w:val="00BF69B4"/>
    <w:rsid w:val="00BF6A41"/>
    <w:rsid w:val="00BF6A93"/>
    <w:rsid w:val="00BF6ACE"/>
    <w:rsid w:val="00BF6B06"/>
    <w:rsid w:val="00BF6B89"/>
    <w:rsid w:val="00BF6BA7"/>
    <w:rsid w:val="00BF6BFF"/>
    <w:rsid w:val="00BF6C90"/>
    <w:rsid w:val="00BF6C9F"/>
    <w:rsid w:val="00BF6CD6"/>
    <w:rsid w:val="00BF6DC7"/>
    <w:rsid w:val="00BF6E77"/>
    <w:rsid w:val="00BF6E8C"/>
    <w:rsid w:val="00BF6E91"/>
    <w:rsid w:val="00BF6EFD"/>
    <w:rsid w:val="00BF6F46"/>
    <w:rsid w:val="00BF6F7A"/>
    <w:rsid w:val="00BF6F9D"/>
    <w:rsid w:val="00BF6FDB"/>
    <w:rsid w:val="00BF7099"/>
    <w:rsid w:val="00BF709D"/>
    <w:rsid w:val="00BF70B6"/>
    <w:rsid w:val="00BF70C3"/>
    <w:rsid w:val="00BF70F3"/>
    <w:rsid w:val="00BF7174"/>
    <w:rsid w:val="00BF71A9"/>
    <w:rsid w:val="00BF71E1"/>
    <w:rsid w:val="00BF71EC"/>
    <w:rsid w:val="00BF7211"/>
    <w:rsid w:val="00BF7224"/>
    <w:rsid w:val="00BF725E"/>
    <w:rsid w:val="00BF72E3"/>
    <w:rsid w:val="00BF72EF"/>
    <w:rsid w:val="00BF72F9"/>
    <w:rsid w:val="00BF73C9"/>
    <w:rsid w:val="00BF7430"/>
    <w:rsid w:val="00BF74CE"/>
    <w:rsid w:val="00BF74FD"/>
    <w:rsid w:val="00BF763A"/>
    <w:rsid w:val="00BF769E"/>
    <w:rsid w:val="00BF76E3"/>
    <w:rsid w:val="00BF76EB"/>
    <w:rsid w:val="00BF7726"/>
    <w:rsid w:val="00BF77F4"/>
    <w:rsid w:val="00BF786D"/>
    <w:rsid w:val="00BF788B"/>
    <w:rsid w:val="00BF79B6"/>
    <w:rsid w:val="00BF7A4A"/>
    <w:rsid w:val="00BF7AB0"/>
    <w:rsid w:val="00BF7AB4"/>
    <w:rsid w:val="00BF7B7F"/>
    <w:rsid w:val="00BF7BE0"/>
    <w:rsid w:val="00BF7CE2"/>
    <w:rsid w:val="00BF7D56"/>
    <w:rsid w:val="00BF7DD1"/>
    <w:rsid w:val="00BF7E68"/>
    <w:rsid w:val="00BF7E96"/>
    <w:rsid w:val="00BF7EDF"/>
    <w:rsid w:val="00BF7EF1"/>
    <w:rsid w:val="00BF7F41"/>
    <w:rsid w:val="00C0002E"/>
    <w:rsid w:val="00C000C2"/>
    <w:rsid w:val="00C001AA"/>
    <w:rsid w:val="00C001CA"/>
    <w:rsid w:val="00C002F2"/>
    <w:rsid w:val="00C0038D"/>
    <w:rsid w:val="00C003F4"/>
    <w:rsid w:val="00C00486"/>
    <w:rsid w:val="00C0048D"/>
    <w:rsid w:val="00C005BB"/>
    <w:rsid w:val="00C00695"/>
    <w:rsid w:val="00C00780"/>
    <w:rsid w:val="00C00789"/>
    <w:rsid w:val="00C009CE"/>
    <w:rsid w:val="00C00A87"/>
    <w:rsid w:val="00C00AAA"/>
    <w:rsid w:val="00C00B2B"/>
    <w:rsid w:val="00C00B41"/>
    <w:rsid w:val="00C00C14"/>
    <w:rsid w:val="00C00C1C"/>
    <w:rsid w:val="00C00C66"/>
    <w:rsid w:val="00C00F7F"/>
    <w:rsid w:val="00C00FC2"/>
    <w:rsid w:val="00C0103E"/>
    <w:rsid w:val="00C01106"/>
    <w:rsid w:val="00C0112F"/>
    <w:rsid w:val="00C01143"/>
    <w:rsid w:val="00C011A0"/>
    <w:rsid w:val="00C011A6"/>
    <w:rsid w:val="00C0122F"/>
    <w:rsid w:val="00C012B3"/>
    <w:rsid w:val="00C012DE"/>
    <w:rsid w:val="00C01381"/>
    <w:rsid w:val="00C0145D"/>
    <w:rsid w:val="00C01473"/>
    <w:rsid w:val="00C01481"/>
    <w:rsid w:val="00C01502"/>
    <w:rsid w:val="00C0151E"/>
    <w:rsid w:val="00C0153D"/>
    <w:rsid w:val="00C0156D"/>
    <w:rsid w:val="00C015A5"/>
    <w:rsid w:val="00C01636"/>
    <w:rsid w:val="00C0164B"/>
    <w:rsid w:val="00C0168A"/>
    <w:rsid w:val="00C01767"/>
    <w:rsid w:val="00C017AB"/>
    <w:rsid w:val="00C017EB"/>
    <w:rsid w:val="00C01927"/>
    <w:rsid w:val="00C0196B"/>
    <w:rsid w:val="00C01970"/>
    <w:rsid w:val="00C0199D"/>
    <w:rsid w:val="00C019E2"/>
    <w:rsid w:val="00C01A12"/>
    <w:rsid w:val="00C01A17"/>
    <w:rsid w:val="00C01A7C"/>
    <w:rsid w:val="00C01A9A"/>
    <w:rsid w:val="00C01A9D"/>
    <w:rsid w:val="00C01AE3"/>
    <w:rsid w:val="00C01C0E"/>
    <w:rsid w:val="00C01C79"/>
    <w:rsid w:val="00C01CB9"/>
    <w:rsid w:val="00C01DA1"/>
    <w:rsid w:val="00C01DD6"/>
    <w:rsid w:val="00C01DED"/>
    <w:rsid w:val="00C01E1A"/>
    <w:rsid w:val="00C01F1C"/>
    <w:rsid w:val="00C01F1D"/>
    <w:rsid w:val="00C01F6A"/>
    <w:rsid w:val="00C01F89"/>
    <w:rsid w:val="00C01FB7"/>
    <w:rsid w:val="00C01FD8"/>
    <w:rsid w:val="00C0200A"/>
    <w:rsid w:val="00C0201D"/>
    <w:rsid w:val="00C0205C"/>
    <w:rsid w:val="00C02100"/>
    <w:rsid w:val="00C021B0"/>
    <w:rsid w:val="00C021BB"/>
    <w:rsid w:val="00C02241"/>
    <w:rsid w:val="00C02294"/>
    <w:rsid w:val="00C022C8"/>
    <w:rsid w:val="00C022F5"/>
    <w:rsid w:val="00C0242E"/>
    <w:rsid w:val="00C02467"/>
    <w:rsid w:val="00C0249D"/>
    <w:rsid w:val="00C024BA"/>
    <w:rsid w:val="00C024BE"/>
    <w:rsid w:val="00C024DC"/>
    <w:rsid w:val="00C024DD"/>
    <w:rsid w:val="00C024F6"/>
    <w:rsid w:val="00C02514"/>
    <w:rsid w:val="00C02547"/>
    <w:rsid w:val="00C025B4"/>
    <w:rsid w:val="00C025E3"/>
    <w:rsid w:val="00C0260E"/>
    <w:rsid w:val="00C02611"/>
    <w:rsid w:val="00C02723"/>
    <w:rsid w:val="00C02788"/>
    <w:rsid w:val="00C027AD"/>
    <w:rsid w:val="00C027E0"/>
    <w:rsid w:val="00C0285A"/>
    <w:rsid w:val="00C0285E"/>
    <w:rsid w:val="00C02933"/>
    <w:rsid w:val="00C029C1"/>
    <w:rsid w:val="00C02A2B"/>
    <w:rsid w:val="00C02A7E"/>
    <w:rsid w:val="00C02A84"/>
    <w:rsid w:val="00C02B0D"/>
    <w:rsid w:val="00C02B2B"/>
    <w:rsid w:val="00C02B5D"/>
    <w:rsid w:val="00C02CB3"/>
    <w:rsid w:val="00C02D24"/>
    <w:rsid w:val="00C02DED"/>
    <w:rsid w:val="00C02DFF"/>
    <w:rsid w:val="00C02E2D"/>
    <w:rsid w:val="00C02E45"/>
    <w:rsid w:val="00C02EA2"/>
    <w:rsid w:val="00C02F21"/>
    <w:rsid w:val="00C02F73"/>
    <w:rsid w:val="00C02FA9"/>
    <w:rsid w:val="00C0304F"/>
    <w:rsid w:val="00C030A2"/>
    <w:rsid w:val="00C0316F"/>
    <w:rsid w:val="00C0318A"/>
    <w:rsid w:val="00C031A4"/>
    <w:rsid w:val="00C0322D"/>
    <w:rsid w:val="00C032E1"/>
    <w:rsid w:val="00C0358E"/>
    <w:rsid w:val="00C035EE"/>
    <w:rsid w:val="00C0366F"/>
    <w:rsid w:val="00C036D3"/>
    <w:rsid w:val="00C03709"/>
    <w:rsid w:val="00C037CF"/>
    <w:rsid w:val="00C0386D"/>
    <w:rsid w:val="00C03873"/>
    <w:rsid w:val="00C038C9"/>
    <w:rsid w:val="00C03908"/>
    <w:rsid w:val="00C0399C"/>
    <w:rsid w:val="00C039D7"/>
    <w:rsid w:val="00C039E7"/>
    <w:rsid w:val="00C039EC"/>
    <w:rsid w:val="00C03A66"/>
    <w:rsid w:val="00C03AFC"/>
    <w:rsid w:val="00C03B5D"/>
    <w:rsid w:val="00C03BD6"/>
    <w:rsid w:val="00C03C48"/>
    <w:rsid w:val="00C03CB9"/>
    <w:rsid w:val="00C03CC2"/>
    <w:rsid w:val="00C03CED"/>
    <w:rsid w:val="00C03D0C"/>
    <w:rsid w:val="00C03D4F"/>
    <w:rsid w:val="00C03E2C"/>
    <w:rsid w:val="00C03F45"/>
    <w:rsid w:val="00C03F76"/>
    <w:rsid w:val="00C03F7D"/>
    <w:rsid w:val="00C03FB2"/>
    <w:rsid w:val="00C03FC1"/>
    <w:rsid w:val="00C04012"/>
    <w:rsid w:val="00C040BD"/>
    <w:rsid w:val="00C040CE"/>
    <w:rsid w:val="00C04144"/>
    <w:rsid w:val="00C041AD"/>
    <w:rsid w:val="00C04257"/>
    <w:rsid w:val="00C04278"/>
    <w:rsid w:val="00C042C7"/>
    <w:rsid w:val="00C042CC"/>
    <w:rsid w:val="00C04371"/>
    <w:rsid w:val="00C04390"/>
    <w:rsid w:val="00C04391"/>
    <w:rsid w:val="00C0439F"/>
    <w:rsid w:val="00C0444B"/>
    <w:rsid w:val="00C04463"/>
    <w:rsid w:val="00C04544"/>
    <w:rsid w:val="00C04603"/>
    <w:rsid w:val="00C046CA"/>
    <w:rsid w:val="00C046D2"/>
    <w:rsid w:val="00C046ED"/>
    <w:rsid w:val="00C0471B"/>
    <w:rsid w:val="00C0471C"/>
    <w:rsid w:val="00C0481D"/>
    <w:rsid w:val="00C04834"/>
    <w:rsid w:val="00C04974"/>
    <w:rsid w:val="00C04981"/>
    <w:rsid w:val="00C04AD3"/>
    <w:rsid w:val="00C04ADE"/>
    <w:rsid w:val="00C04AF1"/>
    <w:rsid w:val="00C04B8C"/>
    <w:rsid w:val="00C04BEB"/>
    <w:rsid w:val="00C04C07"/>
    <w:rsid w:val="00C04C49"/>
    <w:rsid w:val="00C04C5E"/>
    <w:rsid w:val="00C04C9D"/>
    <w:rsid w:val="00C04D49"/>
    <w:rsid w:val="00C04D53"/>
    <w:rsid w:val="00C04E44"/>
    <w:rsid w:val="00C04EFB"/>
    <w:rsid w:val="00C04F30"/>
    <w:rsid w:val="00C04F72"/>
    <w:rsid w:val="00C04FAD"/>
    <w:rsid w:val="00C0509B"/>
    <w:rsid w:val="00C05119"/>
    <w:rsid w:val="00C0511F"/>
    <w:rsid w:val="00C05125"/>
    <w:rsid w:val="00C05195"/>
    <w:rsid w:val="00C051F9"/>
    <w:rsid w:val="00C051FF"/>
    <w:rsid w:val="00C05245"/>
    <w:rsid w:val="00C052E6"/>
    <w:rsid w:val="00C0535B"/>
    <w:rsid w:val="00C05376"/>
    <w:rsid w:val="00C0538F"/>
    <w:rsid w:val="00C05511"/>
    <w:rsid w:val="00C0555A"/>
    <w:rsid w:val="00C055B7"/>
    <w:rsid w:val="00C0566F"/>
    <w:rsid w:val="00C05683"/>
    <w:rsid w:val="00C056B1"/>
    <w:rsid w:val="00C056B4"/>
    <w:rsid w:val="00C056D6"/>
    <w:rsid w:val="00C05757"/>
    <w:rsid w:val="00C0577D"/>
    <w:rsid w:val="00C057CD"/>
    <w:rsid w:val="00C057DA"/>
    <w:rsid w:val="00C057E4"/>
    <w:rsid w:val="00C0591B"/>
    <w:rsid w:val="00C0591F"/>
    <w:rsid w:val="00C05990"/>
    <w:rsid w:val="00C05A2B"/>
    <w:rsid w:val="00C05A76"/>
    <w:rsid w:val="00C05AA5"/>
    <w:rsid w:val="00C05AB1"/>
    <w:rsid w:val="00C05ACE"/>
    <w:rsid w:val="00C05AF4"/>
    <w:rsid w:val="00C05B34"/>
    <w:rsid w:val="00C05BEB"/>
    <w:rsid w:val="00C05D8B"/>
    <w:rsid w:val="00C05E05"/>
    <w:rsid w:val="00C05E1F"/>
    <w:rsid w:val="00C05E30"/>
    <w:rsid w:val="00C05E55"/>
    <w:rsid w:val="00C05E88"/>
    <w:rsid w:val="00C05E8D"/>
    <w:rsid w:val="00C05EF8"/>
    <w:rsid w:val="00C05F83"/>
    <w:rsid w:val="00C05F95"/>
    <w:rsid w:val="00C06003"/>
    <w:rsid w:val="00C0611C"/>
    <w:rsid w:val="00C0620D"/>
    <w:rsid w:val="00C0621C"/>
    <w:rsid w:val="00C0628F"/>
    <w:rsid w:val="00C062C1"/>
    <w:rsid w:val="00C06302"/>
    <w:rsid w:val="00C06306"/>
    <w:rsid w:val="00C06429"/>
    <w:rsid w:val="00C064C1"/>
    <w:rsid w:val="00C064F4"/>
    <w:rsid w:val="00C0652C"/>
    <w:rsid w:val="00C0653A"/>
    <w:rsid w:val="00C06544"/>
    <w:rsid w:val="00C06548"/>
    <w:rsid w:val="00C065AC"/>
    <w:rsid w:val="00C065C6"/>
    <w:rsid w:val="00C0660A"/>
    <w:rsid w:val="00C06634"/>
    <w:rsid w:val="00C06675"/>
    <w:rsid w:val="00C0671B"/>
    <w:rsid w:val="00C06777"/>
    <w:rsid w:val="00C06799"/>
    <w:rsid w:val="00C067BA"/>
    <w:rsid w:val="00C067C4"/>
    <w:rsid w:val="00C067CA"/>
    <w:rsid w:val="00C06828"/>
    <w:rsid w:val="00C0682E"/>
    <w:rsid w:val="00C068B1"/>
    <w:rsid w:val="00C06920"/>
    <w:rsid w:val="00C06956"/>
    <w:rsid w:val="00C06ABA"/>
    <w:rsid w:val="00C06AF7"/>
    <w:rsid w:val="00C06B69"/>
    <w:rsid w:val="00C06C5C"/>
    <w:rsid w:val="00C06C65"/>
    <w:rsid w:val="00C06C7E"/>
    <w:rsid w:val="00C06CCC"/>
    <w:rsid w:val="00C06CD7"/>
    <w:rsid w:val="00C06CEE"/>
    <w:rsid w:val="00C06D6F"/>
    <w:rsid w:val="00C06DF2"/>
    <w:rsid w:val="00C06E7A"/>
    <w:rsid w:val="00C06E9B"/>
    <w:rsid w:val="00C06F4C"/>
    <w:rsid w:val="00C06F80"/>
    <w:rsid w:val="00C0700A"/>
    <w:rsid w:val="00C07014"/>
    <w:rsid w:val="00C07048"/>
    <w:rsid w:val="00C070C4"/>
    <w:rsid w:val="00C070C6"/>
    <w:rsid w:val="00C070E1"/>
    <w:rsid w:val="00C070EA"/>
    <w:rsid w:val="00C071AB"/>
    <w:rsid w:val="00C071F2"/>
    <w:rsid w:val="00C071FC"/>
    <w:rsid w:val="00C07205"/>
    <w:rsid w:val="00C0727A"/>
    <w:rsid w:val="00C0728C"/>
    <w:rsid w:val="00C072EF"/>
    <w:rsid w:val="00C073E1"/>
    <w:rsid w:val="00C07457"/>
    <w:rsid w:val="00C07464"/>
    <w:rsid w:val="00C07492"/>
    <w:rsid w:val="00C074C0"/>
    <w:rsid w:val="00C074E0"/>
    <w:rsid w:val="00C074E4"/>
    <w:rsid w:val="00C07510"/>
    <w:rsid w:val="00C0752C"/>
    <w:rsid w:val="00C07581"/>
    <w:rsid w:val="00C075BF"/>
    <w:rsid w:val="00C075DD"/>
    <w:rsid w:val="00C075E9"/>
    <w:rsid w:val="00C07614"/>
    <w:rsid w:val="00C07677"/>
    <w:rsid w:val="00C07759"/>
    <w:rsid w:val="00C07832"/>
    <w:rsid w:val="00C07858"/>
    <w:rsid w:val="00C07874"/>
    <w:rsid w:val="00C07899"/>
    <w:rsid w:val="00C078F4"/>
    <w:rsid w:val="00C07939"/>
    <w:rsid w:val="00C07971"/>
    <w:rsid w:val="00C079ED"/>
    <w:rsid w:val="00C07A76"/>
    <w:rsid w:val="00C07A86"/>
    <w:rsid w:val="00C07AE0"/>
    <w:rsid w:val="00C07B21"/>
    <w:rsid w:val="00C07BB6"/>
    <w:rsid w:val="00C07C25"/>
    <w:rsid w:val="00C07C3D"/>
    <w:rsid w:val="00C07C6C"/>
    <w:rsid w:val="00C07CB8"/>
    <w:rsid w:val="00C07D10"/>
    <w:rsid w:val="00C07DA9"/>
    <w:rsid w:val="00C07F0E"/>
    <w:rsid w:val="00C07F2A"/>
    <w:rsid w:val="00C10012"/>
    <w:rsid w:val="00C100CE"/>
    <w:rsid w:val="00C100E7"/>
    <w:rsid w:val="00C100F9"/>
    <w:rsid w:val="00C10172"/>
    <w:rsid w:val="00C103DA"/>
    <w:rsid w:val="00C104FC"/>
    <w:rsid w:val="00C104FF"/>
    <w:rsid w:val="00C106A5"/>
    <w:rsid w:val="00C106F8"/>
    <w:rsid w:val="00C1077A"/>
    <w:rsid w:val="00C107BA"/>
    <w:rsid w:val="00C10865"/>
    <w:rsid w:val="00C10893"/>
    <w:rsid w:val="00C109BB"/>
    <w:rsid w:val="00C109D0"/>
    <w:rsid w:val="00C109DC"/>
    <w:rsid w:val="00C10A98"/>
    <w:rsid w:val="00C10BC1"/>
    <w:rsid w:val="00C10CA3"/>
    <w:rsid w:val="00C10D1B"/>
    <w:rsid w:val="00C10DC9"/>
    <w:rsid w:val="00C10E11"/>
    <w:rsid w:val="00C10E84"/>
    <w:rsid w:val="00C10EE1"/>
    <w:rsid w:val="00C10FE7"/>
    <w:rsid w:val="00C11067"/>
    <w:rsid w:val="00C1111B"/>
    <w:rsid w:val="00C1113A"/>
    <w:rsid w:val="00C11149"/>
    <w:rsid w:val="00C1115C"/>
    <w:rsid w:val="00C11186"/>
    <w:rsid w:val="00C111BC"/>
    <w:rsid w:val="00C11248"/>
    <w:rsid w:val="00C11281"/>
    <w:rsid w:val="00C11292"/>
    <w:rsid w:val="00C11346"/>
    <w:rsid w:val="00C11389"/>
    <w:rsid w:val="00C11421"/>
    <w:rsid w:val="00C1145B"/>
    <w:rsid w:val="00C114E0"/>
    <w:rsid w:val="00C11538"/>
    <w:rsid w:val="00C1154C"/>
    <w:rsid w:val="00C11559"/>
    <w:rsid w:val="00C115FA"/>
    <w:rsid w:val="00C11637"/>
    <w:rsid w:val="00C116D8"/>
    <w:rsid w:val="00C11707"/>
    <w:rsid w:val="00C1173D"/>
    <w:rsid w:val="00C1174B"/>
    <w:rsid w:val="00C11785"/>
    <w:rsid w:val="00C11821"/>
    <w:rsid w:val="00C11844"/>
    <w:rsid w:val="00C11853"/>
    <w:rsid w:val="00C118D5"/>
    <w:rsid w:val="00C119D6"/>
    <w:rsid w:val="00C11A0F"/>
    <w:rsid w:val="00C11A89"/>
    <w:rsid w:val="00C11AC1"/>
    <w:rsid w:val="00C11BEB"/>
    <w:rsid w:val="00C11BEE"/>
    <w:rsid w:val="00C11C33"/>
    <w:rsid w:val="00C11C4B"/>
    <w:rsid w:val="00C11CD3"/>
    <w:rsid w:val="00C11D29"/>
    <w:rsid w:val="00C11D93"/>
    <w:rsid w:val="00C11DAA"/>
    <w:rsid w:val="00C11DE6"/>
    <w:rsid w:val="00C11DEA"/>
    <w:rsid w:val="00C11DF4"/>
    <w:rsid w:val="00C11E49"/>
    <w:rsid w:val="00C11E8C"/>
    <w:rsid w:val="00C11F16"/>
    <w:rsid w:val="00C11FD1"/>
    <w:rsid w:val="00C12094"/>
    <w:rsid w:val="00C120CD"/>
    <w:rsid w:val="00C120CF"/>
    <w:rsid w:val="00C12116"/>
    <w:rsid w:val="00C1212C"/>
    <w:rsid w:val="00C1214A"/>
    <w:rsid w:val="00C1217A"/>
    <w:rsid w:val="00C121CA"/>
    <w:rsid w:val="00C121CC"/>
    <w:rsid w:val="00C121DB"/>
    <w:rsid w:val="00C12276"/>
    <w:rsid w:val="00C122F3"/>
    <w:rsid w:val="00C1230D"/>
    <w:rsid w:val="00C12385"/>
    <w:rsid w:val="00C123A7"/>
    <w:rsid w:val="00C123B2"/>
    <w:rsid w:val="00C123C0"/>
    <w:rsid w:val="00C123C6"/>
    <w:rsid w:val="00C123D5"/>
    <w:rsid w:val="00C123E0"/>
    <w:rsid w:val="00C123FC"/>
    <w:rsid w:val="00C1252D"/>
    <w:rsid w:val="00C12531"/>
    <w:rsid w:val="00C1257F"/>
    <w:rsid w:val="00C126B6"/>
    <w:rsid w:val="00C1271B"/>
    <w:rsid w:val="00C12766"/>
    <w:rsid w:val="00C127D4"/>
    <w:rsid w:val="00C12862"/>
    <w:rsid w:val="00C12874"/>
    <w:rsid w:val="00C1288C"/>
    <w:rsid w:val="00C128E2"/>
    <w:rsid w:val="00C12906"/>
    <w:rsid w:val="00C12975"/>
    <w:rsid w:val="00C129A5"/>
    <w:rsid w:val="00C129DD"/>
    <w:rsid w:val="00C12A58"/>
    <w:rsid w:val="00C12AA2"/>
    <w:rsid w:val="00C12B0C"/>
    <w:rsid w:val="00C12B39"/>
    <w:rsid w:val="00C12BA2"/>
    <w:rsid w:val="00C12C2C"/>
    <w:rsid w:val="00C12D46"/>
    <w:rsid w:val="00C12D95"/>
    <w:rsid w:val="00C12E0E"/>
    <w:rsid w:val="00C12E1E"/>
    <w:rsid w:val="00C12E77"/>
    <w:rsid w:val="00C12E8B"/>
    <w:rsid w:val="00C12E94"/>
    <w:rsid w:val="00C12E96"/>
    <w:rsid w:val="00C12ECE"/>
    <w:rsid w:val="00C12F53"/>
    <w:rsid w:val="00C13091"/>
    <w:rsid w:val="00C130FC"/>
    <w:rsid w:val="00C131B4"/>
    <w:rsid w:val="00C131B7"/>
    <w:rsid w:val="00C131B9"/>
    <w:rsid w:val="00C13210"/>
    <w:rsid w:val="00C13234"/>
    <w:rsid w:val="00C1324B"/>
    <w:rsid w:val="00C13268"/>
    <w:rsid w:val="00C13395"/>
    <w:rsid w:val="00C1340D"/>
    <w:rsid w:val="00C13487"/>
    <w:rsid w:val="00C134EE"/>
    <w:rsid w:val="00C1351B"/>
    <w:rsid w:val="00C13532"/>
    <w:rsid w:val="00C13536"/>
    <w:rsid w:val="00C1354B"/>
    <w:rsid w:val="00C135F6"/>
    <w:rsid w:val="00C137DF"/>
    <w:rsid w:val="00C1385A"/>
    <w:rsid w:val="00C1385E"/>
    <w:rsid w:val="00C139B4"/>
    <w:rsid w:val="00C139B6"/>
    <w:rsid w:val="00C13A4A"/>
    <w:rsid w:val="00C13B4C"/>
    <w:rsid w:val="00C13B4F"/>
    <w:rsid w:val="00C13B77"/>
    <w:rsid w:val="00C13B95"/>
    <w:rsid w:val="00C13BDF"/>
    <w:rsid w:val="00C13C4E"/>
    <w:rsid w:val="00C13C76"/>
    <w:rsid w:val="00C13E01"/>
    <w:rsid w:val="00C13E3A"/>
    <w:rsid w:val="00C13E64"/>
    <w:rsid w:val="00C13F0F"/>
    <w:rsid w:val="00C13F64"/>
    <w:rsid w:val="00C13FA7"/>
    <w:rsid w:val="00C13FDE"/>
    <w:rsid w:val="00C140DE"/>
    <w:rsid w:val="00C1413D"/>
    <w:rsid w:val="00C1416D"/>
    <w:rsid w:val="00C141A4"/>
    <w:rsid w:val="00C141F5"/>
    <w:rsid w:val="00C14283"/>
    <w:rsid w:val="00C142F9"/>
    <w:rsid w:val="00C1431A"/>
    <w:rsid w:val="00C14406"/>
    <w:rsid w:val="00C144B5"/>
    <w:rsid w:val="00C1452C"/>
    <w:rsid w:val="00C145A2"/>
    <w:rsid w:val="00C14714"/>
    <w:rsid w:val="00C1474D"/>
    <w:rsid w:val="00C14815"/>
    <w:rsid w:val="00C1481F"/>
    <w:rsid w:val="00C1493C"/>
    <w:rsid w:val="00C14946"/>
    <w:rsid w:val="00C14A8D"/>
    <w:rsid w:val="00C14B91"/>
    <w:rsid w:val="00C14B9A"/>
    <w:rsid w:val="00C14BC5"/>
    <w:rsid w:val="00C14BCE"/>
    <w:rsid w:val="00C14CE0"/>
    <w:rsid w:val="00C14CF0"/>
    <w:rsid w:val="00C14D20"/>
    <w:rsid w:val="00C14D86"/>
    <w:rsid w:val="00C14DE6"/>
    <w:rsid w:val="00C14E29"/>
    <w:rsid w:val="00C14EDE"/>
    <w:rsid w:val="00C14EFB"/>
    <w:rsid w:val="00C14F13"/>
    <w:rsid w:val="00C14F4A"/>
    <w:rsid w:val="00C14F8A"/>
    <w:rsid w:val="00C14F9B"/>
    <w:rsid w:val="00C14FB5"/>
    <w:rsid w:val="00C14FFA"/>
    <w:rsid w:val="00C15188"/>
    <w:rsid w:val="00C15218"/>
    <w:rsid w:val="00C152D0"/>
    <w:rsid w:val="00C152DC"/>
    <w:rsid w:val="00C1535C"/>
    <w:rsid w:val="00C15374"/>
    <w:rsid w:val="00C15382"/>
    <w:rsid w:val="00C153EA"/>
    <w:rsid w:val="00C15423"/>
    <w:rsid w:val="00C15446"/>
    <w:rsid w:val="00C15453"/>
    <w:rsid w:val="00C1545E"/>
    <w:rsid w:val="00C154A3"/>
    <w:rsid w:val="00C154CD"/>
    <w:rsid w:val="00C154F8"/>
    <w:rsid w:val="00C15515"/>
    <w:rsid w:val="00C15570"/>
    <w:rsid w:val="00C15717"/>
    <w:rsid w:val="00C15861"/>
    <w:rsid w:val="00C15899"/>
    <w:rsid w:val="00C158BE"/>
    <w:rsid w:val="00C158C8"/>
    <w:rsid w:val="00C15925"/>
    <w:rsid w:val="00C15981"/>
    <w:rsid w:val="00C15986"/>
    <w:rsid w:val="00C159D6"/>
    <w:rsid w:val="00C15A86"/>
    <w:rsid w:val="00C15AD2"/>
    <w:rsid w:val="00C15B4C"/>
    <w:rsid w:val="00C15B9D"/>
    <w:rsid w:val="00C15BAE"/>
    <w:rsid w:val="00C15C98"/>
    <w:rsid w:val="00C15CE9"/>
    <w:rsid w:val="00C15D0D"/>
    <w:rsid w:val="00C15D30"/>
    <w:rsid w:val="00C15D72"/>
    <w:rsid w:val="00C15D7B"/>
    <w:rsid w:val="00C15D90"/>
    <w:rsid w:val="00C15DE4"/>
    <w:rsid w:val="00C15DEC"/>
    <w:rsid w:val="00C15E64"/>
    <w:rsid w:val="00C15E7A"/>
    <w:rsid w:val="00C15EA7"/>
    <w:rsid w:val="00C15EB2"/>
    <w:rsid w:val="00C15EE6"/>
    <w:rsid w:val="00C15EF6"/>
    <w:rsid w:val="00C15FB6"/>
    <w:rsid w:val="00C15FDD"/>
    <w:rsid w:val="00C1602B"/>
    <w:rsid w:val="00C1610F"/>
    <w:rsid w:val="00C16111"/>
    <w:rsid w:val="00C16163"/>
    <w:rsid w:val="00C161F4"/>
    <w:rsid w:val="00C16250"/>
    <w:rsid w:val="00C162AC"/>
    <w:rsid w:val="00C1630C"/>
    <w:rsid w:val="00C1635C"/>
    <w:rsid w:val="00C16432"/>
    <w:rsid w:val="00C16633"/>
    <w:rsid w:val="00C16692"/>
    <w:rsid w:val="00C166C3"/>
    <w:rsid w:val="00C16701"/>
    <w:rsid w:val="00C16781"/>
    <w:rsid w:val="00C167B2"/>
    <w:rsid w:val="00C167FD"/>
    <w:rsid w:val="00C168DC"/>
    <w:rsid w:val="00C16987"/>
    <w:rsid w:val="00C1698B"/>
    <w:rsid w:val="00C169FF"/>
    <w:rsid w:val="00C16A94"/>
    <w:rsid w:val="00C16AB9"/>
    <w:rsid w:val="00C16B65"/>
    <w:rsid w:val="00C16C6D"/>
    <w:rsid w:val="00C16C6E"/>
    <w:rsid w:val="00C16D52"/>
    <w:rsid w:val="00C16DCF"/>
    <w:rsid w:val="00C16DE9"/>
    <w:rsid w:val="00C16E09"/>
    <w:rsid w:val="00C16E36"/>
    <w:rsid w:val="00C16E87"/>
    <w:rsid w:val="00C16ECC"/>
    <w:rsid w:val="00C16F39"/>
    <w:rsid w:val="00C17002"/>
    <w:rsid w:val="00C17019"/>
    <w:rsid w:val="00C17137"/>
    <w:rsid w:val="00C17149"/>
    <w:rsid w:val="00C172CD"/>
    <w:rsid w:val="00C172E2"/>
    <w:rsid w:val="00C1734B"/>
    <w:rsid w:val="00C1741F"/>
    <w:rsid w:val="00C1742C"/>
    <w:rsid w:val="00C1742F"/>
    <w:rsid w:val="00C174CA"/>
    <w:rsid w:val="00C17510"/>
    <w:rsid w:val="00C17576"/>
    <w:rsid w:val="00C175F1"/>
    <w:rsid w:val="00C1766B"/>
    <w:rsid w:val="00C17699"/>
    <w:rsid w:val="00C176E7"/>
    <w:rsid w:val="00C177B5"/>
    <w:rsid w:val="00C177D9"/>
    <w:rsid w:val="00C17934"/>
    <w:rsid w:val="00C1797C"/>
    <w:rsid w:val="00C179B1"/>
    <w:rsid w:val="00C17A83"/>
    <w:rsid w:val="00C17AB7"/>
    <w:rsid w:val="00C17AD1"/>
    <w:rsid w:val="00C17B99"/>
    <w:rsid w:val="00C17B9A"/>
    <w:rsid w:val="00C17BDB"/>
    <w:rsid w:val="00C17C08"/>
    <w:rsid w:val="00C17CAC"/>
    <w:rsid w:val="00C17D3E"/>
    <w:rsid w:val="00C17D60"/>
    <w:rsid w:val="00C17DAE"/>
    <w:rsid w:val="00C17DC3"/>
    <w:rsid w:val="00C17ECB"/>
    <w:rsid w:val="00C17F9E"/>
    <w:rsid w:val="00C17FB5"/>
    <w:rsid w:val="00C17FC3"/>
    <w:rsid w:val="00C17FC8"/>
    <w:rsid w:val="00C2000A"/>
    <w:rsid w:val="00C2001B"/>
    <w:rsid w:val="00C20020"/>
    <w:rsid w:val="00C20071"/>
    <w:rsid w:val="00C200D7"/>
    <w:rsid w:val="00C20114"/>
    <w:rsid w:val="00C201B6"/>
    <w:rsid w:val="00C202E5"/>
    <w:rsid w:val="00C202E6"/>
    <w:rsid w:val="00C2032A"/>
    <w:rsid w:val="00C20352"/>
    <w:rsid w:val="00C203A4"/>
    <w:rsid w:val="00C203C7"/>
    <w:rsid w:val="00C203F0"/>
    <w:rsid w:val="00C20485"/>
    <w:rsid w:val="00C2048E"/>
    <w:rsid w:val="00C205E3"/>
    <w:rsid w:val="00C206B8"/>
    <w:rsid w:val="00C20722"/>
    <w:rsid w:val="00C20794"/>
    <w:rsid w:val="00C20864"/>
    <w:rsid w:val="00C208FD"/>
    <w:rsid w:val="00C2092F"/>
    <w:rsid w:val="00C209A8"/>
    <w:rsid w:val="00C20A14"/>
    <w:rsid w:val="00C20A29"/>
    <w:rsid w:val="00C20A32"/>
    <w:rsid w:val="00C20A73"/>
    <w:rsid w:val="00C20A74"/>
    <w:rsid w:val="00C20ABF"/>
    <w:rsid w:val="00C20AC3"/>
    <w:rsid w:val="00C20AEF"/>
    <w:rsid w:val="00C20B61"/>
    <w:rsid w:val="00C20B64"/>
    <w:rsid w:val="00C20BAF"/>
    <w:rsid w:val="00C20BE0"/>
    <w:rsid w:val="00C20C03"/>
    <w:rsid w:val="00C20C3E"/>
    <w:rsid w:val="00C20C90"/>
    <w:rsid w:val="00C20CB2"/>
    <w:rsid w:val="00C20D1F"/>
    <w:rsid w:val="00C20D46"/>
    <w:rsid w:val="00C20EE7"/>
    <w:rsid w:val="00C20F20"/>
    <w:rsid w:val="00C20F92"/>
    <w:rsid w:val="00C20FA1"/>
    <w:rsid w:val="00C21004"/>
    <w:rsid w:val="00C21014"/>
    <w:rsid w:val="00C21018"/>
    <w:rsid w:val="00C21099"/>
    <w:rsid w:val="00C2111C"/>
    <w:rsid w:val="00C21215"/>
    <w:rsid w:val="00C21274"/>
    <w:rsid w:val="00C212A0"/>
    <w:rsid w:val="00C212AF"/>
    <w:rsid w:val="00C212B5"/>
    <w:rsid w:val="00C212ED"/>
    <w:rsid w:val="00C21350"/>
    <w:rsid w:val="00C21359"/>
    <w:rsid w:val="00C213A8"/>
    <w:rsid w:val="00C213B7"/>
    <w:rsid w:val="00C213BE"/>
    <w:rsid w:val="00C21407"/>
    <w:rsid w:val="00C2143F"/>
    <w:rsid w:val="00C214BF"/>
    <w:rsid w:val="00C21516"/>
    <w:rsid w:val="00C2157A"/>
    <w:rsid w:val="00C2157F"/>
    <w:rsid w:val="00C215D9"/>
    <w:rsid w:val="00C215FC"/>
    <w:rsid w:val="00C2165C"/>
    <w:rsid w:val="00C216F3"/>
    <w:rsid w:val="00C2170A"/>
    <w:rsid w:val="00C21813"/>
    <w:rsid w:val="00C2184C"/>
    <w:rsid w:val="00C2187B"/>
    <w:rsid w:val="00C21905"/>
    <w:rsid w:val="00C21A08"/>
    <w:rsid w:val="00C21A7D"/>
    <w:rsid w:val="00C21A92"/>
    <w:rsid w:val="00C21AB7"/>
    <w:rsid w:val="00C21AFF"/>
    <w:rsid w:val="00C21B72"/>
    <w:rsid w:val="00C21CB6"/>
    <w:rsid w:val="00C21CBA"/>
    <w:rsid w:val="00C21CC5"/>
    <w:rsid w:val="00C21D47"/>
    <w:rsid w:val="00C21E25"/>
    <w:rsid w:val="00C21E71"/>
    <w:rsid w:val="00C21EAF"/>
    <w:rsid w:val="00C21F1A"/>
    <w:rsid w:val="00C21F78"/>
    <w:rsid w:val="00C21FB3"/>
    <w:rsid w:val="00C21FC3"/>
    <w:rsid w:val="00C21FCF"/>
    <w:rsid w:val="00C21FDF"/>
    <w:rsid w:val="00C22019"/>
    <w:rsid w:val="00C22082"/>
    <w:rsid w:val="00C22091"/>
    <w:rsid w:val="00C22099"/>
    <w:rsid w:val="00C220EF"/>
    <w:rsid w:val="00C221DC"/>
    <w:rsid w:val="00C2221C"/>
    <w:rsid w:val="00C22273"/>
    <w:rsid w:val="00C22361"/>
    <w:rsid w:val="00C2238D"/>
    <w:rsid w:val="00C2244E"/>
    <w:rsid w:val="00C22470"/>
    <w:rsid w:val="00C22489"/>
    <w:rsid w:val="00C224F5"/>
    <w:rsid w:val="00C22546"/>
    <w:rsid w:val="00C225A2"/>
    <w:rsid w:val="00C225E8"/>
    <w:rsid w:val="00C225FD"/>
    <w:rsid w:val="00C22681"/>
    <w:rsid w:val="00C226EE"/>
    <w:rsid w:val="00C22754"/>
    <w:rsid w:val="00C2278B"/>
    <w:rsid w:val="00C22868"/>
    <w:rsid w:val="00C22894"/>
    <w:rsid w:val="00C228B7"/>
    <w:rsid w:val="00C22947"/>
    <w:rsid w:val="00C22977"/>
    <w:rsid w:val="00C229BB"/>
    <w:rsid w:val="00C22A02"/>
    <w:rsid w:val="00C22A15"/>
    <w:rsid w:val="00C22A7A"/>
    <w:rsid w:val="00C22A85"/>
    <w:rsid w:val="00C22AB4"/>
    <w:rsid w:val="00C22B80"/>
    <w:rsid w:val="00C22BA8"/>
    <w:rsid w:val="00C22BF1"/>
    <w:rsid w:val="00C22CA5"/>
    <w:rsid w:val="00C22D3E"/>
    <w:rsid w:val="00C22DA9"/>
    <w:rsid w:val="00C22DEC"/>
    <w:rsid w:val="00C22E55"/>
    <w:rsid w:val="00C22E6C"/>
    <w:rsid w:val="00C22E75"/>
    <w:rsid w:val="00C22FA5"/>
    <w:rsid w:val="00C22FD2"/>
    <w:rsid w:val="00C2302C"/>
    <w:rsid w:val="00C2310F"/>
    <w:rsid w:val="00C23179"/>
    <w:rsid w:val="00C2326E"/>
    <w:rsid w:val="00C23283"/>
    <w:rsid w:val="00C23311"/>
    <w:rsid w:val="00C2331E"/>
    <w:rsid w:val="00C23374"/>
    <w:rsid w:val="00C2338A"/>
    <w:rsid w:val="00C233E4"/>
    <w:rsid w:val="00C23425"/>
    <w:rsid w:val="00C234BE"/>
    <w:rsid w:val="00C234E1"/>
    <w:rsid w:val="00C23516"/>
    <w:rsid w:val="00C23518"/>
    <w:rsid w:val="00C2351A"/>
    <w:rsid w:val="00C235FF"/>
    <w:rsid w:val="00C2369B"/>
    <w:rsid w:val="00C236B7"/>
    <w:rsid w:val="00C23744"/>
    <w:rsid w:val="00C23752"/>
    <w:rsid w:val="00C237C9"/>
    <w:rsid w:val="00C23884"/>
    <w:rsid w:val="00C2389B"/>
    <w:rsid w:val="00C238CB"/>
    <w:rsid w:val="00C23954"/>
    <w:rsid w:val="00C23A0B"/>
    <w:rsid w:val="00C23A13"/>
    <w:rsid w:val="00C23A40"/>
    <w:rsid w:val="00C23A51"/>
    <w:rsid w:val="00C23B25"/>
    <w:rsid w:val="00C23B44"/>
    <w:rsid w:val="00C23B47"/>
    <w:rsid w:val="00C23B7A"/>
    <w:rsid w:val="00C23BA5"/>
    <w:rsid w:val="00C23BAA"/>
    <w:rsid w:val="00C23C5F"/>
    <w:rsid w:val="00C23D29"/>
    <w:rsid w:val="00C23D67"/>
    <w:rsid w:val="00C23DFA"/>
    <w:rsid w:val="00C23E53"/>
    <w:rsid w:val="00C23F53"/>
    <w:rsid w:val="00C23FAD"/>
    <w:rsid w:val="00C23FB4"/>
    <w:rsid w:val="00C240FA"/>
    <w:rsid w:val="00C24121"/>
    <w:rsid w:val="00C241A6"/>
    <w:rsid w:val="00C2426B"/>
    <w:rsid w:val="00C2427D"/>
    <w:rsid w:val="00C24357"/>
    <w:rsid w:val="00C243A2"/>
    <w:rsid w:val="00C243C0"/>
    <w:rsid w:val="00C24404"/>
    <w:rsid w:val="00C2445C"/>
    <w:rsid w:val="00C2448A"/>
    <w:rsid w:val="00C24494"/>
    <w:rsid w:val="00C244BB"/>
    <w:rsid w:val="00C24505"/>
    <w:rsid w:val="00C24506"/>
    <w:rsid w:val="00C245CB"/>
    <w:rsid w:val="00C24613"/>
    <w:rsid w:val="00C246EF"/>
    <w:rsid w:val="00C24753"/>
    <w:rsid w:val="00C24754"/>
    <w:rsid w:val="00C247CF"/>
    <w:rsid w:val="00C2483D"/>
    <w:rsid w:val="00C24908"/>
    <w:rsid w:val="00C24928"/>
    <w:rsid w:val="00C249F0"/>
    <w:rsid w:val="00C24A30"/>
    <w:rsid w:val="00C24A6D"/>
    <w:rsid w:val="00C24ADB"/>
    <w:rsid w:val="00C24B13"/>
    <w:rsid w:val="00C24B3E"/>
    <w:rsid w:val="00C24B57"/>
    <w:rsid w:val="00C24BFA"/>
    <w:rsid w:val="00C24C50"/>
    <w:rsid w:val="00C24C52"/>
    <w:rsid w:val="00C24C91"/>
    <w:rsid w:val="00C24CEA"/>
    <w:rsid w:val="00C24DB2"/>
    <w:rsid w:val="00C24E67"/>
    <w:rsid w:val="00C24E6E"/>
    <w:rsid w:val="00C24EE1"/>
    <w:rsid w:val="00C24F6A"/>
    <w:rsid w:val="00C24FA0"/>
    <w:rsid w:val="00C24FE4"/>
    <w:rsid w:val="00C25097"/>
    <w:rsid w:val="00C250BE"/>
    <w:rsid w:val="00C250CF"/>
    <w:rsid w:val="00C250EC"/>
    <w:rsid w:val="00C250F6"/>
    <w:rsid w:val="00C25123"/>
    <w:rsid w:val="00C25151"/>
    <w:rsid w:val="00C25193"/>
    <w:rsid w:val="00C25221"/>
    <w:rsid w:val="00C25252"/>
    <w:rsid w:val="00C25286"/>
    <w:rsid w:val="00C2534E"/>
    <w:rsid w:val="00C2537B"/>
    <w:rsid w:val="00C25458"/>
    <w:rsid w:val="00C2552B"/>
    <w:rsid w:val="00C255B1"/>
    <w:rsid w:val="00C25608"/>
    <w:rsid w:val="00C2563F"/>
    <w:rsid w:val="00C2565C"/>
    <w:rsid w:val="00C25700"/>
    <w:rsid w:val="00C25820"/>
    <w:rsid w:val="00C25837"/>
    <w:rsid w:val="00C258C7"/>
    <w:rsid w:val="00C259D7"/>
    <w:rsid w:val="00C25B06"/>
    <w:rsid w:val="00C25B39"/>
    <w:rsid w:val="00C25B6D"/>
    <w:rsid w:val="00C25B6E"/>
    <w:rsid w:val="00C25B78"/>
    <w:rsid w:val="00C25BF7"/>
    <w:rsid w:val="00C25DAB"/>
    <w:rsid w:val="00C25DDB"/>
    <w:rsid w:val="00C25E7D"/>
    <w:rsid w:val="00C25EF3"/>
    <w:rsid w:val="00C25F11"/>
    <w:rsid w:val="00C25F37"/>
    <w:rsid w:val="00C25F3D"/>
    <w:rsid w:val="00C2601C"/>
    <w:rsid w:val="00C2601E"/>
    <w:rsid w:val="00C2604A"/>
    <w:rsid w:val="00C26091"/>
    <w:rsid w:val="00C260CD"/>
    <w:rsid w:val="00C261BD"/>
    <w:rsid w:val="00C2634E"/>
    <w:rsid w:val="00C2635C"/>
    <w:rsid w:val="00C263BE"/>
    <w:rsid w:val="00C2641C"/>
    <w:rsid w:val="00C2648A"/>
    <w:rsid w:val="00C264A9"/>
    <w:rsid w:val="00C264B3"/>
    <w:rsid w:val="00C265D3"/>
    <w:rsid w:val="00C26668"/>
    <w:rsid w:val="00C26670"/>
    <w:rsid w:val="00C266F6"/>
    <w:rsid w:val="00C266F7"/>
    <w:rsid w:val="00C26734"/>
    <w:rsid w:val="00C2673C"/>
    <w:rsid w:val="00C2677D"/>
    <w:rsid w:val="00C26795"/>
    <w:rsid w:val="00C2684F"/>
    <w:rsid w:val="00C26899"/>
    <w:rsid w:val="00C268B6"/>
    <w:rsid w:val="00C268C0"/>
    <w:rsid w:val="00C26958"/>
    <w:rsid w:val="00C26A69"/>
    <w:rsid w:val="00C26A7E"/>
    <w:rsid w:val="00C26AD2"/>
    <w:rsid w:val="00C26AE7"/>
    <w:rsid w:val="00C26AF0"/>
    <w:rsid w:val="00C26AF2"/>
    <w:rsid w:val="00C26C07"/>
    <w:rsid w:val="00C26C1C"/>
    <w:rsid w:val="00C26C49"/>
    <w:rsid w:val="00C26C61"/>
    <w:rsid w:val="00C26CC7"/>
    <w:rsid w:val="00C26EF2"/>
    <w:rsid w:val="00C26F84"/>
    <w:rsid w:val="00C26F9F"/>
    <w:rsid w:val="00C26FF3"/>
    <w:rsid w:val="00C27093"/>
    <w:rsid w:val="00C270F2"/>
    <w:rsid w:val="00C2714D"/>
    <w:rsid w:val="00C271AA"/>
    <w:rsid w:val="00C27322"/>
    <w:rsid w:val="00C273D2"/>
    <w:rsid w:val="00C274F4"/>
    <w:rsid w:val="00C27562"/>
    <w:rsid w:val="00C27577"/>
    <w:rsid w:val="00C27659"/>
    <w:rsid w:val="00C27682"/>
    <w:rsid w:val="00C276D2"/>
    <w:rsid w:val="00C2778A"/>
    <w:rsid w:val="00C277AD"/>
    <w:rsid w:val="00C277C9"/>
    <w:rsid w:val="00C277E7"/>
    <w:rsid w:val="00C2781D"/>
    <w:rsid w:val="00C27876"/>
    <w:rsid w:val="00C278A0"/>
    <w:rsid w:val="00C278D0"/>
    <w:rsid w:val="00C2795E"/>
    <w:rsid w:val="00C279A4"/>
    <w:rsid w:val="00C279DB"/>
    <w:rsid w:val="00C27A5B"/>
    <w:rsid w:val="00C27BAE"/>
    <w:rsid w:val="00C27C3A"/>
    <w:rsid w:val="00C27CBA"/>
    <w:rsid w:val="00C27DA1"/>
    <w:rsid w:val="00C27DC9"/>
    <w:rsid w:val="00C27DE6"/>
    <w:rsid w:val="00C27EAB"/>
    <w:rsid w:val="00C27F2B"/>
    <w:rsid w:val="00C27F94"/>
    <w:rsid w:val="00C27FB2"/>
    <w:rsid w:val="00C27FFD"/>
    <w:rsid w:val="00C30030"/>
    <w:rsid w:val="00C3010A"/>
    <w:rsid w:val="00C30182"/>
    <w:rsid w:val="00C301B4"/>
    <w:rsid w:val="00C301D5"/>
    <w:rsid w:val="00C301F3"/>
    <w:rsid w:val="00C301F7"/>
    <w:rsid w:val="00C30221"/>
    <w:rsid w:val="00C3023B"/>
    <w:rsid w:val="00C3025F"/>
    <w:rsid w:val="00C3028C"/>
    <w:rsid w:val="00C302BA"/>
    <w:rsid w:val="00C302EC"/>
    <w:rsid w:val="00C30365"/>
    <w:rsid w:val="00C303BF"/>
    <w:rsid w:val="00C303C9"/>
    <w:rsid w:val="00C30421"/>
    <w:rsid w:val="00C30471"/>
    <w:rsid w:val="00C304A6"/>
    <w:rsid w:val="00C304E4"/>
    <w:rsid w:val="00C305B3"/>
    <w:rsid w:val="00C305D3"/>
    <w:rsid w:val="00C30643"/>
    <w:rsid w:val="00C3074F"/>
    <w:rsid w:val="00C30792"/>
    <w:rsid w:val="00C307A5"/>
    <w:rsid w:val="00C30829"/>
    <w:rsid w:val="00C30846"/>
    <w:rsid w:val="00C30864"/>
    <w:rsid w:val="00C30883"/>
    <w:rsid w:val="00C3091D"/>
    <w:rsid w:val="00C3098F"/>
    <w:rsid w:val="00C309D7"/>
    <w:rsid w:val="00C309F0"/>
    <w:rsid w:val="00C30A4F"/>
    <w:rsid w:val="00C30C13"/>
    <w:rsid w:val="00C30C49"/>
    <w:rsid w:val="00C30D02"/>
    <w:rsid w:val="00C30DAF"/>
    <w:rsid w:val="00C30DD6"/>
    <w:rsid w:val="00C30F10"/>
    <w:rsid w:val="00C30F5D"/>
    <w:rsid w:val="00C30F63"/>
    <w:rsid w:val="00C30FCD"/>
    <w:rsid w:val="00C30FF9"/>
    <w:rsid w:val="00C3100E"/>
    <w:rsid w:val="00C31012"/>
    <w:rsid w:val="00C31020"/>
    <w:rsid w:val="00C31023"/>
    <w:rsid w:val="00C3104F"/>
    <w:rsid w:val="00C31069"/>
    <w:rsid w:val="00C31118"/>
    <w:rsid w:val="00C3113B"/>
    <w:rsid w:val="00C31164"/>
    <w:rsid w:val="00C3118C"/>
    <w:rsid w:val="00C3119B"/>
    <w:rsid w:val="00C3123D"/>
    <w:rsid w:val="00C3128E"/>
    <w:rsid w:val="00C312BD"/>
    <w:rsid w:val="00C313A2"/>
    <w:rsid w:val="00C313D5"/>
    <w:rsid w:val="00C31400"/>
    <w:rsid w:val="00C31436"/>
    <w:rsid w:val="00C31536"/>
    <w:rsid w:val="00C316BF"/>
    <w:rsid w:val="00C317FC"/>
    <w:rsid w:val="00C31816"/>
    <w:rsid w:val="00C318D2"/>
    <w:rsid w:val="00C318ED"/>
    <w:rsid w:val="00C31943"/>
    <w:rsid w:val="00C3198F"/>
    <w:rsid w:val="00C31A9E"/>
    <w:rsid w:val="00C31B58"/>
    <w:rsid w:val="00C31BD9"/>
    <w:rsid w:val="00C31BE8"/>
    <w:rsid w:val="00C31C29"/>
    <w:rsid w:val="00C31C98"/>
    <w:rsid w:val="00C31CD4"/>
    <w:rsid w:val="00C31CFA"/>
    <w:rsid w:val="00C31D4D"/>
    <w:rsid w:val="00C31E56"/>
    <w:rsid w:val="00C31EDF"/>
    <w:rsid w:val="00C31F58"/>
    <w:rsid w:val="00C31F64"/>
    <w:rsid w:val="00C31F72"/>
    <w:rsid w:val="00C31FA6"/>
    <w:rsid w:val="00C31FCD"/>
    <w:rsid w:val="00C31FD2"/>
    <w:rsid w:val="00C31FDD"/>
    <w:rsid w:val="00C31FEA"/>
    <w:rsid w:val="00C3200F"/>
    <w:rsid w:val="00C32041"/>
    <w:rsid w:val="00C32046"/>
    <w:rsid w:val="00C3210A"/>
    <w:rsid w:val="00C3214E"/>
    <w:rsid w:val="00C32178"/>
    <w:rsid w:val="00C321A5"/>
    <w:rsid w:val="00C321D2"/>
    <w:rsid w:val="00C32247"/>
    <w:rsid w:val="00C3227F"/>
    <w:rsid w:val="00C32294"/>
    <w:rsid w:val="00C322CD"/>
    <w:rsid w:val="00C3235C"/>
    <w:rsid w:val="00C32380"/>
    <w:rsid w:val="00C323A4"/>
    <w:rsid w:val="00C323E6"/>
    <w:rsid w:val="00C32511"/>
    <w:rsid w:val="00C32597"/>
    <w:rsid w:val="00C326C3"/>
    <w:rsid w:val="00C32843"/>
    <w:rsid w:val="00C32886"/>
    <w:rsid w:val="00C32917"/>
    <w:rsid w:val="00C32929"/>
    <w:rsid w:val="00C32940"/>
    <w:rsid w:val="00C32964"/>
    <w:rsid w:val="00C329EC"/>
    <w:rsid w:val="00C32A05"/>
    <w:rsid w:val="00C32A34"/>
    <w:rsid w:val="00C32C00"/>
    <w:rsid w:val="00C32C05"/>
    <w:rsid w:val="00C32D0D"/>
    <w:rsid w:val="00C32DFA"/>
    <w:rsid w:val="00C32F19"/>
    <w:rsid w:val="00C32F2C"/>
    <w:rsid w:val="00C32F3B"/>
    <w:rsid w:val="00C32FA8"/>
    <w:rsid w:val="00C3301D"/>
    <w:rsid w:val="00C33062"/>
    <w:rsid w:val="00C3308D"/>
    <w:rsid w:val="00C330F5"/>
    <w:rsid w:val="00C3317A"/>
    <w:rsid w:val="00C331C6"/>
    <w:rsid w:val="00C3322C"/>
    <w:rsid w:val="00C33238"/>
    <w:rsid w:val="00C3330E"/>
    <w:rsid w:val="00C333D7"/>
    <w:rsid w:val="00C33465"/>
    <w:rsid w:val="00C3349A"/>
    <w:rsid w:val="00C334B2"/>
    <w:rsid w:val="00C334C3"/>
    <w:rsid w:val="00C334F4"/>
    <w:rsid w:val="00C33522"/>
    <w:rsid w:val="00C33632"/>
    <w:rsid w:val="00C336AD"/>
    <w:rsid w:val="00C33729"/>
    <w:rsid w:val="00C337D7"/>
    <w:rsid w:val="00C33881"/>
    <w:rsid w:val="00C33919"/>
    <w:rsid w:val="00C3393D"/>
    <w:rsid w:val="00C33A0A"/>
    <w:rsid w:val="00C33A2A"/>
    <w:rsid w:val="00C33A2C"/>
    <w:rsid w:val="00C33A6B"/>
    <w:rsid w:val="00C33AD1"/>
    <w:rsid w:val="00C33ADA"/>
    <w:rsid w:val="00C33B04"/>
    <w:rsid w:val="00C33B2B"/>
    <w:rsid w:val="00C33B47"/>
    <w:rsid w:val="00C33BA6"/>
    <w:rsid w:val="00C33BB5"/>
    <w:rsid w:val="00C33C02"/>
    <w:rsid w:val="00C33C0A"/>
    <w:rsid w:val="00C33C0D"/>
    <w:rsid w:val="00C33C10"/>
    <w:rsid w:val="00C33C11"/>
    <w:rsid w:val="00C33C72"/>
    <w:rsid w:val="00C33C97"/>
    <w:rsid w:val="00C33D15"/>
    <w:rsid w:val="00C33D85"/>
    <w:rsid w:val="00C33D8D"/>
    <w:rsid w:val="00C33F1A"/>
    <w:rsid w:val="00C33F68"/>
    <w:rsid w:val="00C33FFF"/>
    <w:rsid w:val="00C34082"/>
    <w:rsid w:val="00C34155"/>
    <w:rsid w:val="00C3421A"/>
    <w:rsid w:val="00C34232"/>
    <w:rsid w:val="00C34236"/>
    <w:rsid w:val="00C34310"/>
    <w:rsid w:val="00C3434D"/>
    <w:rsid w:val="00C343BD"/>
    <w:rsid w:val="00C343E8"/>
    <w:rsid w:val="00C34428"/>
    <w:rsid w:val="00C344BF"/>
    <w:rsid w:val="00C3452B"/>
    <w:rsid w:val="00C345E9"/>
    <w:rsid w:val="00C34638"/>
    <w:rsid w:val="00C34672"/>
    <w:rsid w:val="00C34693"/>
    <w:rsid w:val="00C34694"/>
    <w:rsid w:val="00C34740"/>
    <w:rsid w:val="00C34803"/>
    <w:rsid w:val="00C34823"/>
    <w:rsid w:val="00C34844"/>
    <w:rsid w:val="00C34894"/>
    <w:rsid w:val="00C348D7"/>
    <w:rsid w:val="00C34981"/>
    <w:rsid w:val="00C34A60"/>
    <w:rsid w:val="00C34A64"/>
    <w:rsid w:val="00C34AA1"/>
    <w:rsid w:val="00C34AD0"/>
    <w:rsid w:val="00C34AEC"/>
    <w:rsid w:val="00C34B23"/>
    <w:rsid w:val="00C34B9B"/>
    <w:rsid w:val="00C34BE8"/>
    <w:rsid w:val="00C34C4C"/>
    <w:rsid w:val="00C34C8F"/>
    <w:rsid w:val="00C34CC5"/>
    <w:rsid w:val="00C34DA0"/>
    <w:rsid w:val="00C34DED"/>
    <w:rsid w:val="00C34E06"/>
    <w:rsid w:val="00C34E2B"/>
    <w:rsid w:val="00C34E4F"/>
    <w:rsid w:val="00C34F54"/>
    <w:rsid w:val="00C34FC9"/>
    <w:rsid w:val="00C3504D"/>
    <w:rsid w:val="00C351BB"/>
    <w:rsid w:val="00C351C1"/>
    <w:rsid w:val="00C351F6"/>
    <w:rsid w:val="00C352AB"/>
    <w:rsid w:val="00C352E9"/>
    <w:rsid w:val="00C352FF"/>
    <w:rsid w:val="00C3541E"/>
    <w:rsid w:val="00C354D8"/>
    <w:rsid w:val="00C355D1"/>
    <w:rsid w:val="00C355F1"/>
    <w:rsid w:val="00C3560C"/>
    <w:rsid w:val="00C35618"/>
    <w:rsid w:val="00C3568F"/>
    <w:rsid w:val="00C356CE"/>
    <w:rsid w:val="00C356EC"/>
    <w:rsid w:val="00C356FB"/>
    <w:rsid w:val="00C356FD"/>
    <w:rsid w:val="00C35716"/>
    <w:rsid w:val="00C3580D"/>
    <w:rsid w:val="00C3594B"/>
    <w:rsid w:val="00C35976"/>
    <w:rsid w:val="00C359EB"/>
    <w:rsid w:val="00C35AB6"/>
    <w:rsid w:val="00C35AE7"/>
    <w:rsid w:val="00C35AF5"/>
    <w:rsid w:val="00C35B94"/>
    <w:rsid w:val="00C35B9E"/>
    <w:rsid w:val="00C35C1A"/>
    <w:rsid w:val="00C35CED"/>
    <w:rsid w:val="00C35D05"/>
    <w:rsid w:val="00C35D52"/>
    <w:rsid w:val="00C35D92"/>
    <w:rsid w:val="00C35DB8"/>
    <w:rsid w:val="00C35E0C"/>
    <w:rsid w:val="00C35F5D"/>
    <w:rsid w:val="00C35F62"/>
    <w:rsid w:val="00C36008"/>
    <w:rsid w:val="00C3607D"/>
    <w:rsid w:val="00C3618B"/>
    <w:rsid w:val="00C363EF"/>
    <w:rsid w:val="00C3641F"/>
    <w:rsid w:val="00C3654C"/>
    <w:rsid w:val="00C3660C"/>
    <w:rsid w:val="00C3661E"/>
    <w:rsid w:val="00C366BF"/>
    <w:rsid w:val="00C366F9"/>
    <w:rsid w:val="00C367EE"/>
    <w:rsid w:val="00C368D6"/>
    <w:rsid w:val="00C368DE"/>
    <w:rsid w:val="00C3691A"/>
    <w:rsid w:val="00C36951"/>
    <w:rsid w:val="00C369B1"/>
    <w:rsid w:val="00C369D4"/>
    <w:rsid w:val="00C369E0"/>
    <w:rsid w:val="00C36A62"/>
    <w:rsid w:val="00C36AA7"/>
    <w:rsid w:val="00C36B0F"/>
    <w:rsid w:val="00C36B6F"/>
    <w:rsid w:val="00C36C09"/>
    <w:rsid w:val="00C36C91"/>
    <w:rsid w:val="00C36D13"/>
    <w:rsid w:val="00C36E21"/>
    <w:rsid w:val="00C36EAC"/>
    <w:rsid w:val="00C36EAD"/>
    <w:rsid w:val="00C36F99"/>
    <w:rsid w:val="00C37007"/>
    <w:rsid w:val="00C37032"/>
    <w:rsid w:val="00C3704F"/>
    <w:rsid w:val="00C3706C"/>
    <w:rsid w:val="00C37078"/>
    <w:rsid w:val="00C370AA"/>
    <w:rsid w:val="00C370D0"/>
    <w:rsid w:val="00C3723F"/>
    <w:rsid w:val="00C37253"/>
    <w:rsid w:val="00C37287"/>
    <w:rsid w:val="00C372CA"/>
    <w:rsid w:val="00C372D2"/>
    <w:rsid w:val="00C3733B"/>
    <w:rsid w:val="00C37352"/>
    <w:rsid w:val="00C37437"/>
    <w:rsid w:val="00C37639"/>
    <w:rsid w:val="00C3763F"/>
    <w:rsid w:val="00C3769D"/>
    <w:rsid w:val="00C376E1"/>
    <w:rsid w:val="00C37717"/>
    <w:rsid w:val="00C37719"/>
    <w:rsid w:val="00C377DC"/>
    <w:rsid w:val="00C37802"/>
    <w:rsid w:val="00C37825"/>
    <w:rsid w:val="00C3788F"/>
    <w:rsid w:val="00C378D7"/>
    <w:rsid w:val="00C37915"/>
    <w:rsid w:val="00C37930"/>
    <w:rsid w:val="00C37978"/>
    <w:rsid w:val="00C379E8"/>
    <w:rsid w:val="00C37A16"/>
    <w:rsid w:val="00C37BB6"/>
    <w:rsid w:val="00C37BC8"/>
    <w:rsid w:val="00C37BCA"/>
    <w:rsid w:val="00C37C4C"/>
    <w:rsid w:val="00C37CF0"/>
    <w:rsid w:val="00C37DAD"/>
    <w:rsid w:val="00C37E40"/>
    <w:rsid w:val="00C37E6B"/>
    <w:rsid w:val="00C37FF7"/>
    <w:rsid w:val="00C400EA"/>
    <w:rsid w:val="00C400F0"/>
    <w:rsid w:val="00C401AE"/>
    <w:rsid w:val="00C401EC"/>
    <w:rsid w:val="00C401F6"/>
    <w:rsid w:val="00C40205"/>
    <w:rsid w:val="00C402C8"/>
    <w:rsid w:val="00C40308"/>
    <w:rsid w:val="00C4034D"/>
    <w:rsid w:val="00C4035F"/>
    <w:rsid w:val="00C403A4"/>
    <w:rsid w:val="00C4041D"/>
    <w:rsid w:val="00C4043E"/>
    <w:rsid w:val="00C404B9"/>
    <w:rsid w:val="00C404E5"/>
    <w:rsid w:val="00C404EC"/>
    <w:rsid w:val="00C4051A"/>
    <w:rsid w:val="00C4055C"/>
    <w:rsid w:val="00C4065E"/>
    <w:rsid w:val="00C40695"/>
    <w:rsid w:val="00C4071A"/>
    <w:rsid w:val="00C40745"/>
    <w:rsid w:val="00C40778"/>
    <w:rsid w:val="00C40858"/>
    <w:rsid w:val="00C40950"/>
    <w:rsid w:val="00C40956"/>
    <w:rsid w:val="00C409C6"/>
    <w:rsid w:val="00C40A35"/>
    <w:rsid w:val="00C40A4C"/>
    <w:rsid w:val="00C40AC5"/>
    <w:rsid w:val="00C40B2A"/>
    <w:rsid w:val="00C40CBC"/>
    <w:rsid w:val="00C40DB6"/>
    <w:rsid w:val="00C40DD7"/>
    <w:rsid w:val="00C40DEC"/>
    <w:rsid w:val="00C40E91"/>
    <w:rsid w:val="00C40ECF"/>
    <w:rsid w:val="00C40EFB"/>
    <w:rsid w:val="00C40F77"/>
    <w:rsid w:val="00C40F99"/>
    <w:rsid w:val="00C4102F"/>
    <w:rsid w:val="00C41054"/>
    <w:rsid w:val="00C410C0"/>
    <w:rsid w:val="00C411CD"/>
    <w:rsid w:val="00C41205"/>
    <w:rsid w:val="00C41276"/>
    <w:rsid w:val="00C4127D"/>
    <w:rsid w:val="00C41288"/>
    <w:rsid w:val="00C412D6"/>
    <w:rsid w:val="00C413AC"/>
    <w:rsid w:val="00C4144D"/>
    <w:rsid w:val="00C414E2"/>
    <w:rsid w:val="00C41525"/>
    <w:rsid w:val="00C41526"/>
    <w:rsid w:val="00C41527"/>
    <w:rsid w:val="00C41550"/>
    <w:rsid w:val="00C415B1"/>
    <w:rsid w:val="00C41607"/>
    <w:rsid w:val="00C4165E"/>
    <w:rsid w:val="00C416B2"/>
    <w:rsid w:val="00C416B6"/>
    <w:rsid w:val="00C416F9"/>
    <w:rsid w:val="00C4171C"/>
    <w:rsid w:val="00C41724"/>
    <w:rsid w:val="00C4174E"/>
    <w:rsid w:val="00C417C4"/>
    <w:rsid w:val="00C417C6"/>
    <w:rsid w:val="00C41827"/>
    <w:rsid w:val="00C418BA"/>
    <w:rsid w:val="00C41909"/>
    <w:rsid w:val="00C41968"/>
    <w:rsid w:val="00C41A09"/>
    <w:rsid w:val="00C41AA9"/>
    <w:rsid w:val="00C41ADD"/>
    <w:rsid w:val="00C41B2D"/>
    <w:rsid w:val="00C41C08"/>
    <w:rsid w:val="00C41C2F"/>
    <w:rsid w:val="00C41C6C"/>
    <w:rsid w:val="00C41C74"/>
    <w:rsid w:val="00C41C8D"/>
    <w:rsid w:val="00C41D41"/>
    <w:rsid w:val="00C41D52"/>
    <w:rsid w:val="00C41DA7"/>
    <w:rsid w:val="00C41DC1"/>
    <w:rsid w:val="00C41E0D"/>
    <w:rsid w:val="00C41E32"/>
    <w:rsid w:val="00C41E34"/>
    <w:rsid w:val="00C41EA4"/>
    <w:rsid w:val="00C41EAD"/>
    <w:rsid w:val="00C41FB8"/>
    <w:rsid w:val="00C41FD2"/>
    <w:rsid w:val="00C41FDB"/>
    <w:rsid w:val="00C42006"/>
    <w:rsid w:val="00C4202B"/>
    <w:rsid w:val="00C4203B"/>
    <w:rsid w:val="00C42179"/>
    <w:rsid w:val="00C4218A"/>
    <w:rsid w:val="00C421AB"/>
    <w:rsid w:val="00C421B0"/>
    <w:rsid w:val="00C422A3"/>
    <w:rsid w:val="00C4238E"/>
    <w:rsid w:val="00C42464"/>
    <w:rsid w:val="00C4248E"/>
    <w:rsid w:val="00C424A5"/>
    <w:rsid w:val="00C4260D"/>
    <w:rsid w:val="00C4271C"/>
    <w:rsid w:val="00C42777"/>
    <w:rsid w:val="00C4278E"/>
    <w:rsid w:val="00C42819"/>
    <w:rsid w:val="00C428BD"/>
    <w:rsid w:val="00C428F4"/>
    <w:rsid w:val="00C429AA"/>
    <w:rsid w:val="00C429D3"/>
    <w:rsid w:val="00C429F5"/>
    <w:rsid w:val="00C42A3F"/>
    <w:rsid w:val="00C42AE9"/>
    <w:rsid w:val="00C42B29"/>
    <w:rsid w:val="00C42C45"/>
    <w:rsid w:val="00C42C8D"/>
    <w:rsid w:val="00C42C98"/>
    <w:rsid w:val="00C42CB9"/>
    <w:rsid w:val="00C42D55"/>
    <w:rsid w:val="00C42DEB"/>
    <w:rsid w:val="00C42FC7"/>
    <w:rsid w:val="00C430FD"/>
    <w:rsid w:val="00C4313F"/>
    <w:rsid w:val="00C432DA"/>
    <w:rsid w:val="00C43324"/>
    <w:rsid w:val="00C4334A"/>
    <w:rsid w:val="00C433C8"/>
    <w:rsid w:val="00C433F1"/>
    <w:rsid w:val="00C4347F"/>
    <w:rsid w:val="00C4349B"/>
    <w:rsid w:val="00C4349E"/>
    <w:rsid w:val="00C434C4"/>
    <w:rsid w:val="00C434E2"/>
    <w:rsid w:val="00C4350C"/>
    <w:rsid w:val="00C4350F"/>
    <w:rsid w:val="00C43720"/>
    <w:rsid w:val="00C437C3"/>
    <w:rsid w:val="00C4388B"/>
    <w:rsid w:val="00C438CE"/>
    <w:rsid w:val="00C438D2"/>
    <w:rsid w:val="00C43952"/>
    <w:rsid w:val="00C43960"/>
    <w:rsid w:val="00C4398A"/>
    <w:rsid w:val="00C43A17"/>
    <w:rsid w:val="00C43A70"/>
    <w:rsid w:val="00C43AFF"/>
    <w:rsid w:val="00C43BB2"/>
    <w:rsid w:val="00C43BB5"/>
    <w:rsid w:val="00C43BE0"/>
    <w:rsid w:val="00C43C6F"/>
    <w:rsid w:val="00C43D28"/>
    <w:rsid w:val="00C43DC1"/>
    <w:rsid w:val="00C43DFE"/>
    <w:rsid w:val="00C43EFF"/>
    <w:rsid w:val="00C43F43"/>
    <w:rsid w:val="00C43FDF"/>
    <w:rsid w:val="00C4406E"/>
    <w:rsid w:val="00C44086"/>
    <w:rsid w:val="00C440DC"/>
    <w:rsid w:val="00C44151"/>
    <w:rsid w:val="00C44185"/>
    <w:rsid w:val="00C4418C"/>
    <w:rsid w:val="00C4420D"/>
    <w:rsid w:val="00C44236"/>
    <w:rsid w:val="00C4424E"/>
    <w:rsid w:val="00C44322"/>
    <w:rsid w:val="00C44379"/>
    <w:rsid w:val="00C44398"/>
    <w:rsid w:val="00C443D2"/>
    <w:rsid w:val="00C443ED"/>
    <w:rsid w:val="00C444B6"/>
    <w:rsid w:val="00C4453D"/>
    <w:rsid w:val="00C445A3"/>
    <w:rsid w:val="00C445BC"/>
    <w:rsid w:val="00C44655"/>
    <w:rsid w:val="00C4466C"/>
    <w:rsid w:val="00C44678"/>
    <w:rsid w:val="00C446C7"/>
    <w:rsid w:val="00C44719"/>
    <w:rsid w:val="00C4475C"/>
    <w:rsid w:val="00C44803"/>
    <w:rsid w:val="00C44804"/>
    <w:rsid w:val="00C4481A"/>
    <w:rsid w:val="00C4485C"/>
    <w:rsid w:val="00C4486D"/>
    <w:rsid w:val="00C4494E"/>
    <w:rsid w:val="00C449CB"/>
    <w:rsid w:val="00C449F2"/>
    <w:rsid w:val="00C44A1D"/>
    <w:rsid w:val="00C44A2C"/>
    <w:rsid w:val="00C44A99"/>
    <w:rsid w:val="00C44AF7"/>
    <w:rsid w:val="00C44B4F"/>
    <w:rsid w:val="00C44B65"/>
    <w:rsid w:val="00C44BB6"/>
    <w:rsid w:val="00C44BC6"/>
    <w:rsid w:val="00C44C0A"/>
    <w:rsid w:val="00C44C75"/>
    <w:rsid w:val="00C44C98"/>
    <w:rsid w:val="00C44CB9"/>
    <w:rsid w:val="00C44DFD"/>
    <w:rsid w:val="00C44E17"/>
    <w:rsid w:val="00C44E8F"/>
    <w:rsid w:val="00C44EEA"/>
    <w:rsid w:val="00C44EEF"/>
    <w:rsid w:val="00C44F2F"/>
    <w:rsid w:val="00C44FB3"/>
    <w:rsid w:val="00C4500E"/>
    <w:rsid w:val="00C45024"/>
    <w:rsid w:val="00C4502B"/>
    <w:rsid w:val="00C45043"/>
    <w:rsid w:val="00C450A5"/>
    <w:rsid w:val="00C45104"/>
    <w:rsid w:val="00C45171"/>
    <w:rsid w:val="00C451A9"/>
    <w:rsid w:val="00C45298"/>
    <w:rsid w:val="00C4531E"/>
    <w:rsid w:val="00C45363"/>
    <w:rsid w:val="00C45368"/>
    <w:rsid w:val="00C453C3"/>
    <w:rsid w:val="00C454DE"/>
    <w:rsid w:val="00C455A9"/>
    <w:rsid w:val="00C45611"/>
    <w:rsid w:val="00C45655"/>
    <w:rsid w:val="00C456E7"/>
    <w:rsid w:val="00C45712"/>
    <w:rsid w:val="00C45721"/>
    <w:rsid w:val="00C45736"/>
    <w:rsid w:val="00C457AA"/>
    <w:rsid w:val="00C457B5"/>
    <w:rsid w:val="00C45801"/>
    <w:rsid w:val="00C4585A"/>
    <w:rsid w:val="00C4586D"/>
    <w:rsid w:val="00C458A8"/>
    <w:rsid w:val="00C4595C"/>
    <w:rsid w:val="00C45A2C"/>
    <w:rsid w:val="00C45AA7"/>
    <w:rsid w:val="00C45AFF"/>
    <w:rsid w:val="00C45B48"/>
    <w:rsid w:val="00C45B57"/>
    <w:rsid w:val="00C45BC2"/>
    <w:rsid w:val="00C45DBA"/>
    <w:rsid w:val="00C45DD8"/>
    <w:rsid w:val="00C45E63"/>
    <w:rsid w:val="00C45E8A"/>
    <w:rsid w:val="00C45EE8"/>
    <w:rsid w:val="00C45EF0"/>
    <w:rsid w:val="00C45F32"/>
    <w:rsid w:val="00C46032"/>
    <w:rsid w:val="00C4618A"/>
    <w:rsid w:val="00C4619C"/>
    <w:rsid w:val="00C461A8"/>
    <w:rsid w:val="00C462AF"/>
    <w:rsid w:val="00C463AB"/>
    <w:rsid w:val="00C46485"/>
    <w:rsid w:val="00C46510"/>
    <w:rsid w:val="00C46587"/>
    <w:rsid w:val="00C46674"/>
    <w:rsid w:val="00C466F1"/>
    <w:rsid w:val="00C46784"/>
    <w:rsid w:val="00C46791"/>
    <w:rsid w:val="00C467E1"/>
    <w:rsid w:val="00C468C7"/>
    <w:rsid w:val="00C469EB"/>
    <w:rsid w:val="00C46A05"/>
    <w:rsid w:val="00C46AF1"/>
    <w:rsid w:val="00C46B1E"/>
    <w:rsid w:val="00C46B61"/>
    <w:rsid w:val="00C46B9F"/>
    <w:rsid w:val="00C46BC8"/>
    <w:rsid w:val="00C46BEF"/>
    <w:rsid w:val="00C46C0C"/>
    <w:rsid w:val="00C46C3F"/>
    <w:rsid w:val="00C46C79"/>
    <w:rsid w:val="00C46C92"/>
    <w:rsid w:val="00C46CBA"/>
    <w:rsid w:val="00C46CD2"/>
    <w:rsid w:val="00C46CF0"/>
    <w:rsid w:val="00C46D2A"/>
    <w:rsid w:val="00C46EE0"/>
    <w:rsid w:val="00C46FAF"/>
    <w:rsid w:val="00C46FB0"/>
    <w:rsid w:val="00C4706D"/>
    <w:rsid w:val="00C470D0"/>
    <w:rsid w:val="00C470DB"/>
    <w:rsid w:val="00C4711E"/>
    <w:rsid w:val="00C4716B"/>
    <w:rsid w:val="00C4722C"/>
    <w:rsid w:val="00C4725E"/>
    <w:rsid w:val="00C473B0"/>
    <w:rsid w:val="00C47405"/>
    <w:rsid w:val="00C47406"/>
    <w:rsid w:val="00C47437"/>
    <w:rsid w:val="00C47450"/>
    <w:rsid w:val="00C474B6"/>
    <w:rsid w:val="00C4752E"/>
    <w:rsid w:val="00C475A9"/>
    <w:rsid w:val="00C4764A"/>
    <w:rsid w:val="00C4772B"/>
    <w:rsid w:val="00C477B2"/>
    <w:rsid w:val="00C4788D"/>
    <w:rsid w:val="00C478F1"/>
    <w:rsid w:val="00C47928"/>
    <w:rsid w:val="00C4798B"/>
    <w:rsid w:val="00C479FE"/>
    <w:rsid w:val="00C47A3C"/>
    <w:rsid w:val="00C47AA7"/>
    <w:rsid w:val="00C47B9B"/>
    <w:rsid w:val="00C47BEA"/>
    <w:rsid w:val="00C47BFE"/>
    <w:rsid w:val="00C47C0F"/>
    <w:rsid w:val="00C47C6A"/>
    <w:rsid w:val="00C47CBA"/>
    <w:rsid w:val="00C47CCD"/>
    <w:rsid w:val="00C47CDA"/>
    <w:rsid w:val="00C47D4D"/>
    <w:rsid w:val="00C47DEE"/>
    <w:rsid w:val="00C47E54"/>
    <w:rsid w:val="00C47E6F"/>
    <w:rsid w:val="00C47F49"/>
    <w:rsid w:val="00C47FC6"/>
    <w:rsid w:val="00C47FF4"/>
    <w:rsid w:val="00C5003C"/>
    <w:rsid w:val="00C50099"/>
    <w:rsid w:val="00C500CE"/>
    <w:rsid w:val="00C5018D"/>
    <w:rsid w:val="00C501BB"/>
    <w:rsid w:val="00C5022D"/>
    <w:rsid w:val="00C50251"/>
    <w:rsid w:val="00C502F1"/>
    <w:rsid w:val="00C50300"/>
    <w:rsid w:val="00C5031F"/>
    <w:rsid w:val="00C50326"/>
    <w:rsid w:val="00C503C2"/>
    <w:rsid w:val="00C503C7"/>
    <w:rsid w:val="00C503E0"/>
    <w:rsid w:val="00C503EA"/>
    <w:rsid w:val="00C5043D"/>
    <w:rsid w:val="00C5046F"/>
    <w:rsid w:val="00C504DC"/>
    <w:rsid w:val="00C50509"/>
    <w:rsid w:val="00C50531"/>
    <w:rsid w:val="00C50567"/>
    <w:rsid w:val="00C50580"/>
    <w:rsid w:val="00C50581"/>
    <w:rsid w:val="00C505B4"/>
    <w:rsid w:val="00C505CA"/>
    <w:rsid w:val="00C50645"/>
    <w:rsid w:val="00C50663"/>
    <w:rsid w:val="00C506C5"/>
    <w:rsid w:val="00C50711"/>
    <w:rsid w:val="00C50752"/>
    <w:rsid w:val="00C5076C"/>
    <w:rsid w:val="00C509B1"/>
    <w:rsid w:val="00C50A39"/>
    <w:rsid w:val="00C50A40"/>
    <w:rsid w:val="00C50A53"/>
    <w:rsid w:val="00C50A6F"/>
    <w:rsid w:val="00C50A7D"/>
    <w:rsid w:val="00C50A99"/>
    <w:rsid w:val="00C50AFD"/>
    <w:rsid w:val="00C50BC9"/>
    <w:rsid w:val="00C50C17"/>
    <w:rsid w:val="00C50C3F"/>
    <w:rsid w:val="00C50D2F"/>
    <w:rsid w:val="00C50D4D"/>
    <w:rsid w:val="00C50D63"/>
    <w:rsid w:val="00C50D73"/>
    <w:rsid w:val="00C50DAA"/>
    <w:rsid w:val="00C50DB1"/>
    <w:rsid w:val="00C50E4A"/>
    <w:rsid w:val="00C50EB0"/>
    <w:rsid w:val="00C50F42"/>
    <w:rsid w:val="00C51017"/>
    <w:rsid w:val="00C510DC"/>
    <w:rsid w:val="00C51101"/>
    <w:rsid w:val="00C5112C"/>
    <w:rsid w:val="00C51162"/>
    <w:rsid w:val="00C51172"/>
    <w:rsid w:val="00C5117A"/>
    <w:rsid w:val="00C512B3"/>
    <w:rsid w:val="00C51363"/>
    <w:rsid w:val="00C51368"/>
    <w:rsid w:val="00C513F4"/>
    <w:rsid w:val="00C51480"/>
    <w:rsid w:val="00C514BD"/>
    <w:rsid w:val="00C514DB"/>
    <w:rsid w:val="00C51509"/>
    <w:rsid w:val="00C51520"/>
    <w:rsid w:val="00C5153C"/>
    <w:rsid w:val="00C51546"/>
    <w:rsid w:val="00C5157E"/>
    <w:rsid w:val="00C51584"/>
    <w:rsid w:val="00C5160B"/>
    <w:rsid w:val="00C51694"/>
    <w:rsid w:val="00C516FF"/>
    <w:rsid w:val="00C51711"/>
    <w:rsid w:val="00C5174F"/>
    <w:rsid w:val="00C5179E"/>
    <w:rsid w:val="00C517B8"/>
    <w:rsid w:val="00C51905"/>
    <w:rsid w:val="00C51982"/>
    <w:rsid w:val="00C51996"/>
    <w:rsid w:val="00C519B2"/>
    <w:rsid w:val="00C51A1C"/>
    <w:rsid w:val="00C51A7E"/>
    <w:rsid w:val="00C51AA8"/>
    <w:rsid w:val="00C51B0B"/>
    <w:rsid w:val="00C51B0D"/>
    <w:rsid w:val="00C51B17"/>
    <w:rsid w:val="00C51B45"/>
    <w:rsid w:val="00C51B4E"/>
    <w:rsid w:val="00C51B57"/>
    <w:rsid w:val="00C51C55"/>
    <w:rsid w:val="00C51C77"/>
    <w:rsid w:val="00C51D44"/>
    <w:rsid w:val="00C51DDB"/>
    <w:rsid w:val="00C51DED"/>
    <w:rsid w:val="00C51E27"/>
    <w:rsid w:val="00C51E2A"/>
    <w:rsid w:val="00C51EFE"/>
    <w:rsid w:val="00C51F7B"/>
    <w:rsid w:val="00C5204B"/>
    <w:rsid w:val="00C5206A"/>
    <w:rsid w:val="00C52110"/>
    <w:rsid w:val="00C52147"/>
    <w:rsid w:val="00C521F0"/>
    <w:rsid w:val="00C52256"/>
    <w:rsid w:val="00C52264"/>
    <w:rsid w:val="00C5234E"/>
    <w:rsid w:val="00C523B7"/>
    <w:rsid w:val="00C5241B"/>
    <w:rsid w:val="00C5243F"/>
    <w:rsid w:val="00C52446"/>
    <w:rsid w:val="00C52476"/>
    <w:rsid w:val="00C524A0"/>
    <w:rsid w:val="00C524C4"/>
    <w:rsid w:val="00C524D6"/>
    <w:rsid w:val="00C52514"/>
    <w:rsid w:val="00C5251D"/>
    <w:rsid w:val="00C52671"/>
    <w:rsid w:val="00C52678"/>
    <w:rsid w:val="00C526C9"/>
    <w:rsid w:val="00C526D1"/>
    <w:rsid w:val="00C5273A"/>
    <w:rsid w:val="00C5279F"/>
    <w:rsid w:val="00C52807"/>
    <w:rsid w:val="00C52826"/>
    <w:rsid w:val="00C5285F"/>
    <w:rsid w:val="00C52924"/>
    <w:rsid w:val="00C5296B"/>
    <w:rsid w:val="00C52A8B"/>
    <w:rsid w:val="00C52B9D"/>
    <w:rsid w:val="00C52BCD"/>
    <w:rsid w:val="00C52BD9"/>
    <w:rsid w:val="00C52C75"/>
    <w:rsid w:val="00C52CAA"/>
    <w:rsid w:val="00C52CD0"/>
    <w:rsid w:val="00C52CE8"/>
    <w:rsid w:val="00C52D08"/>
    <w:rsid w:val="00C52D12"/>
    <w:rsid w:val="00C52D1F"/>
    <w:rsid w:val="00C52D2D"/>
    <w:rsid w:val="00C52D8D"/>
    <w:rsid w:val="00C52E0A"/>
    <w:rsid w:val="00C52E38"/>
    <w:rsid w:val="00C52E4C"/>
    <w:rsid w:val="00C52EC4"/>
    <w:rsid w:val="00C52EE9"/>
    <w:rsid w:val="00C52FDC"/>
    <w:rsid w:val="00C5302A"/>
    <w:rsid w:val="00C53107"/>
    <w:rsid w:val="00C531AF"/>
    <w:rsid w:val="00C531F1"/>
    <w:rsid w:val="00C53265"/>
    <w:rsid w:val="00C5329F"/>
    <w:rsid w:val="00C532F5"/>
    <w:rsid w:val="00C53337"/>
    <w:rsid w:val="00C5336B"/>
    <w:rsid w:val="00C5339C"/>
    <w:rsid w:val="00C533A5"/>
    <w:rsid w:val="00C533BF"/>
    <w:rsid w:val="00C533EE"/>
    <w:rsid w:val="00C5340A"/>
    <w:rsid w:val="00C53502"/>
    <w:rsid w:val="00C5353C"/>
    <w:rsid w:val="00C5354C"/>
    <w:rsid w:val="00C5362A"/>
    <w:rsid w:val="00C53650"/>
    <w:rsid w:val="00C537AD"/>
    <w:rsid w:val="00C53997"/>
    <w:rsid w:val="00C53A30"/>
    <w:rsid w:val="00C53A7A"/>
    <w:rsid w:val="00C53A81"/>
    <w:rsid w:val="00C53AAE"/>
    <w:rsid w:val="00C53C27"/>
    <w:rsid w:val="00C53C48"/>
    <w:rsid w:val="00C53C58"/>
    <w:rsid w:val="00C53D42"/>
    <w:rsid w:val="00C53D8E"/>
    <w:rsid w:val="00C53DFF"/>
    <w:rsid w:val="00C53E0D"/>
    <w:rsid w:val="00C53E33"/>
    <w:rsid w:val="00C53F6E"/>
    <w:rsid w:val="00C53FF2"/>
    <w:rsid w:val="00C540A4"/>
    <w:rsid w:val="00C540ED"/>
    <w:rsid w:val="00C541FC"/>
    <w:rsid w:val="00C54231"/>
    <w:rsid w:val="00C54292"/>
    <w:rsid w:val="00C54397"/>
    <w:rsid w:val="00C544AC"/>
    <w:rsid w:val="00C544AD"/>
    <w:rsid w:val="00C544D9"/>
    <w:rsid w:val="00C54579"/>
    <w:rsid w:val="00C545C5"/>
    <w:rsid w:val="00C546CC"/>
    <w:rsid w:val="00C54713"/>
    <w:rsid w:val="00C54774"/>
    <w:rsid w:val="00C5477E"/>
    <w:rsid w:val="00C54796"/>
    <w:rsid w:val="00C547D2"/>
    <w:rsid w:val="00C547E0"/>
    <w:rsid w:val="00C54818"/>
    <w:rsid w:val="00C5489D"/>
    <w:rsid w:val="00C548BB"/>
    <w:rsid w:val="00C548C6"/>
    <w:rsid w:val="00C54925"/>
    <w:rsid w:val="00C5493D"/>
    <w:rsid w:val="00C5495C"/>
    <w:rsid w:val="00C5496A"/>
    <w:rsid w:val="00C5497B"/>
    <w:rsid w:val="00C549AE"/>
    <w:rsid w:val="00C549DF"/>
    <w:rsid w:val="00C54A01"/>
    <w:rsid w:val="00C54A25"/>
    <w:rsid w:val="00C54AF6"/>
    <w:rsid w:val="00C54B33"/>
    <w:rsid w:val="00C54BFB"/>
    <w:rsid w:val="00C54D1A"/>
    <w:rsid w:val="00C54D48"/>
    <w:rsid w:val="00C54D7B"/>
    <w:rsid w:val="00C54D92"/>
    <w:rsid w:val="00C54DF9"/>
    <w:rsid w:val="00C54E23"/>
    <w:rsid w:val="00C54E4B"/>
    <w:rsid w:val="00C54EC8"/>
    <w:rsid w:val="00C54ED3"/>
    <w:rsid w:val="00C54F13"/>
    <w:rsid w:val="00C54F40"/>
    <w:rsid w:val="00C54F41"/>
    <w:rsid w:val="00C54F99"/>
    <w:rsid w:val="00C54F9E"/>
    <w:rsid w:val="00C54FFD"/>
    <w:rsid w:val="00C55052"/>
    <w:rsid w:val="00C55072"/>
    <w:rsid w:val="00C550A6"/>
    <w:rsid w:val="00C550B6"/>
    <w:rsid w:val="00C550D7"/>
    <w:rsid w:val="00C5514E"/>
    <w:rsid w:val="00C55203"/>
    <w:rsid w:val="00C55241"/>
    <w:rsid w:val="00C552CB"/>
    <w:rsid w:val="00C55303"/>
    <w:rsid w:val="00C553A0"/>
    <w:rsid w:val="00C554EF"/>
    <w:rsid w:val="00C55617"/>
    <w:rsid w:val="00C55650"/>
    <w:rsid w:val="00C5565C"/>
    <w:rsid w:val="00C556D6"/>
    <w:rsid w:val="00C55711"/>
    <w:rsid w:val="00C55745"/>
    <w:rsid w:val="00C5578E"/>
    <w:rsid w:val="00C557B7"/>
    <w:rsid w:val="00C558CE"/>
    <w:rsid w:val="00C55AAA"/>
    <w:rsid w:val="00C55AB6"/>
    <w:rsid w:val="00C55AC2"/>
    <w:rsid w:val="00C55ACE"/>
    <w:rsid w:val="00C55B6B"/>
    <w:rsid w:val="00C55B70"/>
    <w:rsid w:val="00C55BAB"/>
    <w:rsid w:val="00C55C54"/>
    <w:rsid w:val="00C55CE1"/>
    <w:rsid w:val="00C55CEB"/>
    <w:rsid w:val="00C55EF9"/>
    <w:rsid w:val="00C55F34"/>
    <w:rsid w:val="00C55FBF"/>
    <w:rsid w:val="00C5602C"/>
    <w:rsid w:val="00C56147"/>
    <w:rsid w:val="00C56164"/>
    <w:rsid w:val="00C561E2"/>
    <w:rsid w:val="00C562B8"/>
    <w:rsid w:val="00C563AF"/>
    <w:rsid w:val="00C5647B"/>
    <w:rsid w:val="00C5654F"/>
    <w:rsid w:val="00C5660D"/>
    <w:rsid w:val="00C56789"/>
    <w:rsid w:val="00C567B7"/>
    <w:rsid w:val="00C567BF"/>
    <w:rsid w:val="00C56859"/>
    <w:rsid w:val="00C568B0"/>
    <w:rsid w:val="00C568D5"/>
    <w:rsid w:val="00C568F3"/>
    <w:rsid w:val="00C5690C"/>
    <w:rsid w:val="00C56B07"/>
    <w:rsid w:val="00C56B79"/>
    <w:rsid w:val="00C56C1D"/>
    <w:rsid w:val="00C56C4D"/>
    <w:rsid w:val="00C56C67"/>
    <w:rsid w:val="00C56CEF"/>
    <w:rsid w:val="00C56D57"/>
    <w:rsid w:val="00C56D6B"/>
    <w:rsid w:val="00C56D9A"/>
    <w:rsid w:val="00C56E0A"/>
    <w:rsid w:val="00C56E56"/>
    <w:rsid w:val="00C56ED0"/>
    <w:rsid w:val="00C56EF8"/>
    <w:rsid w:val="00C56F23"/>
    <w:rsid w:val="00C56F5A"/>
    <w:rsid w:val="00C56FCB"/>
    <w:rsid w:val="00C5700D"/>
    <w:rsid w:val="00C570D7"/>
    <w:rsid w:val="00C5714B"/>
    <w:rsid w:val="00C57161"/>
    <w:rsid w:val="00C571A7"/>
    <w:rsid w:val="00C57205"/>
    <w:rsid w:val="00C57226"/>
    <w:rsid w:val="00C57292"/>
    <w:rsid w:val="00C5732A"/>
    <w:rsid w:val="00C57334"/>
    <w:rsid w:val="00C5738A"/>
    <w:rsid w:val="00C574C2"/>
    <w:rsid w:val="00C574C3"/>
    <w:rsid w:val="00C57564"/>
    <w:rsid w:val="00C575A4"/>
    <w:rsid w:val="00C575DD"/>
    <w:rsid w:val="00C5760E"/>
    <w:rsid w:val="00C57626"/>
    <w:rsid w:val="00C576C2"/>
    <w:rsid w:val="00C576EB"/>
    <w:rsid w:val="00C5771C"/>
    <w:rsid w:val="00C577EE"/>
    <w:rsid w:val="00C57801"/>
    <w:rsid w:val="00C57804"/>
    <w:rsid w:val="00C5782E"/>
    <w:rsid w:val="00C57849"/>
    <w:rsid w:val="00C57873"/>
    <w:rsid w:val="00C57964"/>
    <w:rsid w:val="00C5796F"/>
    <w:rsid w:val="00C57994"/>
    <w:rsid w:val="00C579E1"/>
    <w:rsid w:val="00C579E4"/>
    <w:rsid w:val="00C57A16"/>
    <w:rsid w:val="00C57A9C"/>
    <w:rsid w:val="00C57B1C"/>
    <w:rsid w:val="00C57B65"/>
    <w:rsid w:val="00C57BF8"/>
    <w:rsid w:val="00C57D1E"/>
    <w:rsid w:val="00C57D23"/>
    <w:rsid w:val="00C57D80"/>
    <w:rsid w:val="00C57DBC"/>
    <w:rsid w:val="00C57DDD"/>
    <w:rsid w:val="00C57E75"/>
    <w:rsid w:val="00C57E91"/>
    <w:rsid w:val="00C57EE5"/>
    <w:rsid w:val="00C57F6B"/>
    <w:rsid w:val="00C57F95"/>
    <w:rsid w:val="00C60057"/>
    <w:rsid w:val="00C601A3"/>
    <w:rsid w:val="00C6021E"/>
    <w:rsid w:val="00C60456"/>
    <w:rsid w:val="00C60541"/>
    <w:rsid w:val="00C60560"/>
    <w:rsid w:val="00C60567"/>
    <w:rsid w:val="00C605A1"/>
    <w:rsid w:val="00C60664"/>
    <w:rsid w:val="00C606CA"/>
    <w:rsid w:val="00C606E0"/>
    <w:rsid w:val="00C6073D"/>
    <w:rsid w:val="00C6081B"/>
    <w:rsid w:val="00C608AD"/>
    <w:rsid w:val="00C608B0"/>
    <w:rsid w:val="00C6090E"/>
    <w:rsid w:val="00C6094B"/>
    <w:rsid w:val="00C609BA"/>
    <w:rsid w:val="00C60B04"/>
    <w:rsid w:val="00C60B97"/>
    <w:rsid w:val="00C60BAB"/>
    <w:rsid w:val="00C60BE4"/>
    <w:rsid w:val="00C60C56"/>
    <w:rsid w:val="00C60C71"/>
    <w:rsid w:val="00C60C89"/>
    <w:rsid w:val="00C60DC5"/>
    <w:rsid w:val="00C60DDA"/>
    <w:rsid w:val="00C60DDE"/>
    <w:rsid w:val="00C60E19"/>
    <w:rsid w:val="00C60EBE"/>
    <w:rsid w:val="00C60EFC"/>
    <w:rsid w:val="00C60F32"/>
    <w:rsid w:val="00C60F96"/>
    <w:rsid w:val="00C61009"/>
    <w:rsid w:val="00C61027"/>
    <w:rsid w:val="00C610FC"/>
    <w:rsid w:val="00C6110E"/>
    <w:rsid w:val="00C6119F"/>
    <w:rsid w:val="00C611C8"/>
    <w:rsid w:val="00C611DB"/>
    <w:rsid w:val="00C611FA"/>
    <w:rsid w:val="00C6127E"/>
    <w:rsid w:val="00C613FB"/>
    <w:rsid w:val="00C6140E"/>
    <w:rsid w:val="00C61448"/>
    <w:rsid w:val="00C6156C"/>
    <w:rsid w:val="00C6157F"/>
    <w:rsid w:val="00C615BC"/>
    <w:rsid w:val="00C6160C"/>
    <w:rsid w:val="00C61628"/>
    <w:rsid w:val="00C61653"/>
    <w:rsid w:val="00C61668"/>
    <w:rsid w:val="00C61755"/>
    <w:rsid w:val="00C618F5"/>
    <w:rsid w:val="00C61959"/>
    <w:rsid w:val="00C61972"/>
    <w:rsid w:val="00C61994"/>
    <w:rsid w:val="00C61A01"/>
    <w:rsid w:val="00C61AFC"/>
    <w:rsid w:val="00C61B1F"/>
    <w:rsid w:val="00C61B6E"/>
    <w:rsid w:val="00C61BDF"/>
    <w:rsid w:val="00C61C97"/>
    <w:rsid w:val="00C61CAC"/>
    <w:rsid w:val="00C61CE7"/>
    <w:rsid w:val="00C61E4C"/>
    <w:rsid w:val="00C61EEE"/>
    <w:rsid w:val="00C61F01"/>
    <w:rsid w:val="00C61F0D"/>
    <w:rsid w:val="00C62033"/>
    <w:rsid w:val="00C6205F"/>
    <w:rsid w:val="00C62096"/>
    <w:rsid w:val="00C620DF"/>
    <w:rsid w:val="00C620E3"/>
    <w:rsid w:val="00C6211C"/>
    <w:rsid w:val="00C62151"/>
    <w:rsid w:val="00C621A0"/>
    <w:rsid w:val="00C6228E"/>
    <w:rsid w:val="00C62320"/>
    <w:rsid w:val="00C62346"/>
    <w:rsid w:val="00C62347"/>
    <w:rsid w:val="00C6236C"/>
    <w:rsid w:val="00C623AC"/>
    <w:rsid w:val="00C62422"/>
    <w:rsid w:val="00C624B8"/>
    <w:rsid w:val="00C62567"/>
    <w:rsid w:val="00C625E7"/>
    <w:rsid w:val="00C626CD"/>
    <w:rsid w:val="00C62708"/>
    <w:rsid w:val="00C62738"/>
    <w:rsid w:val="00C62742"/>
    <w:rsid w:val="00C6274C"/>
    <w:rsid w:val="00C62772"/>
    <w:rsid w:val="00C62792"/>
    <w:rsid w:val="00C6279D"/>
    <w:rsid w:val="00C627B9"/>
    <w:rsid w:val="00C62808"/>
    <w:rsid w:val="00C62967"/>
    <w:rsid w:val="00C629BB"/>
    <w:rsid w:val="00C62A2C"/>
    <w:rsid w:val="00C62A43"/>
    <w:rsid w:val="00C62A46"/>
    <w:rsid w:val="00C62B94"/>
    <w:rsid w:val="00C62BDC"/>
    <w:rsid w:val="00C62C67"/>
    <w:rsid w:val="00C62CA4"/>
    <w:rsid w:val="00C62CAB"/>
    <w:rsid w:val="00C62CB2"/>
    <w:rsid w:val="00C62D10"/>
    <w:rsid w:val="00C62D6C"/>
    <w:rsid w:val="00C62DB5"/>
    <w:rsid w:val="00C62DD7"/>
    <w:rsid w:val="00C62DF4"/>
    <w:rsid w:val="00C62E5B"/>
    <w:rsid w:val="00C62E80"/>
    <w:rsid w:val="00C62EBA"/>
    <w:rsid w:val="00C62FE2"/>
    <w:rsid w:val="00C6310F"/>
    <w:rsid w:val="00C63127"/>
    <w:rsid w:val="00C63200"/>
    <w:rsid w:val="00C632B6"/>
    <w:rsid w:val="00C63313"/>
    <w:rsid w:val="00C6337D"/>
    <w:rsid w:val="00C6339F"/>
    <w:rsid w:val="00C633B1"/>
    <w:rsid w:val="00C633B6"/>
    <w:rsid w:val="00C633FC"/>
    <w:rsid w:val="00C63419"/>
    <w:rsid w:val="00C6347C"/>
    <w:rsid w:val="00C63496"/>
    <w:rsid w:val="00C634BF"/>
    <w:rsid w:val="00C634EF"/>
    <w:rsid w:val="00C634FE"/>
    <w:rsid w:val="00C6350A"/>
    <w:rsid w:val="00C635D2"/>
    <w:rsid w:val="00C63643"/>
    <w:rsid w:val="00C637AC"/>
    <w:rsid w:val="00C637BC"/>
    <w:rsid w:val="00C637CB"/>
    <w:rsid w:val="00C63858"/>
    <w:rsid w:val="00C6394E"/>
    <w:rsid w:val="00C63979"/>
    <w:rsid w:val="00C63997"/>
    <w:rsid w:val="00C639B5"/>
    <w:rsid w:val="00C63A8E"/>
    <w:rsid w:val="00C63AC2"/>
    <w:rsid w:val="00C63B1E"/>
    <w:rsid w:val="00C63B76"/>
    <w:rsid w:val="00C63B90"/>
    <w:rsid w:val="00C63BC5"/>
    <w:rsid w:val="00C63C47"/>
    <w:rsid w:val="00C63CB0"/>
    <w:rsid w:val="00C63CF3"/>
    <w:rsid w:val="00C63D4D"/>
    <w:rsid w:val="00C63DC4"/>
    <w:rsid w:val="00C63EAC"/>
    <w:rsid w:val="00C63F96"/>
    <w:rsid w:val="00C63FAC"/>
    <w:rsid w:val="00C63FC5"/>
    <w:rsid w:val="00C63FC6"/>
    <w:rsid w:val="00C64084"/>
    <w:rsid w:val="00C640A5"/>
    <w:rsid w:val="00C640AF"/>
    <w:rsid w:val="00C640D6"/>
    <w:rsid w:val="00C64128"/>
    <w:rsid w:val="00C641B3"/>
    <w:rsid w:val="00C641BF"/>
    <w:rsid w:val="00C642EE"/>
    <w:rsid w:val="00C64302"/>
    <w:rsid w:val="00C64306"/>
    <w:rsid w:val="00C643C4"/>
    <w:rsid w:val="00C64444"/>
    <w:rsid w:val="00C64482"/>
    <w:rsid w:val="00C645C5"/>
    <w:rsid w:val="00C64650"/>
    <w:rsid w:val="00C6465C"/>
    <w:rsid w:val="00C646FB"/>
    <w:rsid w:val="00C6478A"/>
    <w:rsid w:val="00C647D8"/>
    <w:rsid w:val="00C64828"/>
    <w:rsid w:val="00C64909"/>
    <w:rsid w:val="00C6491A"/>
    <w:rsid w:val="00C6494D"/>
    <w:rsid w:val="00C64951"/>
    <w:rsid w:val="00C6497D"/>
    <w:rsid w:val="00C6499A"/>
    <w:rsid w:val="00C64A81"/>
    <w:rsid w:val="00C64ADA"/>
    <w:rsid w:val="00C64B85"/>
    <w:rsid w:val="00C64B94"/>
    <w:rsid w:val="00C64CCE"/>
    <w:rsid w:val="00C64D5E"/>
    <w:rsid w:val="00C64DE1"/>
    <w:rsid w:val="00C64E03"/>
    <w:rsid w:val="00C64E0A"/>
    <w:rsid w:val="00C64E43"/>
    <w:rsid w:val="00C64E92"/>
    <w:rsid w:val="00C64EFC"/>
    <w:rsid w:val="00C64F27"/>
    <w:rsid w:val="00C64FC0"/>
    <w:rsid w:val="00C64FEE"/>
    <w:rsid w:val="00C6503B"/>
    <w:rsid w:val="00C6503F"/>
    <w:rsid w:val="00C65098"/>
    <w:rsid w:val="00C65186"/>
    <w:rsid w:val="00C651A5"/>
    <w:rsid w:val="00C651A8"/>
    <w:rsid w:val="00C65209"/>
    <w:rsid w:val="00C6525C"/>
    <w:rsid w:val="00C65323"/>
    <w:rsid w:val="00C654EA"/>
    <w:rsid w:val="00C6556C"/>
    <w:rsid w:val="00C655F6"/>
    <w:rsid w:val="00C6575C"/>
    <w:rsid w:val="00C657BA"/>
    <w:rsid w:val="00C657BD"/>
    <w:rsid w:val="00C6585A"/>
    <w:rsid w:val="00C658FE"/>
    <w:rsid w:val="00C65A0D"/>
    <w:rsid w:val="00C65A21"/>
    <w:rsid w:val="00C65A2F"/>
    <w:rsid w:val="00C65AA0"/>
    <w:rsid w:val="00C65BE9"/>
    <w:rsid w:val="00C65C9B"/>
    <w:rsid w:val="00C65CD2"/>
    <w:rsid w:val="00C65CE2"/>
    <w:rsid w:val="00C65D02"/>
    <w:rsid w:val="00C65D1A"/>
    <w:rsid w:val="00C65DBA"/>
    <w:rsid w:val="00C65DDD"/>
    <w:rsid w:val="00C65E9D"/>
    <w:rsid w:val="00C65EE4"/>
    <w:rsid w:val="00C65F56"/>
    <w:rsid w:val="00C66001"/>
    <w:rsid w:val="00C66033"/>
    <w:rsid w:val="00C661EF"/>
    <w:rsid w:val="00C66244"/>
    <w:rsid w:val="00C66283"/>
    <w:rsid w:val="00C6636D"/>
    <w:rsid w:val="00C663A3"/>
    <w:rsid w:val="00C663F7"/>
    <w:rsid w:val="00C663FA"/>
    <w:rsid w:val="00C664FF"/>
    <w:rsid w:val="00C66505"/>
    <w:rsid w:val="00C66563"/>
    <w:rsid w:val="00C66616"/>
    <w:rsid w:val="00C6663A"/>
    <w:rsid w:val="00C66667"/>
    <w:rsid w:val="00C66671"/>
    <w:rsid w:val="00C666A9"/>
    <w:rsid w:val="00C666FE"/>
    <w:rsid w:val="00C66745"/>
    <w:rsid w:val="00C66790"/>
    <w:rsid w:val="00C667F7"/>
    <w:rsid w:val="00C66801"/>
    <w:rsid w:val="00C668B6"/>
    <w:rsid w:val="00C668FF"/>
    <w:rsid w:val="00C66927"/>
    <w:rsid w:val="00C66955"/>
    <w:rsid w:val="00C6699B"/>
    <w:rsid w:val="00C6699C"/>
    <w:rsid w:val="00C669E2"/>
    <w:rsid w:val="00C66A1D"/>
    <w:rsid w:val="00C66A62"/>
    <w:rsid w:val="00C66B28"/>
    <w:rsid w:val="00C66B2A"/>
    <w:rsid w:val="00C66B46"/>
    <w:rsid w:val="00C66C7D"/>
    <w:rsid w:val="00C66CD4"/>
    <w:rsid w:val="00C66CE1"/>
    <w:rsid w:val="00C66CE5"/>
    <w:rsid w:val="00C66CE9"/>
    <w:rsid w:val="00C66DFC"/>
    <w:rsid w:val="00C66F81"/>
    <w:rsid w:val="00C6701E"/>
    <w:rsid w:val="00C671DB"/>
    <w:rsid w:val="00C671FA"/>
    <w:rsid w:val="00C6723F"/>
    <w:rsid w:val="00C67311"/>
    <w:rsid w:val="00C6738E"/>
    <w:rsid w:val="00C67441"/>
    <w:rsid w:val="00C67456"/>
    <w:rsid w:val="00C674D6"/>
    <w:rsid w:val="00C6750C"/>
    <w:rsid w:val="00C6753D"/>
    <w:rsid w:val="00C676A9"/>
    <w:rsid w:val="00C676BB"/>
    <w:rsid w:val="00C676F5"/>
    <w:rsid w:val="00C677C4"/>
    <w:rsid w:val="00C677E7"/>
    <w:rsid w:val="00C67801"/>
    <w:rsid w:val="00C6780B"/>
    <w:rsid w:val="00C6782E"/>
    <w:rsid w:val="00C67859"/>
    <w:rsid w:val="00C6787B"/>
    <w:rsid w:val="00C6789B"/>
    <w:rsid w:val="00C678B9"/>
    <w:rsid w:val="00C67A3E"/>
    <w:rsid w:val="00C67A42"/>
    <w:rsid w:val="00C67A4F"/>
    <w:rsid w:val="00C67A85"/>
    <w:rsid w:val="00C67AC9"/>
    <w:rsid w:val="00C67B3C"/>
    <w:rsid w:val="00C67B90"/>
    <w:rsid w:val="00C67D11"/>
    <w:rsid w:val="00C67DBF"/>
    <w:rsid w:val="00C67DEE"/>
    <w:rsid w:val="00C67E46"/>
    <w:rsid w:val="00C67E49"/>
    <w:rsid w:val="00C67ECA"/>
    <w:rsid w:val="00C67F45"/>
    <w:rsid w:val="00C67F99"/>
    <w:rsid w:val="00C67FA9"/>
    <w:rsid w:val="00C700D0"/>
    <w:rsid w:val="00C701AF"/>
    <w:rsid w:val="00C702C6"/>
    <w:rsid w:val="00C70384"/>
    <w:rsid w:val="00C70475"/>
    <w:rsid w:val="00C704BF"/>
    <w:rsid w:val="00C704E2"/>
    <w:rsid w:val="00C70539"/>
    <w:rsid w:val="00C705CC"/>
    <w:rsid w:val="00C70602"/>
    <w:rsid w:val="00C7068A"/>
    <w:rsid w:val="00C70702"/>
    <w:rsid w:val="00C70718"/>
    <w:rsid w:val="00C7072E"/>
    <w:rsid w:val="00C70768"/>
    <w:rsid w:val="00C7077A"/>
    <w:rsid w:val="00C70840"/>
    <w:rsid w:val="00C7085E"/>
    <w:rsid w:val="00C7086F"/>
    <w:rsid w:val="00C70878"/>
    <w:rsid w:val="00C708A1"/>
    <w:rsid w:val="00C708C2"/>
    <w:rsid w:val="00C708D1"/>
    <w:rsid w:val="00C708F0"/>
    <w:rsid w:val="00C709B8"/>
    <w:rsid w:val="00C70A87"/>
    <w:rsid w:val="00C70AB7"/>
    <w:rsid w:val="00C70AF1"/>
    <w:rsid w:val="00C70B06"/>
    <w:rsid w:val="00C70B2E"/>
    <w:rsid w:val="00C70BCB"/>
    <w:rsid w:val="00C70C21"/>
    <w:rsid w:val="00C70E3B"/>
    <w:rsid w:val="00C70E90"/>
    <w:rsid w:val="00C70EAB"/>
    <w:rsid w:val="00C70EAE"/>
    <w:rsid w:val="00C70EB6"/>
    <w:rsid w:val="00C70F6B"/>
    <w:rsid w:val="00C7111F"/>
    <w:rsid w:val="00C71142"/>
    <w:rsid w:val="00C71183"/>
    <w:rsid w:val="00C71184"/>
    <w:rsid w:val="00C7123F"/>
    <w:rsid w:val="00C71281"/>
    <w:rsid w:val="00C7134B"/>
    <w:rsid w:val="00C71445"/>
    <w:rsid w:val="00C71475"/>
    <w:rsid w:val="00C71498"/>
    <w:rsid w:val="00C7152E"/>
    <w:rsid w:val="00C71578"/>
    <w:rsid w:val="00C71579"/>
    <w:rsid w:val="00C715AC"/>
    <w:rsid w:val="00C715E1"/>
    <w:rsid w:val="00C71635"/>
    <w:rsid w:val="00C7166A"/>
    <w:rsid w:val="00C716D5"/>
    <w:rsid w:val="00C7178D"/>
    <w:rsid w:val="00C71993"/>
    <w:rsid w:val="00C719C9"/>
    <w:rsid w:val="00C71A19"/>
    <w:rsid w:val="00C71A48"/>
    <w:rsid w:val="00C71AD0"/>
    <w:rsid w:val="00C71AD6"/>
    <w:rsid w:val="00C71B08"/>
    <w:rsid w:val="00C71B1C"/>
    <w:rsid w:val="00C71B7A"/>
    <w:rsid w:val="00C71B91"/>
    <w:rsid w:val="00C71BE1"/>
    <w:rsid w:val="00C71C6D"/>
    <w:rsid w:val="00C71C86"/>
    <w:rsid w:val="00C71CA1"/>
    <w:rsid w:val="00C71DF2"/>
    <w:rsid w:val="00C71E25"/>
    <w:rsid w:val="00C71E2A"/>
    <w:rsid w:val="00C71EF5"/>
    <w:rsid w:val="00C71F5E"/>
    <w:rsid w:val="00C72072"/>
    <w:rsid w:val="00C720C9"/>
    <w:rsid w:val="00C720DF"/>
    <w:rsid w:val="00C720FC"/>
    <w:rsid w:val="00C72104"/>
    <w:rsid w:val="00C72195"/>
    <w:rsid w:val="00C721AD"/>
    <w:rsid w:val="00C721B3"/>
    <w:rsid w:val="00C72266"/>
    <w:rsid w:val="00C72308"/>
    <w:rsid w:val="00C7233D"/>
    <w:rsid w:val="00C72352"/>
    <w:rsid w:val="00C72423"/>
    <w:rsid w:val="00C7243C"/>
    <w:rsid w:val="00C7245E"/>
    <w:rsid w:val="00C724AD"/>
    <w:rsid w:val="00C724D1"/>
    <w:rsid w:val="00C724EF"/>
    <w:rsid w:val="00C7254E"/>
    <w:rsid w:val="00C725F0"/>
    <w:rsid w:val="00C72668"/>
    <w:rsid w:val="00C7273B"/>
    <w:rsid w:val="00C72763"/>
    <w:rsid w:val="00C7277E"/>
    <w:rsid w:val="00C7280E"/>
    <w:rsid w:val="00C728F4"/>
    <w:rsid w:val="00C7299E"/>
    <w:rsid w:val="00C729D1"/>
    <w:rsid w:val="00C72AC2"/>
    <w:rsid w:val="00C72B0D"/>
    <w:rsid w:val="00C72BE6"/>
    <w:rsid w:val="00C72CF7"/>
    <w:rsid w:val="00C72D1B"/>
    <w:rsid w:val="00C72DD7"/>
    <w:rsid w:val="00C72DF3"/>
    <w:rsid w:val="00C72E24"/>
    <w:rsid w:val="00C72E3A"/>
    <w:rsid w:val="00C72E5C"/>
    <w:rsid w:val="00C72E86"/>
    <w:rsid w:val="00C72EEE"/>
    <w:rsid w:val="00C72F1A"/>
    <w:rsid w:val="00C72F80"/>
    <w:rsid w:val="00C72F8C"/>
    <w:rsid w:val="00C72F90"/>
    <w:rsid w:val="00C72FEF"/>
    <w:rsid w:val="00C72FFA"/>
    <w:rsid w:val="00C7300C"/>
    <w:rsid w:val="00C73019"/>
    <w:rsid w:val="00C73096"/>
    <w:rsid w:val="00C730D2"/>
    <w:rsid w:val="00C730FC"/>
    <w:rsid w:val="00C731BC"/>
    <w:rsid w:val="00C73260"/>
    <w:rsid w:val="00C73339"/>
    <w:rsid w:val="00C733C6"/>
    <w:rsid w:val="00C73444"/>
    <w:rsid w:val="00C734CE"/>
    <w:rsid w:val="00C734FD"/>
    <w:rsid w:val="00C73505"/>
    <w:rsid w:val="00C736E2"/>
    <w:rsid w:val="00C736F9"/>
    <w:rsid w:val="00C73746"/>
    <w:rsid w:val="00C73787"/>
    <w:rsid w:val="00C7378C"/>
    <w:rsid w:val="00C7386F"/>
    <w:rsid w:val="00C739EF"/>
    <w:rsid w:val="00C73A37"/>
    <w:rsid w:val="00C73A5D"/>
    <w:rsid w:val="00C73AFB"/>
    <w:rsid w:val="00C73BC1"/>
    <w:rsid w:val="00C73C0E"/>
    <w:rsid w:val="00C73CC1"/>
    <w:rsid w:val="00C73CC6"/>
    <w:rsid w:val="00C73CEC"/>
    <w:rsid w:val="00C73E76"/>
    <w:rsid w:val="00C7401E"/>
    <w:rsid w:val="00C7406A"/>
    <w:rsid w:val="00C7406E"/>
    <w:rsid w:val="00C740CD"/>
    <w:rsid w:val="00C740F9"/>
    <w:rsid w:val="00C74146"/>
    <w:rsid w:val="00C74179"/>
    <w:rsid w:val="00C741BC"/>
    <w:rsid w:val="00C741C7"/>
    <w:rsid w:val="00C7422C"/>
    <w:rsid w:val="00C7422E"/>
    <w:rsid w:val="00C74296"/>
    <w:rsid w:val="00C743B8"/>
    <w:rsid w:val="00C743CA"/>
    <w:rsid w:val="00C74500"/>
    <w:rsid w:val="00C74592"/>
    <w:rsid w:val="00C74598"/>
    <w:rsid w:val="00C745C4"/>
    <w:rsid w:val="00C745F6"/>
    <w:rsid w:val="00C7476F"/>
    <w:rsid w:val="00C748C7"/>
    <w:rsid w:val="00C748CB"/>
    <w:rsid w:val="00C74938"/>
    <w:rsid w:val="00C74971"/>
    <w:rsid w:val="00C749E6"/>
    <w:rsid w:val="00C749F7"/>
    <w:rsid w:val="00C74A8F"/>
    <w:rsid w:val="00C74B0F"/>
    <w:rsid w:val="00C74B26"/>
    <w:rsid w:val="00C74B35"/>
    <w:rsid w:val="00C74B82"/>
    <w:rsid w:val="00C74BD7"/>
    <w:rsid w:val="00C74C1C"/>
    <w:rsid w:val="00C74D7D"/>
    <w:rsid w:val="00C74DDD"/>
    <w:rsid w:val="00C74DE2"/>
    <w:rsid w:val="00C74EA3"/>
    <w:rsid w:val="00C74EE0"/>
    <w:rsid w:val="00C74F86"/>
    <w:rsid w:val="00C74FAD"/>
    <w:rsid w:val="00C74FE7"/>
    <w:rsid w:val="00C750CE"/>
    <w:rsid w:val="00C75104"/>
    <w:rsid w:val="00C7511B"/>
    <w:rsid w:val="00C75165"/>
    <w:rsid w:val="00C75189"/>
    <w:rsid w:val="00C75290"/>
    <w:rsid w:val="00C7532A"/>
    <w:rsid w:val="00C75343"/>
    <w:rsid w:val="00C75404"/>
    <w:rsid w:val="00C7553A"/>
    <w:rsid w:val="00C7556B"/>
    <w:rsid w:val="00C755EF"/>
    <w:rsid w:val="00C7579C"/>
    <w:rsid w:val="00C7590B"/>
    <w:rsid w:val="00C75982"/>
    <w:rsid w:val="00C759A4"/>
    <w:rsid w:val="00C759F2"/>
    <w:rsid w:val="00C75A37"/>
    <w:rsid w:val="00C75AC3"/>
    <w:rsid w:val="00C75B9B"/>
    <w:rsid w:val="00C75BA9"/>
    <w:rsid w:val="00C75BE3"/>
    <w:rsid w:val="00C75CE8"/>
    <w:rsid w:val="00C75D5B"/>
    <w:rsid w:val="00C75E8A"/>
    <w:rsid w:val="00C75EE0"/>
    <w:rsid w:val="00C75EE7"/>
    <w:rsid w:val="00C75F08"/>
    <w:rsid w:val="00C75F53"/>
    <w:rsid w:val="00C75F6E"/>
    <w:rsid w:val="00C7602E"/>
    <w:rsid w:val="00C760ED"/>
    <w:rsid w:val="00C7610D"/>
    <w:rsid w:val="00C76180"/>
    <w:rsid w:val="00C76248"/>
    <w:rsid w:val="00C762AF"/>
    <w:rsid w:val="00C762B2"/>
    <w:rsid w:val="00C7648F"/>
    <w:rsid w:val="00C764AA"/>
    <w:rsid w:val="00C76548"/>
    <w:rsid w:val="00C76587"/>
    <w:rsid w:val="00C7663D"/>
    <w:rsid w:val="00C76640"/>
    <w:rsid w:val="00C76677"/>
    <w:rsid w:val="00C766C8"/>
    <w:rsid w:val="00C7676E"/>
    <w:rsid w:val="00C768AB"/>
    <w:rsid w:val="00C76909"/>
    <w:rsid w:val="00C769A7"/>
    <w:rsid w:val="00C769CC"/>
    <w:rsid w:val="00C769E3"/>
    <w:rsid w:val="00C769FB"/>
    <w:rsid w:val="00C76A0E"/>
    <w:rsid w:val="00C76B4C"/>
    <w:rsid w:val="00C76B98"/>
    <w:rsid w:val="00C76BC8"/>
    <w:rsid w:val="00C76C9B"/>
    <w:rsid w:val="00C76D30"/>
    <w:rsid w:val="00C76D75"/>
    <w:rsid w:val="00C76DBF"/>
    <w:rsid w:val="00C76DC5"/>
    <w:rsid w:val="00C76E6F"/>
    <w:rsid w:val="00C76EEA"/>
    <w:rsid w:val="00C76EEB"/>
    <w:rsid w:val="00C76F40"/>
    <w:rsid w:val="00C76F54"/>
    <w:rsid w:val="00C77043"/>
    <w:rsid w:val="00C77058"/>
    <w:rsid w:val="00C770DC"/>
    <w:rsid w:val="00C770FB"/>
    <w:rsid w:val="00C77104"/>
    <w:rsid w:val="00C7710B"/>
    <w:rsid w:val="00C77132"/>
    <w:rsid w:val="00C77150"/>
    <w:rsid w:val="00C7716D"/>
    <w:rsid w:val="00C77249"/>
    <w:rsid w:val="00C772D7"/>
    <w:rsid w:val="00C77325"/>
    <w:rsid w:val="00C77477"/>
    <w:rsid w:val="00C77489"/>
    <w:rsid w:val="00C7749E"/>
    <w:rsid w:val="00C774B4"/>
    <w:rsid w:val="00C774ED"/>
    <w:rsid w:val="00C7750D"/>
    <w:rsid w:val="00C77538"/>
    <w:rsid w:val="00C77544"/>
    <w:rsid w:val="00C775AC"/>
    <w:rsid w:val="00C775BE"/>
    <w:rsid w:val="00C775D6"/>
    <w:rsid w:val="00C775FB"/>
    <w:rsid w:val="00C7760C"/>
    <w:rsid w:val="00C77618"/>
    <w:rsid w:val="00C77633"/>
    <w:rsid w:val="00C776E9"/>
    <w:rsid w:val="00C7773E"/>
    <w:rsid w:val="00C77769"/>
    <w:rsid w:val="00C77784"/>
    <w:rsid w:val="00C77868"/>
    <w:rsid w:val="00C778CB"/>
    <w:rsid w:val="00C77904"/>
    <w:rsid w:val="00C77989"/>
    <w:rsid w:val="00C77A05"/>
    <w:rsid w:val="00C77A1E"/>
    <w:rsid w:val="00C77A35"/>
    <w:rsid w:val="00C77ABD"/>
    <w:rsid w:val="00C77B54"/>
    <w:rsid w:val="00C77CA3"/>
    <w:rsid w:val="00C77D8A"/>
    <w:rsid w:val="00C77DD7"/>
    <w:rsid w:val="00C77E5C"/>
    <w:rsid w:val="00C77EBC"/>
    <w:rsid w:val="00C77EFB"/>
    <w:rsid w:val="00C77F77"/>
    <w:rsid w:val="00C7F10E"/>
    <w:rsid w:val="00C8001D"/>
    <w:rsid w:val="00C80038"/>
    <w:rsid w:val="00C80046"/>
    <w:rsid w:val="00C80065"/>
    <w:rsid w:val="00C80127"/>
    <w:rsid w:val="00C801A1"/>
    <w:rsid w:val="00C80210"/>
    <w:rsid w:val="00C8026C"/>
    <w:rsid w:val="00C8036B"/>
    <w:rsid w:val="00C803A6"/>
    <w:rsid w:val="00C803CB"/>
    <w:rsid w:val="00C8040A"/>
    <w:rsid w:val="00C80590"/>
    <w:rsid w:val="00C80625"/>
    <w:rsid w:val="00C807FE"/>
    <w:rsid w:val="00C808A0"/>
    <w:rsid w:val="00C80A3E"/>
    <w:rsid w:val="00C80A9D"/>
    <w:rsid w:val="00C80B3C"/>
    <w:rsid w:val="00C80B4F"/>
    <w:rsid w:val="00C80C31"/>
    <w:rsid w:val="00C80D64"/>
    <w:rsid w:val="00C80DBD"/>
    <w:rsid w:val="00C80E0F"/>
    <w:rsid w:val="00C80EB3"/>
    <w:rsid w:val="00C80EB9"/>
    <w:rsid w:val="00C80EFD"/>
    <w:rsid w:val="00C80F36"/>
    <w:rsid w:val="00C80F4C"/>
    <w:rsid w:val="00C80F57"/>
    <w:rsid w:val="00C80FA6"/>
    <w:rsid w:val="00C81004"/>
    <w:rsid w:val="00C8104C"/>
    <w:rsid w:val="00C810A6"/>
    <w:rsid w:val="00C810A8"/>
    <w:rsid w:val="00C810B6"/>
    <w:rsid w:val="00C810E1"/>
    <w:rsid w:val="00C81171"/>
    <w:rsid w:val="00C81172"/>
    <w:rsid w:val="00C811F9"/>
    <w:rsid w:val="00C8121C"/>
    <w:rsid w:val="00C812DC"/>
    <w:rsid w:val="00C81385"/>
    <w:rsid w:val="00C81386"/>
    <w:rsid w:val="00C8138B"/>
    <w:rsid w:val="00C8139C"/>
    <w:rsid w:val="00C813D6"/>
    <w:rsid w:val="00C81402"/>
    <w:rsid w:val="00C81414"/>
    <w:rsid w:val="00C81549"/>
    <w:rsid w:val="00C81592"/>
    <w:rsid w:val="00C815D0"/>
    <w:rsid w:val="00C815E5"/>
    <w:rsid w:val="00C81626"/>
    <w:rsid w:val="00C81643"/>
    <w:rsid w:val="00C816CE"/>
    <w:rsid w:val="00C816CF"/>
    <w:rsid w:val="00C81726"/>
    <w:rsid w:val="00C81739"/>
    <w:rsid w:val="00C81764"/>
    <w:rsid w:val="00C8176E"/>
    <w:rsid w:val="00C817C8"/>
    <w:rsid w:val="00C817F1"/>
    <w:rsid w:val="00C8185B"/>
    <w:rsid w:val="00C818D4"/>
    <w:rsid w:val="00C818EB"/>
    <w:rsid w:val="00C81904"/>
    <w:rsid w:val="00C81947"/>
    <w:rsid w:val="00C81952"/>
    <w:rsid w:val="00C81985"/>
    <w:rsid w:val="00C81A2D"/>
    <w:rsid w:val="00C81B2A"/>
    <w:rsid w:val="00C81B97"/>
    <w:rsid w:val="00C81DB2"/>
    <w:rsid w:val="00C81DE0"/>
    <w:rsid w:val="00C81DF7"/>
    <w:rsid w:val="00C81E30"/>
    <w:rsid w:val="00C81E37"/>
    <w:rsid w:val="00C81FEE"/>
    <w:rsid w:val="00C8205C"/>
    <w:rsid w:val="00C82084"/>
    <w:rsid w:val="00C8219F"/>
    <w:rsid w:val="00C821D8"/>
    <w:rsid w:val="00C821DA"/>
    <w:rsid w:val="00C821E4"/>
    <w:rsid w:val="00C82235"/>
    <w:rsid w:val="00C822DD"/>
    <w:rsid w:val="00C82356"/>
    <w:rsid w:val="00C823FF"/>
    <w:rsid w:val="00C82562"/>
    <w:rsid w:val="00C825AD"/>
    <w:rsid w:val="00C82708"/>
    <w:rsid w:val="00C82785"/>
    <w:rsid w:val="00C827BD"/>
    <w:rsid w:val="00C827EB"/>
    <w:rsid w:val="00C82805"/>
    <w:rsid w:val="00C8284A"/>
    <w:rsid w:val="00C8286C"/>
    <w:rsid w:val="00C828BF"/>
    <w:rsid w:val="00C828E1"/>
    <w:rsid w:val="00C829D0"/>
    <w:rsid w:val="00C82A18"/>
    <w:rsid w:val="00C82B1E"/>
    <w:rsid w:val="00C82B25"/>
    <w:rsid w:val="00C82B84"/>
    <w:rsid w:val="00C82BC5"/>
    <w:rsid w:val="00C82D2F"/>
    <w:rsid w:val="00C82D51"/>
    <w:rsid w:val="00C82D85"/>
    <w:rsid w:val="00C82D98"/>
    <w:rsid w:val="00C82E19"/>
    <w:rsid w:val="00C82E54"/>
    <w:rsid w:val="00C82E70"/>
    <w:rsid w:val="00C82E76"/>
    <w:rsid w:val="00C82E9E"/>
    <w:rsid w:val="00C82EBE"/>
    <w:rsid w:val="00C82F52"/>
    <w:rsid w:val="00C82F84"/>
    <w:rsid w:val="00C82FA9"/>
    <w:rsid w:val="00C83062"/>
    <w:rsid w:val="00C83114"/>
    <w:rsid w:val="00C831B1"/>
    <w:rsid w:val="00C831C6"/>
    <w:rsid w:val="00C831FB"/>
    <w:rsid w:val="00C8322A"/>
    <w:rsid w:val="00C8329C"/>
    <w:rsid w:val="00C832A2"/>
    <w:rsid w:val="00C832C7"/>
    <w:rsid w:val="00C83313"/>
    <w:rsid w:val="00C8341A"/>
    <w:rsid w:val="00C83430"/>
    <w:rsid w:val="00C8344A"/>
    <w:rsid w:val="00C83457"/>
    <w:rsid w:val="00C83489"/>
    <w:rsid w:val="00C835CF"/>
    <w:rsid w:val="00C83684"/>
    <w:rsid w:val="00C8369D"/>
    <w:rsid w:val="00C8375C"/>
    <w:rsid w:val="00C8378B"/>
    <w:rsid w:val="00C837B0"/>
    <w:rsid w:val="00C83801"/>
    <w:rsid w:val="00C83802"/>
    <w:rsid w:val="00C838A9"/>
    <w:rsid w:val="00C83903"/>
    <w:rsid w:val="00C839EF"/>
    <w:rsid w:val="00C83A4B"/>
    <w:rsid w:val="00C83AB0"/>
    <w:rsid w:val="00C83B43"/>
    <w:rsid w:val="00C83B53"/>
    <w:rsid w:val="00C83C06"/>
    <w:rsid w:val="00C83C87"/>
    <w:rsid w:val="00C83C94"/>
    <w:rsid w:val="00C83CB7"/>
    <w:rsid w:val="00C83CE8"/>
    <w:rsid w:val="00C83E5A"/>
    <w:rsid w:val="00C83ED9"/>
    <w:rsid w:val="00C83F0D"/>
    <w:rsid w:val="00C83F17"/>
    <w:rsid w:val="00C83F18"/>
    <w:rsid w:val="00C83FCC"/>
    <w:rsid w:val="00C83FE5"/>
    <w:rsid w:val="00C83FEA"/>
    <w:rsid w:val="00C84038"/>
    <w:rsid w:val="00C84051"/>
    <w:rsid w:val="00C84067"/>
    <w:rsid w:val="00C841BE"/>
    <w:rsid w:val="00C842FD"/>
    <w:rsid w:val="00C84350"/>
    <w:rsid w:val="00C84372"/>
    <w:rsid w:val="00C84398"/>
    <w:rsid w:val="00C8439F"/>
    <w:rsid w:val="00C843B8"/>
    <w:rsid w:val="00C84469"/>
    <w:rsid w:val="00C845F3"/>
    <w:rsid w:val="00C84654"/>
    <w:rsid w:val="00C846D5"/>
    <w:rsid w:val="00C84794"/>
    <w:rsid w:val="00C848AB"/>
    <w:rsid w:val="00C848CE"/>
    <w:rsid w:val="00C848D2"/>
    <w:rsid w:val="00C84908"/>
    <w:rsid w:val="00C8493F"/>
    <w:rsid w:val="00C8497E"/>
    <w:rsid w:val="00C84AA1"/>
    <w:rsid w:val="00C84C5E"/>
    <w:rsid w:val="00C84C75"/>
    <w:rsid w:val="00C84C7A"/>
    <w:rsid w:val="00C84D70"/>
    <w:rsid w:val="00C84E46"/>
    <w:rsid w:val="00C84FFB"/>
    <w:rsid w:val="00C850EC"/>
    <w:rsid w:val="00C851AE"/>
    <w:rsid w:val="00C85234"/>
    <w:rsid w:val="00C8525C"/>
    <w:rsid w:val="00C85260"/>
    <w:rsid w:val="00C8526F"/>
    <w:rsid w:val="00C85534"/>
    <w:rsid w:val="00C85568"/>
    <w:rsid w:val="00C855BC"/>
    <w:rsid w:val="00C855CE"/>
    <w:rsid w:val="00C85622"/>
    <w:rsid w:val="00C8566D"/>
    <w:rsid w:val="00C85673"/>
    <w:rsid w:val="00C856C0"/>
    <w:rsid w:val="00C85734"/>
    <w:rsid w:val="00C85801"/>
    <w:rsid w:val="00C85860"/>
    <w:rsid w:val="00C858A4"/>
    <w:rsid w:val="00C858F6"/>
    <w:rsid w:val="00C85921"/>
    <w:rsid w:val="00C859D3"/>
    <w:rsid w:val="00C859E0"/>
    <w:rsid w:val="00C859F7"/>
    <w:rsid w:val="00C85A17"/>
    <w:rsid w:val="00C85AF2"/>
    <w:rsid w:val="00C85B2B"/>
    <w:rsid w:val="00C85BE9"/>
    <w:rsid w:val="00C85CC2"/>
    <w:rsid w:val="00C85CFB"/>
    <w:rsid w:val="00C85D77"/>
    <w:rsid w:val="00C85D7C"/>
    <w:rsid w:val="00C85DC9"/>
    <w:rsid w:val="00C85EB2"/>
    <w:rsid w:val="00C86052"/>
    <w:rsid w:val="00C8605A"/>
    <w:rsid w:val="00C86068"/>
    <w:rsid w:val="00C8606A"/>
    <w:rsid w:val="00C860F3"/>
    <w:rsid w:val="00C860FE"/>
    <w:rsid w:val="00C8615A"/>
    <w:rsid w:val="00C861B7"/>
    <w:rsid w:val="00C861BC"/>
    <w:rsid w:val="00C86219"/>
    <w:rsid w:val="00C86243"/>
    <w:rsid w:val="00C8624F"/>
    <w:rsid w:val="00C8625F"/>
    <w:rsid w:val="00C86321"/>
    <w:rsid w:val="00C8636E"/>
    <w:rsid w:val="00C86398"/>
    <w:rsid w:val="00C8639F"/>
    <w:rsid w:val="00C863BE"/>
    <w:rsid w:val="00C863FB"/>
    <w:rsid w:val="00C86435"/>
    <w:rsid w:val="00C86453"/>
    <w:rsid w:val="00C86579"/>
    <w:rsid w:val="00C865D7"/>
    <w:rsid w:val="00C86617"/>
    <w:rsid w:val="00C8664E"/>
    <w:rsid w:val="00C86738"/>
    <w:rsid w:val="00C86745"/>
    <w:rsid w:val="00C86771"/>
    <w:rsid w:val="00C867A8"/>
    <w:rsid w:val="00C867DF"/>
    <w:rsid w:val="00C867E3"/>
    <w:rsid w:val="00C86852"/>
    <w:rsid w:val="00C868CB"/>
    <w:rsid w:val="00C868EA"/>
    <w:rsid w:val="00C86981"/>
    <w:rsid w:val="00C86A59"/>
    <w:rsid w:val="00C86A7B"/>
    <w:rsid w:val="00C86A9B"/>
    <w:rsid w:val="00C86AB6"/>
    <w:rsid w:val="00C86AD0"/>
    <w:rsid w:val="00C86B38"/>
    <w:rsid w:val="00C86B51"/>
    <w:rsid w:val="00C86B60"/>
    <w:rsid w:val="00C86B78"/>
    <w:rsid w:val="00C86C37"/>
    <w:rsid w:val="00C86CEB"/>
    <w:rsid w:val="00C86DDF"/>
    <w:rsid w:val="00C86E76"/>
    <w:rsid w:val="00C86EAB"/>
    <w:rsid w:val="00C86F21"/>
    <w:rsid w:val="00C86F94"/>
    <w:rsid w:val="00C86F98"/>
    <w:rsid w:val="00C86F9F"/>
    <w:rsid w:val="00C86FB8"/>
    <w:rsid w:val="00C86FC3"/>
    <w:rsid w:val="00C87019"/>
    <w:rsid w:val="00C87125"/>
    <w:rsid w:val="00C87140"/>
    <w:rsid w:val="00C871CD"/>
    <w:rsid w:val="00C8732C"/>
    <w:rsid w:val="00C873E9"/>
    <w:rsid w:val="00C8746D"/>
    <w:rsid w:val="00C87637"/>
    <w:rsid w:val="00C876FF"/>
    <w:rsid w:val="00C8773E"/>
    <w:rsid w:val="00C877C0"/>
    <w:rsid w:val="00C877FA"/>
    <w:rsid w:val="00C87944"/>
    <w:rsid w:val="00C87991"/>
    <w:rsid w:val="00C87997"/>
    <w:rsid w:val="00C87AB5"/>
    <w:rsid w:val="00C87B3A"/>
    <w:rsid w:val="00C87C4F"/>
    <w:rsid w:val="00C87CBD"/>
    <w:rsid w:val="00C87D31"/>
    <w:rsid w:val="00C87DC5"/>
    <w:rsid w:val="00C87DE4"/>
    <w:rsid w:val="00C87E66"/>
    <w:rsid w:val="00C87E71"/>
    <w:rsid w:val="00C87ECC"/>
    <w:rsid w:val="00C87EF6"/>
    <w:rsid w:val="00C87F2C"/>
    <w:rsid w:val="00C87FD4"/>
    <w:rsid w:val="00C900D9"/>
    <w:rsid w:val="00C90127"/>
    <w:rsid w:val="00C90133"/>
    <w:rsid w:val="00C902AF"/>
    <w:rsid w:val="00C9037D"/>
    <w:rsid w:val="00C903AD"/>
    <w:rsid w:val="00C903BB"/>
    <w:rsid w:val="00C903D4"/>
    <w:rsid w:val="00C904F7"/>
    <w:rsid w:val="00C904FC"/>
    <w:rsid w:val="00C9052F"/>
    <w:rsid w:val="00C905D9"/>
    <w:rsid w:val="00C90658"/>
    <w:rsid w:val="00C906AA"/>
    <w:rsid w:val="00C9078A"/>
    <w:rsid w:val="00C909A7"/>
    <w:rsid w:val="00C90A51"/>
    <w:rsid w:val="00C90A7B"/>
    <w:rsid w:val="00C90AB2"/>
    <w:rsid w:val="00C90BE0"/>
    <w:rsid w:val="00C90BEA"/>
    <w:rsid w:val="00C90C19"/>
    <w:rsid w:val="00C90C6C"/>
    <w:rsid w:val="00C90C7A"/>
    <w:rsid w:val="00C90C83"/>
    <w:rsid w:val="00C90C86"/>
    <w:rsid w:val="00C90CFE"/>
    <w:rsid w:val="00C90D04"/>
    <w:rsid w:val="00C90D05"/>
    <w:rsid w:val="00C90D5F"/>
    <w:rsid w:val="00C90D73"/>
    <w:rsid w:val="00C90D75"/>
    <w:rsid w:val="00C90DFB"/>
    <w:rsid w:val="00C90E85"/>
    <w:rsid w:val="00C90E94"/>
    <w:rsid w:val="00C90F15"/>
    <w:rsid w:val="00C90F51"/>
    <w:rsid w:val="00C90FBF"/>
    <w:rsid w:val="00C91006"/>
    <w:rsid w:val="00C9103A"/>
    <w:rsid w:val="00C9106A"/>
    <w:rsid w:val="00C91114"/>
    <w:rsid w:val="00C911A1"/>
    <w:rsid w:val="00C9120C"/>
    <w:rsid w:val="00C9128A"/>
    <w:rsid w:val="00C912EA"/>
    <w:rsid w:val="00C91408"/>
    <w:rsid w:val="00C9145E"/>
    <w:rsid w:val="00C9147E"/>
    <w:rsid w:val="00C91490"/>
    <w:rsid w:val="00C915AD"/>
    <w:rsid w:val="00C915FB"/>
    <w:rsid w:val="00C9164A"/>
    <w:rsid w:val="00C916CB"/>
    <w:rsid w:val="00C9179F"/>
    <w:rsid w:val="00C917BB"/>
    <w:rsid w:val="00C917BC"/>
    <w:rsid w:val="00C917C9"/>
    <w:rsid w:val="00C917D2"/>
    <w:rsid w:val="00C91865"/>
    <w:rsid w:val="00C918B3"/>
    <w:rsid w:val="00C9191B"/>
    <w:rsid w:val="00C9192C"/>
    <w:rsid w:val="00C919D5"/>
    <w:rsid w:val="00C91A10"/>
    <w:rsid w:val="00C91A34"/>
    <w:rsid w:val="00C91AAA"/>
    <w:rsid w:val="00C91ABD"/>
    <w:rsid w:val="00C91B62"/>
    <w:rsid w:val="00C91C9D"/>
    <w:rsid w:val="00C91D63"/>
    <w:rsid w:val="00C91DBF"/>
    <w:rsid w:val="00C91E19"/>
    <w:rsid w:val="00C91E95"/>
    <w:rsid w:val="00C91EB0"/>
    <w:rsid w:val="00C91ECD"/>
    <w:rsid w:val="00C91F2B"/>
    <w:rsid w:val="00C91F73"/>
    <w:rsid w:val="00C91F92"/>
    <w:rsid w:val="00C91F9F"/>
    <w:rsid w:val="00C91FE9"/>
    <w:rsid w:val="00C9202E"/>
    <w:rsid w:val="00C921B9"/>
    <w:rsid w:val="00C92258"/>
    <w:rsid w:val="00C92374"/>
    <w:rsid w:val="00C92379"/>
    <w:rsid w:val="00C9240A"/>
    <w:rsid w:val="00C92429"/>
    <w:rsid w:val="00C924B3"/>
    <w:rsid w:val="00C92579"/>
    <w:rsid w:val="00C926B1"/>
    <w:rsid w:val="00C926D0"/>
    <w:rsid w:val="00C9273E"/>
    <w:rsid w:val="00C92749"/>
    <w:rsid w:val="00C9277D"/>
    <w:rsid w:val="00C9284D"/>
    <w:rsid w:val="00C928D0"/>
    <w:rsid w:val="00C928FA"/>
    <w:rsid w:val="00C9291C"/>
    <w:rsid w:val="00C9294C"/>
    <w:rsid w:val="00C92A8A"/>
    <w:rsid w:val="00C92AAC"/>
    <w:rsid w:val="00C92B0F"/>
    <w:rsid w:val="00C92B98"/>
    <w:rsid w:val="00C92BF2"/>
    <w:rsid w:val="00C92D0C"/>
    <w:rsid w:val="00C92D53"/>
    <w:rsid w:val="00C92DDB"/>
    <w:rsid w:val="00C93043"/>
    <w:rsid w:val="00C930AD"/>
    <w:rsid w:val="00C930D2"/>
    <w:rsid w:val="00C9313C"/>
    <w:rsid w:val="00C931FD"/>
    <w:rsid w:val="00C93390"/>
    <w:rsid w:val="00C933FC"/>
    <w:rsid w:val="00C93421"/>
    <w:rsid w:val="00C93490"/>
    <w:rsid w:val="00C93557"/>
    <w:rsid w:val="00C9355E"/>
    <w:rsid w:val="00C935B1"/>
    <w:rsid w:val="00C93687"/>
    <w:rsid w:val="00C93775"/>
    <w:rsid w:val="00C937C4"/>
    <w:rsid w:val="00C937D6"/>
    <w:rsid w:val="00C937F6"/>
    <w:rsid w:val="00C93802"/>
    <w:rsid w:val="00C93836"/>
    <w:rsid w:val="00C9385E"/>
    <w:rsid w:val="00C938D7"/>
    <w:rsid w:val="00C9392E"/>
    <w:rsid w:val="00C93957"/>
    <w:rsid w:val="00C93979"/>
    <w:rsid w:val="00C93987"/>
    <w:rsid w:val="00C93A30"/>
    <w:rsid w:val="00C93A83"/>
    <w:rsid w:val="00C93B97"/>
    <w:rsid w:val="00C93BB5"/>
    <w:rsid w:val="00C93CC0"/>
    <w:rsid w:val="00C93CF8"/>
    <w:rsid w:val="00C93EB6"/>
    <w:rsid w:val="00C93F64"/>
    <w:rsid w:val="00C93F6C"/>
    <w:rsid w:val="00C94028"/>
    <w:rsid w:val="00C94071"/>
    <w:rsid w:val="00C940F7"/>
    <w:rsid w:val="00C94146"/>
    <w:rsid w:val="00C9417D"/>
    <w:rsid w:val="00C941B8"/>
    <w:rsid w:val="00C942A1"/>
    <w:rsid w:val="00C942CA"/>
    <w:rsid w:val="00C942EC"/>
    <w:rsid w:val="00C9442F"/>
    <w:rsid w:val="00C94483"/>
    <w:rsid w:val="00C94559"/>
    <w:rsid w:val="00C945A7"/>
    <w:rsid w:val="00C945BC"/>
    <w:rsid w:val="00C945F8"/>
    <w:rsid w:val="00C94611"/>
    <w:rsid w:val="00C9468F"/>
    <w:rsid w:val="00C946D2"/>
    <w:rsid w:val="00C94720"/>
    <w:rsid w:val="00C9478E"/>
    <w:rsid w:val="00C94839"/>
    <w:rsid w:val="00C94842"/>
    <w:rsid w:val="00C9486A"/>
    <w:rsid w:val="00C94A3A"/>
    <w:rsid w:val="00C94A45"/>
    <w:rsid w:val="00C94A55"/>
    <w:rsid w:val="00C94AE6"/>
    <w:rsid w:val="00C94B8E"/>
    <w:rsid w:val="00C94CD2"/>
    <w:rsid w:val="00C94D15"/>
    <w:rsid w:val="00C94DB1"/>
    <w:rsid w:val="00C94DE3"/>
    <w:rsid w:val="00C94E00"/>
    <w:rsid w:val="00C94E26"/>
    <w:rsid w:val="00C94E5A"/>
    <w:rsid w:val="00C94E71"/>
    <w:rsid w:val="00C94E87"/>
    <w:rsid w:val="00C94FBF"/>
    <w:rsid w:val="00C95008"/>
    <w:rsid w:val="00C9503A"/>
    <w:rsid w:val="00C950D8"/>
    <w:rsid w:val="00C950EE"/>
    <w:rsid w:val="00C95160"/>
    <w:rsid w:val="00C95172"/>
    <w:rsid w:val="00C95183"/>
    <w:rsid w:val="00C951B8"/>
    <w:rsid w:val="00C951CE"/>
    <w:rsid w:val="00C95283"/>
    <w:rsid w:val="00C9528D"/>
    <w:rsid w:val="00C952C1"/>
    <w:rsid w:val="00C952E3"/>
    <w:rsid w:val="00C95315"/>
    <w:rsid w:val="00C9534E"/>
    <w:rsid w:val="00C953A9"/>
    <w:rsid w:val="00C95507"/>
    <w:rsid w:val="00C95577"/>
    <w:rsid w:val="00C9557E"/>
    <w:rsid w:val="00C955AC"/>
    <w:rsid w:val="00C955B3"/>
    <w:rsid w:val="00C955E6"/>
    <w:rsid w:val="00C95618"/>
    <w:rsid w:val="00C95684"/>
    <w:rsid w:val="00C956BD"/>
    <w:rsid w:val="00C956DD"/>
    <w:rsid w:val="00C9577D"/>
    <w:rsid w:val="00C95787"/>
    <w:rsid w:val="00C957C0"/>
    <w:rsid w:val="00C957C3"/>
    <w:rsid w:val="00C957D0"/>
    <w:rsid w:val="00C957FE"/>
    <w:rsid w:val="00C95811"/>
    <w:rsid w:val="00C95872"/>
    <w:rsid w:val="00C958F6"/>
    <w:rsid w:val="00C9596D"/>
    <w:rsid w:val="00C95A22"/>
    <w:rsid w:val="00C95A9E"/>
    <w:rsid w:val="00C95ACB"/>
    <w:rsid w:val="00C95B06"/>
    <w:rsid w:val="00C95B6D"/>
    <w:rsid w:val="00C95D38"/>
    <w:rsid w:val="00C95E32"/>
    <w:rsid w:val="00C95E46"/>
    <w:rsid w:val="00C95EB7"/>
    <w:rsid w:val="00C95EBF"/>
    <w:rsid w:val="00C95FD6"/>
    <w:rsid w:val="00C95FEB"/>
    <w:rsid w:val="00C95FFD"/>
    <w:rsid w:val="00C96020"/>
    <w:rsid w:val="00C961C6"/>
    <w:rsid w:val="00C9629E"/>
    <w:rsid w:val="00C9630F"/>
    <w:rsid w:val="00C963A3"/>
    <w:rsid w:val="00C963E4"/>
    <w:rsid w:val="00C9641D"/>
    <w:rsid w:val="00C9644C"/>
    <w:rsid w:val="00C964ED"/>
    <w:rsid w:val="00C964EF"/>
    <w:rsid w:val="00C96555"/>
    <w:rsid w:val="00C9656C"/>
    <w:rsid w:val="00C965AF"/>
    <w:rsid w:val="00C96688"/>
    <w:rsid w:val="00C9669E"/>
    <w:rsid w:val="00C96740"/>
    <w:rsid w:val="00C96790"/>
    <w:rsid w:val="00C967AB"/>
    <w:rsid w:val="00C967F6"/>
    <w:rsid w:val="00C968B5"/>
    <w:rsid w:val="00C96A2E"/>
    <w:rsid w:val="00C96AB7"/>
    <w:rsid w:val="00C96AD4"/>
    <w:rsid w:val="00C96AD6"/>
    <w:rsid w:val="00C96B1B"/>
    <w:rsid w:val="00C96B1E"/>
    <w:rsid w:val="00C96B37"/>
    <w:rsid w:val="00C96BE1"/>
    <w:rsid w:val="00C96C0F"/>
    <w:rsid w:val="00C96C74"/>
    <w:rsid w:val="00C96D3E"/>
    <w:rsid w:val="00C96DC2"/>
    <w:rsid w:val="00C96DFB"/>
    <w:rsid w:val="00C96E15"/>
    <w:rsid w:val="00C96EDE"/>
    <w:rsid w:val="00C96F47"/>
    <w:rsid w:val="00C96F52"/>
    <w:rsid w:val="00C96F7C"/>
    <w:rsid w:val="00C96F8C"/>
    <w:rsid w:val="00C97016"/>
    <w:rsid w:val="00C9707C"/>
    <w:rsid w:val="00C97080"/>
    <w:rsid w:val="00C970E1"/>
    <w:rsid w:val="00C97212"/>
    <w:rsid w:val="00C972C5"/>
    <w:rsid w:val="00C9730E"/>
    <w:rsid w:val="00C97387"/>
    <w:rsid w:val="00C973E0"/>
    <w:rsid w:val="00C9742A"/>
    <w:rsid w:val="00C9743C"/>
    <w:rsid w:val="00C97464"/>
    <w:rsid w:val="00C9751F"/>
    <w:rsid w:val="00C97557"/>
    <w:rsid w:val="00C97567"/>
    <w:rsid w:val="00C97574"/>
    <w:rsid w:val="00C975A1"/>
    <w:rsid w:val="00C975C2"/>
    <w:rsid w:val="00C975C3"/>
    <w:rsid w:val="00C97622"/>
    <w:rsid w:val="00C9762A"/>
    <w:rsid w:val="00C97658"/>
    <w:rsid w:val="00C9770A"/>
    <w:rsid w:val="00C97723"/>
    <w:rsid w:val="00C97837"/>
    <w:rsid w:val="00C97852"/>
    <w:rsid w:val="00C97965"/>
    <w:rsid w:val="00C97A0D"/>
    <w:rsid w:val="00C97A8B"/>
    <w:rsid w:val="00C97AF1"/>
    <w:rsid w:val="00C97B12"/>
    <w:rsid w:val="00C97BC4"/>
    <w:rsid w:val="00C97BE7"/>
    <w:rsid w:val="00C97C9B"/>
    <w:rsid w:val="00C97D6C"/>
    <w:rsid w:val="00C97D89"/>
    <w:rsid w:val="00C97D95"/>
    <w:rsid w:val="00C97D96"/>
    <w:rsid w:val="00C97E4A"/>
    <w:rsid w:val="00C97F26"/>
    <w:rsid w:val="00C97FE4"/>
    <w:rsid w:val="00C97FF5"/>
    <w:rsid w:val="00CA0021"/>
    <w:rsid w:val="00CA0081"/>
    <w:rsid w:val="00CA0087"/>
    <w:rsid w:val="00CA00DB"/>
    <w:rsid w:val="00CA014A"/>
    <w:rsid w:val="00CA0194"/>
    <w:rsid w:val="00CA01BF"/>
    <w:rsid w:val="00CA0244"/>
    <w:rsid w:val="00CA027F"/>
    <w:rsid w:val="00CA045A"/>
    <w:rsid w:val="00CA04BB"/>
    <w:rsid w:val="00CA04BF"/>
    <w:rsid w:val="00CA04C5"/>
    <w:rsid w:val="00CA04FF"/>
    <w:rsid w:val="00CA0529"/>
    <w:rsid w:val="00CA0559"/>
    <w:rsid w:val="00CA0564"/>
    <w:rsid w:val="00CA0567"/>
    <w:rsid w:val="00CA05AF"/>
    <w:rsid w:val="00CA066F"/>
    <w:rsid w:val="00CA06A0"/>
    <w:rsid w:val="00CA06AE"/>
    <w:rsid w:val="00CA06B7"/>
    <w:rsid w:val="00CA0708"/>
    <w:rsid w:val="00CA0711"/>
    <w:rsid w:val="00CA07B6"/>
    <w:rsid w:val="00CA08A6"/>
    <w:rsid w:val="00CA08BA"/>
    <w:rsid w:val="00CA08D3"/>
    <w:rsid w:val="00CA08E4"/>
    <w:rsid w:val="00CA0A30"/>
    <w:rsid w:val="00CA0A7F"/>
    <w:rsid w:val="00CA0C44"/>
    <w:rsid w:val="00CA0D5F"/>
    <w:rsid w:val="00CA0DBA"/>
    <w:rsid w:val="00CA0E0F"/>
    <w:rsid w:val="00CA0E6A"/>
    <w:rsid w:val="00CA0EB0"/>
    <w:rsid w:val="00CA0ED0"/>
    <w:rsid w:val="00CA0EE4"/>
    <w:rsid w:val="00CA0F7B"/>
    <w:rsid w:val="00CA0F87"/>
    <w:rsid w:val="00CA1096"/>
    <w:rsid w:val="00CA10B0"/>
    <w:rsid w:val="00CA116A"/>
    <w:rsid w:val="00CA11C1"/>
    <w:rsid w:val="00CA11C6"/>
    <w:rsid w:val="00CA12C4"/>
    <w:rsid w:val="00CA1305"/>
    <w:rsid w:val="00CA1311"/>
    <w:rsid w:val="00CA1388"/>
    <w:rsid w:val="00CA140A"/>
    <w:rsid w:val="00CA140B"/>
    <w:rsid w:val="00CA140F"/>
    <w:rsid w:val="00CA14EC"/>
    <w:rsid w:val="00CA14F4"/>
    <w:rsid w:val="00CA1534"/>
    <w:rsid w:val="00CA15AB"/>
    <w:rsid w:val="00CA1608"/>
    <w:rsid w:val="00CA1643"/>
    <w:rsid w:val="00CA16A8"/>
    <w:rsid w:val="00CA16F6"/>
    <w:rsid w:val="00CA1810"/>
    <w:rsid w:val="00CA181B"/>
    <w:rsid w:val="00CA1859"/>
    <w:rsid w:val="00CA190B"/>
    <w:rsid w:val="00CA190E"/>
    <w:rsid w:val="00CA19A3"/>
    <w:rsid w:val="00CA1A3D"/>
    <w:rsid w:val="00CA1A5E"/>
    <w:rsid w:val="00CA1AF6"/>
    <w:rsid w:val="00CA1BC7"/>
    <w:rsid w:val="00CA1CE9"/>
    <w:rsid w:val="00CA1E15"/>
    <w:rsid w:val="00CA1EC1"/>
    <w:rsid w:val="00CA1ED5"/>
    <w:rsid w:val="00CA1EF3"/>
    <w:rsid w:val="00CA1F39"/>
    <w:rsid w:val="00CA1F40"/>
    <w:rsid w:val="00CA1F88"/>
    <w:rsid w:val="00CA1FCF"/>
    <w:rsid w:val="00CA203F"/>
    <w:rsid w:val="00CA20E1"/>
    <w:rsid w:val="00CA2178"/>
    <w:rsid w:val="00CA21B6"/>
    <w:rsid w:val="00CA2229"/>
    <w:rsid w:val="00CA222F"/>
    <w:rsid w:val="00CA226C"/>
    <w:rsid w:val="00CA2279"/>
    <w:rsid w:val="00CA22C3"/>
    <w:rsid w:val="00CA2329"/>
    <w:rsid w:val="00CA235E"/>
    <w:rsid w:val="00CA24C4"/>
    <w:rsid w:val="00CA2528"/>
    <w:rsid w:val="00CA2580"/>
    <w:rsid w:val="00CA2583"/>
    <w:rsid w:val="00CA26AB"/>
    <w:rsid w:val="00CA2733"/>
    <w:rsid w:val="00CA27B3"/>
    <w:rsid w:val="00CA27F8"/>
    <w:rsid w:val="00CA2865"/>
    <w:rsid w:val="00CA2869"/>
    <w:rsid w:val="00CA286C"/>
    <w:rsid w:val="00CA2875"/>
    <w:rsid w:val="00CA28AE"/>
    <w:rsid w:val="00CA28C8"/>
    <w:rsid w:val="00CA2A6B"/>
    <w:rsid w:val="00CA2A85"/>
    <w:rsid w:val="00CA2AC4"/>
    <w:rsid w:val="00CA2B95"/>
    <w:rsid w:val="00CA2DEA"/>
    <w:rsid w:val="00CA2F08"/>
    <w:rsid w:val="00CA2F18"/>
    <w:rsid w:val="00CA2F40"/>
    <w:rsid w:val="00CA2F70"/>
    <w:rsid w:val="00CA2F99"/>
    <w:rsid w:val="00CA2FA7"/>
    <w:rsid w:val="00CA2FB9"/>
    <w:rsid w:val="00CA2FC3"/>
    <w:rsid w:val="00CA302A"/>
    <w:rsid w:val="00CA3068"/>
    <w:rsid w:val="00CA30B8"/>
    <w:rsid w:val="00CA30D4"/>
    <w:rsid w:val="00CA30D8"/>
    <w:rsid w:val="00CA311A"/>
    <w:rsid w:val="00CA311D"/>
    <w:rsid w:val="00CA31C2"/>
    <w:rsid w:val="00CA3223"/>
    <w:rsid w:val="00CA3247"/>
    <w:rsid w:val="00CA32C7"/>
    <w:rsid w:val="00CA33B9"/>
    <w:rsid w:val="00CA348B"/>
    <w:rsid w:val="00CA34E7"/>
    <w:rsid w:val="00CA3535"/>
    <w:rsid w:val="00CA3553"/>
    <w:rsid w:val="00CA3640"/>
    <w:rsid w:val="00CA3642"/>
    <w:rsid w:val="00CA3651"/>
    <w:rsid w:val="00CA3652"/>
    <w:rsid w:val="00CA369B"/>
    <w:rsid w:val="00CA374B"/>
    <w:rsid w:val="00CA377E"/>
    <w:rsid w:val="00CA3799"/>
    <w:rsid w:val="00CA37D2"/>
    <w:rsid w:val="00CA3826"/>
    <w:rsid w:val="00CA3836"/>
    <w:rsid w:val="00CA385F"/>
    <w:rsid w:val="00CA395D"/>
    <w:rsid w:val="00CA39BB"/>
    <w:rsid w:val="00CA39BC"/>
    <w:rsid w:val="00CA3A71"/>
    <w:rsid w:val="00CA3B0F"/>
    <w:rsid w:val="00CA3BE3"/>
    <w:rsid w:val="00CA3BF3"/>
    <w:rsid w:val="00CA3C36"/>
    <w:rsid w:val="00CA3C78"/>
    <w:rsid w:val="00CA3D58"/>
    <w:rsid w:val="00CA3DA4"/>
    <w:rsid w:val="00CA3DE1"/>
    <w:rsid w:val="00CA3DE3"/>
    <w:rsid w:val="00CA3E43"/>
    <w:rsid w:val="00CA3E8F"/>
    <w:rsid w:val="00CA3EA3"/>
    <w:rsid w:val="00CA3EF7"/>
    <w:rsid w:val="00CA3F5E"/>
    <w:rsid w:val="00CA3FC2"/>
    <w:rsid w:val="00CA4002"/>
    <w:rsid w:val="00CA4041"/>
    <w:rsid w:val="00CA40B2"/>
    <w:rsid w:val="00CA40B3"/>
    <w:rsid w:val="00CA41FF"/>
    <w:rsid w:val="00CA423C"/>
    <w:rsid w:val="00CA4274"/>
    <w:rsid w:val="00CA42BF"/>
    <w:rsid w:val="00CA431F"/>
    <w:rsid w:val="00CA4321"/>
    <w:rsid w:val="00CA438C"/>
    <w:rsid w:val="00CA43F7"/>
    <w:rsid w:val="00CA4407"/>
    <w:rsid w:val="00CA4408"/>
    <w:rsid w:val="00CA443E"/>
    <w:rsid w:val="00CA4453"/>
    <w:rsid w:val="00CA4483"/>
    <w:rsid w:val="00CA4494"/>
    <w:rsid w:val="00CA44ED"/>
    <w:rsid w:val="00CA45EA"/>
    <w:rsid w:val="00CA465B"/>
    <w:rsid w:val="00CA46EB"/>
    <w:rsid w:val="00CA47A1"/>
    <w:rsid w:val="00CA47D9"/>
    <w:rsid w:val="00CA4862"/>
    <w:rsid w:val="00CA48A1"/>
    <w:rsid w:val="00CA48B0"/>
    <w:rsid w:val="00CA48DE"/>
    <w:rsid w:val="00CA4A3B"/>
    <w:rsid w:val="00CA4A57"/>
    <w:rsid w:val="00CA4AD9"/>
    <w:rsid w:val="00CA4AFF"/>
    <w:rsid w:val="00CA4B0D"/>
    <w:rsid w:val="00CA4B73"/>
    <w:rsid w:val="00CA4BE6"/>
    <w:rsid w:val="00CA4C36"/>
    <w:rsid w:val="00CA4D93"/>
    <w:rsid w:val="00CA4E11"/>
    <w:rsid w:val="00CA4E8E"/>
    <w:rsid w:val="00CA4F83"/>
    <w:rsid w:val="00CA4FBF"/>
    <w:rsid w:val="00CA50A5"/>
    <w:rsid w:val="00CA50E4"/>
    <w:rsid w:val="00CA5101"/>
    <w:rsid w:val="00CA5114"/>
    <w:rsid w:val="00CA511C"/>
    <w:rsid w:val="00CA5228"/>
    <w:rsid w:val="00CA522E"/>
    <w:rsid w:val="00CA5265"/>
    <w:rsid w:val="00CA530B"/>
    <w:rsid w:val="00CA53DD"/>
    <w:rsid w:val="00CA548D"/>
    <w:rsid w:val="00CA5510"/>
    <w:rsid w:val="00CA5549"/>
    <w:rsid w:val="00CA555F"/>
    <w:rsid w:val="00CA5579"/>
    <w:rsid w:val="00CA56A6"/>
    <w:rsid w:val="00CA56B0"/>
    <w:rsid w:val="00CA56B8"/>
    <w:rsid w:val="00CA56D1"/>
    <w:rsid w:val="00CA5727"/>
    <w:rsid w:val="00CA572A"/>
    <w:rsid w:val="00CA575F"/>
    <w:rsid w:val="00CA5785"/>
    <w:rsid w:val="00CA5789"/>
    <w:rsid w:val="00CA578E"/>
    <w:rsid w:val="00CA579D"/>
    <w:rsid w:val="00CA57F9"/>
    <w:rsid w:val="00CA5805"/>
    <w:rsid w:val="00CA581C"/>
    <w:rsid w:val="00CA5879"/>
    <w:rsid w:val="00CA58F1"/>
    <w:rsid w:val="00CA5910"/>
    <w:rsid w:val="00CA593C"/>
    <w:rsid w:val="00CA594F"/>
    <w:rsid w:val="00CA5958"/>
    <w:rsid w:val="00CA598F"/>
    <w:rsid w:val="00CA59A8"/>
    <w:rsid w:val="00CA59B1"/>
    <w:rsid w:val="00CA59C1"/>
    <w:rsid w:val="00CA5A2C"/>
    <w:rsid w:val="00CA5A4A"/>
    <w:rsid w:val="00CA5A6A"/>
    <w:rsid w:val="00CA5ACD"/>
    <w:rsid w:val="00CA5AE1"/>
    <w:rsid w:val="00CA5BA5"/>
    <w:rsid w:val="00CA5BBD"/>
    <w:rsid w:val="00CA5C91"/>
    <w:rsid w:val="00CA5CA2"/>
    <w:rsid w:val="00CA5D0B"/>
    <w:rsid w:val="00CA5E48"/>
    <w:rsid w:val="00CA5E63"/>
    <w:rsid w:val="00CA5E76"/>
    <w:rsid w:val="00CA5F17"/>
    <w:rsid w:val="00CA5F30"/>
    <w:rsid w:val="00CA5F77"/>
    <w:rsid w:val="00CA6038"/>
    <w:rsid w:val="00CA609C"/>
    <w:rsid w:val="00CA614E"/>
    <w:rsid w:val="00CA6191"/>
    <w:rsid w:val="00CA6355"/>
    <w:rsid w:val="00CA637A"/>
    <w:rsid w:val="00CA64E3"/>
    <w:rsid w:val="00CA64EB"/>
    <w:rsid w:val="00CA65A1"/>
    <w:rsid w:val="00CA6603"/>
    <w:rsid w:val="00CA6680"/>
    <w:rsid w:val="00CA6699"/>
    <w:rsid w:val="00CA66FB"/>
    <w:rsid w:val="00CA6721"/>
    <w:rsid w:val="00CA6747"/>
    <w:rsid w:val="00CA676B"/>
    <w:rsid w:val="00CA6811"/>
    <w:rsid w:val="00CA688F"/>
    <w:rsid w:val="00CA69DB"/>
    <w:rsid w:val="00CA6A43"/>
    <w:rsid w:val="00CA6A83"/>
    <w:rsid w:val="00CA6B68"/>
    <w:rsid w:val="00CA6B70"/>
    <w:rsid w:val="00CA6CF0"/>
    <w:rsid w:val="00CA6CFE"/>
    <w:rsid w:val="00CA6D8C"/>
    <w:rsid w:val="00CA6EB1"/>
    <w:rsid w:val="00CA6F34"/>
    <w:rsid w:val="00CA6F73"/>
    <w:rsid w:val="00CA6FFD"/>
    <w:rsid w:val="00CA7041"/>
    <w:rsid w:val="00CA705C"/>
    <w:rsid w:val="00CA707B"/>
    <w:rsid w:val="00CA70E3"/>
    <w:rsid w:val="00CA7158"/>
    <w:rsid w:val="00CA717C"/>
    <w:rsid w:val="00CA7213"/>
    <w:rsid w:val="00CA72A7"/>
    <w:rsid w:val="00CA72A9"/>
    <w:rsid w:val="00CA734A"/>
    <w:rsid w:val="00CA7368"/>
    <w:rsid w:val="00CA73B9"/>
    <w:rsid w:val="00CA73FB"/>
    <w:rsid w:val="00CA7466"/>
    <w:rsid w:val="00CA750E"/>
    <w:rsid w:val="00CA7544"/>
    <w:rsid w:val="00CA755B"/>
    <w:rsid w:val="00CA7584"/>
    <w:rsid w:val="00CA75D9"/>
    <w:rsid w:val="00CA7614"/>
    <w:rsid w:val="00CA762F"/>
    <w:rsid w:val="00CA7644"/>
    <w:rsid w:val="00CA764E"/>
    <w:rsid w:val="00CA76C7"/>
    <w:rsid w:val="00CA771B"/>
    <w:rsid w:val="00CA771E"/>
    <w:rsid w:val="00CA7728"/>
    <w:rsid w:val="00CA773D"/>
    <w:rsid w:val="00CA775D"/>
    <w:rsid w:val="00CA7763"/>
    <w:rsid w:val="00CA7797"/>
    <w:rsid w:val="00CA77BD"/>
    <w:rsid w:val="00CA77E8"/>
    <w:rsid w:val="00CA780F"/>
    <w:rsid w:val="00CA7860"/>
    <w:rsid w:val="00CA7973"/>
    <w:rsid w:val="00CA7A4E"/>
    <w:rsid w:val="00CA7A5E"/>
    <w:rsid w:val="00CA7B6A"/>
    <w:rsid w:val="00CA7B7D"/>
    <w:rsid w:val="00CA7C9C"/>
    <w:rsid w:val="00CA7CB7"/>
    <w:rsid w:val="00CA7D2B"/>
    <w:rsid w:val="00CA7D6D"/>
    <w:rsid w:val="00CA7D7B"/>
    <w:rsid w:val="00CA7D97"/>
    <w:rsid w:val="00CA7DDB"/>
    <w:rsid w:val="00CA7DF0"/>
    <w:rsid w:val="00CA7DF8"/>
    <w:rsid w:val="00CA7E20"/>
    <w:rsid w:val="00CA7E28"/>
    <w:rsid w:val="00CA7E46"/>
    <w:rsid w:val="00CA7E6F"/>
    <w:rsid w:val="00CA7EAA"/>
    <w:rsid w:val="00CA7ECC"/>
    <w:rsid w:val="00CA7ED5"/>
    <w:rsid w:val="00CA7ED6"/>
    <w:rsid w:val="00CA7FEC"/>
    <w:rsid w:val="00CA7FF4"/>
    <w:rsid w:val="00CB0047"/>
    <w:rsid w:val="00CB00E0"/>
    <w:rsid w:val="00CB00E5"/>
    <w:rsid w:val="00CB00F2"/>
    <w:rsid w:val="00CB019D"/>
    <w:rsid w:val="00CB01A2"/>
    <w:rsid w:val="00CB031D"/>
    <w:rsid w:val="00CB031F"/>
    <w:rsid w:val="00CB033E"/>
    <w:rsid w:val="00CB035A"/>
    <w:rsid w:val="00CB035B"/>
    <w:rsid w:val="00CB03BD"/>
    <w:rsid w:val="00CB03D0"/>
    <w:rsid w:val="00CB03F7"/>
    <w:rsid w:val="00CB0640"/>
    <w:rsid w:val="00CB0651"/>
    <w:rsid w:val="00CB06BE"/>
    <w:rsid w:val="00CB06FD"/>
    <w:rsid w:val="00CB0757"/>
    <w:rsid w:val="00CB07E4"/>
    <w:rsid w:val="00CB080B"/>
    <w:rsid w:val="00CB081B"/>
    <w:rsid w:val="00CB084C"/>
    <w:rsid w:val="00CB086B"/>
    <w:rsid w:val="00CB08BB"/>
    <w:rsid w:val="00CB092A"/>
    <w:rsid w:val="00CB0946"/>
    <w:rsid w:val="00CB09DC"/>
    <w:rsid w:val="00CB0A6D"/>
    <w:rsid w:val="00CB0A73"/>
    <w:rsid w:val="00CB0ABF"/>
    <w:rsid w:val="00CB0AC8"/>
    <w:rsid w:val="00CB0AD6"/>
    <w:rsid w:val="00CB0B35"/>
    <w:rsid w:val="00CB0B36"/>
    <w:rsid w:val="00CB0B86"/>
    <w:rsid w:val="00CB0BF3"/>
    <w:rsid w:val="00CB0BF6"/>
    <w:rsid w:val="00CB0CAC"/>
    <w:rsid w:val="00CB0CBA"/>
    <w:rsid w:val="00CB0E35"/>
    <w:rsid w:val="00CB0E69"/>
    <w:rsid w:val="00CB0F15"/>
    <w:rsid w:val="00CB0F83"/>
    <w:rsid w:val="00CB0FE6"/>
    <w:rsid w:val="00CB104D"/>
    <w:rsid w:val="00CB10B7"/>
    <w:rsid w:val="00CB10E1"/>
    <w:rsid w:val="00CB1155"/>
    <w:rsid w:val="00CB126B"/>
    <w:rsid w:val="00CB131D"/>
    <w:rsid w:val="00CB136D"/>
    <w:rsid w:val="00CB13DD"/>
    <w:rsid w:val="00CB13ED"/>
    <w:rsid w:val="00CB141C"/>
    <w:rsid w:val="00CB14B2"/>
    <w:rsid w:val="00CB14BA"/>
    <w:rsid w:val="00CB1619"/>
    <w:rsid w:val="00CB162D"/>
    <w:rsid w:val="00CB1687"/>
    <w:rsid w:val="00CB16B1"/>
    <w:rsid w:val="00CB16DD"/>
    <w:rsid w:val="00CB16E7"/>
    <w:rsid w:val="00CB1740"/>
    <w:rsid w:val="00CB176B"/>
    <w:rsid w:val="00CB1787"/>
    <w:rsid w:val="00CB179B"/>
    <w:rsid w:val="00CB1816"/>
    <w:rsid w:val="00CB189E"/>
    <w:rsid w:val="00CB18EA"/>
    <w:rsid w:val="00CB1911"/>
    <w:rsid w:val="00CB191E"/>
    <w:rsid w:val="00CB192B"/>
    <w:rsid w:val="00CB19A6"/>
    <w:rsid w:val="00CB19B4"/>
    <w:rsid w:val="00CB19ED"/>
    <w:rsid w:val="00CB19FA"/>
    <w:rsid w:val="00CB1A51"/>
    <w:rsid w:val="00CB1B1E"/>
    <w:rsid w:val="00CB1B74"/>
    <w:rsid w:val="00CB1BB4"/>
    <w:rsid w:val="00CB1C1C"/>
    <w:rsid w:val="00CB1C4B"/>
    <w:rsid w:val="00CB1C5B"/>
    <w:rsid w:val="00CB1D35"/>
    <w:rsid w:val="00CB1D8D"/>
    <w:rsid w:val="00CB1E2B"/>
    <w:rsid w:val="00CB1F15"/>
    <w:rsid w:val="00CB1F32"/>
    <w:rsid w:val="00CB1F7D"/>
    <w:rsid w:val="00CB205A"/>
    <w:rsid w:val="00CB2138"/>
    <w:rsid w:val="00CB217A"/>
    <w:rsid w:val="00CB22B2"/>
    <w:rsid w:val="00CB22BA"/>
    <w:rsid w:val="00CB2320"/>
    <w:rsid w:val="00CB23D1"/>
    <w:rsid w:val="00CB24C4"/>
    <w:rsid w:val="00CB250C"/>
    <w:rsid w:val="00CB2542"/>
    <w:rsid w:val="00CB2543"/>
    <w:rsid w:val="00CB2558"/>
    <w:rsid w:val="00CB25E4"/>
    <w:rsid w:val="00CB269F"/>
    <w:rsid w:val="00CB2712"/>
    <w:rsid w:val="00CB27D8"/>
    <w:rsid w:val="00CB2803"/>
    <w:rsid w:val="00CB282D"/>
    <w:rsid w:val="00CB28D5"/>
    <w:rsid w:val="00CB28DB"/>
    <w:rsid w:val="00CB2916"/>
    <w:rsid w:val="00CB293B"/>
    <w:rsid w:val="00CB2944"/>
    <w:rsid w:val="00CB2984"/>
    <w:rsid w:val="00CB29C8"/>
    <w:rsid w:val="00CB2A0C"/>
    <w:rsid w:val="00CB2AEE"/>
    <w:rsid w:val="00CB2B54"/>
    <w:rsid w:val="00CB2B6D"/>
    <w:rsid w:val="00CB2B83"/>
    <w:rsid w:val="00CB2BD2"/>
    <w:rsid w:val="00CB2BF9"/>
    <w:rsid w:val="00CB2D9E"/>
    <w:rsid w:val="00CB2DFA"/>
    <w:rsid w:val="00CB2E27"/>
    <w:rsid w:val="00CB2E48"/>
    <w:rsid w:val="00CB2E55"/>
    <w:rsid w:val="00CB2E8B"/>
    <w:rsid w:val="00CB2F08"/>
    <w:rsid w:val="00CB2F22"/>
    <w:rsid w:val="00CB2F3A"/>
    <w:rsid w:val="00CB2F9B"/>
    <w:rsid w:val="00CB3033"/>
    <w:rsid w:val="00CB3055"/>
    <w:rsid w:val="00CB306C"/>
    <w:rsid w:val="00CB30FF"/>
    <w:rsid w:val="00CB3154"/>
    <w:rsid w:val="00CB317B"/>
    <w:rsid w:val="00CB322A"/>
    <w:rsid w:val="00CB322F"/>
    <w:rsid w:val="00CB3240"/>
    <w:rsid w:val="00CB3265"/>
    <w:rsid w:val="00CB327F"/>
    <w:rsid w:val="00CB332F"/>
    <w:rsid w:val="00CB34B1"/>
    <w:rsid w:val="00CB357B"/>
    <w:rsid w:val="00CB3612"/>
    <w:rsid w:val="00CB364A"/>
    <w:rsid w:val="00CB37B5"/>
    <w:rsid w:val="00CB382C"/>
    <w:rsid w:val="00CB385F"/>
    <w:rsid w:val="00CB38C3"/>
    <w:rsid w:val="00CB38C8"/>
    <w:rsid w:val="00CB396C"/>
    <w:rsid w:val="00CB39C6"/>
    <w:rsid w:val="00CB3AAE"/>
    <w:rsid w:val="00CB3B42"/>
    <w:rsid w:val="00CB3B6F"/>
    <w:rsid w:val="00CB3B71"/>
    <w:rsid w:val="00CB3BA9"/>
    <w:rsid w:val="00CB3C56"/>
    <w:rsid w:val="00CB3C87"/>
    <w:rsid w:val="00CB3C91"/>
    <w:rsid w:val="00CB3CEC"/>
    <w:rsid w:val="00CB3CED"/>
    <w:rsid w:val="00CB3D3C"/>
    <w:rsid w:val="00CB3D93"/>
    <w:rsid w:val="00CB3DAA"/>
    <w:rsid w:val="00CB3E1F"/>
    <w:rsid w:val="00CB3E21"/>
    <w:rsid w:val="00CB3E2E"/>
    <w:rsid w:val="00CB3E63"/>
    <w:rsid w:val="00CB3E71"/>
    <w:rsid w:val="00CB3E91"/>
    <w:rsid w:val="00CB3F32"/>
    <w:rsid w:val="00CB406B"/>
    <w:rsid w:val="00CB41A1"/>
    <w:rsid w:val="00CB41D2"/>
    <w:rsid w:val="00CB425A"/>
    <w:rsid w:val="00CB4297"/>
    <w:rsid w:val="00CB4314"/>
    <w:rsid w:val="00CB4422"/>
    <w:rsid w:val="00CB448D"/>
    <w:rsid w:val="00CB44DC"/>
    <w:rsid w:val="00CB453B"/>
    <w:rsid w:val="00CB454E"/>
    <w:rsid w:val="00CB4701"/>
    <w:rsid w:val="00CB4750"/>
    <w:rsid w:val="00CB47B5"/>
    <w:rsid w:val="00CB47B8"/>
    <w:rsid w:val="00CB487F"/>
    <w:rsid w:val="00CB48A7"/>
    <w:rsid w:val="00CB48CA"/>
    <w:rsid w:val="00CB48DA"/>
    <w:rsid w:val="00CB48ED"/>
    <w:rsid w:val="00CB4926"/>
    <w:rsid w:val="00CB4952"/>
    <w:rsid w:val="00CB49D4"/>
    <w:rsid w:val="00CB4A15"/>
    <w:rsid w:val="00CB4A25"/>
    <w:rsid w:val="00CB4AA9"/>
    <w:rsid w:val="00CB4AAC"/>
    <w:rsid w:val="00CB4B1C"/>
    <w:rsid w:val="00CB4BE5"/>
    <w:rsid w:val="00CB4BEC"/>
    <w:rsid w:val="00CB4C10"/>
    <w:rsid w:val="00CB4C2E"/>
    <w:rsid w:val="00CB4C62"/>
    <w:rsid w:val="00CB4C65"/>
    <w:rsid w:val="00CB4CCE"/>
    <w:rsid w:val="00CB4D24"/>
    <w:rsid w:val="00CB4DA3"/>
    <w:rsid w:val="00CB4E95"/>
    <w:rsid w:val="00CB4EEB"/>
    <w:rsid w:val="00CB4F06"/>
    <w:rsid w:val="00CB4F08"/>
    <w:rsid w:val="00CB4F7A"/>
    <w:rsid w:val="00CB4F7E"/>
    <w:rsid w:val="00CB4FFF"/>
    <w:rsid w:val="00CB50D1"/>
    <w:rsid w:val="00CB50EE"/>
    <w:rsid w:val="00CB5141"/>
    <w:rsid w:val="00CB5158"/>
    <w:rsid w:val="00CB5178"/>
    <w:rsid w:val="00CB519E"/>
    <w:rsid w:val="00CB5277"/>
    <w:rsid w:val="00CB52A3"/>
    <w:rsid w:val="00CB52B7"/>
    <w:rsid w:val="00CB52C3"/>
    <w:rsid w:val="00CB531B"/>
    <w:rsid w:val="00CB531E"/>
    <w:rsid w:val="00CB5383"/>
    <w:rsid w:val="00CB53CF"/>
    <w:rsid w:val="00CB5452"/>
    <w:rsid w:val="00CB54A4"/>
    <w:rsid w:val="00CB5505"/>
    <w:rsid w:val="00CB5518"/>
    <w:rsid w:val="00CB559E"/>
    <w:rsid w:val="00CB55B6"/>
    <w:rsid w:val="00CB5653"/>
    <w:rsid w:val="00CB567D"/>
    <w:rsid w:val="00CB5831"/>
    <w:rsid w:val="00CB58D0"/>
    <w:rsid w:val="00CB5907"/>
    <w:rsid w:val="00CB590E"/>
    <w:rsid w:val="00CB59AD"/>
    <w:rsid w:val="00CB5A2A"/>
    <w:rsid w:val="00CB5A2C"/>
    <w:rsid w:val="00CB5A59"/>
    <w:rsid w:val="00CB5A85"/>
    <w:rsid w:val="00CB5B03"/>
    <w:rsid w:val="00CB5B3E"/>
    <w:rsid w:val="00CB5B4A"/>
    <w:rsid w:val="00CB5B61"/>
    <w:rsid w:val="00CB5B99"/>
    <w:rsid w:val="00CB5C0C"/>
    <w:rsid w:val="00CB5DAC"/>
    <w:rsid w:val="00CB5DC9"/>
    <w:rsid w:val="00CB5DFE"/>
    <w:rsid w:val="00CB5FD3"/>
    <w:rsid w:val="00CB6061"/>
    <w:rsid w:val="00CB611A"/>
    <w:rsid w:val="00CB6125"/>
    <w:rsid w:val="00CB6167"/>
    <w:rsid w:val="00CB61E0"/>
    <w:rsid w:val="00CB6308"/>
    <w:rsid w:val="00CB6346"/>
    <w:rsid w:val="00CB63B0"/>
    <w:rsid w:val="00CB643E"/>
    <w:rsid w:val="00CB64C3"/>
    <w:rsid w:val="00CB6546"/>
    <w:rsid w:val="00CB6555"/>
    <w:rsid w:val="00CB65DF"/>
    <w:rsid w:val="00CB6654"/>
    <w:rsid w:val="00CB6712"/>
    <w:rsid w:val="00CB6766"/>
    <w:rsid w:val="00CB6804"/>
    <w:rsid w:val="00CB6817"/>
    <w:rsid w:val="00CB6896"/>
    <w:rsid w:val="00CB68B9"/>
    <w:rsid w:val="00CB692B"/>
    <w:rsid w:val="00CB6948"/>
    <w:rsid w:val="00CB696B"/>
    <w:rsid w:val="00CB6A4D"/>
    <w:rsid w:val="00CB6A90"/>
    <w:rsid w:val="00CB6BD1"/>
    <w:rsid w:val="00CB6C33"/>
    <w:rsid w:val="00CB6C47"/>
    <w:rsid w:val="00CB6C64"/>
    <w:rsid w:val="00CB6CA0"/>
    <w:rsid w:val="00CB6CBF"/>
    <w:rsid w:val="00CB6CEC"/>
    <w:rsid w:val="00CB6D12"/>
    <w:rsid w:val="00CB6D30"/>
    <w:rsid w:val="00CB6D48"/>
    <w:rsid w:val="00CB6E0D"/>
    <w:rsid w:val="00CB6E16"/>
    <w:rsid w:val="00CB6E4D"/>
    <w:rsid w:val="00CB6E68"/>
    <w:rsid w:val="00CB6F88"/>
    <w:rsid w:val="00CB706A"/>
    <w:rsid w:val="00CB7091"/>
    <w:rsid w:val="00CB70A8"/>
    <w:rsid w:val="00CB70C3"/>
    <w:rsid w:val="00CB70EE"/>
    <w:rsid w:val="00CB7140"/>
    <w:rsid w:val="00CB71E3"/>
    <w:rsid w:val="00CB7273"/>
    <w:rsid w:val="00CB7291"/>
    <w:rsid w:val="00CB73E0"/>
    <w:rsid w:val="00CB73E7"/>
    <w:rsid w:val="00CB741F"/>
    <w:rsid w:val="00CB746D"/>
    <w:rsid w:val="00CB747A"/>
    <w:rsid w:val="00CB747B"/>
    <w:rsid w:val="00CB74BB"/>
    <w:rsid w:val="00CB753C"/>
    <w:rsid w:val="00CB7547"/>
    <w:rsid w:val="00CB75BD"/>
    <w:rsid w:val="00CB7690"/>
    <w:rsid w:val="00CB76B0"/>
    <w:rsid w:val="00CB76BF"/>
    <w:rsid w:val="00CB76CA"/>
    <w:rsid w:val="00CB76CD"/>
    <w:rsid w:val="00CB770F"/>
    <w:rsid w:val="00CB772D"/>
    <w:rsid w:val="00CB776C"/>
    <w:rsid w:val="00CB7799"/>
    <w:rsid w:val="00CB783D"/>
    <w:rsid w:val="00CB7883"/>
    <w:rsid w:val="00CB792D"/>
    <w:rsid w:val="00CB7932"/>
    <w:rsid w:val="00CB7977"/>
    <w:rsid w:val="00CB79D5"/>
    <w:rsid w:val="00CB7A15"/>
    <w:rsid w:val="00CB7A22"/>
    <w:rsid w:val="00CB7B0C"/>
    <w:rsid w:val="00CB7BA9"/>
    <w:rsid w:val="00CB7C1C"/>
    <w:rsid w:val="00CB7CE2"/>
    <w:rsid w:val="00CB7CF1"/>
    <w:rsid w:val="00CB7D9B"/>
    <w:rsid w:val="00CB7DB1"/>
    <w:rsid w:val="00CB7E09"/>
    <w:rsid w:val="00CB7EDF"/>
    <w:rsid w:val="00CB7F27"/>
    <w:rsid w:val="00CB7F30"/>
    <w:rsid w:val="00CB7F4B"/>
    <w:rsid w:val="00CB7FD5"/>
    <w:rsid w:val="00CB7FE0"/>
    <w:rsid w:val="00CB7FEC"/>
    <w:rsid w:val="00CB8B2F"/>
    <w:rsid w:val="00CC0025"/>
    <w:rsid w:val="00CC0063"/>
    <w:rsid w:val="00CC00A3"/>
    <w:rsid w:val="00CC00EE"/>
    <w:rsid w:val="00CC0173"/>
    <w:rsid w:val="00CC01BE"/>
    <w:rsid w:val="00CC0278"/>
    <w:rsid w:val="00CC0289"/>
    <w:rsid w:val="00CC028F"/>
    <w:rsid w:val="00CC02CD"/>
    <w:rsid w:val="00CC036F"/>
    <w:rsid w:val="00CC03E2"/>
    <w:rsid w:val="00CC05E8"/>
    <w:rsid w:val="00CC070F"/>
    <w:rsid w:val="00CC0774"/>
    <w:rsid w:val="00CC078E"/>
    <w:rsid w:val="00CC07D8"/>
    <w:rsid w:val="00CC084A"/>
    <w:rsid w:val="00CC08AF"/>
    <w:rsid w:val="00CC097E"/>
    <w:rsid w:val="00CC0A4A"/>
    <w:rsid w:val="00CC0A4F"/>
    <w:rsid w:val="00CC0AB5"/>
    <w:rsid w:val="00CC0B5C"/>
    <w:rsid w:val="00CC0B74"/>
    <w:rsid w:val="00CC0C7A"/>
    <w:rsid w:val="00CC0CA5"/>
    <w:rsid w:val="00CC0D25"/>
    <w:rsid w:val="00CC0D2F"/>
    <w:rsid w:val="00CC0D93"/>
    <w:rsid w:val="00CC0E1C"/>
    <w:rsid w:val="00CC0E74"/>
    <w:rsid w:val="00CC0F22"/>
    <w:rsid w:val="00CC0F6D"/>
    <w:rsid w:val="00CC1001"/>
    <w:rsid w:val="00CC1022"/>
    <w:rsid w:val="00CC1059"/>
    <w:rsid w:val="00CC1070"/>
    <w:rsid w:val="00CC109B"/>
    <w:rsid w:val="00CC10EA"/>
    <w:rsid w:val="00CC1139"/>
    <w:rsid w:val="00CC115C"/>
    <w:rsid w:val="00CC1179"/>
    <w:rsid w:val="00CC118A"/>
    <w:rsid w:val="00CC11AA"/>
    <w:rsid w:val="00CC1221"/>
    <w:rsid w:val="00CC1238"/>
    <w:rsid w:val="00CC125C"/>
    <w:rsid w:val="00CC12A3"/>
    <w:rsid w:val="00CC1354"/>
    <w:rsid w:val="00CC1387"/>
    <w:rsid w:val="00CC139C"/>
    <w:rsid w:val="00CC13E7"/>
    <w:rsid w:val="00CC146C"/>
    <w:rsid w:val="00CC14FD"/>
    <w:rsid w:val="00CC1513"/>
    <w:rsid w:val="00CC15D8"/>
    <w:rsid w:val="00CC15F0"/>
    <w:rsid w:val="00CC16BD"/>
    <w:rsid w:val="00CC16CA"/>
    <w:rsid w:val="00CC16E2"/>
    <w:rsid w:val="00CC16F8"/>
    <w:rsid w:val="00CC17AE"/>
    <w:rsid w:val="00CC1846"/>
    <w:rsid w:val="00CC18E0"/>
    <w:rsid w:val="00CC19C0"/>
    <w:rsid w:val="00CC19F5"/>
    <w:rsid w:val="00CC1A36"/>
    <w:rsid w:val="00CC1A5B"/>
    <w:rsid w:val="00CC1AD5"/>
    <w:rsid w:val="00CC1B04"/>
    <w:rsid w:val="00CC1B2F"/>
    <w:rsid w:val="00CC1B88"/>
    <w:rsid w:val="00CC1BA7"/>
    <w:rsid w:val="00CC1BF3"/>
    <w:rsid w:val="00CC1C05"/>
    <w:rsid w:val="00CC1C43"/>
    <w:rsid w:val="00CC1C5B"/>
    <w:rsid w:val="00CC1C7F"/>
    <w:rsid w:val="00CC1CC5"/>
    <w:rsid w:val="00CC1CE1"/>
    <w:rsid w:val="00CC1E07"/>
    <w:rsid w:val="00CC1E0D"/>
    <w:rsid w:val="00CC1E1D"/>
    <w:rsid w:val="00CC1E9C"/>
    <w:rsid w:val="00CC1EAE"/>
    <w:rsid w:val="00CC1F4A"/>
    <w:rsid w:val="00CC1F4E"/>
    <w:rsid w:val="00CC1F91"/>
    <w:rsid w:val="00CC1FAC"/>
    <w:rsid w:val="00CC20F2"/>
    <w:rsid w:val="00CC2184"/>
    <w:rsid w:val="00CC21F7"/>
    <w:rsid w:val="00CC2230"/>
    <w:rsid w:val="00CC226D"/>
    <w:rsid w:val="00CC22C7"/>
    <w:rsid w:val="00CC22DA"/>
    <w:rsid w:val="00CC230A"/>
    <w:rsid w:val="00CC231F"/>
    <w:rsid w:val="00CC248A"/>
    <w:rsid w:val="00CC249E"/>
    <w:rsid w:val="00CC24C9"/>
    <w:rsid w:val="00CC259E"/>
    <w:rsid w:val="00CC2673"/>
    <w:rsid w:val="00CC277C"/>
    <w:rsid w:val="00CC2814"/>
    <w:rsid w:val="00CC2833"/>
    <w:rsid w:val="00CC287D"/>
    <w:rsid w:val="00CC28BB"/>
    <w:rsid w:val="00CC28E1"/>
    <w:rsid w:val="00CC290D"/>
    <w:rsid w:val="00CC2A8A"/>
    <w:rsid w:val="00CC2AC9"/>
    <w:rsid w:val="00CC2B16"/>
    <w:rsid w:val="00CC2B18"/>
    <w:rsid w:val="00CC2B30"/>
    <w:rsid w:val="00CC2B3F"/>
    <w:rsid w:val="00CC2B55"/>
    <w:rsid w:val="00CC2B68"/>
    <w:rsid w:val="00CC2BB5"/>
    <w:rsid w:val="00CC2BB9"/>
    <w:rsid w:val="00CC2BF1"/>
    <w:rsid w:val="00CC2C5C"/>
    <w:rsid w:val="00CC2CC5"/>
    <w:rsid w:val="00CC2CF0"/>
    <w:rsid w:val="00CC2D96"/>
    <w:rsid w:val="00CC2DDD"/>
    <w:rsid w:val="00CC2E3C"/>
    <w:rsid w:val="00CC2EE2"/>
    <w:rsid w:val="00CC2EFB"/>
    <w:rsid w:val="00CC2F43"/>
    <w:rsid w:val="00CC2FE9"/>
    <w:rsid w:val="00CC3018"/>
    <w:rsid w:val="00CC31D6"/>
    <w:rsid w:val="00CC3217"/>
    <w:rsid w:val="00CC3262"/>
    <w:rsid w:val="00CC3365"/>
    <w:rsid w:val="00CC3378"/>
    <w:rsid w:val="00CC3498"/>
    <w:rsid w:val="00CC3499"/>
    <w:rsid w:val="00CC3526"/>
    <w:rsid w:val="00CC3527"/>
    <w:rsid w:val="00CC3536"/>
    <w:rsid w:val="00CC356D"/>
    <w:rsid w:val="00CC3605"/>
    <w:rsid w:val="00CC376D"/>
    <w:rsid w:val="00CC376E"/>
    <w:rsid w:val="00CC37A2"/>
    <w:rsid w:val="00CC37C1"/>
    <w:rsid w:val="00CC37C6"/>
    <w:rsid w:val="00CC37C9"/>
    <w:rsid w:val="00CC38B1"/>
    <w:rsid w:val="00CC3911"/>
    <w:rsid w:val="00CC39D4"/>
    <w:rsid w:val="00CC3A7D"/>
    <w:rsid w:val="00CC3AAC"/>
    <w:rsid w:val="00CC3AF5"/>
    <w:rsid w:val="00CC3B08"/>
    <w:rsid w:val="00CC3B4C"/>
    <w:rsid w:val="00CC3BAF"/>
    <w:rsid w:val="00CC3C2F"/>
    <w:rsid w:val="00CC3D66"/>
    <w:rsid w:val="00CC3D99"/>
    <w:rsid w:val="00CC3DA4"/>
    <w:rsid w:val="00CC3E83"/>
    <w:rsid w:val="00CC3EEF"/>
    <w:rsid w:val="00CC3F93"/>
    <w:rsid w:val="00CC3FD0"/>
    <w:rsid w:val="00CC401D"/>
    <w:rsid w:val="00CC41C2"/>
    <w:rsid w:val="00CC4211"/>
    <w:rsid w:val="00CC4291"/>
    <w:rsid w:val="00CC43C9"/>
    <w:rsid w:val="00CC4546"/>
    <w:rsid w:val="00CC465B"/>
    <w:rsid w:val="00CC466B"/>
    <w:rsid w:val="00CC4676"/>
    <w:rsid w:val="00CC46A4"/>
    <w:rsid w:val="00CC4725"/>
    <w:rsid w:val="00CC4729"/>
    <w:rsid w:val="00CC472C"/>
    <w:rsid w:val="00CC4740"/>
    <w:rsid w:val="00CC4752"/>
    <w:rsid w:val="00CC476D"/>
    <w:rsid w:val="00CC484F"/>
    <w:rsid w:val="00CC488C"/>
    <w:rsid w:val="00CC48B7"/>
    <w:rsid w:val="00CC498C"/>
    <w:rsid w:val="00CC4A88"/>
    <w:rsid w:val="00CC4AF9"/>
    <w:rsid w:val="00CC4B6B"/>
    <w:rsid w:val="00CC4B75"/>
    <w:rsid w:val="00CC4B88"/>
    <w:rsid w:val="00CC4BD1"/>
    <w:rsid w:val="00CC4C0E"/>
    <w:rsid w:val="00CC4C2F"/>
    <w:rsid w:val="00CC4C5B"/>
    <w:rsid w:val="00CC4C88"/>
    <w:rsid w:val="00CC4CA0"/>
    <w:rsid w:val="00CC4CE2"/>
    <w:rsid w:val="00CC4CE5"/>
    <w:rsid w:val="00CC4D01"/>
    <w:rsid w:val="00CC4D03"/>
    <w:rsid w:val="00CC4DD2"/>
    <w:rsid w:val="00CC4DE8"/>
    <w:rsid w:val="00CC4E06"/>
    <w:rsid w:val="00CC4E67"/>
    <w:rsid w:val="00CC4F9B"/>
    <w:rsid w:val="00CC4FF9"/>
    <w:rsid w:val="00CC5008"/>
    <w:rsid w:val="00CC500C"/>
    <w:rsid w:val="00CC506F"/>
    <w:rsid w:val="00CC5081"/>
    <w:rsid w:val="00CC50E2"/>
    <w:rsid w:val="00CC50EE"/>
    <w:rsid w:val="00CC5132"/>
    <w:rsid w:val="00CC515D"/>
    <w:rsid w:val="00CC519E"/>
    <w:rsid w:val="00CC51AC"/>
    <w:rsid w:val="00CC5266"/>
    <w:rsid w:val="00CC529A"/>
    <w:rsid w:val="00CC52BD"/>
    <w:rsid w:val="00CC5307"/>
    <w:rsid w:val="00CC532E"/>
    <w:rsid w:val="00CC53DD"/>
    <w:rsid w:val="00CC53ED"/>
    <w:rsid w:val="00CC540B"/>
    <w:rsid w:val="00CC5546"/>
    <w:rsid w:val="00CC569B"/>
    <w:rsid w:val="00CC5861"/>
    <w:rsid w:val="00CC58D8"/>
    <w:rsid w:val="00CC5953"/>
    <w:rsid w:val="00CC595F"/>
    <w:rsid w:val="00CC599C"/>
    <w:rsid w:val="00CC59CD"/>
    <w:rsid w:val="00CC5A4C"/>
    <w:rsid w:val="00CC5AC0"/>
    <w:rsid w:val="00CC5AFA"/>
    <w:rsid w:val="00CC5B1B"/>
    <w:rsid w:val="00CC5B25"/>
    <w:rsid w:val="00CC5BF3"/>
    <w:rsid w:val="00CC5C04"/>
    <w:rsid w:val="00CC5CA1"/>
    <w:rsid w:val="00CC5CEA"/>
    <w:rsid w:val="00CC5D96"/>
    <w:rsid w:val="00CC5D98"/>
    <w:rsid w:val="00CC5EC1"/>
    <w:rsid w:val="00CC5ECB"/>
    <w:rsid w:val="00CC5F18"/>
    <w:rsid w:val="00CC5F5A"/>
    <w:rsid w:val="00CC5F74"/>
    <w:rsid w:val="00CC5FB3"/>
    <w:rsid w:val="00CC6033"/>
    <w:rsid w:val="00CC6058"/>
    <w:rsid w:val="00CC6062"/>
    <w:rsid w:val="00CC6080"/>
    <w:rsid w:val="00CC610C"/>
    <w:rsid w:val="00CC616B"/>
    <w:rsid w:val="00CC619B"/>
    <w:rsid w:val="00CC61A6"/>
    <w:rsid w:val="00CC61CE"/>
    <w:rsid w:val="00CC6209"/>
    <w:rsid w:val="00CC62A3"/>
    <w:rsid w:val="00CC62BA"/>
    <w:rsid w:val="00CC62BC"/>
    <w:rsid w:val="00CC62D7"/>
    <w:rsid w:val="00CC6303"/>
    <w:rsid w:val="00CC6346"/>
    <w:rsid w:val="00CC6383"/>
    <w:rsid w:val="00CC648C"/>
    <w:rsid w:val="00CC648F"/>
    <w:rsid w:val="00CC64FC"/>
    <w:rsid w:val="00CC6504"/>
    <w:rsid w:val="00CC6511"/>
    <w:rsid w:val="00CC654B"/>
    <w:rsid w:val="00CC65EC"/>
    <w:rsid w:val="00CC670B"/>
    <w:rsid w:val="00CC6787"/>
    <w:rsid w:val="00CC67A1"/>
    <w:rsid w:val="00CC67C9"/>
    <w:rsid w:val="00CC67F2"/>
    <w:rsid w:val="00CC68EC"/>
    <w:rsid w:val="00CC6953"/>
    <w:rsid w:val="00CC6A06"/>
    <w:rsid w:val="00CC6A73"/>
    <w:rsid w:val="00CC6A78"/>
    <w:rsid w:val="00CC6B13"/>
    <w:rsid w:val="00CC6B19"/>
    <w:rsid w:val="00CC6B77"/>
    <w:rsid w:val="00CC6B83"/>
    <w:rsid w:val="00CC6BAB"/>
    <w:rsid w:val="00CC6C13"/>
    <w:rsid w:val="00CC6C3E"/>
    <w:rsid w:val="00CC6D84"/>
    <w:rsid w:val="00CC6DF2"/>
    <w:rsid w:val="00CC6DFD"/>
    <w:rsid w:val="00CC6EBC"/>
    <w:rsid w:val="00CC6F84"/>
    <w:rsid w:val="00CC6FB5"/>
    <w:rsid w:val="00CC6FD0"/>
    <w:rsid w:val="00CC6FE9"/>
    <w:rsid w:val="00CC7070"/>
    <w:rsid w:val="00CC70F6"/>
    <w:rsid w:val="00CC717A"/>
    <w:rsid w:val="00CC71C6"/>
    <w:rsid w:val="00CC7225"/>
    <w:rsid w:val="00CC72B9"/>
    <w:rsid w:val="00CC72CA"/>
    <w:rsid w:val="00CC7339"/>
    <w:rsid w:val="00CC7388"/>
    <w:rsid w:val="00CC74FB"/>
    <w:rsid w:val="00CC7558"/>
    <w:rsid w:val="00CC7648"/>
    <w:rsid w:val="00CC764D"/>
    <w:rsid w:val="00CC76FF"/>
    <w:rsid w:val="00CC774E"/>
    <w:rsid w:val="00CC775E"/>
    <w:rsid w:val="00CC77D3"/>
    <w:rsid w:val="00CC783B"/>
    <w:rsid w:val="00CC7868"/>
    <w:rsid w:val="00CC78B4"/>
    <w:rsid w:val="00CC7980"/>
    <w:rsid w:val="00CC79B4"/>
    <w:rsid w:val="00CC7AB1"/>
    <w:rsid w:val="00CC7AF3"/>
    <w:rsid w:val="00CC7B0B"/>
    <w:rsid w:val="00CC7BBF"/>
    <w:rsid w:val="00CC7BC6"/>
    <w:rsid w:val="00CC7CE7"/>
    <w:rsid w:val="00CC7CE8"/>
    <w:rsid w:val="00CC7D17"/>
    <w:rsid w:val="00CC7D37"/>
    <w:rsid w:val="00CC7DB0"/>
    <w:rsid w:val="00CC7E97"/>
    <w:rsid w:val="00CC7EF5"/>
    <w:rsid w:val="00CC7F48"/>
    <w:rsid w:val="00CD0072"/>
    <w:rsid w:val="00CD00D3"/>
    <w:rsid w:val="00CD0176"/>
    <w:rsid w:val="00CD0201"/>
    <w:rsid w:val="00CD0212"/>
    <w:rsid w:val="00CD028D"/>
    <w:rsid w:val="00CD0292"/>
    <w:rsid w:val="00CD0301"/>
    <w:rsid w:val="00CD03C3"/>
    <w:rsid w:val="00CD03D4"/>
    <w:rsid w:val="00CD03E7"/>
    <w:rsid w:val="00CD04B7"/>
    <w:rsid w:val="00CD04D5"/>
    <w:rsid w:val="00CD04D6"/>
    <w:rsid w:val="00CD061B"/>
    <w:rsid w:val="00CD0621"/>
    <w:rsid w:val="00CD0743"/>
    <w:rsid w:val="00CD0780"/>
    <w:rsid w:val="00CD0798"/>
    <w:rsid w:val="00CD083D"/>
    <w:rsid w:val="00CD0884"/>
    <w:rsid w:val="00CD0902"/>
    <w:rsid w:val="00CD0917"/>
    <w:rsid w:val="00CD0932"/>
    <w:rsid w:val="00CD096C"/>
    <w:rsid w:val="00CD096D"/>
    <w:rsid w:val="00CD0A5C"/>
    <w:rsid w:val="00CD0A88"/>
    <w:rsid w:val="00CD0AE2"/>
    <w:rsid w:val="00CD0B3A"/>
    <w:rsid w:val="00CD0BB2"/>
    <w:rsid w:val="00CD0D45"/>
    <w:rsid w:val="00CD0DE0"/>
    <w:rsid w:val="00CD0DE8"/>
    <w:rsid w:val="00CD0E19"/>
    <w:rsid w:val="00CD0E1C"/>
    <w:rsid w:val="00CD0F54"/>
    <w:rsid w:val="00CD0FA2"/>
    <w:rsid w:val="00CD0FAF"/>
    <w:rsid w:val="00CD0FB0"/>
    <w:rsid w:val="00CD0FD4"/>
    <w:rsid w:val="00CD1023"/>
    <w:rsid w:val="00CD10FB"/>
    <w:rsid w:val="00CD1146"/>
    <w:rsid w:val="00CD1152"/>
    <w:rsid w:val="00CD11C7"/>
    <w:rsid w:val="00CD124B"/>
    <w:rsid w:val="00CD1282"/>
    <w:rsid w:val="00CD12CD"/>
    <w:rsid w:val="00CD12F0"/>
    <w:rsid w:val="00CD1382"/>
    <w:rsid w:val="00CD144F"/>
    <w:rsid w:val="00CD1557"/>
    <w:rsid w:val="00CD15B6"/>
    <w:rsid w:val="00CD1604"/>
    <w:rsid w:val="00CD1608"/>
    <w:rsid w:val="00CD1622"/>
    <w:rsid w:val="00CD168B"/>
    <w:rsid w:val="00CD16AD"/>
    <w:rsid w:val="00CD16B6"/>
    <w:rsid w:val="00CD16BA"/>
    <w:rsid w:val="00CD16DA"/>
    <w:rsid w:val="00CD1702"/>
    <w:rsid w:val="00CD171F"/>
    <w:rsid w:val="00CD1724"/>
    <w:rsid w:val="00CD184D"/>
    <w:rsid w:val="00CD1883"/>
    <w:rsid w:val="00CD189C"/>
    <w:rsid w:val="00CD1907"/>
    <w:rsid w:val="00CD1A37"/>
    <w:rsid w:val="00CD1A4B"/>
    <w:rsid w:val="00CD1A59"/>
    <w:rsid w:val="00CD1A70"/>
    <w:rsid w:val="00CD1ACE"/>
    <w:rsid w:val="00CD1B9F"/>
    <w:rsid w:val="00CD1BA4"/>
    <w:rsid w:val="00CD1BCE"/>
    <w:rsid w:val="00CD1D70"/>
    <w:rsid w:val="00CD1E1A"/>
    <w:rsid w:val="00CD1E59"/>
    <w:rsid w:val="00CD1E6F"/>
    <w:rsid w:val="00CD1F9F"/>
    <w:rsid w:val="00CD20D2"/>
    <w:rsid w:val="00CD2109"/>
    <w:rsid w:val="00CD215D"/>
    <w:rsid w:val="00CD218A"/>
    <w:rsid w:val="00CD2191"/>
    <w:rsid w:val="00CD21EA"/>
    <w:rsid w:val="00CD22DA"/>
    <w:rsid w:val="00CD22F6"/>
    <w:rsid w:val="00CD23CD"/>
    <w:rsid w:val="00CD23D7"/>
    <w:rsid w:val="00CD23F1"/>
    <w:rsid w:val="00CD24B0"/>
    <w:rsid w:val="00CD24DB"/>
    <w:rsid w:val="00CD252D"/>
    <w:rsid w:val="00CD2580"/>
    <w:rsid w:val="00CD25AF"/>
    <w:rsid w:val="00CD25D0"/>
    <w:rsid w:val="00CD25F2"/>
    <w:rsid w:val="00CD26A9"/>
    <w:rsid w:val="00CD279C"/>
    <w:rsid w:val="00CD27D1"/>
    <w:rsid w:val="00CD2806"/>
    <w:rsid w:val="00CD2808"/>
    <w:rsid w:val="00CD28EE"/>
    <w:rsid w:val="00CD2A08"/>
    <w:rsid w:val="00CD2A68"/>
    <w:rsid w:val="00CD2A92"/>
    <w:rsid w:val="00CD2B6D"/>
    <w:rsid w:val="00CD2B91"/>
    <w:rsid w:val="00CD2BF1"/>
    <w:rsid w:val="00CD2C03"/>
    <w:rsid w:val="00CD2C66"/>
    <w:rsid w:val="00CD2D0A"/>
    <w:rsid w:val="00CD2DD1"/>
    <w:rsid w:val="00CD2DFF"/>
    <w:rsid w:val="00CD2E51"/>
    <w:rsid w:val="00CD2EEB"/>
    <w:rsid w:val="00CD2F7E"/>
    <w:rsid w:val="00CD2F96"/>
    <w:rsid w:val="00CD2FF1"/>
    <w:rsid w:val="00CD3068"/>
    <w:rsid w:val="00CD306A"/>
    <w:rsid w:val="00CD3070"/>
    <w:rsid w:val="00CD3072"/>
    <w:rsid w:val="00CD30F2"/>
    <w:rsid w:val="00CD3194"/>
    <w:rsid w:val="00CD31D3"/>
    <w:rsid w:val="00CD3300"/>
    <w:rsid w:val="00CD33A1"/>
    <w:rsid w:val="00CD358D"/>
    <w:rsid w:val="00CD3617"/>
    <w:rsid w:val="00CD361A"/>
    <w:rsid w:val="00CD36C2"/>
    <w:rsid w:val="00CD36E4"/>
    <w:rsid w:val="00CD373D"/>
    <w:rsid w:val="00CD37D7"/>
    <w:rsid w:val="00CD384B"/>
    <w:rsid w:val="00CD384F"/>
    <w:rsid w:val="00CD3867"/>
    <w:rsid w:val="00CD3883"/>
    <w:rsid w:val="00CD388A"/>
    <w:rsid w:val="00CD3914"/>
    <w:rsid w:val="00CD3A12"/>
    <w:rsid w:val="00CD3A78"/>
    <w:rsid w:val="00CD3ABF"/>
    <w:rsid w:val="00CD3B25"/>
    <w:rsid w:val="00CD3B5B"/>
    <w:rsid w:val="00CD3B7E"/>
    <w:rsid w:val="00CD3CA5"/>
    <w:rsid w:val="00CD3CDD"/>
    <w:rsid w:val="00CD3E5E"/>
    <w:rsid w:val="00CD3F0D"/>
    <w:rsid w:val="00CD405A"/>
    <w:rsid w:val="00CD40A0"/>
    <w:rsid w:val="00CD413F"/>
    <w:rsid w:val="00CD414A"/>
    <w:rsid w:val="00CD41D0"/>
    <w:rsid w:val="00CD4226"/>
    <w:rsid w:val="00CD4249"/>
    <w:rsid w:val="00CD447B"/>
    <w:rsid w:val="00CD44C1"/>
    <w:rsid w:val="00CD4517"/>
    <w:rsid w:val="00CD4590"/>
    <w:rsid w:val="00CD459E"/>
    <w:rsid w:val="00CD4615"/>
    <w:rsid w:val="00CD4671"/>
    <w:rsid w:val="00CD468A"/>
    <w:rsid w:val="00CD4761"/>
    <w:rsid w:val="00CD47EE"/>
    <w:rsid w:val="00CD4847"/>
    <w:rsid w:val="00CD48C1"/>
    <w:rsid w:val="00CD496D"/>
    <w:rsid w:val="00CD4A06"/>
    <w:rsid w:val="00CD4A5E"/>
    <w:rsid w:val="00CD4A73"/>
    <w:rsid w:val="00CD4C2C"/>
    <w:rsid w:val="00CD4C55"/>
    <w:rsid w:val="00CD4C72"/>
    <w:rsid w:val="00CD4C95"/>
    <w:rsid w:val="00CD4D07"/>
    <w:rsid w:val="00CD4D5A"/>
    <w:rsid w:val="00CD4D73"/>
    <w:rsid w:val="00CD4E70"/>
    <w:rsid w:val="00CD4E80"/>
    <w:rsid w:val="00CD4EFD"/>
    <w:rsid w:val="00CD4F31"/>
    <w:rsid w:val="00CD4F83"/>
    <w:rsid w:val="00CD4FD8"/>
    <w:rsid w:val="00CD5015"/>
    <w:rsid w:val="00CD502A"/>
    <w:rsid w:val="00CD5179"/>
    <w:rsid w:val="00CD51F3"/>
    <w:rsid w:val="00CD52D1"/>
    <w:rsid w:val="00CD5346"/>
    <w:rsid w:val="00CD5367"/>
    <w:rsid w:val="00CD5438"/>
    <w:rsid w:val="00CD5442"/>
    <w:rsid w:val="00CD547C"/>
    <w:rsid w:val="00CD549E"/>
    <w:rsid w:val="00CD54CB"/>
    <w:rsid w:val="00CD5524"/>
    <w:rsid w:val="00CD553A"/>
    <w:rsid w:val="00CD5596"/>
    <w:rsid w:val="00CD5631"/>
    <w:rsid w:val="00CD5634"/>
    <w:rsid w:val="00CD5924"/>
    <w:rsid w:val="00CD594E"/>
    <w:rsid w:val="00CD5A36"/>
    <w:rsid w:val="00CD5A4E"/>
    <w:rsid w:val="00CD5A90"/>
    <w:rsid w:val="00CD5AAB"/>
    <w:rsid w:val="00CD5BAD"/>
    <w:rsid w:val="00CD5BF2"/>
    <w:rsid w:val="00CD5C49"/>
    <w:rsid w:val="00CD5DD9"/>
    <w:rsid w:val="00CD5E07"/>
    <w:rsid w:val="00CD5ED1"/>
    <w:rsid w:val="00CD5ED6"/>
    <w:rsid w:val="00CD5F74"/>
    <w:rsid w:val="00CD5FC3"/>
    <w:rsid w:val="00CD5FC5"/>
    <w:rsid w:val="00CD60B7"/>
    <w:rsid w:val="00CD6236"/>
    <w:rsid w:val="00CD623C"/>
    <w:rsid w:val="00CD6275"/>
    <w:rsid w:val="00CD627F"/>
    <w:rsid w:val="00CD6396"/>
    <w:rsid w:val="00CD63B4"/>
    <w:rsid w:val="00CD63BD"/>
    <w:rsid w:val="00CD6467"/>
    <w:rsid w:val="00CD64CB"/>
    <w:rsid w:val="00CD652D"/>
    <w:rsid w:val="00CD6536"/>
    <w:rsid w:val="00CD653B"/>
    <w:rsid w:val="00CD6561"/>
    <w:rsid w:val="00CD6692"/>
    <w:rsid w:val="00CD66FA"/>
    <w:rsid w:val="00CD6709"/>
    <w:rsid w:val="00CD6733"/>
    <w:rsid w:val="00CD6746"/>
    <w:rsid w:val="00CD67C9"/>
    <w:rsid w:val="00CD67F9"/>
    <w:rsid w:val="00CD6804"/>
    <w:rsid w:val="00CD6851"/>
    <w:rsid w:val="00CD6946"/>
    <w:rsid w:val="00CD697A"/>
    <w:rsid w:val="00CD69DA"/>
    <w:rsid w:val="00CD6A48"/>
    <w:rsid w:val="00CD6A63"/>
    <w:rsid w:val="00CD6A82"/>
    <w:rsid w:val="00CD6AB5"/>
    <w:rsid w:val="00CD6AC5"/>
    <w:rsid w:val="00CD6AE6"/>
    <w:rsid w:val="00CD6B18"/>
    <w:rsid w:val="00CD6B1F"/>
    <w:rsid w:val="00CD6BD7"/>
    <w:rsid w:val="00CD6C6C"/>
    <w:rsid w:val="00CD6CA3"/>
    <w:rsid w:val="00CD6CCB"/>
    <w:rsid w:val="00CD6CEB"/>
    <w:rsid w:val="00CD6D19"/>
    <w:rsid w:val="00CD6D8D"/>
    <w:rsid w:val="00CD6DB6"/>
    <w:rsid w:val="00CD6DC1"/>
    <w:rsid w:val="00CD6DF5"/>
    <w:rsid w:val="00CD6E69"/>
    <w:rsid w:val="00CD6F07"/>
    <w:rsid w:val="00CD705B"/>
    <w:rsid w:val="00CD70FF"/>
    <w:rsid w:val="00CD71FA"/>
    <w:rsid w:val="00CD7270"/>
    <w:rsid w:val="00CD7294"/>
    <w:rsid w:val="00CD7342"/>
    <w:rsid w:val="00CD755E"/>
    <w:rsid w:val="00CD75D4"/>
    <w:rsid w:val="00CD75EA"/>
    <w:rsid w:val="00CD761C"/>
    <w:rsid w:val="00CD7645"/>
    <w:rsid w:val="00CD7656"/>
    <w:rsid w:val="00CD7694"/>
    <w:rsid w:val="00CD771B"/>
    <w:rsid w:val="00CD77BF"/>
    <w:rsid w:val="00CD77E6"/>
    <w:rsid w:val="00CD77F9"/>
    <w:rsid w:val="00CD781F"/>
    <w:rsid w:val="00CD78F1"/>
    <w:rsid w:val="00CD79C6"/>
    <w:rsid w:val="00CD7A37"/>
    <w:rsid w:val="00CD7A53"/>
    <w:rsid w:val="00CD7B1D"/>
    <w:rsid w:val="00CD7B58"/>
    <w:rsid w:val="00CD7C80"/>
    <w:rsid w:val="00CD7CAF"/>
    <w:rsid w:val="00CD7CBF"/>
    <w:rsid w:val="00CD7D35"/>
    <w:rsid w:val="00CD7D37"/>
    <w:rsid w:val="00CD7D3F"/>
    <w:rsid w:val="00CD7D53"/>
    <w:rsid w:val="00CD7DA9"/>
    <w:rsid w:val="00CD7F82"/>
    <w:rsid w:val="00CE0013"/>
    <w:rsid w:val="00CE0106"/>
    <w:rsid w:val="00CE0124"/>
    <w:rsid w:val="00CE01B0"/>
    <w:rsid w:val="00CE01B2"/>
    <w:rsid w:val="00CE0220"/>
    <w:rsid w:val="00CE02DA"/>
    <w:rsid w:val="00CE0319"/>
    <w:rsid w:val="00CE04C3"/>
    <w:rsid w:val="00CE054D"/>
    <w:rsid w:val="00CE0563"/>
    <w:rsid w:val="00CE0668"/>
    <w:rsid w:val="00CE0713"/>
    <w:rsid w:val="00CE071C"/>
    <w:rsid w:val="00CE0782"/>
    <w:rsid w:val="00CE0792"/>
    <w:rsid w:val="00CE082F"/>
    <w:rsid w:val="00CE0849"/>
    <w:rsid w:val="00CE0874"/>
    <w:rsid w:val="00CE08AE"/>
    <w:rsid w:val="00CE08B9"/>
    <w:rsid w:val="00CE0941"/>
    <w:rsid w:val="00CE09CB"/>
    <w:rsid w:val="00CE09DF"/>
    <w:rsid w:val="00CE0A3C"/>
    <w:rsid w:val="00CE0AE4"/>
    <w:rsid w:val="00CE0C3F"/>
    <w:rsid w:val="00CE0D2D"/>
    <w:rsid w:val="00CE0D86"/>
    <w:rsid w:val="00CE0D92"/>
    <w:rsid w:val="00CE0DE3"/>
    <w:rsid w:val="00CE0E06"/>
    <w:rsid w:val="00CE0E84"/>
    <w:rsid w:val="00CE0E95"/>
    <w:rsid w:val="00CE0EF7"/>
    <w:rsid w:val="00CE0F29"/>
    <w:rsid w:val="00CE0FE3"/>
    <w:rsid w:val="00CE101A"/>
    <w:rsid w:val="00CE1044"/>
    <w:rsid w:val="00CE10A1"/>
    <w:rsid w:val="00CE11B9"/>
    <w:rsid w:val="00CE1271"/>
    <w:rsid w:val="00CE1278"/>
    <w:rsid w:val="00CE133C"/>
    <w:rsid w:val="00CE13C5"/>
    <w:rsid w:val="00CE143D"/>
    <w:rsid w:val="00CE146B"/>
    <w:rsid w:val="00CE14A4"/>
    <w:rsid w:val="00CE1582"/>
    <w:rsid w:val="00CE15BE"/>
    <w:rsid w:val="00CE160F"/>
    <w:rsid w:val="00CE16C8"/>
    <w:rsid w:val="00CE1705"/>
    <w:rsid w:val="00CE1768"/>
    <w:rsid w:val="00CE180C"/>
    <w:rsid w:val="00CE1820"/>
    <w:rsid w:val="00CE1913"/>
    <w:rsid w:val="00CE1935"/>
    <w:rsid w:val="00CE197A"/>
    <w:rsid w:val="00CE19C5"/>
    <w:rsid w:val="00CE19D1"/>
    <w:rsid w:val="00CE19F8"/>
    <w:rsid w:val="00CE1A17"/>
    <w:rsid w:val="00CE1A75"/>
    <w:rsid w:val="00CE1AA1"/>
    <w:rsid w:val="00CE1B20"/>
    <w:rsid w:val="00CE1BD4"/>
    <w:rsid w:val="00CE1BF4"/>
    <w:rsid w:val="00CE1C3F"/>
    <w:rsid w:val="00CE1C52"/>
    <w:rsid w:val="00CE1D00"/>
    <w:rsid w:val="00CE1D05"/>
    <w:rsid w:val="00CE1D09"/>
    <w:rsid w:val="00CE1E78"/>
    <w:rsid w:val="00CE1E7C"/>
    <w:rsid w:val="00CE1E7D"/>
    <w:rsid w:val="00CE1EC2"/>
    <w:rsid w:val="00CE1EEE"/>
    <w:rsid w:val="00CE1FB5"/>
    <w:rsid w:val="00CE2047"/>
    <w:rsid w:val="00CE2061"/>
    <w:rsid w:val="00CE207B"/>
    <w:rsid w:val="00CE20B1"/>
    <w:rsid w:val="00CE2186"/>
    <w:rsid w:val="00CE21DA"/>
    <w:rsid w:val="00CE2255"/>
    <w:rsid w:val="00CE2350"/>
    <w:rsid w:val="00CE23BD"/>
    <w:rsid w:val="00CE23E9"/>
    <w:rsid w:val="00CE240C"/>
    <w:rsid w:val="00CE2526"/>
    <w:rsid w:val="00CE2575"/>
    <w:rsid w:val="00CE2620"/>
    <w:rsid w:val="00CE2621"/>
    <w:rsid w:val="00CE2632"/>
    <w:rsid w:val="00CE263C"/>
    <w:rsid w:val="00CE267B"/>
    <w:rsid w:val="00CE270E"/>
    <w:rsid w:val="00CE273E"/>
    <w:rsid w:val="00CE2780"/>
    <w:rsid w:val="00CE27BE"/>
    <w:rsid w:val="00CE28C0"/>
    <w:rsid w:val="00CE28E2"/>
    <w:rsid w:val="00CE2A49"/>
    <w:rsid w:val="00CE2B07"/>
    <w:rsid w:val="00CE2B4A"/>
    <w:rsid w:val="00CE2B4F"/>
    <w:rsid w:val="00CE2B7B"/>
    <w:rsid w:val="00CE2BAE"/>
    <w:rsid w:val="00CE2D19"/>
    <w:rsid w:val="00CE2D97"/>
    <w:rsid w:val="00CE2E0E"/>
    <w:rsid w:val="00CE2E39"/>
    <w:rsid w:val="00CE2E53"/>
    <w:rsid w:val="00CE2E83"/>
    <w:rsid w:val="00CE2E92"/>
    <w:rsid w:val="00CE2E94"/>
    <w:rsid w:val="00CE2F01"/>
    <w:rsid w:val="00CE2F8A"/>
    <w:rsid w:val="00CE2FB1"/>
    <w:rsid w:val="00CE2FF8"/>
    <w:rsid w:val="00CE3054"/>
    <w:rsid w:val="00CE30EA"/>
    <w:rsid w:val="00CE30EC"/>
    <w:rsid w:val="00CE3110"/>
    <w:rsid w:val="00CE324E"/>
    <w:rsid w:val="00CE32E5"/>
    <w:rsid w:val="00CE32FA"/>
    <w:rsid w:val="00CE331F"/>
    <w:rsid w:val="00CE338B"/>
    <w:rsid w:val="00CE3433"/>
    <w:rsid w:val="00CE3457"/>
    <w:rsid w:val="00CE3466"/>
    <w:rsid w:val="00CE346D"/>
    <w:rsid w:val="00CE3494"/>
    <w:rsid w:val="00CE34DD"/>
    <w:rsid w:val="00CE34F3"/>
    <w:rsid w:val="00CE350C"/>
    <w:rsid w:val="00CE3536"/>
    <w:rsid w:val="00CE357C"/>
    <w:rsid w:val="00CE357F"/>
    <w:rsid w:val="00CE3586"/>
    <w:rsid w:val="00CE35D5"/>
    <w:rsid w:val="00CE368E"/>
    <w:rsid w:val="00CE36D6"/>
    <w:rsid w:val="00CE36E3"/>
    <w:rsid w:val="00CE36F4"/>
    <w:rsid w:val="00CE36FF"/>
    <w:rsid w:val="00CE37AC"/>
    <w:rsid w:val="00CE37CC"/>
    <w:rsid w:val="00CE3831"/>
    <w:rsid w:val="00CE3862"/>
    <w:rsid w:val="00CE3889"/>
    <w:rsid w:val="00CE38AB"/>
    <w:rsid w:val="00CE38F6"/>
    <w:rsid w:val="00CE3925"/>
    <w:rsid w:val="00CE3A11"/>
    <w:rsid w:val="00CE3BAF"/>
    <w:rsid w:val="00CE3BB6"/>
    <w:rsid w:val="00CE3CB1"/>
    <w:rsid w:val="00CE3E50"/>
    <w:rsid w:val="00CE3EBE"/>
    <w:rsid w:val="00CE3EFA"/>
    <w:rsid w:val="00CE3F3F"/>
    <w:rsid w:val="00CE4050"/>
    <w:rsid w:val="00CE4108"/>
    <w:rsid w:val="00CE410C"/>
    <w:rsid w:val="00CE4120"/>
    <w:rsid w:val="00CE4216"/>
    <w:rsid w:val="00CE4246"/>
    <w:rsid w:val="00CE4262"/>
    <w:rsid w:val="00CE42E9"/>
    <w:rsid w:val="00CE43E5"/>
    <w:rsid w:val="00CE4471"/>
    <w:rsid w:val="00CE44AE"/>
    <w:rsid w:val="00CE452F"/>
    <w:rsid w:val="00CE4553"/>
    <w:rsid w:val="00CE456C"/>
    <w:rsid w:val="00CE4588"/>
    <w:rsid w:val="00CE45E7"/>
    <w:rsid w:val="00CE45EA"/>
    <w:rsid w:val="00CE467D"/>
    <w:rsid w:val="00CE4692"/>
    <w:rsid w:val="00CE46C7"/>
    <w:rsid w:val="00CE4717"/>
    <w:rsid w:val="00CE4725"/>
    <w:rsid w:val="00CE475F"/>
    <w:rsid w:val="00CE4791"/>
    <w:rsid w:val="00CE47E0"/>
    <w:rsid w:val="00CE47E7"/>
    <w:rsid w:val="00CE47F9"/>
    <w:rsid w:val="00CE490B"/>
    <w:rsid w:val="00CE4A02"/>
    <w:rsid w:val="00CE4A82"/>
    <w:rsid w:val="00CE4B0B"/>
    <w:rsid w:val="00CE4B34"/>
    <w:rsid w:val="00CE4B4B"/>
    <w:rsid w:val="00CE4D08"/>
    <w:rsid w:val="00CE4D18"/>
    <w:rsid w:val="00CE4D77"/>
    <w:rsid w:val="00CE4E1A"/>
    <w:rsid w:val="00CE4F08"/>
    <w:rsid w:val="00CE50B5"/>
    <w:rsid w:val="00CE50C4"/>
    <w:rsid w:val="00CE5173"/>
    <w:rsid w:val="00CE51D2"/>
    <w:rsid w:val="00CE5204"/>
    <w:rsid w:val="00CE528B"/>
    <w:rsid w:val="00CE529B"/>
    <w:rsid w:val="00CE52FA"/>
    <w:rsid w:val="00CE531A"/>
    <w:rsid w:val="00CE5342"/>
    <w:rsid w:val="00CE5351"/>
    <w:rsid w:val="00CE5376"/>
    <w:rsid w:val="00CE537F"/>
    <w:rsid w:val="00CE53F4"/>
    <w:rsid w:val="00CE5408"/>
    <w:rsid w:val="00CE543A"/>
    <w:rsid w:val="00CE54D6"/>
    <w:rsid w:val="00CE5586"/>
    <w:rsid w:val="00CE55B5"/>
    <w:rsid w:val="00CE5673"/>
    <w:rsid w:val="00CE5706"/>
    <w:rsid w:val="00CE5707"/>
    <w:rsid w:val="00CE5711"/>
    <w:rsid w:val="00CE5735"/>
    <w:rsid w:val="00CE576C"/>
    <w:rsid w:val="00CE57E2"/>
    <w:rsid w:val="00CE5857"/>
    <w:rsid w:val="00CE5883"/>
    <w:rsid w:val="00CE589F"/>
    <w:rsid w:val="00CE5A31"/>
    <w:rsid w:val="00CE5AA9"/>
    <w:rsid w:val="00CE5B9A"/>
    <w:rsid w:val="00CE5BDA"/>
    <w:rsid w:val="00CE5BF9"/>
    <w:rsid w:val="00CE5C72"/>
    <w:rsid w:val="00CE5C98"/>
    <w:rsid w:val="00CE5D50"/>
    <w:rsid w:val="00CE5DFD"/>
    <w:rsid w:val="00CE5E52"/>
    <w:rsid w:val="00CE5EA7"/>
    <w:rsid w:val="00CE5EF8"/>
    <w:rsid w:val="00CE5F6D"/>
    <w:rsid w:val="00CE604A"/>
    <w:rsid w:val="00CE6066"/>
    <w:rsid w:val="00CE611E"/>
    <w:rsid w:val="00CE6212"/>
    <w:rsid w:val="00CE62DB"/>
    <w:rsid w:val="00CE6323"/>
    <w:rsid w:val="00CE638C"/>
    <w:rsid w:val="00CE6395"/>
    <w:rsid w:val="00CE63A2"/>
    <w:rsid w:val="00CE63E9"/>
    <w:rsid w:val="00CE640C"/>
    <w:rsid w:val="00CE6470"/>
    <w:rsid w:val="00CE64DF"/>
    <w:rsid w:val="00CE6503"/>
    <w:rsid w:val="00CE6506"/>
    <w:rsid w:val="00CE6549"/>
    <w:rsid w:val="00CE6588"/>
    <w:rsid w:val="00CE65CE"/>
    <w:rsid w:val="00CE6720"/>
    <w:rsid w:val="00CE675A"/>
    <w:rsid w:val="00CE6760"/>
    <w:rsid w:val="00CE6768"/>
    <w:rsid w:val="00CE685A"/>
    <w:rsid w:val="00CE68AA"/>
    <w:rsid w:val="00CE6914"/>
    <w:rsid w:val="00CE6915"/>
    <w:rsid w:val="00CE691E"/>
    <w:rsid w:val="00CE6991"/>
    <w:rsid w:val="00CE6A50"/>
    <w:rsid w:val="00CE6A97"/>
    <w:rsid w:val="00CE6BED"/>
    <w:rsid w:val="00CE6CAF"/>
    <w:rsid w:val="00CE6D48"/>
    <w:rsid w:val="00CE6D76"/>
    <w:rsid w:val="00CE6D92"/>
    <w:rsid w:val="00CE6D99"/>
    <w:rsid w:val="00CE6DD9"/>
    <w:rsid w:val="00CE6E47"/>
    <w:rsid w:val="00CE6E5E"/>
    <w:rsid w:val="00CE6E99"/>
    <w:rsid w:val="00CE6ED6"/>
    <w:rsid w:val="00CE6F0D"/>
    <w:rsid w:val="00CE6F5C"/>
    <w:rsid w:val="00CE6F9A"/>
    <w:rsid w:val="00CE7005"/>
    <w:rsid w:val="00CE70B3"/>
    <w:rsid w:val="00CE716B"/>
    <w:rsid w:val="00CE721C"/>
    <w:rsid w:val="00CE7238"/>
    <w:rsid w:val="00CE726D"/>
    <w:rsid w:val="00CE72EB"/>
    <w:rsid w:val="00CE7331"/>
    <w:rsid w:val="00CE73D7"/>
    <w:rsid w:val="00CE740C"/>
    <w:rsid w:val="00CE75E0"/>
    <w:rsid w:val="00CE7609"/>
    <w:rsid w:val="00CE7634"/>
    <w:rsid w:val="00CE7639"/>
    <w:rsid w:val="00CE774E"/>
    <w:rsid w:val="00CE77C1"/>
    <w:rsid w:val="00CE78C0"/>
    <w:rsid w:val="00CE7929"/>
    <w:rsid w:val="00CE79A0"/>
    <w:rsid w:val="00CE7A18"/>
    <w:rsid w:val="00CE7A4A"/>
    <w:rsid w:val="00CE7A92"/>
    <w:rsid w:val="00CE7AC0"/>
    <w:rsid w:val="00CE7ADD"/>
    <w:rsid w:val="00CE7B29"/>
    <w:rsid w:val="00CE7B34"/>
    <w:rsid w:val="00CE7B9B"/>
    <w:rsid w:val="00CE7BD8"/>
    <w:rsid w:val="00CE7C03"/>
    <w:rsid w:val="00CE7C1D"/>
    <w:rsid w:val="00CE7C95"/>
    <w:rsid w:val="00CE7CC4"/>
    <w:rsid w:val="00CE7D27"/>
    <w:rsid w:val="00CE7D9C"/>
    <w:rsid w:val="00CE7E0B"/>
    <w:rsid w:val="00CE7F3A"/>
    <w:rsid w:val="00CE7FD7"/>
    <w:rsid w:val="00CE7FE4"/>
    <w:rsid w:val="00CE7FEE"/>
    <w:rsid w:val="00CF0084"/>
    <w:rsid w:val="00CF0105"/>
    <w:rsid w:val="00CF0197"/>
    <w:rsid w:val="00CF01AE"/>
    <w:rsid w:val="00CF023E"/>
    <w:rsid w:val="00CF02E0"/>
    <w:rsid w:val="00CF02E3"/>
    <w:rsid w:val="00CF0305"/>
    <w:rsid w:val="00CF032C"/>
    <w:rsid w:val="00CF0578"/>
    <w:rsid w:val="00CF05F8"/>
    <w:rsid w:val="00CF0747"/>
    <w:rsid w:val="00CF0764"/>
    <w:rsid w:val="00CF0805"/>
    <w:rsid w:val="00CF0866"/>
    <w:rsid w:val="00CF0893"/>
    <w:rsid w:val="00CF08CF"/>
    <w:rsid w:val="00CF08EE"/>
    <w:rsid w:val="00CF0902"/>
    <w:rsid w:val="00CF098F"/>
    <w:rsid w:val="00CF09C6"/>
    <w:rsid w:val="00CF0A67"/>
    <w:rsid w:val="00CF0A89"/>
    <w:rsid w:val="00CF0BFC"/>
    <w:rsid w:val="00CF0C14"/>
    <w:rsid w:val="00CF0C65"/>
    <w:rsid w:val="00CF0C86"/>
    <w:rsid w:val="00CF0CA5"/>
    <w:rsid w:val="00CF0E41"/>
    <w:rsid w:val="00CF0E80"/>
    <w:rsid w:val="00CF0EE4"/>
    <w:rsid w:val="00CF0F43"/>
    <w:rsid w:val="00CF0F52"/>
    <w:rsid w:val="00CF0F6D"/>
    <w:rsid w:val="00CF0FE8"/>
    <w:rsid w:val="00CF103A"/>
    <w:rsid w:val="00CF1055"/>
    <w:rsid w:val="00CF10CE"/>
    <w:rsid w:val="00CF10D8"/>
    <w:rsid w:val="00CF1105"/>
    <w:rsid w:val="00CF1117"/>
    <w:rsid w:val="00CF11C7"/>
    <w:rsid w:val="00CF123B"/>
    <w:rsid w:val="00CF127D"/>
    <w:rsid w:val="00CF1366"/>
    <w:rsid w:val="00CF13B2"/>
    <w:rsid w:val="00CF1444"/>
    <w:rsid w:val="00CF145C"/>
    <w:rsid w:val="00CF1494"/>
    <w:rsid w:val="00CF14C2"/>
    <w:rsid w:val="00CF153A"/>
    <w:rsid w:val="00CF1545"/>
    <w:rsid w:val="00CF15E1"/>
    <w:rsid w:val="00CF1636"/>
    <w:rsid w:val="00CF1672"/>
    <w:rsid w:val="00CF17C3"/>
    <w:rsid w:val="00CF18AE"/>
    <w:rsid w:val="00CF1925"/>
    <w:rsid w:val="00CF199D"/>
    <w:rsid w:val="00CF1A1C"/>
    <w:rsid w:val="00CF1A2A"/>
    <w:rsid w:val="00CF1ADB"/>
    <w:rsid w:val="00CF1B18"/>
    <w:rsid w:val="00CF1BB6"/>
    <w:rsid w:val="00CF1BF1"/>
    <w:rsid w:val="00CF1C46"/>
    <w:rsid w:val="00CF1CB7"/>
    <w:rsid w:val="00CF1CC8"/>
    <w:rsid w:val="00CF1CDC"/>
    <w:rsid w:val="00CF1D3F"/>
    <w:rsid w:val="00CF1F10"/>
    <w:rsid w:val="00CF1F39"/>
    <w:rsid w:val="00CF2045"/>
    <w:rsid w:val="00CF2094"/>
    <w:rsid w:val="00CF20A7"/>
    <w:rsid w:val="00CF20AD"/>
    <w:rsid w:val="00CF2120"/>
    <w:rsid w:val="00CF2180"/>
    <w:rsid w:val="00CF22A9"/>
    <w:rsid w:val="00CF22B9"/>
    <w:rsid w:val="00CF232C"/>
    <w:rsid w:val="00CF236D"/>
    <w:rsid w:val="00CF2388"/>
    <w:rsid w:val="00CF23BA"/>
    <w:rsid w:val="00CF242D"/>
    <w:rsid w:val="00CF243B"/>
    <w:rsid w:val="00CF2447"/>
    <w:rsid w:val="00CF245D"/>
    <w:rsid w:val="00CF2542"/>
    <w:rsid w:val="00CF2882"/>
    <w:rsid w:val="00CF2916"/>
    <w:rsid w:val="00CF2982"/>
    <w:rsid w:val="00CF298A"/>
    <w:rsid w:val="00CF2A6A"/>
    <w:rsid w:val="00CF2C7F"/>
    <w:rsid w:val="00CF2CB4"/>
    <w:rsid w:val="00CF2D2A"/>
    <w:rsid w:val="00CF2D4F"/>
    <w:rsid w:val="00CF2D76"/>
    <w:rsid w:val="00CF2DA6"/>
    <w:rsid w:val="00CF2E1F"/>
    <w:rsid w:val="00CF2E5F"/>
    <w:rsid w:val="00CF2EE9"/>
    <w:rsid w:val="00CF2F32"/>
    <w:rsid w:val="00CF2F54"/>
    <w:rsid w:val="00CF2F70"/>
    <w:rsid w:val="00CF309E"/>
    <w:rsid w:val="00CF3107"/>
    <w:rsid w:val="00CF3124"/>
    <w:rsid w:val="00CF31D5"/>
    <w:rsid w:val="00CF31D7"/>
    <w:rsid w:val="00CF328D"/>
    <w:rsid w:val="00CF329F"/>
    <w:rsid w:val="00CF3302"/>
    <w:rsid w:val="00CF3317"/>
    <w:rsid w:val="00CF3350"/>
    <w:rsid w:val="00CF340C"/>
    <w:rsid w:val="00CF3520"/>
    <w:rsid w:val="00CF352C"/>
    <w:rsid w:val="00CF3551"/>
    <w:rsid w:val="00CF3569"/>
    <w:rsid w:val="00CF3576"/>
    <w:rsid w:val="00CF35D2"/>
    <w:rsid w:val="00CF363A"/>
    <w:rsid w:val="00CF3656"/>
    <w:rsid w:val="00CF374D"/>
    <w:rsid w:val="00CF3762"/>
    <w:rsid w:val="00CF37DF"/>
    <w:rsid w:val="00CF38AF"/>
    <w:rsid w:val="00CF38BE"/>
    <w:rsid w:val="00CF391C"/>
    <w:rsid w:val="00CF3939"/>
    <w:rsid w:val="00CF393F"/>
    <w:rsid w:val="00CF39D4"/>
    <w:rsid w:val="00CF3A30"/>
    <w:rsid w:val="00CF3A9F"/>
    <w:rsid w:val="00CF3AF8"/>
    <w:rsid w:val="00CF3AFF"/>
    <w:rsid w:val="00CF3B5B"/>
    <w:rsid w:val="00CF3BE8"/>
    <w:rsid w:val="00CF3C22"/>
    <w:rsid w:val="00CF3C45"/>
    <w:rsid w:val="00CF3C7C"/>
    <w:rsid w:val="00CF3C8C"/>
    <w:rsid w:val="00CF3D18"/>
    <w:rsid w:val="00CF3D51"/>
    <w:rsid w:val="00CF3D95"/>
    <w:rsid w:val="00CF3E15"/>
    <w:rsid w:val="00CF3E66"/>
    <w:rsid w:val="00CF3ED0"/>
    <w:rsid w:val="00CF3ED8"/>
    <w:rsid w:val="00CF3EF5"/>
    <w:rsid w:val="00CF3F7A"/>
    <w:rsid w:val="00CF3FA3"/>
    <w:rsid w:val="00CF401E"/>
    <w:rsid w:val="00CF40A0"/>
    <w:rsid w:val="00CF40C6"/>
    <w:rsid w:val="00CF40D9"/>
    <w:rsid w:val="00CF429E"/>
    <w:rsid w:val="00CF42B6"/>
    <w:rsid w:val="00CF42F7"/>
    <w:rsid w:val="00CF430B"/>
    <w:rsid w:val="00CF431D"/>
    <w:rsid w:val="00CF43AC"/>
    <w:rsid w:val="00CF4464"/>
    <w:rsid w:val="00CF44E5"/>
    <w:rsid w:val="00CF4572"/>
    <w:rsid w:val="00CF459B"/>
    <w:rsid w:val="00CF462D"/>
    <w:rsid w:val="00CF462E"/>
    <w:rsid w:val="00CF4681"/>
    <w:rsid w:val="00CF46CD"/>
    <w:rsid w:val="00CF4707"/>
    <w:rsid w:val="00CF4711"/>
    <w:rsid w:val="00CF4738"/>
    <w:rsid w:val="00CF4755"/>
    <w:rsid w:val="00CF4758"/>
    <w:rsid w:val="00CF476F"/>
    <w:rsid w:val="00CF47B2"/>
    <w:rsid w:val="00CF47F0"/>
    <w:rsid w:val="00CF47F7"/>
    <w:rsid w:val="00CF4855"/>
    <w:rsid w:val="00CF487B"/>
    <w:rsid w:val="00CF493B"/>
    <w:rsid w:val="00CF49BD"/>
    <w:rsid w:val="00CF4AA6"/>
    <w:rsid w:val="00CF4AB7"/>
    <w:rsid w:val="00CF4AE8"/>
    <w:rsid w:val="00CF4AF4"/>
    <w:rsid w:val="00CF4B34"/>
    <w:rsid w:val="00CF4B5C"/>
    <w:rsid w:val="00CF4BA5"/>
    <w:rsid w:val="00CF4BD7"/>
    <w:rsid w:val="00CF4EF9"/>
    <w:rsid w:val="00CF4F17"/>
    <w:rsid w:val="00CF4F4D"/>
    <w:rsid w:val="00CF4FAA"/>
    <w:rsid w:val="00CF504F"/>
    <w:rsid w:val="00CF5080"/>
    <w:rsid w:val="00CF5084"/>
    <w:rsid w:val="00CF50DF"/>
    <w:rsid w:val="00CF5133"/>
    <w:rsid w:val="00CF51CF"/>
    <w:rsid w:val="00CF5346"/>
    <w:rsid w:val="00CF5379"/>
    <w:rsid w:val="00CF5543"/>
    <w:rsid w:val="00CF558C"/>
    <w:rsid w:val="00CF55CF"/>
    <w:rsid w:val="00CF55EA"/>
    <w:rsid w:val="00CF5601"/>
    <w:rsid w:val="00CF566F"/>
    <w:rsid w:val="00CF56A9"/>
    <w:rsid w:val="00CF573E"/>
    <w:rsid w:val="00CF57F3"/>
    <w:rsid w:val="00CF5828"/>
    <w:rsid w:val="00CF58B6"/>
    <w:rsid w:val="00CF58DA"/>
    <w:rsid w:val="00CF58E1"/>
    <w:rsid w:val="00CF5907"/>
    <w:rsid w:val="00CF59A5"/>
    <w:rsid w:val="00CF59C4"/>
    <w:rsid w:val="00CF5A25"/>
    <w:rsid w:val="00CF5A2A"/>
    <w:rsid w:val="00CF5B97"/>
    <w:rsid w:val="00CF5BA7"/>
    <w:rsid w:val="00CF5C52"/>
    <w:rsid w:val="00CF5C6F"/>
    <w:rsid w:val="00CF5CB3"/>
    <w:rsid w:val="00CF5CD5"/>
    <w:rsid w:val="00CF5D5C"/>
    <w:rsid w:val="00CF5DB6"/>
    <w:rsid w:val="00CF5DD4"/>
    <w:rsid w:val="00CF5E40"/>
    <w:rsid w:val="00CF5F1E"/>
    <w:rsid w:val="00CF5F4F"/>
    <w:rsid w:val="00CF5F8B"/>
    <w:rsid w:val="00CF6028"/>
    <w:rsid w:val="00CF6265"/>
    <w:rsid w:val="00CF631D"/>
    <w:rsid w:val="00CF635A"/>
    <w:rsid w:val="00CF6375"/>
    <w:rsid w:val="00CF642C"/>
    <w:rsid w:val="00CF64CB"/>
    <w:rsid w:val="00CF64CF"/>
    <w:rsid w:val="00CF64DA"/>
    <w:rsid w:val="00CF6547"/>
    <w:rsid w:val="00CF6555"/>
    <w:rsid w:val="00CF6570"/>
    <w:rsid w:val="00CF65BE"/>
    <w:rsid w:val="00CF65F6"/>
    <w:rsid w:val="00CF666B"/>
    <w:rsid w:val="00CF6675"/>
    <w:rsid w:val="00CF679D"/>
    <w:rsid w:val="00CF6800"/>
    <w:rsid w:val="00CF6875"/>
    <w:rsid w:val="00CF68F3"/>
    <w:rsid w:val="00CF692D"/>
    <w:rsid w:val="00CF6A08"/>
    <w:rsid w:val="00CF6AF0"/>
    <w:rsid w:val="00CF6B48"/>
    <w:rsid w:val="00CF6B9E"/>
    <w:rsid w:val="00CF6C41"/>
    <w:rsid w:val="00CF6CE8"/>
    <w:rsid w:val="00CF6D41"/>
    <w:rsid w:val="00CF6DD3"/>
    <w:rsid w:val="00CF6DDB"/>
    <w:rsid w:val="00CF6DED"/>
    <w:rsid w:val="00CF6EB4"/>
    <w:rsid w:val="00CF6EB5"/>
    <w:rsid w:val="00CF6F0F"/>
    <w:rsid w:val="00CF6F40"/>
    <w:rsid w:val="00CF703E"/>
    <w:rsid w:val="00CF715C"/>
    <w:rsid w:val="00CF7289"/>
    <w:rsid w:val="00CF7296"/>
    <w:rsid w:val="00CF72D4"/>
    <w:rsid w:val="00CF730E"/>
    <w:rsid w:val="00CF733F"/>
    <w:rsid w:val="00CF7381"/>
    <w:rsid w:val="00CF738C"/>
    <w:rsid w:val="00CF73A5"/>
    <w:rsid w:val="00CF7422"/>
    <w:rsid w:val="00CF7484"/>
    <w:rsid w:val="00CF748F"/>
    <w:rsid w:val="00CF749F"/>
    <w:rsid w:val="00CF74AC"/>
    <w:rsid w:val="00CF7543"/>
    <w:rsid w:val="00CF75CD"/>
    <w:rsid w:val="00CF75EB"/>
    <w:rsid w:val="00CF7667"/>
    <w:rsid w:val="00CF7670"/>
    <w:rsid w:val="00CF7686"/>
    <w:rsid w:val="00CF76D0"/>
    <w:rsid w:val="00CF76E7"/>
    <w:rsid w:val="00CF773C"/>
    <w:rsid w:val="00CF77D1"/>
    <w:rsid w:val="00CF7830"/>
    <w:rsid w:val="00CF7867"/>
    <w:rsid w:val="00CF7932"/>
    <w:rsid w:val="00CF796B"/>
    <w:rsid w:val="00CF79D2"/>
    <w:rsid w:val="00CF7AE6"/>
    <w:rsid w:val="00CF7CBD"/>
    <w:rsid w:val="00CF7CC6"/>
    <w:rsid w:val="00CF7CE4"/>
    <w:rsid w:val="00CF7D22"/>
    <w:rsid w:val="00CF7DB2"/>
    <w:rsid w:val="00CF7DDC"/>
    <w:rsid w:val="00CF7EC9"/>
    <w:rsid w:val="00CF7F9B"/>
    <w:rsid w:val="00D000A0"/>
    <w:rsid w:val="00D0014D"/>
    <w:rsid w:val="00D00151"/>
    <w:rsid w:val="00D00234"/>
    <w:rsid w:val="00D002AD"/>
    <w:rsid w:val="00D002CF"/>
    <w:rsid w:val="00D0034C"/>
    <w:rsid w:val="00D00379"/>
    <w:rsid w:val="00D003A1"/>
    <w:rsid w:val="00D00455"/>
    <w:rsid w:val="00D0063B"/>
    <w:rsid w:val="00D00683"/>
    <w:rsid w:val="00D0069C"/>
    <w:rsid w:val="00D006B1"/>
    <w:rsid w:val="00D00703"/>
    <w:rsid w:val="00D0074D"/>
    <w:rsid w:val="00D00755"/>
    <w:rsid w:val="00D00776"/>
    <w:rsid w:val="00D0081B"/>
    <w:rsid w:val="00D00828"/>
    <w:rsid w:val="00D00858"/>
    <w:rsid w:val="00D0087D"/>
    <w:rsid w:val="00D008FB"/>
    <w:rsid w:val="00D00911"/>
    <w:rsid w:val="00D0091A"/>
    <w:rsid w:val="00D00948"/>
    <w:rsid w:val="00D009B4"/>
    <w:rsid w:val="00D009BA"/>
    <w:rsid w:val="00D00AB6"/>
    <w:rsid w:val="00D00AF6"/>
    <w:rsid w:val="00D00B20"/>
    <w:rsid w:val="00D00B3B"/>
    <w:rsid w:val="00D00B67"/>
    <w:rsid w:val="00D00B85"/>
    <w:rsid w:val="00D00CB2"/>
    <w:rsid w:val="00D00CDF"/>
    <w:rsid w:val="00D00D16"/>
    <w:rsid w:val="00D00D85"/>
    <w:rsid w:val="00D00DAF"/>
    <w:rsid w:val="00D00DFE"/>
    <w:rsid w:val="00D00E24"/>
    <w:rsid w:val="00D00E82"/>
    <w:rsid w:val="00D00EA9"/>
    <w:rsid w:val="00D00EC4"/>
    <w:rsid w:val="00D00F5D"/>
    <w:rsid w:val="00D01021"/>
    <w:rsid w:val="00D01049"/>
    <w:rsid w:val="00D01072"/>
    <w:rsid w:val="00D01079"/>
    <w:rsid w:val="00D012F5"/>
    <w:rsid w:val="00D01340"/>
    <w:rsid w:val="00D0139A"/>
    <w:rsid w:val="00D013C0"/>
    <w:rsid w:val="00D013E3"/>
    <w:rsid w:val="00D013FF"/>
    <w:rsid w:val="00D01449"/>
    <w:rsid w:val="00D014BB"/>
    <w:rsid w:val="00D014DF"/>
    <w:rsid w:val="00D0151A"/>
    <w:rsid w:val="00D01530"/>
    <w:rsid w:val="00D01544"/>
    <w:rsid w:val="00D015F2"/>
    <w:rsid w:val="00D01651"/>
    <w:rsid w:val="00D01686"/>
    <w:rsid w:val="00D016D4"/>
    <w:rsid w:val="00D016F6"/>
    <w:rsid w:val="00D0176D"/>
    <w:rsid w:val="00D01801"/>
    <w:rsid w:val="00D018F8"/>
    <w:rsid w:val="00D0193B"/>
    <w:rsid w:val="00D01995"/>
    <w:rsid w:val="00D019D0"/>
    <w:rsid w:val="00D01A3D"/>
    <w:rsid w:val="00D01A5C"/>
    <w:rsid w:val="00D01C2C"/>
    <w:rsid w:val="00D01C33"/>
    <w:rsid w:val="00D01C61"/>
    <w:rsid w:val="00D01C8B"/>
    <w:rsid w:val="00D01D0D"/>
    <w:rsid w:val="00D01E09"/>
    <w:rsid w:val="00D01E11"/>
    <w:rsid w:val="00D01E6B"/>
    <w:rsid w:val="00D02004"/>
    <w:rsid w:val="00D02011"/>
    <w:rsid w:val="00D0201D"/>
    <w:rsid w:val="00D02058"/>
    <w:rsid w:val="00D0206F"/>
    <w:rsid w:val="00D020D4"/>
    <w:rsid w:val="00D02145"/>
    <w:rsid w:val="00D02156"/>
    <w:rsid w:val="00D021C0"/>
    <w:rsid w:val="00D021E5"/>
    <w:rsid w:val="00D0220B"/>
    <w:rsid w:val="00D02230"/>
    <w:rsid w:val="00D02281"/>
    <w:rsid w:val="00D02284"/>
    <w:rsid w:val="00D02288"/>
    <w:rsid w:val="00D02316"/>
    <w:rsid w:val="00D02331"/>
    <w:rsid w:val="00D025CD"/>
    <w:rsid w:val="00D025D6"/>
    <w:rsid w:val="00D02631"/>
    <w:rsid w:val="00D026D4"/>
    <w:rsid w:val="00D026E0"/>
    <w:rsid w:val="00D0276A"/>
    <w:rsid w:val="00D0287B"/>
    <w:rsid w:val="00D028FE"/>
    <w:rsid w:val="00D0291E"/>
    <w:rsid w:val="00D02945"/>
    <w:rsid w:val="00D02A6D"/>
    <w:rsid w:val="00D02B6E"/>
    <w:rsid w:val="00D02BD9"/>
    <w:rsid w:val="00D02C00"/>
    <w:rsid w:val="00D02C0B"/>
    <w:rsid w:val="00D02C4D"/>
    <w:rsid w:val="00D02C76"/>
    <w:rsid w:val="00D02CAE"/>
    <w:rsid w:val="00D02CD2"/>
    <w:rsid w:val="00D02D3C"/>
    <w:rsid w:val="00D02DA6"/>
    <w:rsid w:val="00D02DC7"/>
    <w:rsid w:val="00D02DE6"/>
    <w:rsid w:val="00D02EA2"/>
    <w:rsid w:val="00D02EF6"/>
    <w:rsid w:val="00D02F34"/>
    <w:rsid w:val="00D02F3A"/>
    <w:rsid w:val="00D02F6E"/>
    <w:rsid w:val="00D03087"/>
    <w:rsid w:val="00D03104"/>
    <w:rsid w:val="00D03173"/>
    <w:rsid w:val="00D03189"/>
    <w:rsid w:val="00D031AF"/>
    <w:rsid w:val="00D031E8"/>
    <w:rsid w:val="00D03236"/>
    <w:rsid w:val="00D0328A"/>
    <w:rsid w:val="00D03292"/>
    <w:rsid w:val="00D03321"/>
    <w:rsid w:val="00D0342D"/>
    <w:rsid w:val="00D034AE"/>
    <w:rsid w:val="00D03544"/>
    <w:rsid w:val="00D0363F"/>
    <w:rsid w:val="00D03670"/>
    <w:rsid w:val="00D03790"/>
    <w:rsid w:val="00D037A7"/>
    <w:rsid w:val="00D037FD"/>
    <w:rsid w:val="00D0382A"/>
    <w:rsid w:val="00D03860"/>
    <w:rsid w:val="00D038CC"/>
    <w:rsid w:val="00D03A34"/>
    <w:rsid w:val="00D03A54"/>
    <w:rsid w:val="00D03A6F"/>
    <w:rsid w:val="00D03B11"/>
    <w:rsid w:val="00D03BD9"/>
    <w:rsid w:val="00D03C0A"/>
    <w:rsid w:val="00D03D77"/>
    <w:rsid w:val="00D03DA4"/>
    <w:rsid w:val="00D03DC5"/>
    <w:rsid w:val="00D03E10"/>
    <w:rsid w:val="00D03E9D"/>
    <w:rsid w:val="00D03EE2"/>
    <w:rsid w:val="00D03F72"/>
    <w:rsid w:val="00D03FF1"/>
    <w:rsid w:val="00D040AB"/>
    <w:rsid w:val="00D040B0"/>
    <w:rsid w:val="00D040BF"/>
    <w:rsid w:val="00D0414A"/>
    <w:rsid w:val="00D04156"/>
    <w:rsid w:val="00D041C7"/>
    <w:rsid w:val="00D041E8"/>
    <w:rsid w:val="00D04280"/>
    <w:rsid w:val="00D04318"/>
    <w:rsid w:val="00D0432C"/>
    <w:rsid w:val="00D043B3"/>
    <w:rsid w:val="00D043F5"/>
    <w:rsid w:val="00D0440C"/>
    <w:rsid w:val="00D04479"/>
    <w:rsid w:val="00D04506"/>
    <w:rsid w:val="00D04536"/>
    <w:rsid w:val="00D046E9"/>
    <w:rsid w:val="00D047E9"/>
    <w:rsid w:val="00D0486E"/>
    <w:rsid w:val="00D049F8"/>
    <w:rsid w:val="00D04A35"/>
    <w:rsid w:val="00D04A40"/>
    <w:rsid w:val="00D04B14"/>
    <w:rsid w:val="00D04B48"/>
    <w:rsid w:val="00D04BB1"/>
    <w:rsid w:val="00D04C4C"/>
    <w:rsid w:val="00D04D60"/>
    <w:rsid w:val="00D04E4C"/>
    <w:rsid w:val="00D04EFA"/>
    <w:rsid w:val="00D04F35"/>
    <w:rsid w:val="00D04F39"/>
    <w:rsid w:val="00D04FD1"/>
    <w:rsid w:val="00D05215"/>
    <w:rsid w:val="00D0521F"/>
    <w:rsid w:val="00D05284"/>
    <w:rsid w:val="00D05303"/>
    <w:rsid w:val="00D05365"/>
    <w:rsid w:val="00D05455"/>
    <w:rsid w:val="00D0545E"/>
    <w:rsid w:val="00D054B7"/>
    <w:rsid w:val="00D05558"/>
    <w:rsid w:val="00D05584"/>
    <w:rsid w:val="00D05597"/>
    <w:rsid w:val="00D05618"/>
    <w:rsid w:val="00D05624"/>
    <w:rsid w:val="00D0564F"/>
    <w:rsid w:val="00D05657"/>
    <w:rsid w:val="00D05670"/>
    <w:rsid w:val="00D05686"/>
    <w:rsid w:val="00D056BA"/>
    <w:rsid w:val="00D056CB"/>
    <w:rsid w:val="00D056F6"/>
    <w:rsid w:val="00D05725"/>
    <w:rsid w:val="00D05757"/>
    <w:rsid w:val="00D057B8"/>
    <w:rsid w:val="00D058D6"/>
    <w:rsid w:val="00D058E3"/>
    <w:rsid w:val="00D058E4"/>
    <w:rsid w:val="00D058E6"/>
    <w:rsid w:val="00D05904"/>
    <w:rsid w:val="00D0592D"/>
    <w:rsid w:val="00D05940"/>
    <w:rsid w:val="00D05977"/>
    <w:rsid w:val="00D05A89"/>
    <w:rsid w:val="00D05AA2"/>
    <w:rsid w:val="00D05AF6"/>
    <w:rsid w:val="00D05C64"/>
    <w:rsid w:val="00D05CAC"/>
    <w:rsid w:val="00D05CC0"/>
    <w:rsid w:val="00D05CD0"/>
    <w:rsid w:val="00D05D63"/>
    <w:rsid w:val="00D05DD1"/>
    <w:rsid w:val="00D05E93"/>
    <w:rsid w:val="00D05E97"/>
    <w:rsid w:val="00D05EC8"/>
    <w:rsid w:val="00D05EFA"/>
    <w:rsid w:val="00D05F02"/>
    <w:rsid w:val="00D05F76"/>
    <w:rsid w:val="00D05F87"/>
    <w:rsid w:val="00D05FE4"/>
    <w:rsid w:val="00D06088"/>
    <w:rsid w:val="00D06103"/>
    <w:rsid w:val="00D0615C"/>
    <w:rsid w:val="00D0617D"/>
    <w:rsid w:val="00D06182"/>
    <w:rsid w:val="00D06192"/>
    <w:rsid w:val="00D061BD"/>
    <w:rsid w:val="00D0624D"/>
    <w:rsid w:val="00D06276"/>
    <w:rsid w:val="00D0629D"/>
    <w:rsid w:val="00D062C1"/>
    <w:rsid w:val="00D06372"/>
    <w:rsid w:val="00D063D2"/>
    <w:rsid w:val="00D063E1"/>
    <w:rsid w:val="00D0652A"/>
    <w:rsid w:val="00D06533"/>
    <w:rsid w:val="00D065DD"/>
    <w:rsid w:val="00D065E3"/>
    <w:rsid w:val="00D06637"/>
    <w:rsid w:val="00D06686"/>
    <w:rsid w:val="00D06722"/>
    <w:rsid w:val="00D06783"/>
    <w:rsid w:val="00D0679D"/>
    <w:rsid w:val="00D067BF"/>
    <w:rsid w:val="00D067E5"/>
    <w:rsid w:val="00D067F9"/>
    <w:rsid w:val="00D068E3"/>
    <w:rsid w:val="00D0692B"/>
    <w:rsid w:val="00D0696E"/>
    <w:rsid w:val="00D0699E"/>
    <w:rsid w:val="00D069EF"/>
    <w:rsid w:val="00D06A9A"/>
    <w:rsid w:val="00D06BE3"/>
    <w:rsid w:val="00D06C5A"/>
    <w:rsid w:val="00D06C5C"/>
    <w:rsid w:val="00D06ECE"/>
    <w:rsid w:val="00D06F35"/>
    <w:rsid w:val="00D06F92"/>
    <w:rsid w:val="00D07053"/>
    <w:rsid w:val="00D070D2"/>
    <w:rsid w:val="00D0738B"/>
    <w:rsid w:val="00D07451"/>
    <w:rsid w:val="00D0750E"/>
    <w:rsid w:val="00D0754A"/>
    <w:rsid w:val="00D075BD"/>
    <w:rsid w:val="00D075F1"/>
    <w:rsid w:val="00D075F8"/>
    <w:rsid w:val="00D0770B"/>
    <w:rsid w:val="00D077A3"/>
    <w:rsid w:val="00D07882"/>
    <w:rsid w:val="00D078A1"/>
    <w:rsid w:val="00D078B4"/>
    <w:rsid w:val="00D0793F"/>
    <w:rsid w:val="00D0799A"/>
    <w:rsid w:val="00D079F1"/>
    <w:rsid w:val="00D07A0C"/>
    <w:rsid w:val="00D07AB9"/>
    <w:rsid w:val="00D07B2B"/>
    <w:rsid w:val="00D07B85"/>
    <w:rsid w:val="00D07C4C"/>
    <w:rsid w:val="00D07C86"/>
    <w:rsid w:val="00D07CDF"/>
    <w:rsid w:val="00D07D63"/>
    <w:rsid w:val="00D07DA4"/>
    <w:rsid w:val="00D07EB5"/>
    <w:rsid w:val="00D07F29"/>
    <w:rsid w:val="00D07F73"/>
    <w:rsid w:val="00D100E1"/>
    <w:rsid w:val="00D10117"/>
    <w:rsid w:val="00D10118"/>
    <w:rsid w:val="00D1012B"/>
    <w:rsid w:val="00D10172"/>
    <w:rsid w:val="00D101B4"/>
    <w:rsid w:val="00D101FB"/>
    <w:rsid w:val="00D1022C"/>
    <w:rsid w:val="00D1025A"/>
    <w:rsid w:val="00D10285"/>
    <w:rsid w:val="00D10286"/>
    <w:rsid w:val="00D10309"/>
    <w:rsid w:val="00D103B5"/>
    <w:rsid w:val="00D103C9"/>
    <w:rsid w:val="00D10445"/>
    <w:rsid w:val="00D10514"/>
    <w:rsid w:val="00D105D7"/>
    <w:rsid w:val="00D1061E"/>
    <w:rsid w:val="00D10662"/>
    <w:rsid w:val="00D10776"/>
    <w:rsid w:val="00D1078C"/>
    <w:rsid w:val="00D108A6"/>
    <w:rsid w:val="00D108B6"/>
    <w:rsid w:val="00D10941"/>
    <w:rsid w:val="00D10A00"/>
    <w:rsid w:val="00D10ACD"/>
    <w:rsid w:val="00D10AFC"/>
    <w:rsid w:val="00D10B24"/>
    <w:rsid w:val="00D10B63"/>
    <w:rsid w:val="00D10C2C"/>
    <w:rsid w:val="00D10C46"/>
    <w:rsid w:val="00D10C63"/>
    <w:rsid w:val="00D10CA1"/>
    <w:rsid w:val="00D10D0A"/>
    <w:rsid w:val="00D10D1D"/>
    <w:rsid w:val="00D10D26"/>
    <w:rsid w:val="00D10D33"/>
    <w:rsid w:val="00D10D51"/>
    <w:rsid w:val="00D10D6A"/>
    <w:rsid w:val="00D10D76"/>
    <w:rsid w:val="00D10D8A"/>
    <w:rsid w:val="00D10DD1"/>
    <w:rsid w:val="00D10E3F"/>
    <w:rsid w:val="00D10F07"/>
    <w:rsid w:val="00D10FA8"/>
    <w:rsid w:val="00D10FC1"/>
    <w:rsid w:val="00D1101E"/>
    <w:rsid w:val="00D11038"/>
    <w:rsid w:val="00D1107B"/>
    <w:rsid w:val="00D110F5"/>
    <w:rsid w:val="00D11247"/>
    <w:rsid w:val="00D1131A"/>
    <w:rsid w:val="00D11340"/>
    <w:rsid w:val="00D11416"/>
    <w:rsid w:val="00D1141B"/>
    <w:rsid w:val="00D114F5"/>
    <w:rsid w:val="00D11656"/>
    <w:rsid w:val="00D11662"/>
    <w:rsid w:val="00D117A8"/>
    <w:rsid w:val="00D117DB"/>
    <w:rsid w:val="00D1185E"/>
    <w:rsid w:val="00D118B7"/>
    <w:rsid w:val="00D118B9"/>
    <w:rsid w:val="00D118C2"/>
    <w:rsid w:val="00D11917"/>
    <w:rsid w:val="00D11945"/>
    <w:rsid w:val="00D119A7"/>
    <w:rsid w:val="00D11A8D"/>
    <w:rsid w:val="00D11AD8"/>
    <w:rsid w:val="00D11BAC"/>
    <w:rsid w:val="00D11C60"/>
    <w:rsid w:val="00D11CBE"/>
    <w:rsid w:val="00D11CF1"/>
    <w:rsid w:val="00D11D7B"/>
    <w:rsid w:val="00D11E67"/>
    <w:rsid w:val="00D11E7D"/>
    <w:rsid w:val="00D11E90"/>
    <w:rsid w:val="00D11E9C"/>
    <w:rsid w:val="00D11F18"/>
    <w:rsid w:val="00D11F97"/>
    <w:rsid w:val="00D1201A"/>
    <w:rsid w:val="00D120B8"/>
    <w:rsid w:val="00D12197"/>
    <w:rsid w:val="00D1225A"/>
    <w:rsid w:val="00D1228F"/>
    <w:rsid w:val="00D12296"/>
    <w:rsid w:val="00D123AF"/>
    <w:rsid w:val="00D123E8"/>
    <w:rsid w:val="00D1250C"/>
    <w:rsid w:val="00D12510"/>
    <w:rsid w:val="00D1256A"/>
    <w:rsid w:val="00D12593"/>
    <w:rsid w:val="00D125FA"/>
    <w:rsid w:val="00D12616"/>
    <w:rsid w:val="00D1266F"/>
    <w:rsid w:val="00D12698"/>
    <w:rsid w:val="00D126B6"/>
    <w:rsid w:val="00D1271B"/>
    <w:rsid w:val="00D127A5"/>
    <w:rsid w:val="00D1284A"/>
    <w:rsid w:val="00D129F1"/>
    <w:rsid w:val="00D129F5"/>
    <w:rsid w:val="00D12A18"/>
    <w:rsid w:val="00D12A56"/>
    <w:rsid w:val="00D12AC9"/>
    <w:rsid w:val="00D12BD2"/>
    <w:rsid w:val="00D12C1D"/>
    <w:rsid w:val="00D12DD0"/>
    <w:rsid w:val="00D12DD9"/>
    <w:rsid w:val="00D12E32"/>
    <w:rsid w:val="00D12E36"/>
    <w:rsid w:val="00D12EA0"/>
    <w:rsid w:val="00D12EB8"/>
    <w:rsid w:val="00D12ED5"/>
    <w:rsid w:val="00D12FA8"/>
    <w:rsid w:val="00D12FA9"/>
    <w:rsid w:val="00D13028"/>
    <w:rsid w:val="00D13085"/>
    <w:rsid w:val="00D13161"/>
    <w:rsid w:val="00D1319F"/>
    <w:rsid w:val="00D131EF"/>
    <w:rsid w:val="00D13220"/>
    <w:rsid w:val="00D13221"/>
    <w:rsid w:val="00D132C5"/>
    <w:rsid w:val="00D132DA"/>
    <w:rsid w:val="00D13314"/>
    <w:rsid w:val="00D133E5"/>
    <w:rsid w:val="00D133F5"/>
    <w:rsid w:val="00D133FD"/>
    <w:rsid w:val="00D13550"/>
    <w:rsid w:val="00D1355C"/>
    <w:rsid w:val="00D135A5"/>
    <w:rsid w:val="00D135E3"/>
    <w:rsid w:val="00D1360F"/>
    <w:rsid w:val="00D13648"/>
    <w:rsid w:val="00D136A3"/>
    <w:rsid w:val="00D13743"/>
    <w:rsid w:val="00D13752"/>
    <w:rsid w:val="00D13824"/>
    <w:rsid w:val="00D13887"/>
    <w:rsid w:val="00D13919"/>
    <w:rsid w:val="00D13921"/>
    <w:rsid w:val="00D1394B"/>
    <w:rsid w:val="00D1397E"/>
    <w:rsid w:val="00D139B0"/>
    <w:rsid w:val="00D139C8"/>
    <w:rsid w:val="00D139F5"/>
    <w:rsid w:val="00D13A56"/>
    <w:rsid w:val="00D13B32"/>
    <w:rsid w:val="00D13BA0"/>
    <w:rsid w:val="00D13BBC"/>
    <w:rsid w:val="00D13C82"/>
    <w:rsid w:val="00D13E14"/>
    <w:rsid w:val="00D13E4C"/>
    <w:rsid w:val="00D13E67"/>
    <w:rsid w:val="00D13F3B"/>
    <w:rsid w:val="00D13F49"/>
    <w:rsid w:val="00D13F62"/>
    <w:rsid w:val="00D13F83"/>
    <w:rsid w:val="00D14019"/>
    <w:rsid w:val="00D14034"/>
    <w:rsid w:val="00D14101"/>
    <w:rsid w:val="00D1415B"/>
    <w:rsid w:val="00D1416B"/>
    <w:rsid w:val="00D141A4"/>
    <w:rsid w:val="00D141D2"/>
    <w:rsid w:val="00D1421D"/>
    <w:rsid w:val="00D1424D"/>
    <w:rsid w:val="00D14340"/>
    <w:rsid w:val="00D143CC"/>
    <w:rsid w:val="00D144C4"/>
    <w:rsid w:val="00D1453E"/>
    <w:rsid w:val="00D145D3"/>
    <w:rsid w:val="00D14664"/>
    <w:rsid w:val="00D14672"/>
    <w:rsid w:val="00D146C8"/>
    <w:rsid w:val="00D14707"/>
    <w:rsid w:val="00D1473F"/>
    <w:rsid w:val="00D14783"/>
    <w:rsid w:val="00D1478C"/>
    <w:rsid w:val="00D147D0"/>
    <w:rsid w:val="00D147DD"/>
    <w:rsid w:val="00D147EB"/>
    <w:rsid w:val="00D1481F"/>
    <w:rsid w:val="00D14904"/>
    <w:rsid w:val="00D1498C"/>
    <w:rsid w:val="00D149A8"/>
    <w:rsid w:val="00D14A1D"/>
    <w:rsid w:val="00D14A6B"/>
    <w:rsid w:val="00D14B9C"/>
    <w:rsid w:val="00D14BD0"/>
    <w:rsid w:val="00D14CAA"/>
    <w:rsid w:val="00D14CAB"/>
    <w:rsid w:val="00D14CDE"/>
    <w:rsid w:val="00D14CF8"/>
    <w:rsid w:val="00D14D5D"/>
    <w:rsid w:val="00D14D6A"/>
    <w:rsid w:val="00D14D73"/>
    <w:rsid w:val="00D14D92"/>
    <w:rsid w:val="00D14DD2"/>
    <w:rsid w:val="00D14E13"/>
    <w:rsid w:val="00D14E1E"/>
    <w:rsid w:val="00D14EBD"/>
    <w:rsid w:val="00D14ED0"/>
    <w:rsid w:val="00D14F8A"/>
    <w:rsid w:val="00D15037"/>
    <w:rsid w:val="00D1503F"/>
    <w:rsid w:val="00D15070"/>
    <w:rsid w:val="00D15123"/>
    <w:rsid w:val="00D15224"/>
    <w:rsid w:val="00D1528A"/>
    <w:rsid w:val="00D15295"/>
    <w:rsid w:val="00D152A4"/>
    <w:rsid w:val="00D15333"/>
    <w:rsid w:val="00D15344"/>
    <w:rsid w:val="00D154BA"/>
    <w:rsid w:val="00D154EA"/>
    <w:rsid w:val="00D15558"/>
    <w:rsid w:val="00D15604"/>
    <w:rsid w:val="00D15675"/>
    <w:rsid w:val="00D157A4"/>
    <w:rsid w:val="00D157D5"/>
    <w:rsid w:val="00D157DB"/>
    <w:rsid w:val="00D157E6"/>
    <w:rsid w:val="00D15818"/>
    <w:rsid w:val="00D1586B"/>
    <w:rsid w:val="00D15881"/>
    <w:rsid w:val="00D15899"/>
    <w:rsid w:val="00D158B6"/>
    <w:rsid w:val="00D15944"/>
    <w:rsid w:val="00D159FB"/>
    <w:rsid w:val="00D15A6D"/>
    <w:rsid w:val="00D15AAF"/>
    <w:rsid w:val="00D15B7B"/>
    <w:rsid w:val="00D15B80"/>
    <w:rsid w:val="00D15BF1"/>
    <w:rsid w:val="00D15BF7"/>
    <w:rsid w:val="00D15C2E"/>
    <w:rsid w:val="00D15C84"/>
    <w:rsid w:val="00D15D13"/>
    <w:rsid w:val="00D15D34"/>
    <w:rsid w:val="00D15D64"/>
    <w:rsid w:val="00D15ECE"/>
    <w:rsid w:val="00D15F4D"/>
    <w:rsid w:val="00D15F7C"/>
    <w:rsid w:val="00D15F98"/>
    <w:rsid w:val="00D15FBC"/>
    <w:rsid w:val="00D160D9"/>
    <w:rsid w:val="00D16112"/>
    <w:rsid w:val="00D16202"/>
    <w:rsid w:val="00D1621C"/>
    <w:rsid w:val="00D162D6"/>
    <w:rsid w:val="00D1632C"/>
    <w:rsid w:val="00D16336"/>
    <w:rsid w:val="00D163D1"/>
    <w:rsid w:val="00D16425"/>
    <w:rsid w:val="00D164DD"/>
    <w:rsid w:val="00D16571"/>
    <w:rsid w:val="00D16575"/>
    <w:rsid w:val="00D1660E"/>
    <w:rsid w:val="00D166D9"/>
    <w:rsid w:val="00D167FA"/>
    <w:rsid w:val="00D16808"/>
    <w:rsid w:val="00D168C5"/>
    <w:rsid w:val="00D168D1"/>
    <w:rsid w:val="00D169BF"/>
    <w:rsid w:val="00D169F3"/>
    <w:rsid w:val="00D16A03"/>
    <w:rsid w:val="00D16AED"/>
    <w:rsid w:val="00D16B1D"/>
    <w:rsid w:val="00D16B28"/>
    <w:rsid w:val="00D16B96"/>
    <w:rsid w:val="00D16BF9"/>
    <w:rsid w:val="00D16D69"/>
    <w:rsid w:val="00D16D9E"/>
    <w:rsid w:val="00D16DC8"/>
    <w:rsid w:val="00D16DFD"/>
    <w:rsid w:val="00D16E0D"/>
    <w:rsid w:val="00D16E27"/>
    <w:rsid w:val="00D16EC0"/>
    <w:rsid w:val="00D16EF4"/>
    <w:rsid w:val="00D16F8F"/>
    <w:rsid w:val="00D17018"/>
    <w:rsid w:val="00D170CF"/>
    <w:rsid w:val="00D1717C"/>
    <w:rsid w:val="00D171B8"/>
    <w:rsid w:val="00D171E9"/>
    <w:rsid w:val="00D171F1"/>
    <w:rsid w:val="00D1723D"/>
    <w:rsid w:val="00D1724B"/>
    <w:rsid w:val="00D172BC"/>
    <w:rsid w:val="00D17309"/>
    <w:rsid w:val="00D1734D"/>
    <w:rsid w:val="00D17363"/>
    <w:rsid w:val="00D173C8"/>
    <w:rsid w:val="00D174AB"/>
    <w:rsid w:val="00D176C6"/>
    <w:rsid w:val="00D177A9"/>
    <w:rsid w:val="00D17988"/>
    <w:rsid w:val="00D179D1"/>
    <w:rsid w:val="00D17A8C"/>
    <w:rsid w:val="00D17B41"/>
    <w:rsid w:val="00D17B97"/>
    <w:rsid w:val="00D17C3D"/>
    <w:rsid w:val="00D17C57"/>
    <w:rsid w:val="00D17C90"/>
    <w:rsid w:val="00D17D24"/>
    <w:rsid w:val="00D17D34"/>
    <w:rsid w:val="00D17F20"/>
    <w:rsid w:val="00D17F27"/>
    <w:rsid w:val="00D17F82"/>
    <w:rsid w:val="00D17FB0"/>
    <w:rsid w:val="00D20024"/>
    <w:rsid w:val="00D2004F"/>
    <w:rsid w:val="00D200E9"/>
    <w:rsid w:val="00D201C5"/>
    <w:rsid w:val="00D2020A"/>
    <w:rsid w:val="00D20285"/>
    <w:rsid w:val="00D202FC"/>
    <w:rsid w:val="00D2033A"/>
    <w:rsid w:val="00D203BC"/>
    <w:rsid w:val="00D203CC"/>
    <w:rsid w:val="00D20492"/>
    <w:rsid w:val="00D2050D"/>
    <w:rsid w:val="00D20588"/>
    <w:rsid w:val="00D2059F"/>
    <w:rsid w:val="00D20633"/>
    <w:rsid w:val="00D2076F"/>
    <w:rsid w:val="00D207E0"/>
    <w:rsid w:val="00D208AC"/>
    <w:rsid w:val="00D208D2"/>
    <w:rsid w:val="00D20908"/>
    <w:rsid w:val="00D2091B"/>
    <w:rsid w:val="00D20951"/>
    <w:rsid w:val="00D20A0F"/>
    <w:rsid w:val="00D20AB9"/>
    <w:rsid w:val="00D20B39"/>
    <w:rsid w:val="00D20BC0"/>
    <w:rsid w:val="00D20BC7"/>
    <w:rsid w:val="00D20BE6"/>
    <w:rsid w:val="00D20E18"/>
    <w:rsid w:val="00D20E91"/>
    <w:rsid w:val="00D20EEA"/>
    <w:rsid w:val="00D20FD1"/>
    <w:rsid w:val="00D20FF1"/>
    <w:rsid w:val="00D2108B"/>
    <w:rsid w:val="00D21108"/>
    <w:rsid w:val="00D21179"/>
    <w:rsid w:val="00D2119C"/>
    <w:rsid w:val="00D211D9"/>
    <w:rsid w:val="00D21243"/>
    <w:rsid w:val="00D21288"/>
    <w:rsid w:val="00D213B9"/>
    <w:rsid w:val="00D213FF"/>
    <w:rsid w:val="00D2148E"/>
    <w:rsid w:val="00D21509"/>
    <w:rsid w:val="00D21549"/>
    <w:rsid w:val="00D21561"/>
    <w:rsid w:val="00D21595"/>
    <w:rsid w:val="00D215B0"/>
    <w:rsid w:val="00D215B3"/>
    <w:rsid w:val="00D215D5"/>
    <w:rsid w:val="00D2161E"/>
    <w:rsid w:val="00D216D2"/>
    <w:rsid w:val="00D2179F"/>
    <w:rsid w:val="00D2187F"/>
    <w:rsid w:val="00D2188D"/>
    <w:rsid w:val="00D218A8"/>
    <w:rsid w:val="00D2192F"/>
    <w:rsid w:val="00D219B1"/>
    <w:rsid w:val="00D219E6"/>
    <w:rsid w:val="00D21A13"/>
    <w:rsid w:val="00D21A17"/>
    <w:rsid w:val="00D21A8C"/>
    <w:rsid w:val="00D21AAC"/>
    <w:rsid w:val="00D21B30"/>
    <w:rsid w:val="00D21B3D"/>
    <w:rsid w:val="00D21B7A"/>
    <w:rsid w:val="00D21B7B"/>
    <w:rsid w:val="00D21BEC"/>
    <w:rsid w:val="00D21BF5"/>
    <w:rsid w:val="00D21BFE"/>
    <w:rsid w:val="00D21C4D"/>
    <w:rsid w:val="00D21F23"/>
    <w:rsid w:val="00D21FD7"/>
    <w:rsid w:val="00D22096"/>
    <w:rsid w:val="00D2219A"/>
    <w:rsid w:val="00D22238"/>
    <w:rsid w:val="00D2226E"/>
    <w:rsid w:val="00D2233E"/>
    <w:rsid w:val="00D22345"/>
    <w:rsid w:val="00D223AA"/>
    <w:rsid w:val="00D223E9"/>
    <w:rsid w:val="00D22457"/>
    <w:rsid w:val="00D225ED"/>
    <w:rsid w:val="00D22675"/>
    <w:rsid w:val="00D2267C"/>
    <w:rsid w:val="00D2278C"/>
    <w:rsid w:val="00D22792"/>
    <w:rsid w:val="00D227CA"/>
    <w:rsid w:val="00D227D0"/>
    <w:rsid w:val="00D22851"/>
    <w:rsid w:val="00D228C3"/>
    <w:rsid w:val="00D22A01"/>
    <w:rsid w:val="00D22A71"/>
    <w:rsid w:val="00D22A90"/>
    <w:rsid w:val="00D22B6B"/>
    <w:rsid w:val="00D22BB0"/>
    <w:rsid w:val="00D22BDA"/>
    <w:rsid w:val="00D22BE6"/>
    <w:rsid w:val="00D22BEC"/>
    <w:rsid w:val="00D22C7A"/>
    <w:rsid w:val="00D22CD4"/>
    <w:rsid w:val="00D22CF0"/>
    <w:rsid w:val="00D22D45"/>
    <w:rsid w:val="00D22DA5"/>
    <w:rsid w:val="00D22E3B"/>
    <w:rsid w:val="00D22F30"/>
    <w:rsid w:val="00D22F55"/>
    <w:rsid w:val="00D22FF7"/>
    <w:rsid w:val="00D2304A"/>
    <w:rsid w:val="00D230F4"/>
    <w:rsid w:val="00D23149"/>
    <w:rsid w:val="00D231E9"/>
    <w:rsid w:val="00D2331A"/>
    <w:rsid w:val="00D23380"/>
    <w:rsid w:val="00D233AA"/>
    <w:rsid w:val="00D23521"/>
    <w:rsid w:val="00D23550"/>
    <w:rsid w:val="00D2362F"/>
    <w:rsid w:val="00D2363A"/>
    <w:rsid w:val="00D2367E"/>
    <w:rsid w:val="00D2373E"/>
    <w:rsid w:val="00D2375E"/>
    <w:rsid w:val="00D23782"/>
    <w:rsid w:val="00D237EA"/>
    <w:rsid w:val="00D23802"/>
    <w:rsid w:val="00D2380A"/>
    <w:rsid w:val="00D2382A"/>
    <w:rsid w:val="00D23859"/>
    <w:rsid w:val="00D2388E"/>
    <w:rsid w:val="00D238F8"/>
    <w:rsid w:val="00D23936"/>
    <w:rsid w:val="00D23967"/>
    <w:rsid w:val="00D23968"/>
    <w:rsid w:val="00D23A15"/>
    <w:rsid w:val="00D23A4A"/>
    <w:rsid w:val="00D23AB8"/>
    <w:rsid w:val="00D23AFD"/>
    <w:rsid w:val="00D23B0F"/>
    <w:rsid w:val="00D23B17"/>
    <w:rsid w:val="00D23B46"/>
    <w:rsid w:val="00D23B97"/>
    <w:rsid w:val="00D23BC9"/>
    <w:rsid w:val="00D23CB5"/>
    <w:rsid w:val="00D23CB9"/>
    <w:rsid w:val="00D23CE2"/>
    <w:rsid w:val="00D23CF0"/>
    <w:rsid w:val="00D23D2E"/>
    <w:rsid w:val="00D23E23"/>
    <w:rsid w:val="00D23EC2"/>
    <w:rsid w:val="00D23ECB"/>
    <w:rsid w:val="00D23F10"/>
    <w:rsid w:val="00D23F7B"/>
    <w:rsid w:val="00D23FBA"/>
    <w:rsid w:val="00D240CF"/>
    <w:rsid w:val="00D24100"/>
    <w:rsid w:val="00D24105"/>
    <w:rsid w:val="00D24198"/>
    <w:rsid w:val="00D241B8"/>
    <w:rsid w:val="00D242A2"/>
    <w:rsid w:val="00D2435F"/>
    <w:rsid w:val="00D243E3"/>
    <w:rsid w:val="00D24444"/>
    <w:rsid w:val="00D24742"/>
    <w:rsid w:val="00D247E1"/>
    <w:rsid w:val="00D247EE"/>
    <w:rsid w:val="00D24833"/>
    <w:rsid w:val="00D248DB"/>
    <w:rsid w:val="00D248F5"/>
    <w:rsid w:val="00D24914"/>
    <w:rsid w:val="00D2495D"/>
    <w:rsid w:val="00D24A42"/>
    <w:rsid w:val="00D24C80"/>
    <w:rsid w:val="00D24CC2"/>
    <w:rsid w:val="00D24CC9"/>
    <w:rsid w:val="00D24DB9"/>
    <w:rsid w:val="00D24E22"/>
    <w:rsid w:val="00D24F0A"/>
    <w:rsid w:val="00D24F95"/>
    <w:rsid w:val="00D24FA2"/>
    <w:rsid w:val="00D24FAA"/>
    <w:rsid w:val="00D250A7"/>
    <w:rsid w:val="00D250F2"/>
    <w:rsid w:val="00D251D9"/>
    <w:rsid w:val="00D25251"/>
    <w:rsid w:val="00D25272"/>
    <w:rsid w:val="00D252B6"/>
    <w:rsid w:val="00D25305"/>
    <w:rsid w:val="00D253B1"/>
    <w:rsid w:val="00D2549A"/>
    <w:rsid w:val="00D254CD"/>
    <w:rsid w:val="00D254D7"/>
    <w:rsid w:val="00D255B0"/>
    <w:rsid w:val="00D255B4"/>
    <w:rsid w:val="00D255DB"/>
    <w:rsid w:val="00D25691"/>
    <w:rsid w:val="00D25712"/>
    <w:rsid w:val="00D25817"/>
    <w:rsid w:val="00D25876"/>
    <w:rsid w:val="00D258E6"/>
    <w:rsid w:val="00D258F6"/>
    <w:rsid w:val="00D25914"/>
    <w:rsid w:val="00D259AA"/>
    <w:rsid w:val="00D25A1D"/>
    <w:rsid w:val="00D25A47"/>
    <w:rsid w:val="00D25A9C"/>
    <w:rsid w:val="00D25BC7"/>
    <w:rsid w:val="00D25BD0"/>
    <w:rsid w:val="00D25C22"/>
    <w:rsid w:val="00D25CDA"/>
    <w:rsid w:val="00D25E1D"/>
    <w:rsid w:val="00D25E9E"/>
    <w:rsid w:val="00D25F7F"/>
    <w:rsid w:val="00D25FA1"/>
    <w:rsid w:val="00D25FD8"/>
    <w:rsid w:val="00D2605F"/>
    <w:rsid w:val="00D2609A"/>
    <w:rsid w:val="00D260AE"/>
    <w:rsid w:val="00D26112"/>
    <w:rsid w:val="00D261B3"/>
    <w:rsid w:val="00D261D5"/>
    <w:rsid w:val="00D26223"/>
    <w:rsid w:val="00D262AF"/>
    <w:rsid w:val="00D262B7"/>
    <w:rsid w:val="00D26323"/>
    <w:rsid w:val="00D26330"/>
    <w:rsid w:val="00D2633B"/>
    <w:rsid w:val="00D263F1"/>
    <w:rsid w:val="00D264D0"/>
    <w:rsid w:val="00D2657C"/>
    <w:rsid w:val="00D265C7"/>
    <w:rsid w:val="00D265D1"/>
    <w:rsid w:val="00D265E0"/>
    <w:rsid w:val="00D2660A"/>
    <w:rsid w:val="00D26673"/>
    <w:rsid w:val="00D26679"/>
    <w:rsid w:val="00D2669F"/>
    <w:rsid w:val="00D26732"/>
    <w:rsid w:val="00D26833"/>
    <w:rsid w:val="00D268FF"/>
    <w:rsid w:val="00D269CE"/>
    <w:rsid w:val="00D26AED"/>
    <w:rsid w:val="00D26AFD"/>
    <w:rsid w:val="00D26C19"/>
    <w:rsid w:val="00D26C51"/>
    <w:rsid w:val="00D26CAE"/>
    <w:rsid w:val="00D26CEF"/>
    <w:rsid w:val="00D26D19"/>
    <w:rsid w:val="00D26F08"/>
    <w:rsid w:val="00D26F78"/>
    <w:rsid w:val="00D26F96"/>
    <w:rsid w:val="00D26FBC"/>
    <w:rsid w:val="00D27000"/>
    <w:rsid w:val="00D27035"/>
    <w:rsid w:val="00D27061"/>
    <w:rsid w:val="00D27159"/>
    <w:rsid w:val="00D27228"/>
    <w:rsid w:val="00D27292"/>
    <w:rsid w:val="00D272A9"/>
    <w:rsid w:val="00D272D2"/>
    <w:rsid w:val="00D2732C"/>
    <w:rsid w:val="00D27340"/>
    <w:rsid w:val="00D27388"/>
    <w:rsid w:val="00D27392"/>
    <w:rsid w:val="00D2740E"/>
    <w:rsid w:val="00D27438"/>
    <w:rsid w:val="00D27584"/>
    <w:rsid w:val="00D27590"/>
    <w:rsid w:val="00D27608"/>
    <w:rsid w:val="00D27637"/>
    <w:rsid w:val="00D2765B"/>
    <w:rsid w:val="00D276B6"/>
    <w:rsid w:val="00D276D6"/>
    <w:rsid w:val="00D277B8"/>
    <w:rsid w:val="00D27856"/>
    <w:rsid w:val="00D2789B"/>
    <w:rsid w:val="00D278AD"/>
    <w:rsid w:val="00D27973"/>
    <w:rsid w:val="00D27B16"/>
    <w:rsid w:val="00D27BAD"/>
    <w:rsid w:val="00D27BFF"/>
    <w:rsid w:val="00D27C29"/>
    <w:rsid w:val="00D27D17"/>
    <w:rsid w:val="00D27D61"/>
    <w:rsid w:val="00D27D78"/>
    <w:rsid w:val="00D27DAD"/>
    <w:rsid w:val="00D27E05"/>
    <w:rsid w:val="00D27E22"/>
    <w:rsid w:val="00D27E50"/>
    <w:rsid w:val="00D27F0A"/>
    <w:rsid w:val="00D27F39"/>
    <w:rsid w:val="00D30089"/>
    <w:rsid w:val="00D300BC"/>
    <w:rsid w:val="00D300D8"/>
    <w:rsid w:val="00D30138"/>
    <w:rsid w:val="00D30215"/>
    <w:rsid w:val="00D3024A"/>
    <w:rsid w:val="00D302D0"/>
    <w:rsid w:val="00D302FF"/>
    <w:rsid w:val="00D303AE"/>
    <w:rsid w:val="00D3048C"/>
    <w:rsid w:val="00D30494"/>
    <w:rsid w:val="00D3049E"/>
    <w:rsid w:val="00D304EA"/>
    <w:rsid w:val="00D3051F"/>
    <w:rsid w:val="00D30572"/>
    <w:rsid w:val="00D3059B"/>
    <w:rsid w:val="00D30636"/>
    <w:rsid w:val="00D30742"/>
    <w:rsid w:val="00D307B0"/>
    <w:rsid w:val="00D307CB"/>
    <w:rsid w:val="00D307F2"/>
    <w:rsid w:val="00D308D7"/>
    <w:rsid w:val="00D30914"/>
    <w:rsid w:val="00D3095B"/>
    <w:rsid w:val="00D309B4"/>
    <w:rsid w:val="00D30AD6"/>
    <w:rsid w:val="00D30B32"/>
    <w:rsid w:val="00D30B4D"/>
    <w:rsid w:val="00D30BB4"/>
    <w:rsid w:val="00D30C09"/>
    <w:rsid w:val="00D30CA4"/>
    <w:rsid w:val="00D30D78"/>
    <w:rsid w:val="00D30F82"/>
    <w:rsid w:val="00D30FB9"/>
    <w:rsid w:val="00D31020"/>
    <w:rsid w:val="00D31024"/>
    <w:rsid w:val="00D31051"/>
    <w:rsid w:val="00D310D4"/>
    <w:rsid w:val="00D310EB"/>
    <w:rsid w:val="00D31247"/>
    <w:rsid w:val="00D3124B"/>
    <w:rsid w:val="00D31269"/>
    <w:rsid w:val="00D3126A"/>
    <w:rsid w:val="00D3135B"/>
    <w:rsid w:val="00D3139E"/>
    <w:rsid w:val="00D313CD"/>
    <w:rsid w:val="00D313D2"/>
    <w:rsid w:val="00D3142B"/>
    <w:rsid w:val="00D3143C"/>
    <w:rsid w:val="00D3147E"/>
    <w:rsid w:val="00D314EF"/>
    <w:rsid w:val="00D31527"/>
    <w:rsid w:val="00D315BF"/>
    <w:rsid w:val="00D315EA"/>
    <w:rsid w:val="00D315F9"/>
    <w:rsid w:val="00D3162B"/>
    <w:rsid w:val="00D316C6"/>
    <w:rsid w:val="00D31701"/>
    <w:rsid w:val="00D3171A"/>
    <w:rsid w:val="00D31796"/>
    <w:rsid w:val="00D319E0"/>
    <w:rsid w:val="00D31A30"/>
    <w:rsid w:val="00D31B2F"/>
    <w:rsid w:val="00D31BD3"/>
    <w:rsid w:val="00D31BFA"/>
    <w:rsid w:val="00D31C71"/>
    <w:rsid w:val="00D31C7A"/>
    <w:rsid w:val="00D31D62"/>
    <w:rsid w:val="00D31D7E"/>
    <w:rsid w:val="00D31D9B"/>
    <w:rsid w:val="00D31DD7"/>
    <w:rsid w:val="00D31E47"/>
    <w:rsid w:val="00D31F20"/>
    <w:rsid w:val="00D31F60"/>
    <w:rsid w:val="00D31FC9"/>
    <w:rsid w:val="00D32026"/>
    <w:rsid w:val="00D32037"/>
    <w:rsid w:val="00D3204E"/>
    <w:rsid w:val="00D320E5"/>
    <w:rsid w:val="00D3220D"/>
    <w:rsid w:val="00D3222C"/>
    <w:rsid w:val="00D322F8"/>
    <w:rsid w:val="00D32305"/>
    <w:rsid w:val="00D3236A"/>
    <w:rsid w:val="00D3236C"/>
    <w:rsid w:val="00D323DB"/>
    <w:rsid w:val="00D324B4"/>
    <w:rsid w:val="00D3251A"/>
    <w:rsid w:val="00D32525"/>
    <w:rsid w:val="00D32528"/>
    <w:rsid w:val="00D325A1"/>
    <w:rsid w:val="00D325EE"/>
    <w:rsid w:val="00D325F0"/>
    <w:rsid w:val="00D3265F"/>
    <w:rsid w:val="00D32686"/>
    <w:rsid w:val="00D326DF"/>
    <w:rsid w:val="00D32722"/>
    <w:rsid w:val="00D32725"/>
    <w:rsid w:val="00D32742"/>
    <w:rsid w:val="00D327C4"/>
    <w:rsid w:val="00D32838"/>
    <w:rsid w:val="00D32862"/>
    <w:rsid w:val="00D32877"/>
    <w:rsid w:val="00D3288F"/>
    <w:rsid w:val="00D328AD"/>
    <w:rsid w:val="00D328D8"/>
    <w:rsid w:val="00D3292D"/>
    <w:rsid w:val="00D3295E"/>
    <w:rsid w:val="00D3297D"/>
    <w:rsid w:val="00D32A12"/>
    <w:rsid w:val="00D32AA0"/>
    <w:rsid w:val="00D32AB2"/>
    <w:rsid w:val="00D32AC9"/>
    <w:rsid w:val="00D32B0E"/>
    <w:rsid w:val="00D32B74"/>
    <w:rsid w:val="00D32B7D"/>
    <w:rsid w:val="00D32B9E"/>
    <w:rsid w:val="00D32BC9"/>
    <w:rsid w:val="00D32C50"/>
    <w:rsid w:val="00D32C7A"/>
    <w:rsid w:val="00D32CB9"/>
    <w:rsid w:val="00D32CBF"/>
    <w:rsid w:val="00D32D21"/>
    <w:rsid w:val="00D32D79"/>
    <w:rsid w:val="00D32D9C"/>
    <w:rsid w:val="00D32ED9"/>
    <w:rsid w:val="00D32F3A"/>
    <w:rsid w:val="00D33020"/>
    <w:rsid w:val="00D3304F"/>
    <w:rsid w:val="00D3305A"/>
    <w:rsid w:val="00D330E9"/>
    <w:rsid w:val="00D33111"/>
    <w:rsid w:val="00D331EA"/>
    <w:rsid w:val="00D33239"/>
    <w:rsid w:val="00D33242"/>
    <w:rsid w:val="00D33263"/>
    <w:rsid w:val="00D3326A"/>
    <w:rsid w:val="00D3328D"/>
    <w:rsid w:val="00D33324"/>
    <w:rsid w:val="00D3333B"/>
    <w:rsid w:val="00D33381"/>
    <w:rsid w:val="00D3338C"/>
    <w:rsid w:val="00D333C2"/>
    <w:rsid w:val="00D333E6"/>
    <w:rsid w:val="00D33425"/>
    <w:rsid w:val="00D33436"/>
    <w:rsid w:val="00D3345F"/>
    <w:rsid w:val="00D33462"/>
    <w:rsid w:val="00D33497"/>
    <w:rsid w:val="00D334B4"/>
    <w:rsid w:val="00D334D2"/>
    <w:rsid w:val="00D334E2"/>
    <w:rsid w:val="00D33584"/>
    <w:rsid w:val="00D335A4"/>
    <w:rsid w:val="00D335C5"/>
    <w:rsid w:val="00D33610"/>
    <w:rsid w:val="00D33629"/>
    <w:rsid w:val="00D33634"/>
    <w:rsid w:val="00D336C4"/>
    <w:rsid w:val="00D336DB"/>
    <w:rsid w:val="00D337FC"/>
    <w:rsid w:val="00D338AC"/>
    <w:rsid w:val="00D338CC"/>
    <w:rsid w:val="00D338E1"/>
    <w:rsid w:val="00D33914"/>
    <w:rsid w:val="00D33967"/>
    <w:rsid w:val="00D33A3B"/>
    <w:rsid w:val="00D33AB9"/>
    <w:rsid w:val="00D33ABA"/>
    <w:rsid w:val="00D33B39"/>
    <w:rsid w:val="00D33C19"/>
    <w:rsid w:val="00D33C25"/>
    <w:rsid w:val="00D33D71"/>
    <w:rsid w:val="00D33DC8"/>
    <w:rsid w:val="00D33E05"/>
    <w:rsid w:val="00D33E50"/>
    <w:rsid w:val="00D33E63"/>
    <w:rsid w:val="00D33E95"/>
    <w:rsid w:val="00D33EDE"/>
    <w:rsid w:val="00D33F98"/>
    <w:rsid w:val="00D34016"/>
    <w:rsid w:val="00D34118"/>
    <w:rsid w:val="00D34189"/>
    <w:rsid w:val="00D3419D"/>
    <w:rsid w:val="00D341AF"/>
    <w:rsid w:val="00D341DC"/>
    <w:rsid w:val="00D341FA"/>
    <w:rsid w:val="00D34223"/>
    <w:rsid w:val="00D3424C"/>
    <w:rsid w:val="00D34398"/>
    <w:rsid w:val="00D343AF"/>
    <w:rsid w:val="00D343EA"/>
    <w:rsid w:val="00D343FB"/>
    <w:rsid w:val="00D34426"/>
    <w:rsid w:val="00D3448C"/>
    <w:rsid w:val="00D34632"/>
    <w:rsid w:val="00D3466E"/>
    <w:rsid w:val="00D346AE"/>
    <w:rsid w:val="00D3475D"/>
    <w:rsid w:val="00D3476F"/>
    <w:rsid w:val="00D34782"/>
    <w:rsid w:val="00D348DA"/>
    <w:rsid w:val="00D34948"/>
    <w:rsid w:val="00D34968"/>
    <w:rsid w:val="00D3496E"/>
    <w:rsid w:val="00D349CB"/>
    <w:rsid w:val="00D349CE"/>
    <w:rsid w:val="00D34A2A"/>
    <w:rsid w:val="00D34A3B"/>
    <w:rsid w:val="00D34A6B"/>
    <w:rsid w:val="00D34A9F"/>
    <w:rsid w:val="00D34AA3"/>
    <w:rsid w:val="00D34AA6"/>
    <w:rsid w:val="00D34AAF"/>
    <w:rsid w:val="00D34AEC"/>
    <w:rsid w:val="00D34B15"/>
    <w:rsid w:val="00D34C6A"/>
    <w:rsid w:val="00D34CBC"/>
    <w:rsid w:val="00D34D42"/>
    <w:rsid w:val="00D34D65"/>
    <w:rsid w:val="00D34E1F"/>
    <w:rsid w:val="00D34E71"/>
    <w:rsid w:val="00D34EF6"/>
    <w:rsid w:val="00D34F04"/>
    <w:rsid w:val="00D34F23"/>
    <w:rsid w:val="00D34F74"/>
    <w:rsid w:val="00D35012"/>
    <w:rsid w:val="00D3508B"/>
    <w:rsid w:val="00D350AB"/>
    <w:rsid w:val="00D35117"/>
    <w:rsid w:val="00D35145"/>
    <w:rsid w:val="00D3516E"/>
    <w:rsid w:val="00D35247"/>
    <w:rsid w:val="00D352D2"/>
    <w:rsid w:val="00D352FA"/>
    <w:rsid w:val="00D35337"/>
    <w:rsid w:val="00D35456"/>
    <w:rsid w:val="00D35481"/>
    <w:rsid w:val="00D35511"/>
    <w:rsid w:val="00D35587"/>
    <w:rsid w:val="00D3558E"/>
    <w:rsid w:val="00D35683"/>
    <w:rsid w:val="00D357A6"/>
    <w:rsid w:val="00D3581F"/>
    <w:rsid w:val="00D35832"/>
    <w:rsid w:val="00D3585B"/>
    <w:rsid w:val="00D35900"/>
    <w:rsid w:val="00D3597A"/>
    <w:rsid w:val="00D3599C"/>
    <w:rsid w:val="00D35A03"/>
    <w:rsid w:val="00D35AC4"/>
    <w:rsid w:val="00D35AF9"/>
    <w:rsid w:val="00D35B3D"/>
    <w:rsid w:val="00D35B61"/>
    <w:rsid w:val="00D35B70"/>
    <w:rsid w:val="00D35C32"/>
    <w:rsid w:val="00D35E20"/>
    <w:rsid w:val="00D35E3E"/>
    <w:rsid w:val="00D35E82"/>
    <w:rsid w:val="00D35EBA"/>
    <w:rsid w:val="00D35ED9"/>
    <w:rsid w:val="00D35EED"/>
    <w:rsid w:val="00D35EF1"/>
    <w:rsid w:val="00D35F9A"/>
    <w:rsid w:val="00D36072"/>
    <w:rsid w:val="00D360C5"/>
    <w:rsid w:val="00D360FB"/>
    <w:rsid w:val="00D3610B"/>
    <w:rsid w:val="00D3618B"/>
    <w:rsid w:val="00D36284"/>
    <w:rsid w:val="00D36287"/>
    <w:rsid w:val="00D362C0"/>
    <w:rsid w:val="00D3636D"/>
    <w:rsid w:val="00D3638F"/>
    <w:rsid w:val="00D363DF"/>
    <w:rsid w:val="00D36440"/>
    <w:rsid w:val="00D36449"/>
    <w:rsid w:val="00D36498"/>
    <w:rsid w:val="00D364DC"/>
    <w:rsid w:val="00D364FD"/>
    <w:rsid w:val="00D365B2"/>
    <w:rsid w:val="00D366D4"/>
    <w:rsid w:val="00D366D7"/>
    <w:rsid w:val="00D366E3"/>
    <w:rsid w:val="00D36731"/>
    <w:rsid w:val="00D36771"/>
    <w:rsid w:val="00D3678C"/>
    <w:rsid w:val="00D367D2"/>
    <w:rsid w:val="00D36851"/>
    <w:rsid w:val="00D36876"/>
    <w:rsid w:val="00D36884"/>
    <w:rsid w:val="00D36897"/>
    <w:rsid w:val="00D368D7"/>
    <w:rsid w:val="00D36962"/>
    <w:rsid w:val="00D36A78"/>
    <w:rsid w:val="00D36A8C"/>
    <w:rsid w:val="00D36AE6"/>
    <w:rsid w:val="00D36C40"/>
    <w:rsid w:val="00D36C78"/>
    <w:rsid w:val="00D36CA6"/>
    <w:rsid w:val="00D36CC2"/>
    <w:rsid w:val="00D36CE2"/>
    <w:rsid w:val="00D36CFA"/>
    <w:rsid w:val="00D36D27"/>
    <w:rsid w:val="00D36E48"/>
    <w:rsid w:val="00D36E98"/>
    <w:rsid w:val="00D36EFD"/>
    <w:rsid w:val="00D37083"/>
    <w:rsid w:val="00D370F4"/>
    <w:rsid w:val="00D3712A"/>
    <w:rsid w:val="00D37185"/>
    <w:rsid w:val="00D37194"/>
    <w:rsid w:val="00D37213"/>
    <w:rsid w:val="00D3725A"/>
    <w:rsid w:val="00D37272"/>
    <w:rsid w:val="00D372A8"/>
    <w:rsid w:val="00D37325"/>
    <w:rsid w:val="00D3734D"/>
    <w:rsid w:val="00D37354"/>
    <w:rsid w:val="00D37402"/>
    <w:rsid w:val="00D3745E"/>
    <w:rsid w:val="00D3747C"/>
    <w:rsid w:val="00D3758F"/>
    <w:rsid w:val="00D375D0"/>
    <w:rsid w:val="00D3761C"/>
    <w:rsid w:val="00D37666"/>
    <w:rsid w:val="00D3767D"/>
    <w:rsid w:val="00D376AD"/>
    <w:rsid w:val="00D376D4"/>
    <w:rsid w:val="00D3781E"/>
    <w:rsid w:val="00D37834"/>
    <w:rsid w:val="00D37839"/>
    <w:rsid w:val="00D3784C"/>
    <w:rsid w:val="00D378EC"/>
    <w:rsid w:val="00D378EF"/>
    <w:rsid w:val="00D378F9"/>
    <w:rsid w:val="00D379FE"/>
    <w:rsid w:val="00D37AB5"/>
    <w:rsid w:val="00D37B03"/>
    <w:rsid w:val="00D37B8E"/>
    <w:rsid w:val="00D37C28"/>
    <w:rsid w:val="00D37C47"/>
    <w:rsid w:val="00D37C99"/>
    <w:rsid w:val="00D37C9A"/>
    <w:rsid w:val="00D37D83"/>
    <w:rsid w:val="00D37D9D"/>
    <w:rsid w:val="00D37DFB"/>
    <w:rsid w:val="00D37E71"/>
    <w:rsid w:val="00D37ECC"/>
    <w:rsid w:val="00D37ED1"/>
    <w:rsid w:val="00D37F08"/>
    <w:rsid w:val="00D37F97"/>
    <w:rsid w:val="00D37FB5"/>
    <w:rsid w:val="00D37FCD"/>
    <w:rsid w:val="00D37FCF"/>
    <w:rsid w:val="00D40091"/>
    <w:rsid w:val="00D400A8"/>
    <w:rsid w:val="00D40122"/>
    <w:rsid w:val="00D4013C"/>
    <w:rsid w:val="00D40175"/>
    <w:rsid w:val="00D4019D"/>
    <w:rsid w:val="00D4022E"/>
    <w:rsid w:val="00D40294"/>
    <w:rsid w:val="00D402B5"/>
    <w:rsid w:val="00D402CA"/>
    <w:rsid w:val="00D40321"/>
    <w:rsid w:val="00D403C4"/>
    <w:rsid w:val="00D403E8"/>
    <w:rsid w:val="00D403F2"/>
    <w:rsid w:val="00D40404"/>
    <w:rsid w:val="00D4052D"/>
    <w:rsid w:val="00D40699"/>
    <w:rsid w:val="00D406F4"/>
    <w:rsid w:val="00D40723"/>
    <w:rsid w:val="00D407E8"/>
    <w:rsid w:val="00D407E9"/>
    <w:rsid w:val="00D407F9"/>
    <w:rsid w:val="00D407FF"/>
    <w:rsid w:val="00D4082F"/>
    <w:rsid w:val="00D40879"/>
    <w:rsid w:val="00D40891"/>
    <w:rsid w:val="00D4094F"/>
    <w:rsid w:val="00D4098A"/>
    <w:rsid w:val="00D40A48"/>
    <w:rsid w:val="00D40A5A"/>
    <w:rsid w:val="00D40B32"/>
    <w:rsid w:val="00D40BA6"/>
    <w:rsid w:val="00D40BD6"/>
    <w:rsid w:val="00D40C0D"/>
    <w:rsid w:val="00D40C45"/>
    <w:rsid w:val="00D40C70"/>
    <w:rsid w:val="00D40C9D"/>
    <w:rsid w:val="00D40CB3"/>
    <w:rsid w:val="00D40D38"/>
    <w:rsid w:val="00D40D4A"/>
    <w:rsid w:val="00D40D5A"/>
    <w:rsid w:val="00D40D71"/>
    <w:rsid w:val="00D40D86"/>
    <w:rsid w:val="00D40F29"/>
    <w:rsid w:val="00D40FD1"/>
    <w:rsid w:val="00D4101D"/>
    <w:rsid w:val="00D41085"/>
    <w:rsid w:val="00D411A7"/>
    <w:rsid w:val="00D411DF"/>
    <w:rsid w:val="00D41204"/>
    <w:rsid w:val="00D41248"/>
    <w:rsid w:val="00D4126E"/>
    <w:rsid w:val="00D412FA"/>
    <w:rsid w:val="00D41373"/>
    <w:rsid w:val="00D4139E"/>
    <w:rsid w:val="00D413E8"/>
    <w:rsid w:val="00D413F6"/>
    <w:rsid w:val="00D4145D"/>
    <w:rsid w:val="00D41569"/>
    <w:rsid w:val="00D41601"/>
    <w:rsid w:val="00D4168C"/>
    <w:rsid w:val="00D41754"/>
    <w:rsid w:val="00D41776"/>
    <w:rsid w:val="00D41817"/>
    <w:rsid w:val="00D4184C"/>
    <w:rsid w:val="00D41914"/>
    <w:rsid w:val="00D41982"/>
    <w:rsid w:val="00D419B4"/>
    <w:rsid w:val="00D41AC8"/>
    <w:rsid w:val="00D41BBD"/>
    <w:rsid w:val="00D41BDD"/>
    <w:rsid w:val="00D41BE6"/>
    <w:rsid w:val="00D41C16"/>
    <w:rsid w:val="00D41C4E"/>
    <w:rsid w:val="00D41CC4"/>
    <w:rsid w:val="00D41CF7"/>
    <w:rsid w:val="00D41D2F"/>
    <w:rsid w:val="00D41D46"/>
    <w:rsid w:val="00D41D9F"/>
    <w:rsid w:val="00D41DDE"/>
    <w:rsid w:val="00D41DE7"/>
    <w:rsid w:val="00D41E18"/>
    <w:rsid w:val="00D41E1E"/>
    <w:rsid w:val="00D41E63"/>
    <w:rsid w:val="00D41E70"/>
    <w:rsid w:val="00D41EBF"/>
    <w:rsid w:val="00D41EDB"/>
    <w:rsid w:val="00D41F31"/>
    <w:rsid w:val="00D41F63"/>
    <w:rsid w:val="00D41F86"/>
    <w:rsid w:val="00D4209B"/>
    <w:rsid w:val="00D42175"/>
    <w:rsid w:val="00D421F6"/>
    <w:rsid w:val="00D42291"/>
    <w:rsid w:val="00D422CC"/>
    <w:rsid w:val="00D42358"/>
    <w:rsid w:val="00D423D1"/>
    <w:rsid w:val="00D42492"/>
    <w:rsid w:val="00D424C8"/>
    <w:rsid w:val="00D4250F"/>
    <w:rsid w:val="00D425D6"/>
    <w:rsid w:val="00D425DC"/>
    <w:rsid w:val="00D4268B"/>
    <w:rsid w:val="00D426F0"/>
    <w:rsid w:val="00D42859"/>
    <w:rsid w:val="00D4287F"/>
    <w:rsid w:val="00D428D4"/>
    <w:rsid w:val="00D429E5"/>
    <w:rsid w:val="00D42B18"/>
    <w:rsid w:val="00D42B1A"/>
    <w:rsid w:val="00D42B2A"/>
    <w:rsid w:val="00D42B30"/>
    <w:rsid w:val="00D42B33"/>
    <w:rsid w:val="00D42B51"/>
    <w:rsid w:val="00D42BC4"/>
    <w:rsid w:val="00D42C55"/>
    <w:rsid w:val="00D42C8B"/>
    <w:rsid w:val="00D42C92"/>
    <w:rsid w:val="00D42D3E"/>
    <w:rsid w:val="00D42D63"/>
    <w:rsid w:val="00D42D73"/>
    <w:rsid w:val="00D42DB5"/>
    <w:rsid w:val="00D42DBE"/>
    <w:rsid w:val="00D42DD3"/>
    <w:rsid w:val="00D42DE7"/>
    <w:rsid w:val="00D42EF7"/>
    <w:rsid w:val="00D42F66"/>
    <w:rsid w:val="00D42F88"/>
    <w:rsid w:val="00D42F8D"/>
    <w:rsid w:val="00D42F9A"/>
    <w:rsid w:val="00D42FE8"/>
    <w:rsid w:val="00D43023"/>
    <w:rsid w:val="00D4306D"/>
    <w:rsid w:val="00D430E7"/>
    <w:rsid w:val="00D43100"/>
    <w:rsid w:val="00D4310F"/>
    <w:rsid w:val="00D43141"/>
    <w:rsid w:val="00D4314B"/>
    <w:rsid w:val="00D43188"/>
    <w:rsid w:val="00D431B6"/>
    <w:rsid w:val="00D431EA"/>
    <w:rsid w:val="00D43242"/>
    <w:rsid w:val="00D43259"/>
    <w:rsid w:val="00D43310"/>
    <w:rsid w:val="00D4339E"/>
    <w:rsid w:val="00D433D0"/>
    <w:rsid w:val="00D433DE"/>
    <w:rsid w:val="00D433E2"/>
    <w:rsid w:val="00D4341A"/>
    <w:rsid w:val="00D4348B"/>
    <w:rsid w:val="00D43558"/>
    <w:rsid w:val="00D43579"/>
    <w:rsid w:val="00D4359B"/>
    <w:rsid w:val="00D43615"/>
    <w:rsid w:val="00D43760"/>
    <w:rsid w:val="00D437A1"/>
    <w:rsid w:val="00D437EC"/>
    <w:rsid w:val="00D437FC"/>
    <w:rsid w:val="00D43946"/>
    <w:rsid w:val="00D43959"/>
    <w:rsid w:val="00D43AD8"/>
    <w:rsid w:val="00D43AED"/>
    <w:rsid w:val="00D43B13"/>
    <w:rsid w:val="00D43B37"/>
    <w:rsid w:val="00D43B4B"/>
    <w:rsid w:val="00D43C08"/>
    <w:rsid w:val="00D43D53"/>
    <w:rsid w:val="00D43D5E"/>
    <w:rsid w:val="00D43E45"/>
    <w:rsid w:val="00D43E78"/>
    <w:rsid w:val="00D43F94"/>
    <w:rsid w:val="00D44081"/>
    <w:rsid w:val="00D440E0"/>
    <w:rsid w:val="00D440EB"/>
    <w:rsid w:val="00D4412B"/>
    <w:rsid w:val="00D44143"/>
    <w:rsid w:val="00D44149"/>
    <w:rsid w:val="00D44176"/>
    <w:rsid w:val="00D441D6"/>
    <w:rsid w:val="00D4420F"/>
    <w:rsid w:val="00D4422B"/>
    <w:rsid w:val="00D44327"/>
    <w:rsid w:val="00D4433E"/>
    <w:rsid w:val="00D44471"/>
    <w:rsid w:val="00D445B9"/>
    <w:rsid w:val="00D445C8"/>
    <w:rsid w:val="00D44604"/>
    <w:rsid w:val="00D44607"/>
    <w:rsid w:val="00D44666"/>
    <w:rsid w:val="00D446A5"/>
    <w:rsid w:val="00D446ED"/>
    <w:rsid w:val="00D4473F"/>
    <w:rsid w:val="00D44751"/>
    <w:rsid w:val="00D4479D"/>
    <w:rsid w:val="00D447A4"/>
    <w:rsid w:val="00D448A9"/>
    <w:rsid w:val="00D449A2"/>
    <w:rsid w:val="00D44A14"/>
    <w:rsid w:val="00D44A8F"/>
    <w:rsid w:val="00D44C11"/>
    <w:rsid w:val="00D44C8A"/>
    <w:rsid w:val="00D44C95"/>
    <w:rsid w:val="00D44DA0"/>
    <w:rsid w:val="00D44DA1"/>
    <w:rsid w:val="00D44DB9"/>
    <w:rsid w:val="00D44E17"/>
    <w:rsid w:val="00D44EE0"/>
    <w:rsid w:val="00D44F57"/>
    <w:rsid w:val="00D44FED"/>
    <w:rsid w:val="00D45144"/>
    <w:rsid w:val="00D45237"/>
    <w:rsid w:val="00D453A0"/>
    <w:rsid w:val="00D453FB"/>
    <w:rsid w:val="00D45407"/>
    <w:rsid w:val="00D454D5"/>
    <w:rsid w:val="00D455F7"/>
    <w:rsid w:val="00D45698"/>
    <w:rsid w:val="00D456F5"/>
    <w:rsid w:val="00D45786"/>
    <w:rsid w:val="00D45819"/>
    <w:rsid w:val="00D45863"/>
    <w:rsid w:val="00D458C3"/>
    <w:rsid w:val="00D458D6"/>
    <w:rsid w:val="00D45999"/>
    <w:rsid w:val="00D45A06"/>
    <w:rsid w:val="00D45A49"/>
    <w:rsid w:val="00D45A9D"/>
    <w:rsid w:val="00D45AEC"/>
    <w:rsid w:val="00D45AFA"/>
    <w:rsid w:val="00D45B70"/>
    <w:rsid w:val="00D45C65"/>
    <w:rsid w:val="00D45C6B"/>
    <w:rsid w:val="00D45CD7"/>
    <w:rsid w:val="00D45CD9"/>
    <w:rsid w:val="00D45D56"/>
    <w:rsid w:val="00D45DB1"/>
    <w:rsid w:val="00D45E56"/>
    <w:rsid w:val="00D45E79"/>
    <w:rsid w:val="00D45EEC"/>
    <w:rsid w:val="00D45F53"/>
    <w:rsid w:val="00D45FEC"/>
    <w:rsid w:val="00D4608B"/>
    <w:rsid w:val="00D4612E"/>
    <w:rsid w:val="00D46190"/>
    <w:rsid w:val="00D461C5"/>
    <w:rsid w:val="00D46268"/>
    <w:rsid w:val="00D46274"/>
    <w:rsid w:val="00D462B3"/>
    <w:rsid w:val="00D4631D"/>
    <w:rsid w:val="00D46408"/>
    <w:rsid w:val="00D464D3"/>
    <w:rsid w:val="00D4657F"/>
    <w:rsid w:val="00D4658D"/>
    <w:rsid w:val="00D465A7"/>
    <w:rsid w:val="00D46645"/>
    <w:rsid w:val="00D466C3"/>
    <w:rsid w:val="00D466E1"/>
    <w:rsid w:val="00D46780"/>
    <w:rsid w:val="00D467CB"/>
    <w:rsid w:val="00D46898"/>
    <w:rsid w:val="00D468B1"/>
    <w:rsid w:val="00D46937"/>
    <w:rsid w:val="00D469EA"/>
    <w:rsid w:val="00D46A42"/>
    <w:rsid w:val="00D46AE4"/>
    <w:rsid w:val="00D46B06"/>
    <w:rsid w:val="00D46B3D"/>
    <w:rsid w:val="00D46C3D"/>
    <w:rsid w:val="00D46C43"/>
    <w:rsid w:val="00D46CEF"/>
    <w:rsid w:val="00D46D3F"/>
    <w:rsid w:val="00D46E25"/>
    <w:rsid w:val="00D47042"/>
    <w:rsid w:val="00D47087"/>
    <w:rsid w:val="00D471BF"/>
    <w:rsid w:val="00D471F0"/>
    <w:rsid w:val="00D47295"/>
    <w:rsid w:val="00D47365"/>
    <w:rsid w:val="00D4736E"/>
    <w:rsid w:val="00D473EF"/>
    <w:rsid w:val="00D474A6"/>
    <w:rsid w:val="00D474CE"/>
    <w:rsid w:val="00D4751A"/>
    <w:rsid w:val="00D47552"/>
    <w:rsid w:val="00D475FD"/>
    <w:rsid w:val="00D476A6"/>
    <w:rsid w:val="00D476C8"/>
    <w:rsid w:val="00D476CB"/>
    <w:rsid w:val="00D4775E"/>
    <w:rsid w:val="00D4787C"/>
    <w:rsid w:val="00D478A1"/>
    <w:rsid w:val="00D478AC"/>
    <w:rsid w:val="00D478E2"/>
    <w:rsid w:val="00D47940"/>
    <w:rsid w:val="00D47942"/>
    <w:rsid w:val="00D47974"/>
    <w:rsid w:val="00D479A4"/>
    <w:rsid w:val="00D479B2"/>
    <w:rsid w:val="00D479BC"/>
    <w:rsid w:val="00D47B81"/>
    <w:rsid w:val="00D47BD4"/>
    <w:rsid w:val="00D47BF9"/>
    <w:rsid w:val="00D47D65"/>
    <w:rsid w:val="00D47E8D"/>
    <w:rsid w:val="00D47EEB"/>
    <w:rsid w:val="00D47EF3"/>
    <w:rsid w:val="00D47F74"/>
    <w:rsid w:val="00D50010"/>
    <w:rsid w:val="00D50057"/>
    <w:rsid w:val="00D50082"/>
    <w:rsid w:val="00D50113"/>
    <w:rsid w:val="00D5012A"/>
    <w:rsid w:val="00D5018D"/>
    <w:rsid w:val="00D50200"/>
    <w:rsid w:val="00D50358"/>
    <w:rsid w:val="00D5037C"/>
    <w:rsid w:val="00D5040C"/>
    <w:rsid w:val="00D5047D"/>
    <w:rsid w:val="00D504A8"/>
    <w:rsid w:val="00D504B8"/>
    <w:rsid w:val="00D5051C"/>
    <w:rsid w:val="00D50565"/>
    <w:rsid w:val="00D50577"/>
    <w:rsid w:val="00D5064E"/>
    <w:rsid w:val="00D5070F"/>
    <w:rsid w:val="00D50781"/>
    <w:rsid w:val="00D508CE"/>
    <w:rsid w:val="00D509A0"/>
    <w:rsid w:val="00D509B6"/>
    <w:rsid w:val="00D50A4E"/>
    <w:rsid w:val="00D50A63"/>
    <w:rsid w:val="00D50A7B"/>
    <w:rsid w:val="00D50B2D"/>
    <w:rsid w:val="00D50B4D"/>
    <w:rsid w:val="00D50B63"/>
    <w:rsid w:val="00D50B8E"/>
    <w:rsid w:val="00D50BA0"/>
    <w:rsid w:val="00D50BD3"/>
    <w:rsid w:val="00D50BFF"/>
    <w:rsid w:val="00D50CC9"/>
    <w:rsid w:val="00D50D71"/>
    <w:rsid w:val="00D50DEA"/>
    <w:rsid w:val="00D50DF3"/>
    <w:rsid w:val="00D50E31"/>
    <w:rsid w:val="00D50E76"/>
    <w:rsid w:val="00D50F56"/>
    <w:rsid w:val="00D50FF6"/>
    <w:rsid w:val="00D51011"/>
    <w:rsid w:val="00D510DB"/>
    <w:rsid w:val="00D510F9"/>
    <w:rsid w:val="00D510FB"/>
    <w:rsid w:val="00D5111C"/>
    <w:rsid w:val="00D511A6"/>
    <w:rsid w:val="00D511B7"/>
    <w:rsid w:val="00D513C0"/>
    <w:rsid w:val="00D5141C"/>
    <w:rsid w:val="00D514A7"/>
    <w:rsid w:val="00D514AB"/>
    <w:rsid w:val="00D514CA"/>
    <w:rsid w:val="00D51504"/>
    <w:rsid w:val="00D5152B"/>
    <w:rsid w:val="00D515D5"/>
    <w:rsid w:val="00D516B2"/>
    <w:rsid w:val="00D516E2"/>
    <w:rsid w:val="00D51795"/>
    <w:rsid w:val="00D51804"/>
    <w:rsid w:val="00D5181F"/>
    <w:rsid w:val="00D51848"/>
    <w:rsid w:val="00D518BC"/>
    <w:rsid w:val="00D518C7"/>
    <w:rsid w:val="00D5195D"/>
    <w:rsid w:val="00D51A40"/>
    <w:rsid w:val="00D51A4F"/>
    <w:rsid w:val="00D51A9C"/>
    <w:rsid w:val="00D51AF5"/>
    <w:rsid w:val="00D51BA1"/>
    <w:rsid w:val="00D51BD3"/>
    <w:rsid w:val="00D51D21"/>
    <w:rsid w:val="00D51D3F"/>
    <w:rsid w:val="00D51D7B"/>
    <w:rsid w:val="00D51D9E"/>
    <w:rsid w:val="00D51E61"/>
    <w:rsid w:val="00D51ECC"/>
    <w:rsid w:val="00D51FB0"/>
    <w:rsid w:val="00D51FFB"/>
    <w:rsid w:val="00D52097"/>
    <w:rsid w:val="00D520A7"/>
    <w:rsid w:val="00D520BD"/>
    <w:rsid w:val="00D520D0"/>
    <w:rsid w:val="00D521A6"/>
    <w:rsid w:val="00D521BC"/>
    <w:rsid w:val="00D521C9"/>
    <w:rsid w:val="00D522D8"/>
    <w:rsid w:val="00D5234F"/>
    <w:rsid w:val="00D523DE"/>
    <w:rsid w:val="00D5241D"/>
    <w:rsid w:val="00D52447"/>
    <w:rsid w:val="00D5253C"/>
    <w:rsid w:val="00D5254F"/>
    <w:rsid w:val="00D52582"/>
    <w:rsid w:val="00D52687"/>
    <w:rsid w:val="00D52738"/>
    <w:rsid w:val="00D52758"/>
    <w:rsid w:val="00D5279A"/>
    <w:rsid w:val="00D528A5"/>
    <w:rsid w:val="00D528EF"/>
    <w:rsid w:val="00D5295A"/>
    <w:rsid w:val="00D52970"/>
    <w:rsid w:val="00D52A71"/>
    <w:rsid w:val="00D52A96"/>
    <w:rsid w:val="00D52BB7"/>
    <w:rsid w:val="00D52C1D"/>
    <w:rsid w:val="00D52C44"/>
    <w:rsid w:val="00D52C7F"/>
    <w:rsid w:val="00D52CC1"/>
    <w:rsid w:val="00D52CCD"/>
    <w:rsid w:val="00D52CD7"/>
    <w:rsid w:val="00D52D20"/>
    <w:rsid w:val="00D52D70"/>
    <w:rsid w:val="00D52DDD"/>
    <w:rsid w:val="00D52E01"/>
    <w:rsid w:val="00D52E53"/>
    <w:rsid w:val="00D52EB0"/>
    <w:rsid w:val="00D52F34"/>
    <w:rsid w:val="00D52F88"/>
    <w:rsid w:val="00D52F8A"/>
    <w:rsid w:val="00D52FCF"/>
    <w:rsid w:val="00D5318E"/>
    <w:rsid w:val="00D531E6"/>
    <w:rsid w:val="00D531F9"/>
    <w:rsid w:val="00D5328B"/>
    <w:rsid w:val="00D5328F"/>
    <w:rsid w:val="00D5333B"/>
    <w:rsid w:val="00D5338D"/>
    <w:rsid w:val="00D5348B"/>
    <w:rsid w:val="00D53524"/>
    <w:rsid w:val="00D5356A"/>
    <w:rsid w:val="00D535E2"/>
    <w:rsid w:val="00D53619"/>
    <w:rsid w:val="00D5374A"/>
    <w:rsid w:val="00D537A5"/>
    <w:rsid w:val="00D5380F"/>
    <w:rsid w:val="00D53823"/>
    <w:rsid w:val="00D5398D"/>
    <w:rsid w:val="00D539D8"/>
    <w:rsid w:val="00D539EE"/>
    <w:rsid w:val="00D53A2D"/>
    <w:rsid w:val="00D53B13"/>
    <w:rsid w:val="00D53D3A"/>
    <w:rsid w:val="00D53E27"/>
    <w:rsid w:val="00D53E69"/>
    <w:rsid w:val="00D53EC9"/>
    <w:rsid w:val="00D53EF7"/>
    <w:rsid w:val="00D53EFB"/>
    <w:rsid w:val="00D53F45"/>
    <w:rsid w:val="00D53FA2"/>
    <w:rsid w:val="00D5402F"/>
    <w:rsid w:val="00D5412D"/>
    <w:rsid w:val="00D54141"/>
    <w:rsid w:val="00D54164"/>
    <w:rsid w:val="00D541E4"/>
    <w:rsid w:val="00D5420A"/>
    <w:rsid w:val="00D542B7"/>
    <w:rsid w:val="00D543B2"/>
    <w:rsid w:val="00D54407"/>
    <w:rsid w:val="00D5440D"/>
    <w:rsid w:val="00D54447"/>
    <w:rsid w:val="00D544A0"/>
    <w:rsid w:val="00D54509"/>
    <w:rsid w:val="00D5450C"/>
    <w:rsid w:val="00D5450F"/>
    <w:rsid w:val="00D54523"/>
    <w:rsid w:val="00D5457A"/>
    <w:rsid w:val="00D54590"/>
    <w:rsid w:val="00D545FB"/>
    <w:rsid w:val="00D5464B"/>
    <w:rsid w:val="00D546A9"/>
    <w:rsid w:val="00D54727"/>
    <w:rsid w:val="00D54728"/>
    <w:rsid w:val="00D54785"/>
    <w:rsid w:val="00D547C2"/>
    <w:rsid w:val="00D548AA"/>
    <w:rsid w:val="00D548C0"/>
    <w:rsid w:val="00D548CE"/>
    <w:rsid w:val="00D548E6"/>
    <w:rsid w:val="00D54956"/>
    <w:rsid w:val="00D54A58"/>
    <w:rsid w:val="00D54A9E"/>
    <w:rsid w:val="00D54A9F"/>
    <w:rsid w:val="00D54AC0"/>
    <w:rsid w:val="00D54B27"/>
    <w:rsid w:val="00D54B55"/>
    <w:rsid w:val="00D54B5F"/>
    <w:rsid w:val="00D54B96"/>
    <w:rsid w:val="00D54BD5"/>
    <w:rsid w:val="00D54C03"/>
    <w:rsid w:val="00D54C52"/>
    <w:rsid w:val="00D54C6E"/>
    <w:rsid w:val="00D54C96"/>
    <w:rsid w:val="00D54D67"/>
    <w:rsid w:val="00D54D72"/>
    <w:rsid w:val="00D54EBF"/>
    <w:rsid w:val="00D54EFF"/>
    <w:rsid w:val="00D54F21"/>
    <w:rsid w:val="00D54F22"/>
    <w:rsid w:val="00D54F7F"/>
    <w:rsid w:val="00D54FD8"/>
    <w:rsid w:val="00D5501E"/>
    <w:rsid w:val="00D55077"/>
    <w:rsid w:val="00D550B0"/>
    <w:rsid w:val="00D550B1"/>
    <w:rsid w:val="00D550D4"/>
    <w:rsid w:val="00D550EA"/>
    <w:rsid w:val="00D55134"/>
    <w:rsid w:val="00D55174"/>
    <w:rsid w:val="00D55181"/>
    <w:rsid w:val="00D551A7"/>
    <w:rsid w:val="00D551BD"/>
    <w:rsid w:val="00D551E7"/>
    <w:rsid w:val="00D5523E"/>
    <w:rsid w:val="00D5525C"/>
    <w:rsid w:val="00D5529C"/>
    <w:rsid w:val="00D552B8"/>
    <w:rsid w:val="00D552E1"/>
    <w:rsid w:val="00D55566"/>
    <w:rsid w:val="00D5558E"/>
    <w:rsid w:val="00D555C4"/>
    <w:rsid w:val="00D555DB"/>
    <w:rsid w:val="00D55609"/>
    <w:rsid w:val="00D5563F"/>
    <w:rsid w:val="00D5568B"/>
    <w:rsid w:val="00D556E6"/>
    <w:rsid w:val="00D55723"/>
    <w:rsid w:val="00D557C8"/>
    <w:rsid w:val="00D557ED"/>
    <w:rsid w:val="00D5582B"/>
    <w:rsid w:val="00D5582E"/>
    <w:rsid w:val="00D5585E"/>
    <w:rsid w:val="00D5595C"/>
    <w:rsid w:val="00D55964"/>
    <w:rsid w:val="00D559E8"/>
    <w:rsid w:val="00D55A9A"/>
    <w:rsid w:val="00D55A9C"/>
    <w:rsid w:val="00D55AC9"/>
    <w:rsid w:val="00D55B27"/>
    <w:rsid w:val="00D55B4F"/>
    <w:rsid w:val="00D55B7B"/>
    <w:rsid w:val="00D55B87"/>
    <w:rsid w:val="00D55BBF"/>
    <w:rsid w:val="00D55BF5"/>
    <w:rsid w:val="00D55C73"/>
    <w:rsid w:val="00D55C83"/>
    <w:rsid w:val="00D55C8E"/>
    <w:rsid w:val="00D55CDC"/>
    <w:rsid w:val="00D55D32"/>
    <w:rsid w:val="00D55DCF"/>
    <w:rsid w:val="00D55DD2"/>
    <w:rsid w:val="00D55DFB"/>
    <w:rsid w:val="00D55E71"/>
    <w:rsid w:val="00D55EB1"/>
    <w:rsid w:val="00D56019"/>
    <w:rsid w:val="00D5607C"/>
    <w:rsid w:val="00D56165"/>
    <w:rsid w:val="00D56176"/>
    <w:rsid w:val="00D561D3"/>
    <w:rsid w:val="00D56244"/>
    <w:rsid w:val="00D562EA"/>
    <w:rsid w:val="00D56308"/>
    <w:rsid w:val="00D563BD"/>
    <w:rsid w:val="00D56412"/>
    <w:rsid w:val="00D564E2"/>
    <w:rsid w:val="00D56538"/>
    <w:rsid w:val="00D5659D"/>
    <w:rsid w:val="00D565E3"/>
    <w:rsid w:val="00D566ED"/>
    <w:rsid w:val="00D56742"/>
    <w:rsid w:val="00D5676A"/>
    <w:rsid w:val="00D567B8"/>
    <w:rsid w:val="00D56807"/>
    <w:rsid w:val="00D56842"/>
    <w:rsid w:val="00D568B3"/>
    <w:rsid w:val="00D568DE"/>
    <w:rsid w:val="00D568EF"/>
    <w:rsid w:val="00D568F1"/>
    <w:rsid w:val="00D56A20"/>
    <w:rsid w:val="00D56A3A"/>
    <w:rsid w:val="00D56B1D"/>
    <w:rsid w:val="00D56B1F"/>
    <w:rsid w:val="00D56B8A"/>
    <w:rsid w:val="00D56BA9"/>
    <w:rsid w:val="00D56BC6"/>
    <w:rsid w:val="00D56C1D"/>
    <w:rsid w:val="00D56C28"/>
    <w:rsid w:val="00D56CE4"/>
    <w:rsid w:val="00D56DFD"/>
    <w:rsid w:val="00D56E79"/>
    <w:rsid w:val="00D56EAA"/>
    <w:rsid w:val="00D56EEE"/>
    <w:rsid w:val="00D56F05"/>
    <w:rsid w:val="00D56FA3"/>
    <w:rsid w:val="00D57031"/>
    <w:rsid w:val="00D570DB"/>
    <w:rsid w:val="00D57194"/>
    <w:rsid w:val="00D571CE"/>
    <w:rsid w:val="00D57238"/>
    <w:rsid w:val="00D5737D"/>
    <w:rsid w:val="00D573AA"/>
    <w:rsid w:val="00D573B5"/>
    <w:rsid w:val="00D573DC"/>
    <w:rsid w:val="00D57493"/>
    <w:rsid w:val="00D574A9"/>
    <w:rsid w:val="00D574F6"/>
    <w:rsid w:val="00D574F7"/>
    <w:rsid w:val="00D57519"/>
    <w:rsid w:val="00D57522"/>
    <w:rsid w:val="00D5761E"/>
    <w:rsid w:val="00D576B4"/>
    <w:rsid w:val="00D576D1"/>
    <w:rsid w:val="00D576FF"/>
    <w:rsid w:val="00D57705"/>
    <w:rsid w:val="00D5771F"/>
    <w:rsid w:val="00D57731"/>
    <w:rsid w:val="00D577BC"/>
    <w:rsid w:val="00D577F7"/>
    <w:rsid w:val="00D577F9"/>
    <w:rsid w:val="00D57849"/>
    <w:rsid w:val="00D5785A"/>
    <w:rsid w:val="00D57917"/>
    <w:rsid w:val="00D57924"/>
    <w:rsid w:val="00D57936"/>
    <w:rsid w:val="00D579C9"/>
    <w:rsid w:val="00D579F8"/>
    <w:rsid w:val="00D57B9E"/>
    <w:rsid w:val="00D57BCA"/>
    <w:rsid w:val="00D57BE9"/>
    <w:rsid w:val="00D57C09"/>
    <w:rsid w:val="00D57C44"/>
    <w:rsid w:val="00D57C9A"/>
    <w:rsid w:val="00D57D8B"/>
    <w:rsid w:val="00D57DF2"/>
    <w:rsid w:val="00D57E04"/>
    <w:rsid w:val="00D57E47"/>
    <w:rsid w:val="00D57F18"/>
    <w:rsid w:val="00D57F63"/>
    <w:rsid w:val="00D57F8F"/>
    <w:rsid w:val="00D60035"/>
    <w:rsid w:val="00D60040"/>
    <w:rsid w:val="00D60091"/>
    <w:rsid w:val="00D6013D"/>
    <w:rsid w:val="00D60140"/>
    <w:rsid w:val="00D60143"/>
    <w:rsid w:val="00D60151"/>
    <w:rsid w:val="00D601CC"/>
    <w:rsid w:val="00D601F6"/>
    <w:rsid w:val="00D6023D"/>
    <w:rsid w:val="00D60275"/>
    <w:rsid w:val="00D602A4"/>
    <w:rsid w:val="00D602E9"/>
    <w:rsid w:val="00D60346"/>
    <w:rsid w:val="00D6044A"/>
    <w:rsid w:val="00D60468"/>
    <w:rsid w:val="00D6047E"/>
    <w:rsid w:val="00D604D2"/>
    <w:rsid w:val="00D6053D"/>
    <w:rsid w:val="00D6055D"/>
    <w:rsid w:val="00D60580"/>
    <w:rsid w:val="00D6061D"/>
    <w:rsid w:val="00D606DF"/>
    <w:rsid w:val="00D60764"/>
    <w:rsid w:val="00D6078D"/>
    <w:rsid w:val="00D60799"/>
    <w:rsid w:val="00D608AA"/>
    <w:rsid w:val="00D608E4"/>
    <w:rsid w:val="00D60912"/>
    <w:rsid w:val="00D6091B"/>
    <w:rsid w:val="00D6094C"/>
    <w:rsid w:val="00D60989"/>
    <w:rsid w:val="00D609FB"/>
    <w:rsid w:val="00D60AB2"/>
    <w:rsid w:val="00D60AC2"/>
    <w:rsid w:val="00D60AE2"/>
    <w:rsid w:val="00D60B14"/>
    <w:rsid w:val="00D60BA4"/>
    <w:rsid w:val="00D60BC3"/>
    <w:rsid w:val="00D60BCC"/>
    <w:rsid w:val="00D60BD3"/>
    <w:rsid w:val="00D60CCD"/>
    <w:rsid w:val="00D60CD5"/>
    <w:rsid w:val="00D60D58"/>
    <w:rsid w:val="00D60EE8"/>
    <w:rsid w:val="00D60F64"/>
    <w:rsid w:val="00D60FA8"/>
    <w:rsid w:val="00D6107B"/>
    <w:rsid w:val="00D610DF"/>
    <w:rsid w:val="00D610EB"/>
    <w:rsid w:val="00D61241"/>
    <w:rsid w:val="00D61255"/>
    <w:rsid w:val="00D6128C"/>
    <w:rsid w:val="00D61377"/>
    <w:rsid w:val="00D61387"/>
    <w:rsid w:val="00D613B9"/>
    <w:rsid w:val="00D613BA"/>
    <w:rsid w:val="00D613F9"/>
    <w:rsid w:val="00D6143D"/>
    <w:rsid w:val="00D61469"/>
    <w:rsid w:val="00D6147E"/>
    <w:rsid w:val="00D61556"/>
    <w:rsid w:val="00D61575"/>
    <w:rsid w:val="00D615C1"/>
    <w:rsid w:val="00D61616"/>
    <w:rsid w:val="00D616F3"/>
    <w:rsid w:val="00D617D5"/>
    <w:rsid w:val="00D617E9"/>
    <w:rsid w:val="00D61801"/>
    <w:rsid w:val="00D61844"/>
    <w:rsid w:val="00D6186D"/>
    <w:rsid w:val="00D61908"/>
    <w:rsid w:val="00D61964"/>
    <w:rsid w:val="00D61966"/>
    <w:rsid w:val="00D61970"/>
    <w:rsid w:val="00D619BA"/>
    <w:rsid w:val="00D61A15"/>
    <w:rsid w:val="00D61A90"/>
    <w:rsid w:val="00D61A9E"/>
    <w:rsid w:val="00D61ABF"/>
    <w:rsid w:val="00D61AD6"/>
    <w:rsid w:val="00D61BBE"/>
    <w:rsid w:val="00D61BC7"/>
    <w:rsid w:val="00D61BDF"/>
    <w:rsid w:val="00D61C1D"/>
    <w:rsid w:val="00D61C73"/>
    <w:rsid w:val="00D61C87"/>
    <w:rsid w:val="00D61CA1"/>
    <w:rsid w:val="00D61CD2"/>
    <w:rsid w:val="00D61CE3"/>
    <w:rsid w:val="00D61D34"/>
    <w:rsid w:val="00D61DEE"/>
    <w:rsid w:val="00D61E84"/>
    <w:rsid w:val="00D61F29"/>
    <w:rsid w:val="00D61F8F"/>
    <w:rsid w:val="00D62098"/>
    <w:rsid w:val="00D6209F"/>
    <w:rsid w:val="00D620A8"/>
    <w:rsid w:val="00D620EF"/>
    <w:rsid w:val="00D6216C"/>
    <w:rsid w:val="00D6218C"/>
    <w:rsid w:val="00D622A7"/>
    <w:rsid w:val="00D622CE"/>
    <w:rsid w:val="00D62375"/>
    <w:rsid w:val="00D62389"/>
    <w:rsid w:val="00D623AE"/>
    <w:rsid w:val="00D623F3"/>
    <w:rsid w:val="00D62417"/>
    <w:rsid w:val="00D6245E"/>
    <w:rsid w:val="00D62463"/>
    <w:rsid w:val="00D624C3"/>
    <w:rsid w:val="00D624C5"/>
    <w:rsid w:val="00D624DB"/>
    <w:rsid w:val="00D624EA"/>
    <w:rsid w:val="00D625A3"/>
    <w:rsid w:val="00D625E7"/>
    <w:rsid w:val="00D625F4"/>
    <w:rsid w:val="00D6269F"/>
    <w:rsid w:val="00D626E0"/>
    <w:rsid w:val="00D626F2"/>
    <w:rsid w:val="00D6271A"/>
    <w:rsid w:val="00D6290D"/>
    <w:rsid w:val="00D62940"/>
    <w:rsid w:val="00D629BE"/>
    <w:rsid w:val="00D62A51"/>
    <w:rsid w:val="00D62A61"/>
    <w:rsid w:val="00D62B44"/>
    <w:rsid w:val="00D62BC3"/>
    <w:rsid w:val="00D62BC7"/>
    <w:rsid w:val="00D62C68"/>
    <w:rsid w:val="00D62C92"/>
    <w:rsid w:val="00D62CA7"/>
    <w:rsid w:val="00D62CDC"/>
    <w:rsid w:val="00D62D58"/>
    <w:rsid w:val="00D62E0C"/>
    <w:rsid w:val="00D62F8B"/>
    <w:rsid w:val="00D63003"/>
    <w:rsid w:val="00D630BA"/>
    <w:rsid w:val="00D630DE"/>
    <w:rsid w:val="00D630E0"/>
    <w:rsid w:val="00D631F1"/>
    <w:rsid w:val="00D63280"/>
    <w:rsid w:val="00D63413"/>
    <w:rsid w:val="00D63430"/>
    <w:rsid w:val="00D634A9"/>
    <w:rsid w:val="00D634AE"/>
    <w:rsid w:val="00D634C9"/>
    <w:rsid w:val="00D6353A"/>
    <w:rsid w:val="00D63546"/>
    <w:rsid w:val="00D635AA"/>
    <w:rsid w:val="00D635B2"/>
    <w:rsid w:val="00D63716"/>
    <w:rsid w:val="00D63729"/>
    <w:rsid w:val="00D6372C"/>
    <w:rsid w:val="00D638C6"/>
    <w:rsid w:val="00D6392B"/>
    <w:rsid w:val="00D6394B"/>
    <w:rsid w:val="00D639AF"/>
    <w:rsid w:val="00D63A3B"/>
    <w:rsid w:val="00D63B2A"/>
    <w:rsid w:val="00D63B48"/>
    <w:rsid w:val="00D63B4E"/>
    <w:rsid w:val="00D63BF6"/>
    <w:rsid w:val="00D63C3C"/>
    <w:rsid w:val="00D63CE4"/>
    <w:rsid w:val="00D63D2E"/>
    <w:rsid w:val="00D63DAC"/>
    <w:rsid w:val="00D63F4A"/>
    <w:rsid w:val="00D63F5E"/>
    <w:rsid w:val="00D63FE5"/>
    <w:rsid w:val="00D64176"/>
    <w:rsid w:val="00D64198"/>
    <w:rsid w:val="00D641F6"/>
    <w:rsid w:val="00D64243"/>
    <w:rsid w:val="00D64260"/>
    <w:rsid w:val="00D64263"/>
    <w:rsid w:val="00D64277"/>
    <w:rsid w:val="00D642D4"/>
    <w:rsid w:val="00D642F4"/>
    <w:rsid w:val="00D64365"/>
    <w:rsid w:val="00D64373"/>
    <w:rsid w:val="00D6438E"/>
    <w:rsid w:val="00D643BD"/>
    <w:rsid w:val="00D643CC"/>
    <w:rsid w:val="00D64489"/>
    <w:rsid w:val="00D644AC"/>
    <w:rsid w:val="00D644D4"/>
    <w:rsid w:val="00D64530"/>
    <w:rsid w:val="00D6458F"/>
    <w:rsid w:val="00D645DD"/>
    <w:rsid w:val="00D6460F"/>
    <w:rsid w:val="00D64629"/>
    <w:rsid w:val="00D646CC"/>
    <w:rsid w:val="00D6472E"/>
    <w:rsid w:val="00D6476C"/>
    <w:rsid w:val="00D6477E"/>
    <w:rsid w:val="00D6478B"/>
    <w:rsid w:val="00D647B7"/>
    <w:rsid w:val="00D647E8"/>
    <w:rsid w:val="00D648E3"/>
    <w:rsid w:val="00D64A07"/>
    <w:rsid w:val="00D64A3D"/>
    <w:rsid w:val="00D64A8B"/>
    <w:rsid w:val="00D64AD3"/>
    <w:rsid w:val="00D64ADE"/>
    <w:rsid w:val="00D64B41"/>
    <w:rsid w:val="00D64BE9"/>
    <w:rsid w:val="00D64CD7"/>
    <w:rsid w:val="00D64D17"/>
    <w:rsid w:val="00D64D23"/>
    <w:rsid w:val="00D64D70"/>
    <w:rsid w:val="00D64D75"/>
    <w:rsid w:val="00D64D7D"/>
    <w:rsid w:val="00D64E69"/>
    <w:rsid w:val="00D64E6F"/>
    <w:rsid w:val="00D64EB5"/>
    <w:rsid w:val="00D64EDF"/>
    <w:rsid w:val="00D64EF8"/>
    <w:rsid w:val="00D64F2A"/>
    <w:rsid w:val="00D64F52"/>
    <w:rsid w:val="00D65065"/>
    <w:rsid w:val="00D65170"/>
    <w:rsid w:val="00D65200"/>
    <w:rsid w:val="00D6524E"/>
    <w:rsid w:val="00D65279"/>
    <w:rsid w:val="00D652B0"/>
    <w:rsid w:val="00D652B4"/>
    <w:rsid w:val="00D652DE"/>
    <w:rsid w:val="00D65315"/>
    <w:rsid w:val="00D6537B"/>
    <w:rsid w:val="00D65434"/>
    <w:rsid w:val="00D65484"/>
    <w:rsid w:val="00D654EE"/>
    <w:rsid w:val="00D6557C"/>
    <w:rsid w:val="00D656ED"/>
    <w:rsid w:val="00D65733"/>
    <w:rsid w:val="00D6576B"/>
    <w:rsid w:val="00D657CC"/>
    <w:rsid w:val="00D657D1"/>
    <w:rsid w:val="00D657DD"/>
    <w:rsid w:val="00D6583B"/>
    <w:rsid w:val="00D6592C"/>
    <w:rsid w:val="00D659BB"/>
    <w:rsid w:val="00D65A4B"/>
    <w:rsid w:val="00D65A89"/>
    <w:rsid w:val="00D65B8D"/>
    <w:rsid w:val="00D65BCA"/>
    <w:rsid w:val="00D65BD3"/>
    <w:rsid w:val="00D65C78"/>
    <w:rsid w:val="00D65CA4"/>
    <w:rsid w:val="00D65CAB"/>
    <w:rsid w:val="00D65CCF"/>
    <w:rsid w:val="00D65D65"/>
    <w:rsid w:val="00D65DDC"/>
    <w:rsid w:val="00D65E31"/>
    <w:rsid w:val="00D65E73"/>
    <w:rsid w:val="00D65EAC"/>
    <w:rsid w:val="00D65FBA"/>
    <w:rsid w:val="00D65FBF"/>
    <w:rsid w:val="00D65FD1"/>
    <w:rsid w:val="00D6604B"/>
    <w:rsid w:val="00D66120"/>
    <w:rsid w:val="00D661B2"/>
    <w:rsid w:val="00D66397"/>
    <w:rsid w:val="00D663D1"/>
    <w:rsid w:val="00D66433"/>
    <w:rsid w:val="00D6649C"/>
    <w:rsid w:val="00D66513"/>
    <w:rsid w:val="00D665C8"/>
    <w:rsid w:val="00D665C9"/>
    <w:rsid w:val="00D6665C"/>
    <w:rsid w:val="00D666E3"/>
    <w:rsid w:val="00D66875"/>
    <w:rsid w:val="00D66952"/>
    <w:rsid w:val="00D66992"/>
    <w:rsid w:val="00D66A16"/>
    <w:rsid w:val="00D66A38"/>
    <w:rsid w:val="00D66A48"/>
    <w:rsid w:val="00D66A6E"/>
    <w:rsid w:val="00D66AAD"/>
    <w:rsid w:val="00D66AE6"/>
    <w:rsid w:val="00D66B00"/>
    <w:rsid w:val="00D66B96"/>
    <w:rsid w:val="00D66BF2"/>
    <w:rsid w:val="00D66BFD"/>
    <w:rsid w:val="00D66C30"/>
    <w:rsid w:val="00D66CED"/>
    <w:rsid w:val="00D66D08"/>
    <w:rsid w:val="00D66D8A"/>
    <w:rsid w:val="00D66D8C"/>
    <w:rsid w:val="00D66DAF"/>
    <w:rsid w:val="00D66DC7"/>
    <w:rsid w:val="00D66DCE"/>
    <w:rsid w:val="00D66E19"/>
    <w:rsid w:val="00D66F45"/>
    <w:rsid w:val="00D66FE3"/>
    <w:rsid w:val="00D67092"/>
    <w:rsid w:val="00D670CF"/>
    <w:rsid w:val="00D67139"/>
    <w:rsid w:val="00D6721F"/>
    <w:rsid w:val="00D67237"/>
    <w:rsid w:val="00D67290"/>
    <w:rsid w:val="00D67317"/>
    <w:rsid w:val="00D67323"/>
    <w:rsid w:val="00D67340"/>
    <w:rsid w:val="00D67355"/>
    <w:rsid w:val="00D67376"/>
    <w:rsid w:val="00D6740C"/>
    <w:rsid w:val="00D6743D"/>
    <w:rsid w:val="00D67486"/>
    <w:rsid w:val="00D6749E"/>
    <w:rsid w:val="00D674F6"/>
    <w:rsid w:val="00D6757E"/>
    <w:rsid w:val="00D6766D"/>
    <w:rsid w:val="00D6768D"/>
    <w:rsid w:val="00D67716"/>
    <w:rsid w:val="00D6772E"/>
    <w:rsid w:val="00D6775B"/>
    <w:rsid w:val="00D6776F"/>
    <w:rsid w:val="00D6788E"/>
    <w:rsid w:val="00D678F8"/>
    <w:rsid w:val="00D67911"/>
    <w:rsid w:val="00D6791D"/>
    <w:rsid w:val="00D679C9"/>
    <w:rsid w:val="00D67A27"/>
    <w:rsid w:val="00D67A4A"/>
    <w:rsid w:val="00D67A53"/>
    <w:rsid w:val="00D67A56"/>
    <w:rsid w:val="00D67BCD"/>
    <w:rsid w:val="00D67BF3"/>
    <w:rsid w:val="00D67D43"/>
    <w:rsid w:val="00D67D9A"/>
    <w:rsid w:val="00D67EA6"/>
    <w:rsid w:val="00D67EE8"/>
    <w:rsid w:val="00D67FE5"/>
    <w:rsid w:val="00D700C9"/>
    <w:rsid w:val="00D700D6"/>
    <w:rsid w:val="00D7012E"/>
    <w:rsid w:val="00D7014B"/>
    <w:rsid w:val="00D701D5"/>
    <w:rsid w:val="00D7040A"/>
    <w:rsid w:val="00D70424"/>
    <w:rsid w:val="00D7042A"/>
    <w:rsid w:val="00D70555"/>
    <w:rsid w:val="00D705A1"/>
    <w:rsid w:val="00D705B8"/>
    <w:rsid w:val="00D705C9"/>
    <w:rsid w:val="00D706A0"/>
    <w:rsid w:val="00D70725"/>
    <w:rsid w:val="00D7077F"/>
    <w:rsid w:val="00D7079A"/>
    <w:rsid w:val="00D7084A"/>
    <w:rsid w:val="00D7099A"/>
    <w:rsid w:val="00D70A9C"/>
    <w:rsid w:val="00D70C07"/>
    <w:rsid w:val="00D70C7D"/>
    <w:rsid w:val="00D70CC3"/>
    <w:rsid w:val="00D70CCE"/>
    <w:rsid w:val="00D70CDA"/>
    <w:rsid w:val="00D70D51"/>
    <w:rsid w:val="00D70DF7"/>
    <w:rsid w:val="00D70EED"/>
    <w:rsid w:val="00D70F24"/>
    <w:rsid w:val="00D70F50"/>
    <w:rsid w:val="00D70F6A"/>
    <w:rsid w:val="00D70F82"/>
    <w:rsid w:val="00D70FA6"/>
    <w:rsid w:val="00D70FCD"/>
    <w:rsid w:val="00D7109C"/>
    <w:rsid w:val="00D710BF"/>
    <w:rsid w:val="00D71130"/>
    <w:rsid w:val="00D71160"/>
    <w:rsid w:val="00D711A0"/>
    <w:rsid w:val="00D7121E"/>
    <w:rsid w:val="00D71223"/>
    <w:rsid w:val="00D71290"/>
    <w:rsid w:val="00D71319"/>
    <w:rsid w:val="00D71389"/>
    <w:rsid w:val="00D713B2"/>
    <w:rsid w:val="00D7143A"/>
    <w:rsid w:val="00D714DF"/>
    <w:rsid w:val="00D714EC"/>
    <w:rsid w:val="00D715B0"/>
    <w:rsid w:val="00D71637"/>
    <w:rsid w:val="00D7163C"/>
    <w:rsid w:val="00D716A1"/>
    <w:rsid w:val="00D716C0"/>
    <w:rsid w:val="00D71710"/>
    <w:rsid w:val="00D7172D"/>
    <w:rsid w:val="00D71756"/>
    <w:rsid w:val="00D71766"/>
    <w:rsid w:val="00D7178F"/>
    <w:rsid w:val="00D71791"/>
    <w:rsid w:val="00D717DF"/>
    <w:rsid w:val="00D71984"/>
    <w:rsid w:val="00D719ED"/>
    <w:rsid w:val="00D71A8D"/>
    <w:rsid w:val="00D71AC4"/>
    <w:rsid w:val="00D71B0B"/>
    <w:rsid w:val="00D71B12"/>
    <w:rsid w:val="00D71C4B"/>
    <w:rsid w:val="00D71D78"/>
    <w:rsid w:val="00D71D87"/>
    <w:rsid w:val="00D71EB6"/>
    <w:rsid w:val="00D71F96"/>
    <w:rsid w:val="00D71FB6"/>
    <w:rsid w:val="00D71FC8"/>
    <w:rsid w:val="00D72023"/>
    <w:rsid w:val="00D720E3"/>
    <w:rsid w:val="00D721C4"/>
    <w:rsid w:val="00D7224E"/>
    <w:rsid w:val="00D72275"/>
    <w:rsid w:val="00D72280"/>
    <w:rsid w:val="00D72369"/>
    <w:rsid w:val="00D723DA"/>
    <w:rsid w:val="00D7240C"/>
    <w:rsid w:val="00D72500"/>
    <w:rsid w:val="00D72513"/>
    <w:rsid w:val="00D72656"/>
    <w:rsid w:val="00D726D8"/>
    <w:rsid w:val="00D726FE"/>
    <w:rsid w:val="00D7274E"/>
    <w:rsid w:val="00D7279D"/>
    <w:rsid w:val="00D727AC"/>
    <w:rsid w:val="00D7283C"/>
    <w:rsid w:val="00D728AB"/>
    <w:rsid w:val="00D728D0"/>
    <w:rsid w:val="00D728DE"/>
    <w:rsid w:val="00D7290F"/>
    <w:rsid w:val="00D72998"/>
    <w:rsid w:val="00D72999"/>
    <w:rsid w:val="00D72A61"/>
    <w:rsid w:val="00D72AAB"/>
    <w:rsid w:val="00D72AC1"/>
    <w:rsid w:val="00D72B3A"/>
    <w:rsid w:val="00D72C15"/>
    <w:rsid w:val="00D72C49"/>
    <w:rsid w:val="00D72C63"/>
    <w:rsid w:val="00D72CAE"/>
    <w:rsid w:val="00D72CFB"/>
    <w:rsid w:val="00D72D50"/>
    <w:rsid w:val="00D72E1C"/>
    <w:rsid w:val="00D72E66"/>
    <w:rsid w:val="00D72EA5"/>
    <w:rsid w:val="00D72F47"/>
    <w:rsid w:val="00D730BF"/>
    <w:rsid w:val="00D73111"/>
    <w:rsid w:val="00D731FD"/>
    <w:rsid w:val="00D73219"/>
    <w:rsid w:val="00D7321C"/>
    <w:rsid w:val="00D7321D"/>
    <w:rsid w:val="00D73301"/>
    <w:rsid w:val="00D7331E"/>
    <w:rsid w:val="00D73356"/>
    <w:rsid w:val="00D73493"/>
    <w:rsid w:val="00D734D0"/>
    <w:rsid w:val="00D7370E"/>
    <w:rsid w:val="00D7379F"/>
    <w:rsid w:val="00D737DE"/>
    <w:rsid w:val="00D73845"/>
    <w:rsid w:val="00D73977"/>
    <w:rsid w:val="00D739E8"/>
    <w:rsid w:val="00D73A67"/>
    <w:rsid w:val="00D73AA3"/>
    <w:rsid w:val="00D73ABE"/>
    <w:rsid w:val="00D73ACB"/>
    <w:rsid w:val="00D73B0B"/>
    <w:rsid w:val="00D73B5B"/>
    <w:rsid w:val="00D73C04"/>
    <w:rsid w:val="00D73C47"/>
    <w:rsid w:val="00D73C80"/>
    <w:rsid w:val="00D73CA8"/>
    <w:rsid w:val="00D73CAD"/>
    <w:rsid w:val="00D73CB2"/>
    <w:rsid w:val="00D73CEC"/>
    <w:rsid w:val="00D73CFB"/>
    <w:rsid w:val="00D73D2D"/>
    <w:rsid w:val="00D73F01"/>
    <w:rsid w:val="00D73FAF"/>
    <w:rsid w:val="00D74041"/>
    <w:rsid w:val="00D740B0"/>
    <w:rsid w:val="00D740BB"/>
    <w:rsid w:val="00D7410A"/>
    <w:rsid w:val="00D7413C"/>
    <w:rsid w:val="00D741B4"/>
    <w:rsid w:val="00D741D6"/>
    <w:rsid w:val="00D74262"/>
    <w:rsid w:val="00D743C6"/>
    <w:rsid w:val="00D74419"/>
    <w:rsid w:val="00D7444D"/>
    <w:rsid w:val="00D744A1"/>
    <w:rsid w:val="00D744B8"/>
    <w:rsid w:val="00D744BC"/>
    <w:rsid w:val="00D7450E"/>
    <w:rsid w:val="00D745D6"/>
    <w:rsid w:val="00D745FF"/>
    <w:rsid w:val="00D746A2"/>
    <w:rsid w:val="00D746BA"/>
    <w:rsid w:val="00D746BC"/>
    <w:rsid w:val="00D746C3"/>
    <w:rsid w:val="00D746EA"/>
    <w:rsid w:val="00D7473E"/>
    <w:rsid w:val="00D7479E"/>
    <w:rsid w:val="00D747E2"/>
    <w:rsid w:val="00D74815"/>
    <w:rsid w:val="00D7481D"/>
    <w:rsid w:val="00D74832"/>
    <w:rsid w:val="00D748BF"/>
    <w:rsid w:val="00D748F7"/>
    <w:rsid w:val="00D749BB"/>
    <w:rsid w:val="00D74A09"/>
    <w:rsid w:val="00D74A58"/>
    <w:rsid w:val="00D74A59"/>
    <w:rsid w:val="00D74A65"/>
    <w:rsid w:val="00D74A9F"/>
    <w:rsid w:val="00D74B34"/>
    <w:rsid w:val="00D74BEA"/>
    <w:rsid w:val="00D74CA7"/>
    <w:rsid w:val="00D74D14"/>
    <w:rsid w:val="00D74D92"/>
    <w:rsid w:val="00D74DA2"/>
    <w:rsid w:val="00D74E22"/>
    <w:rsid w:val="00D74E38"/>
    <w:rsid w:val="00D74E5F"/>
    <w:rsid w:val="00D74E6B"/>
    <w:rsid w:val="00D74E99"/>
    <w:rsid w:val="00D74EAC"/>
    <w:rsid w:val="00D74EBF"/>
    <w:rsid w:val="00D74FE3"/>
    <w:rsid w:val="00D7502D"/>
    <w:rsid w:val="00D75179"/>
    <w:rsid w:val="00D751B1"/>
    <w:rsid w:val="00D75216"/>
    <w:rsid w:val="00D75270"/>
    <w:rsid w:val="00D75317"/>
    <w:rsid w:val="00D75320"/>
    <w:rsid w:val="00D75355"/>
    <w:rsid w:val="00D75374"/>
    <w:rsid w:val="00D75452"/>
    <w:rsid w:val="00D754F3"/>
    <w:rsid w:val="00D7553B"/>
    <w:rsid w:val="00D755D0"/>
    <w:rsid w:val="00D75660"/>
    <w:rsid w:val="00D75662"/>
    <w:rsid w:val="00D75669"/>
    <w:rsid w:val="00D7567B"/>
    <w:rsid w:val="00D756D0"/>
    <w:rsid w:val="00D75786"/>
    <w:rsid w:val="00D757B3"/>
    <w:rsid w:val="00D757B5"/>
    <w:rsid w:val="00D7583C"/>
    <w:rsid w:val="00D758D2"/>
    <w:rsid w:val="00D75909"/>
    <w:rsid w:val="00D75964"/>
    <w:rsid w:val="00D75971"/>
    <w:rsid w:val="00D759FD"/>
    <w:rsid w:val="00D75A2D"/>
    <w:rsid w:val="00D75A8F"/>
    <w:rsid w:val="00D75B49"/>
    <w:rsid w:val="00D75B60"/>
    <w:rsid w:val="00D75C6F"/>
    <w:rsid w:val="00D75C8F"/>
    <w:rsid w:val="00D75CAF"/>
    <w:rsid w:val="00D75DAF"/>
    <w:rsid w:val="00D75DFD"/>
    <w:rsid w:val="00D75E47"/>
    <w:rsid w:val="00D75E5E"/>
    <w:rsid w:val="00D75E87"/>
    <w:rsid w:val="00D75F47"/>
    <w:rsid w:val="00D75F4B"/>
    <w:rsid w:val="00D75FF9"/>
    <w:rsid w:val="00D760F5"/>
    <w:rsid w:val="00D7610D"/>
    <w:rsid w:val="00D76121"/>
    <w:rsid w:val="00D7612C"/>
    <w:rsid w:val="00D7620B"/>
    <w:rsid w:val="00D762D0"/>
    <w:rsid w:val="00D7632F"/>
    <w:rsid w:val="00D76416"/>
    <w:rsid w:val="00D76485"/>
    <w:rsid w:val="00D76489"/>
    <w:rsid w:val="00D764B3"/>
    <w:rsid w:val="00D764DD"/>
    <w:rsid w:val="00D76521"/>
    <w:rsid w:val="00D76669"/>
    <w:rsid w:val="00D766A5"/>
    <w:rsid w:val="00D76721"/>
    <w:rsid w:val="00D76770"/>
    <w:rsid w:val="00D7677F"/>
    <w:rsid w:val="00D76814"/>
    <w:rsid w:val="00D7683A"/>
    <w:rsid w:val="00D7684D"/>
    <w:rsid w:val="00D768B5"/>
    <w:rsid w:val="00D769AD"/>
    <w:rsid w:val="00D769B4"/>
    <w:rsid w:val="00D76C14"/>
    <w:rsid w:val="00D76D0E"/>
    <w:rsid w:val="00D76DB1"/>
    <w:rsid w:val="00D76EBE"/>
    <w:rsid w:val="00D76EC3"/>
    <w:rsid w:val="00D76FB8"/>
    <w:rsid w:val="00D76FE6"/>
    <w:rsid w:val="00D770AE"/>
    <w:rsid w:val="00D7719C"/>
    <w:rsid w:val="00D7727C"/>
    <w:rsid w:val="00D77337"/>
    <w:rsid w:val="00D773A5"/>
    <w:rsid w:val="00D77431"/>
    <w:rsid w:val="00D7743F"/>
    <w:rsid w:val="00D77459"/>
    <w:rsid w:val="00D77463"/>
    <w:rsid w:val="00D774D9"/>
    <w:rsid w:val="00D774E2"/>
    <w:rsid w:val="00D77569"/>
    <w:rsid w:val="00D77584"/>
    <w:rsid w:val="00D775B2"/>
    <w:rsid w:val="00D7760D"/>
    <w:rsid w:val="00D77633"/>
    <w:rsid w:val="00D776CB"/>
    <w:rsid w:val="00D77716"/>
    <w:rsid w:val="00D77801"/>
    <w:rsid w:val="00D77937"/>
    <w:rsid w:val="00D77996"/>
    <w:rsid w:val="00D779EF"/>
    <w:rsid w:val="00D77A3F"/>
    <w:rsid w:val="00D77A40"/>
    <w:rsid w:val="00D77B24"/>
    <w:rsid w:val="00D77B7E"/>
    <w:rsid w:val="00D77BE0"/>
    <w:rsid w:val="00D77CF0"/>
    <w:rsid w:val="00D77D0F"/>
    <w:rsid w:val="00D77E76"/>
    <w:rsid w:val="00D77F1D"/>
    <w:rsid w:val="00D77F4B"/>
    <w:rsid w:val="00D77F6F"/>
    <w:rsid w:val="00D80020"/>
    <w:rsid w:val="00D8005A"/>
    <w:rsid w:val="00D8008C"/>
    <w:rsid w:val="00D800EC"/>
    <w:rsid w:val="00D800F4"/>
    <w:rsid w:val="00D8017E"/>
    <w:rsid w:val="00D8018C"/>
    <w:rsid w:val="00D801B6"/>
    <w:rsid w:val="00D801C3"/>
    <w:rsid w:val="00D801DE"/>
    <w:rsid w:val="00D801E5"/>
    <w:rsid w:val="00D801EB"/>
    <w:rsid w:val="00D80231"/>
    <w:rsid w:val="00D8025D"/>
    <w:rsid w:val="00D802B2"/>
    <w:rsid w:val="00D802CB"/>
    <w:rsid w:val="00D8031E"/>
    <w:rsid w:val="00D803AE"/>
    <w:rsid w:val="00D803F2"/>
    <w:rsid w:val="00D80477"/>
    <w:rsid w:val="00D804FC"/>
    <w:rsid w:val="00D8059C"/>
    <w:rsid w:val="00D8062E"/>
    <w:rsid w:val="00D80672"/>
    <w:rsid w:val="00D80693"/>
    <w:rsid w:val="00D806CB"/>
    <w:rsid w:val="00D80782"/>
    <w:rsid w:val="00D80783"/>
    <w:rsid w:val="00D807D4"/>
    <w:rsid w:val="00D80835"/>
    <w:rsid w:val="00D80851"/>
    <w:rsid w:val="00D8096B"/>
    <w:rsid w:val="00D80A68"/>
    <w:rsid w:val="00D80B6F"/>
    <w:rsid w:val="00D80BE9"/>
    <w:rsid w:val="00D80C9D"/>
    <w:rsid w:val="00D80CE4"/>
    <w:rsid w:val="00D80CED"/>
    <w:rsid w:val="00D80E48"/>
    <w:rsid w:val="00D80EB6"/>
    <w:rsid w:val="00D80EE9"/>
    <w:rsid w:val="00D80F11"/>
    <w:rsid w:val="00D80F64"/>
    <w:rsid w:val="00D80F7A"/>
    <w:rsid w:val="00D80F98"/>
    <w:rsid w:val="00D8100A"/>
    <w:rsid w:val="00D8101B"/>
    <w:rsid w:val="00D81028"/>
    <w:rsid w:val="00D81058"/>
    <w:rsid w:val="00D810D1"/>
    <w:rsid w:val="00D8110D"/>
    <w:rsid w:val="00D81132"/>
    <w:rsid w:val="00D81135"/>
    <w:rsid w:val="00D81188"/>
    <w:rsid w:val="00D811C0"/>
    <w:rsid w:val="00D81229"/>
    <w:rsid w:val="00D8124C"/>
    <w:rsid w:val="00D812F1"/>
    <w:rsid w:val="00D812FF"/>
    <w:rsid w:val="00D8131E"/>
    <w:rsid w:val="00D81333"/>
    <w:rsid w:val="00D81344"/>
    <w:rsid w:val="00D81356"/>
    <w:rsid w:val="00D813C8"/>
    <w:rsid w:val="00D81419"/>
    <w:rsid w:val="00D81437"/>
    <w:rsid w:val="00D814AB"/>
    <w:rsid w:val="00D814B0"/>
    <w:rsid w:val="00D8162A"/>
    <w:rsid w:val="00D8168A"/>
    <w:rsid w:val="00D816A2"/>
    <w:rsid w:val="00D816D6"/>
    <w:rsid w:val="00D81832"/>
    <w:rsid w:val="00D81874"/>
    <w:rsid w:val="00D8187F"/>
    <w:rsid w:val="00D818B3"/>
    <w:rsid w:val="00D818BE"/>
    <w:rsid w:val="00D818F7"/>
    <w:rsid w:val="00D81913"/>
    <w:rsid w:val="00D81918"/>
    <w:rsid w:val="00D81938"/>
    <w:rsid w:val="00D81949"/>
    <w:rsid w:val="00D8198F"/>
    <w:rsid w:val="00D819C5"/>
    <w:rsid w:val="00D81A6A"/>
    <w:rsid w:val="00D81B03"/>
    <w:rsid w:val="00D81B60"/>
    <w:rsid w:val="00D81C45"/>
    <w:rsid w:val="00D81C60"/>
    <w:rsid w:val="00D81C99"/>
    <w:rsid w:val="00D81D2F"/>
    <w:rsid w:val="00D81D7A"/>
    <w:rsid w:val="00D81E97"/>
    <w:rsid w:val="00D81ED2"/>
    <w:rsid w:val="00D81EE6"/>
    <w:rsid w:val="00D81FD5"/>
    <w:rsid w:val="00D82006"/>
    <w:rsid w:val="00D82064"/>
    <w:rsid w:val="00D82065"/>
    <w:rsid w:val="00D820CC"/>
    <w:rsid w:val="00D82110"/>
    <w:rsid w:val="00D82165"/>
    <w:rsid w:val="00D82168"/>
    <w:rsid w:val="00D8226D"/>
    <w:rsid w:val="00D82289"/>
    <w:rsid w:val="00D8235D"/>
    <w:rsid w:val="00D823EC"/>
    <w:rsid w:val="00D82445"/>
    <w:rsid w:val="00D824D9"/>
    <w:rsid w:val="00D826C6"/>
    <w:rsid w:val="00D8270E"/>
    <w:rsid w:val="00D827DB"/>
    <w:rsid w:val="00D8282D"/>
    <w:rsid w:val="00D828F2"/>
    <w:rsid w:val="00D8292F"/>
    <w:rsid w:val="00D8298F"/>
    <w:rsid w:val="00D829C5"/>
    <w:rsid w:val="00D82AAD"/>
    <w:rsid w:val="00D82AD6"/>
    <w:rsid w:val="00D82B11"/>
    <w:rsid w:val="00D82B42"/>
    <w:rsid w:val="00D82B81"/>
    <w:rsid w:val="00D82C11"/>
    <w:rsid w:val="00D82C65"/>
    <w:rsid w:val="00D82CA4"/>
    <w:rsid w:val="00D82D27"/>
    <w:rsid w:val="00D82E2E"/>
    <w:rsid w:val="00D82E51"/>
    <w:rsid w:val="00D82E54"/>
    <w:rsid w:val="00D82E76"/>
    <w:rsid w:val="00D82E82"/>
    <w:rsid w:val="00D82EB4"/>
    <w:rsid w:val="00D82F0F"/>
    <w:rsid w:val="00D82F49"/>
    <w:rsid w:val="00D82F55"/>
    <w:rsid w:val="00D82FBD"/>
    <w:rsid w:val="00D82FE8"/>
    <w:rsid w:val="00D83014"/>
    <w:rsid w:val="00D83041"/>
    <w:rsid w:val="00D83072"/>
    <w:rsid w:val="00D83086"/>
    <w:rsid w:val="00D83089"/>
    <w:rsid w:val="00D830C1"/>
    <w:rsid w:val="00D830C4"/>
    <w:rsid w:val="00D83144"/>
    <w:rsid w:val="00D8317B"/>
    <w:rsid w:val="00D831A9"/>
    <w:rsid w:val="00D831D9"/>
    <w:rsid w:val="00D831F6"/>
    <w:rsid w:val="00D832D5"/>
    <w:rsid w:val="00D8330B"/>
    <w:rsid w:val="00D8332C"/>
    <w:rsid w:val="00D83374"/>
    <w:rsid w:val="00D83405"/>
    <w:rsid w:val="00D8345E"/>
    <w:rsid w:val="00D834A0"/>
    <w:rsid w:val="00D834E0"/>
    <w:rsid w:val="00D834E7"/>
    <w:rsid w:val="00D83508"/>
    <w:rsid w:val="00D835CF"/>
    <w:rsid w:val="00D835E3"/>
    <w:rsid w:val="00D8368A"/>
    <w:rsid w:val="00D836E2"/>
    <w:rsid w:val="00D83716"/>
    <w:rsid w:val="00D837FF"/>
    <w:rsid w:val="00D83848"/>
    <w:rsid w:val="00D83865"/>
    <w:rsid w:val="00D83893"/>
    <w:rsid w:val="00D83950"/>
    <w:rsid w:val="00D83957"/>
    <w:rsid w:val="00D8395C"/>
    <w:rsid w:val="00D83A15"/>
    <w:rsid w:val="00D83A1E"/>
    <w:rsid w:val="00D83A63"/>
    <w:rsid w:val="00D83A66"/>
    <w:rsid w:val="00D83AC4"/>
    <w:rsid w:val="00D83C14"/>
    <w:rsid w:val="00D83C7D"/>
    <w:rsid w:val="00D83C97"/>
    <w:rsid w:val="00D83CC3"/>
    <w:rsid w:val="00D83D56"/>
    <w:rsid w:val="00D83D5A"/>
    <w:rsid w:val="00D83E10"/>
    <w:rsid w:val="00D83E4B"/>
    <w:rsid w:val="00D83EA8"/>
    <w:rsid w:val="00D83F10"/>
    <w:rsid w:val="00D83F9A"/>
    <w:rsid w:val="00D840B1"/>
    <w:rsid w:val="00D840BD"/>
    <w:rsid w:val="00D840CC"/>
    <w:rsid w:val="00D84311"/>
    <w:rsid w:val="00D84361"/>
    <w:rsid w:val="00D84364"/>
    <w:rsid w:val="00D843B9"/>
    <w:rsid w:val="00D84411"/>
    <w:rsid w:val="00D8446D"/>
    <w:rsid w:val="00D84484"/>
    <w:rsid w:val="00D844A3"/>
    <w:rsid w:val="00D844E2"/>
    <w:rsid w:val="00D8450B"/>
    <w:rsid w:val="00D8451B"/>
    <w:rsid w:val="00D84544"/>
    <w:rsid w:val="00D8459A"/>
    <w:rsid w:val="00D8459C"/>
    <w:rsid w:val="00D84661"/>
    <w:rsid w:val="00D8468F"/>
    <w:rsid w:val="00D8474E"/>
    <w:rsid w:val="00D848BA"/>
    <w:rsid w:val="00D848CC"/>
    <w:rsid w:val="00D84903"/>
    <w:rsid w:val="00D8494E"/>
    <w:rsid w:val="00D84999"/>
    <w:rsid w:val="00D849B8"/>
    <w:rsid w:val="00D849DB"/>
    <w:rsid w:val="00D84A5D"/>
    <w:rsid w:val="00D84AB5"/>
    <w:rsid w:val="00D84BB3"/>
    <w:rsid w:val="00D84BB4"/>
    <w:rsid w:val="00D84BBC"/>
    <w:rsid w:val="00D84C9E"/>
    <w:rsid w:val="00D84CAE"/>
    <w:rsid w:val="00D84D5E"/>
    <w:rsid w:val="00D84D70"/>
    <w:rsid w:val="00D84E39"/>
    <w:rsid w:val="00D84E43"/>
    <w:rsid w:val="00D84E53"/>
    <w:rsid w:val="00D84EFF"/>
    <w:rsid w:val="00D84FA6"/>
    <w:rsid w:val="00D84FBB"/>
    <w:rsid w:val="00D8506E"/>
    <w:rsid w:val="00D85135"/>
    <w:rsid w:val="00D8514D"/>
    <w:rsid w:val="00D851A1"/>
    <w:rsid w:val="00D851BD"/>
    <w:rsid w:val="00D851CF"/>
    <w:rsid w:val="00D85238"/>
    <w:rsid w:val="00D85249"/>
    <w:rsid w:val="00D852AC"/>
    <w:rsid w:val="00D85373"/>
    <w:rsid w:val="00D853AD"/>
    <w:rsid w:val="00D853E5"/>
    <w:rsid w:val="00D85473"/>
    <w:rsid w:val="00D8547F"/>
    <w:rsid w:val="00D8551A"/>
    <w:rsid w:val="00D8559F"/>
    <w:rsid w:val="00D85616"/>
    <w:rsid w:val="00D85687"/>
    <w:rsid w:val="00D857B2"/>
    <w:rsid w:val="00D8583D"/>
    <w:rsid w:val="00D85846"/>
    <w:rsid w:val="00D858DB"/>
    <w:rsid w:val="00D8599A"/>
    <w:rsid w:val="00D859C3"/>
    <w:rsid w:val="00D859D8"/>
    <w:rsid w:val="00D859EA"/>
    <w:rsid w:val="00D85A4E"/>
    <w:rsid w:val="00D85A8F"/>
    <w:rsid w:val="00D85AF6"/>
    <w:rsid w:val="00D85B0A"/>
    <w:rsid w:val="00D85B84"/>
    <w:rsid w:val="00D85C08"/>
    <w:rsid w:val="00D85C75"/>
    <w:rsid w:val="00D85CBE"/>
    <w:rsid w:val="00D85D4E"/>
    <w:rsid w:val="00D85D87"/>
    <w:rsid w:val="00D85E3C"/>
    <w:rsid w:val="00D85E43"/>
    <w:rsid w:val="00D85E81"/>
    <w:rsid w:val="00D85EA6"/>
    <w:rsid w:val="00D85F1D"/>
    <w:rsid w:val="00D85F38"/>
    <w:rsid w:val="00D85F4D"/>
    <w:rsid w:val="00D85FDE"/>
    <w:rsid w:val="00D85FE8"/>
    <w:rsid w:val="00D85FF8"/>
    <w:rsid w:val="00D86008"/>
    <w:rsid w:val="00D860D5"/>
    <w:rsid w:val="00D8614B"/>
    <w:rsid w:val="00D86194"/>
    <w:rsid w:val="00D86252"/>
    <w:rsid w:val="00D862A7"/>
    <w:rsid w:val="00D86340"/>
    <w:rsid w:val="00D8636C"/>
    <w:rsid w:val="00D863DC"/>
    <w:rsid w:val="00D86432"/>
    <w:rsid w:val="00D86445"/>
    <w:rsid w:val="00D8646C"/>
    <w:rsid w:val="00D8647B"/>
    <w:rsid w:val="00D864C4"/>
    <w:rsid w:val="00D864FE"/>
    <w:rsid w:val="00D86505"/>
    <w:rsid w:val="00D86527"/>
    <w:rsid w:val="00D86548"/>
    <w:rsid w:val="00D86570"/>
    <w:rsid w:val="00D865F5"/>
    <w:rsid w:val="00D867A7"/>
    <w:rsid w:val="00D867DF"/>
    <w:rsid w:val="00D86804"/>
    <w:rsid w:val="00D86828"/>
    <w:rsid w:val="00D86881"/>
    <w:rsid w:val="00D868F6"/>
    <w:rsid w:val="00D869F2"/>
    <w:rsid w:val="00D869F3"/>
    <w:rsid w:val="00D869FE"/>
    <w:rsid w:val="00D86A60"/>
    <w:rsid w:val="00D86A77"/>
    <w:rsid w:val="00D86AD0"/>
    <w:rsid w:val="00D86C01"/>
    <w:rsid w:val="00D86C54"/>
    <w:rsid w:val="00D86C59"/>
    <w:rsid w:val="00D86D74"/>
    <w:rsid w:val="00D86D82"/>
    <w:rsid w:val="00D86DD0"/>
    <w:rsid w:val="00D86DDA"/>
    <w:rsid w:val="00D86E51"/>
    <w:rsid w:val="00D86EB6"/>
    <w:rsid w:val="00D86EBA"/>
    <w:rsid w:val="00D86F86"/>
    <w:rsid w:val="00D870AB"/>
    <w:rsid w:val="00D8710B"/>
    <w:rsid w:val="00D87111"/>
    <w:rsid w:val="00D8714E"/>
    <w:rsid w:val="00D87231"/>
    <w:rsid w:val="00D87304"/>
    <w:rsid w:val="00D8736E"/>
    <w:rsid w:val="00D87415"/>
    <w:rsid w:val="00D87461"/>
    <w:rsid w:val="00D874DD"/>
    <w:rsid w:val="00D87564"/>
    <w:rsid w:val="00D87633"/>
    <w:rsid w:val="00D876CF"/>
    <w:rsid w:val="00D877B3"/>
    <w:rsid w:val="00D877F1"/>
    <w:rsid w:val="00D8786A"/>
    <w:rsid w:val="00D87883"/>
    <w:rsid w:val="00D87890"/>
    <w:rsid w:val="00D878B1"/>
    <w:rsid w:val="00D879CE"/>
    <w:rsid w:val="00D879E3"/>
    <w:rsid w:val="00D879F8"/>
    <w:rsid w:val="00D87A20"/>
    <w:rsid w:val="00D87AB5"/>
    <w:rsid w:val="00D87B16"/>
    <w:rsid w:val="00D87BE3"/>
    <w:rsid w:val="00D87BF6"/>
    <w:rsid w:val="00D87C55"/>
    <w:rsid w:val="00D87C9F"/>
    <w:rsid w:val="00D87CB3"/>
    <w:rsid w:val="00D87CC0"/>
    <w:rsid w:val="00D87D39"/>
    <w:rsid w:val="00D87D9E"/>
    <w:rsid w:val="00D87DCF"/>
    <w:rsid w:val="00D87E7C"/>
    <w:rsid w:val="00D87E9D"/>
    <w:rsid w:val="00D87EC9"/>
    <w:rsid w:val="00D90039"/>
    <w:rsid w:val="00D90199"/>
    <w:rsid w:val="00D9019E"/>
    <w:rsid w:val="00D901DD"/>
    <w:rsid w:val="00D901E8"/>
    <w:rsid w:val="00D90254"/>
    <w:rsid w:val="00D902F4"/>
    <w:rsid w:val="00D90337"/>
    <w:rsid w:val="00D90370"/>
    <w:rsid w:val="00D90460"/>
    <w:rsid w:val="00D904B1"/>
    <w:rsid w:val="00D9050A"/>
    <w:rsid w:val="00D9059D"/>
    <w:rsid w:val="00D9066D"/>
    <w:rsid w:val="00D906BB"/>
    <w:rsid w:val="00D906C3"/>
    <w:rsid w:val="00D90731"/>
    <w:rsid w:val="00D9079E"/>
    <w:rsid w:val="00D907B3"/>
    <w:rsid w:val="00D907FB"/>
    <w:rsid w:val="00D90801"/>
    <w:rsid w:val="00D908A4"/>
    <w:rsid w:val="00D908BB"/>
    <w:rsid w:val="00D908E3"/>
    <w:rsid w:val="00D90921"/>
    <w:rsid w:val="00D9099E"/>
    <w:rsid w:val="00D90A19"/>
    <w:rsid w:val="00D90A28"/>
    <w:rsid w:val="00D90A29"/>
    <w:rsid w:val="00D90A4C"/>
    <w:rsid w:val="00D90A77"/>
    <w:rsid w:val="00D90AD7"/>
    <w:rsid w:val="00D90BF2"/>
    <w:rsid w:val="00D90BF7"/>
    <w:rsid w:val="00D90C22"/>
    <w:rsid w:val="00D90D66"/>
    <w:rsid w:val="00D90DA1"/>
    <w:rsid w:val="00D90ECB"/>
    <w:rsid w:val="00D90ED6"/>
    <w:rsid w:val="00D90EFE"/>
    <w:rsid w:val="00D90FA5"/>
    <w:rsid w:val="00D90FE6"/>
    <w:rsid w:val="00D91077"/>
    <w:rsid w:val="00D91087"/>
    <w:rsid w:val="00D910A2"/>
    <w:rsid w:val="00D91198"/>
    <w:rsid w:val="00D911A0"/>
    <w:rsid w:val="00D911AC"/>
    <w:rsid w:val="00D911B4"/>
    <w:rsid w:val="00D91209"/>
    <w:rsid w:val="00D91279"/>
    <w:rsid w:val="00D91322"/>
    <w:rsid w:val="00D91438"/>
    <w:rsid w:val="00D91458"/>
    <w:rsid w:val="00D9149E"/>
    <w:rsid w:val="00D914E9"/>
    <w:rsid w:val="00D91517"/>
    <w:rsid w:val="00D91553"/>
    <w:rsid w:val="00D915BB"/>
    <w:rsid w:val="00D915CB"/>
    <w:rsid w:val="00D915F7"/>
    <w:rsid w:val="00D91607"/>
    <w:rsid w:val="00D9165C"/>
    <w:rsid w:val="00D9168D"/>
    <w:rsid w:val="00D916A3"/>
    <w:rsid w:val="00D916C2"/>
    <w:rsid w:val="00D917CD"/>
    <w:rsid w:val="00D91811"/>
    <w:rsid w:val="00D91828"/>
    <w:rsid w:val="00D91862"/>
    <w:rsid w:val="00D918B6"/>
    <w:rsid w:val="00D918E9"/>
    <w:rsid w:val="00D91943"/>
    <w:rsid w:val="00D91955"/>
    <w:rsid w:val="00D919B1"/>
    <w:rsid w:val="00D919C8"/>
    <w:rsid w:val="00D91A6D"/>
    <w:rsid w:val="00D91AC7"/>
    <w:rsid w:val="00D91ACD"/>
    <w:rsid w:val="00D91B37"/>
    <w:rsid w:val="00D91B6F"/>
    <w:rsid w:val="00D91BBA"/>
    <w:rsid w:val="00D91BDB"/>
    <w:rsid w:val="00D91C52"/>
    <w:rsid w:val="00D91C62"/>
    <w:rsid w:val="00D91C64"/>
    <w:rsid w:val="00D91CFE"/>
    <w:rsid w:val="00D91D6A"/>
    <w:rsid w:val="00D91D77"/>
    <w:rsid w:val="00D91DB4"/>
    <w:rsid w:val="00D91DB9"/>
    <w:rsid w:val="00D91DF7"/>
    <w:rsid w:val="00D91E48"/>
    <w:rsid w:val="00D91E88"/>
    <w:rsid w:val="00D91EF7"/>
    <w:rsid w:val="00D91F18"/>
    <w:rsid w:val="00D91F27"/>
    <w:rsid w:val="00D91F5C"/>
    <w:rsid w:val="00D91F6F"/>
    <w:rsid w:val="00D91F9A"/>
    <w:rsid w:val="00D92039"/>
    <w:rsid w:val="00D92052"/>
    <w:rsid w:val="00D920C0"/>
    <w:rsid w:val="00D920C2"/>
    <w:rsid w:val="00D9212A"/>
    <w:rsid w:val="00D92257"/>
    <w:rsid w:val="00D92261"/>
    <w:rsid w:val="00D923C5"/>
    <w:rsid w:val="00D92420"/>
    <w:rsid w:val="00D9244C"/>
    <w:rsid w:val="00D9249B"/>
    <w:rsid w:val="00D92535"/>
    <w:rsid w:val="00D9257D"/>
    <w:rsid w:val="00D9263E"/>
    <w:rsid w:val="00D92753"/>
    <w:rsid w:val="00D92777"/>
    <w:rsid w:val="00D927B0"/>
    <w:rsid w:val="00D927B5"/>
    <w:rsid w:val="00D92887"/>
    <w:rsid w:val="00D928A3"/>
    <w:rsid w:val="00D929A4"/>
    <w:rsid w:val="00D929BD"/>
    <w:rsid w:val="00D929C6"/>
    <w:rsid w:val="00D92A5A"/>
    <w:rsid w:val="00D92A95"/>
    <w:rsid w:val="00D92B11"/>
    <w:rsid w:val="00D92B19"/>
    <w:rsid w:val="00D92B80"/>
    <w:rsid w:val="00D92BF8"/>
    <w:rsid w:val="00D92C19"/>
    <w:rsid w:val="00D92C66"/>
    <w:rsid w:val="00D92D94"/>
    <w:rsid w:val="00D92D9D"/>
    <w:rsid w:val="00D92DB5"/>
    <w:rsid w:val="00D92E17"/>
    <w:rsid w:val="00D92EB2"/>
    <w:rsid w:val="00D92ECE"/>
    <w:rsid w:val="00D92ECF"/>
    <w:rsid w:val="00D92F0A"/>
    <w:rsid w:val="00D92F41"/>
    <w:rsid w:val="00D92F5A"/>
    <w:rsid w:val="00D93006"/>
    <w:rsid w:val="00D93013"/>
    <w:rsid w:val="00D93072"/>
    <w:rsid w:val="00D93075"/>
    <w:rsid w:val="00D9309D"/>
    <w:rsid w:val="00D930E6"/>
    <w:rsid w:val="00D9315B"/>
    <w:rsid w:val="00D93188"/>
    <w:rsid w:val="00D9319B"/>
    <w:rsid w:val="00D931B1"/>
    <w:rsid w:val="00D931DA"/>
    <w:rsid w:val="00D93308"/>
    <w:rsid w:val="00D9338F"/>
    <w:rsid w:val="00D93508"/>
    <w:rsid w:val="00D93526"/>
    <w:rsid w:val="00D935CD"/>
    <w:rsid w:val="00D935DA"/>
    <w:rsid w:val="00D935F1"/>
    <w:rsid w:val="00D9362D"/>
    <w:rsid w:val="00D93671"/>
    <w:rsid w:val="00D9378A"/>
    <w:rsid w:val="00D93831"/>
    <w:rsid w:val="00D9383D"/>
    <w:rsid w:val="00D93880"/>
    <w:rsid w:val="00D939BE"/>
    <w:rsid w:val="00D939C1"/>
    <w:rsid w:val="00D939CD"/>
    <w:rsid w:val="00D93A4A"/>
    <w:rsid w:val="00D93B0D"/>
    <w:rsid w:val="00D93BEE"/>
    <w:rsid w:val="00D93C34"/>
    <w:rsid w:val="00D93CF1"/>
    <w:rsid w:val="00D93DBB"/>
    <w:rsid w:val="00D93E82"/>
    <w:rsid w:val="00D93EC4"/>
    <w:rsid w:val="00D93ED0"/>
    <w:rsid w:val="00D93F31"/>
    <w:rsid w:val="00D94062"/>
    <w:rsid w:val="00D9408F"/>
    <w:rsid w:val="00D940A0"/>
    <w:rsid w:val="00D940D1"/>
    <w:rsid w:val="00D940DB"/>
    <w:rsid w:val="00D940FF"/>
    <w:rsid w:val="00D941D2"/>
    <w:rsid w:val="00D941EB"/>
    <w:rsid w:val="00D941FF"/>
    <w:rsid w:val="00D9421F"/>
    <w:rsid w:val="00D94225"/>
    <w:rsid w:val="00D94244"/>
    <w:rsid w:val="00D9433C"/>
    <w:rsid w:val="00D943F4"/>
    <w:rsid w:val="00D94419"/>
    <w:rsid w:val="00D9442F"/>
    <w:rsid w:val="00D94452"/>
    <w:rsid w:val="00D944A1"/>
    <w:rsid w:val="00D94568"/>
    <w:rsid w:val="00D945B7"/>
    <w:rsid w:val="00D94684"/>
    <w:rsid w:val="00D94760"/>
    <w:rsid w:val="00D947E4"/>
    <w:rsid w:val="00D94837"/>
    <w:rsid w:val="00D94863"/>
    <w:rsid w:val="00D948F3"/>
    <w:rsid w:val="00D948F8"/>
    <w:rsid w:val="00D94938"/>
    <w:rsid w:val="00D94A4E"/>
    <w:rsid w:val="00D94AF7"/>
    <w:rsid w:val="00D94B32"/>
    <w:rsid w:val="00D94B79"/>
    <w:rsid w:val="00D94BEA"/>
    <w:rsid w:val="00D94C33"/>
    <w:rsid w:val="00D94C5A"/>
    <w:rsid w:val="00D94C87"/>
    <w:rsid w:val="00D94CB3"/>
    <w:rsid w:val="00D94CE6"/>
    <w:rsid w:val="00D94D27"/>
    <w:rsid w:val="00D94D8D"/>
    <w:rsid w:val="00D94DE4"/>
    <w:rsid w:val="00D94DFB"/>
    <w:rsid w:val="00D94EE3"/>
    <w:rsid w:val="00D94F8D"/>
    <w:rsid w:val="00D94FD4"/>
    <w:rsid w:val="00D94FDA"/>
    <w:rsid w:val="00D95072"/>
    <w:rsid w:val="00D95084"/>
    <w:rsid w:val="00D950C4"/>
    <w:rsid w:val="00D950CD"/>
    <w:rsid w:val="00D9511D"/>
    <w:rsid w:val="00D951D5"/>
    <w:rsid w:val="00D952A8"/>
    <w:rsid w:val="00D95366"/>
    <w:rsid w:val="00D95387"/>
    <w:rsid w:val="00D95392"/>
    <w:rsid w:val="00D953A8"/>
    <w:rsid w:val="00D953C5"/>
    <w:rsid w:val="00D953D5"/>
    <w:rsid w:val="00D9541E"/>
    <w:rsid w:val="00D9542D"/>
    <w:rsid w:val="00D954B2"/>
    <w:rsid w:val="00D954C9"/>
    <w:rsid w:val="00D95567"/>
    <w:rsid w:val="00D95571"/>
    <w:rsid w:val="00D95579"/>
    <w:rsid w:val="00D95600"/>
    <w:rsid w:val="00D95615"/>
    <w:rsid w:val="00D95620"/>
    <w:rsid w:val="00D95659"/>
    <w:rsid w:val="00D956F5"/>
    <w:rsid w:val="00D95725"/>
    <w:rsid w:val="00D9575E"/>
    <w:rsid w:val="00D95769"/>
    <w:rsid w:val="00D9577D"/>
    <w:rsid w:val="00D95800"/>
    <w:rsid w:val="00D95834"/>
    <w:rsid w:val="00D95857"/>
    <w:rsid w:val="00D958CD"/>
    <w:rsid w:val="00D95946"/>
    <w:rsid w:val="00D959F0"/>
    <w:rsid w:val="00D95A1A"/>
    <w:rsid w:val="00D95A80"/>
    <w:rsid w:val="00D95B63"/>
    <w:rsid w:val="00D95BB7"/>
    <w:rsid w:val="00D95BE2"/>
    <w:rsid w:val="00D95C19"/>
    <w:rsid w:val="00D95C22"/>
    <w:rsid w:val="00D95D8B"/>
    <w:rsid w:val="00D95E3E"/>
    <w:rsid w:val="00D95E6C"/>
    <w:rsid w:val="00D95F12"/>
    <w:rsid w:val="00D95F30"/>
    <w:rsid w:val="00D95FBB"/>
    <w:rsid w:val="00D95FCE"/>
    <w:rsid w:val="00D96024"/>
    <w:rsid w:val="00D96057"/>
    <w:rsid w:val="00D96085"/>
    <w:rsid w:val="00D960F0"/>
    <w:rsid w:val="00D9614D"/>
    <w:rsid w:val="00D9619C"/>
    <w:rsid w:val="00D961B6"/>
    <w:rsid w:val="00D961EB"/>
    <w:rsid w:val="00D96244"/>
    <w:rsid w:val="00D96250"/>
    <w:rsid w:val="00D96253"/>
    <w:rsid w:val="00D962B7"/>
    <w:rsid w:val="00D962FF"/>
    <w:rsid w:val="00D9634E"/>
    <w:rsid w:val="00D96351"/>
    <w:rsid w:val="00D964C5"/>
    <w:rsid w:val="00D964D6"/>
    <w:rsid w:val="00D964E2"/>
    <w:rsid w:val="00D96548"/>
    <w:rsid w:val="00D9656A"/>
    <w:rsid w:val="00D965CF"/>
    <w:rsid w:val="00D96641"/>
    <w:rsid w:val="00D9664F"/>
    <w:rsid w:val="00D966A2"/>
    <w:rsid w:val="00D9671B"/>
    <w:rsid w:val="00D9674E"/>
    <w:rsid w:val="00D96899"/>
    <w:rsid w:val="00D96980"/>
    <w:rsid w:val="00D9698D"/>
    <w:rsid w:val="00D969AD"/>
    <w:rsid w:val="00D96A14"/>
    <w:rsid w:val="00D96A40"/>
    <w:rsid w:val="00D96A66"/>
    <w:rsid w:val="00D96A90"/>
    <w:rsid w:val="00D96B16"/>
    <w:rsid w:val="00D96BE7"/>
    <w:rsid w:val="00D96C2A"/>
    <w:rsid w:val="00D96C36"/>
    <w:rsid w:val="00D96D00"/>
    <w:rsid w:val="00D96D0D"/>
    <w:rsid w:val="00D96D4C"/>
    <w:rsid w:val="00D96E78"/>
    <w:rsid w:val="00D96ED2"/>
    <w:rsid w:val="00D96F0A"/>
    <w:rsid w:val="00D96FA1"/>
    <w:rsid w:val="00D96FEE"/>
    <w:rsid w:val="00D96FFA"/>
    <w:rsid w:val="00D97015"/>
    <w:rsid w:val="00D97018"/>
    <w:rsid w:val="00D9707A"/>
    <w:rsid w:val="00D97080"/>
    <w:rsid w:val="00D971E3"/>
    <w:rsid w:val="00D9721B"/>
    <w:rsid w:val="00D97234"/>
    <w:rsid w:val="00D97267"/>
    <w:rsid w:val="00D97280"/>
    <w:rsid w:val="00D972DE"/>
    <w:rsid w:val="00D9744F"/>
    <w:rsid w:val="00D974F0"/>
    <w:rsid w:val="00D9754D"/>
    <w:rsid w:val="00D975A5"/>
    <w:rsid w:val="00D975BA"/>
    <w:rsid w:val="00D9760E"/>
    <w:rsid w:val="00D97640"/>
    <w:rsid w:val="00D97671"/>
    <w:rsid w:val="00D976C9"/>
    <w:rsid w:val="00D976E5"/>
    <w:rsid w:val="00D977DB"/>
    <w:rsid w:val="00D977E6"/>
    <w:rsid w:val="00D97820"/>
    <w:rsid w:val="00D9783F"/>
    <w:rsid w:val="00D9794D"/>
    <w:rsid w:val="00D9796E"/>
    <w:rsid w:val="00D97AD0"/>
    <w:rsid w:val="00D97AD5"/>
    <w:rsid w:val="00D97B88"/>
    <w:rsid w:val="00D97BF3"/>
    <w:rsid w:val="00D97CCC"/>
    <w:rsid w:val="00D97CE2"/>
    <w:rsid w:val="00D97D86"/>
    <w:rsid w:val="00D97D9D"/>
    <w:rsid w:val="00D97EE6"/>
    <w:rsid w:val="00D97F6C"/>
    <w:rsid w:val="00D97FA1"/>
    <w:rsid w:val="00D97FA3"/>
    <w:rsid w:val="00D97FD7"/>
    <w:rsid w:val="00D97FDF"/>
    <w:rsid w:val="00DA018D"/>
    <w:rsid w:val="00DA020B"/>
    <w:rsid w:val="00DA02A5"/>
    <w:rsid w:val="00DA02F3"/>
    <w:rsid w:val="00DA0307"/>
    <w:rsid w:val="00DA033F"/>
    <w:rsid w:val="00DA0365"/>
    <w:rsid w:val="00DA0371"/>
    <w:rsid w:val="00DA041B"/>
    <w:rsid w:val="00DA0459"/>
    <w:rsid w:val="00DA0494"/>
    <w:rsid w:val="00DA0547"/>
    <w:rsid w:val="00DA05BF"/>
    <w:rsid w:val="00DA05D7"/>
    <w:rsid w:val="00DA074E"/>
    <w:rsid w:val="00DA07D0"/>
    <w:rsid w:val="00DA085C"/>
    <w:rsid w:val="00DA08F4"/>
    <w:rsid w:val="00DA0910"/>
    <w:rsid w:val="00DA094C"/>
    <w:rsid w:val="00DA09BB"/>
    <w:rsid w:val="00DA0A61"/>
    <w:rsid w:val="00DA0A8B"/>
    <w:rsid w:val="00DA0AC6"/>
    <w:rsid w:val="00DA0C27"/>
    <w:rsid w:val="00DA0C38"/>
    <w:rsid w:val="00DA0D79"/>
    <w:rsid w:val="00DA0DCA"/>
    <w:rsid w:val="00DA0E1D"/>
    <w:rsid w:val="00DA0E53"/>
    <w:rsid w:val="00DA0E55"/>
    <w:rsid w:val="00DA0EDA"/>
    <w:rsid w:val="00DA0EED"/>
    <w:rsid w:val="00DA1106"/>
    <w:rsid w:val="00DA111B"/>
    <w:rsid w:val="00DA1121"/>
    <w:rsid w:val="00DA1140"/>
    <w:rsid w:val="00DA13B8"/>
    <w:rsid w:val="00DA13CE"/>
    <w:rsid w:val="00DA13F9"/>
    <w:rsid w:val="00DA1434"/>
    <w:rsid w:val="00DA1441"/>
    <w:rsid w:val="00DA14FB"/>
    <w:rsid w:val="00DA15E3"/>
    <w:rsid w:val="00DA15E8"/>
    <w:rsid w:val="00DA15EC"/>
    <w:rsid w:val="00DA1627"/>
    <w:rsid w:val="00DA16C2"/>
    <w:rsid w:val="00DA170D"/>
    <w:rsid w:val="00DA1725"/>
    <w:rsid w:val="00DA173A"/>
    <w:rsid w:val="00DA1771"/>
    <w:rsid w:val="00DA184E"/>
    <w:rsid w:val="00DA1877"/>
    <w:rsid w:val="00DA1879"/>
    <w:rsid w:val="00DA1970"/>
    <w:rsid w:val="00DA1981"/>
    <w:rsid w:val="00DA1AB5"/>
    <w:rsid w:val="00DA1ABF"/>
    <w:rsid w:val="00DA1BAB"/>
    <w:rsid w:val="00DA1CD8"/>
    <w:rsid w:val="00DA1D0E"/>
    <w:rsid w:val="00DA1DE5"/>
    <w:rsid w:val="00DA1EDB"/>
    <w:rsid w:val="00DA1F23"/>
    <w:rsid w:val="00DA2033"/>
    <w:rsid w:val="00DA207F"/>
    <w:rsid w:val="00DA2084"/>
    <w:rsid w:val="00DA20D4"/>
    <w:rsid w:val="00DA20EC"/>
    <w:rsid w:val="00DA20FA"/>
    <w:rsid w:val="00DA215E"/>
    <w:rsid w:val="00DA21AF"/>
    <w:rsid w:val="00DA21B3"/>
    <w:rsid w:val="00DA21F8"/>
    <w:rsid w:val="00DA224C"/>
    <w:rsid w:val="00DA2253"/>
    <w:rsid w:val="00DA22A9"/>
    <w:rsid w:val="00DA2355"/>
    <w:rsid w:val="00DA23B1"/>
    <w:rsid w:val="00DA248D"/>
    <w:rsid w:val="00DA24C8"/>
    <w:rsid w:val="00DA2590"/>
    <w:rsid w:val="00DA2616"/>
    <w:rsid w:val="00DA2623"/>
    <w:rsid w:val="00DA2689"/>
    <w:rsid w:val="00DA26E4"/>
    <w:rsid w:val="00DA281A"/>
    <w:rsid w:val="00DA282C"/>
    <w:rsid w:val="00DA2986"/>
    <w:rsid w:val="00DA2A51"/>
    <w:rsid w:val="00DA2AC4"/>
    <w:rsid w:val="00DA2B3D"/>
    <w:rsid w:val="00DA2B8A"/>
    <w:rsid w:val="00DA2BFD"/>
    <w:rsid w:val="00DA2C06"/>
    <w:rsid w:val="00DA2C6E"/>
    <w:rsid w:val="00DA2D4D"/>
    <w:rsid w:val="00DA2D5B"/>
    <w:rsid w:val="00DA2D85"/>
    <w:rsid w:val="00DA2D89"/>
    <w:rsid w:val="00DA2DD6"/>
    <w:rsid w:val="00DA2F07"/>
    <w:rsid w:val="00DA2FEE"/>
    <w:rsid w:val="00DA3040"/>
    <w:rsid w:val="00DA306A"/>
    <w:rsid w:val="00DA3148"/>
    <w:rsid w:val="00DA3169"/>
    <w:rsid w:val="00DA31C4"/>
    <w:rsid w:val="00DA324E"/>
    <w:rsid w:val="00DA325E"/>
    <w:rsid w:val="00DA3312"/>
    <w:rsid w:val="00DA3321"/>
    <w:rsid w:val="00DA33DE"/>
    <w:rsid w:val="00DA33E4"/>
    <w:rsid w:val="00DA343C"/>
    <w:rsid w:val="00DA34C0"/>
    <w:rsid w:val="00DA34DD"/>
    <w:rsid w:val="00DA3563"/>
    <w:rsid w:val="00DA3610"/>
    <w:rsid w:val="00DA3731"/>
    <w:rsid w:val="00DA378C"/>
    <w:rsid w:val="00DA379A"/>
    <w:rsid w:val="00DA37CC"/>
    <w:rsid w:val="00DA38F2"/>
    <w:rsid w:val="00DA3A60"/>
    <w:rsid w:val="00DA3A7C"/>
    <w:rsid w:val="00DA3ACA"/>
    <w:rsid w:val="00DA3B7B"/>
    <w:rsid w:val="00DA3BB0"/>
    <w:rsid w:val="00DA3BF7"/>
    <w:rsid w:val="00DA3D28"/>
    <w:rsid w:val="00DA3D31"/>
    <w:rsid w:val="00DA3D73"/>
    <w:rsid w:val="00DA3E43"/>
    <w:rsid w:val="00DA3F67"/>
    <w:rsid w:val="00DA407B"/>
    <w:rsid w:val="00DA4082"/>
    <w:rsid w:val="00DA4115"/>
    <w:rsid w:val="00DA4134"/>
    <w:rsid w:val="00DA419B"/>
    <w:rsid w:val="00DA41E8"/>
    <w:rsid w:val="00DA42FA"/>
    <w:rsid w:val="00DA4311"/>
    <w:rsid w:val="00DA43EE"/>
    <w:rsid w:val="00DA443B"/>
    <w:rsid w:val="00DA444C"/>
    <w:rsid w:val="00DA44CF"/>
    <w:rsid w:val="00DA44ED"/>
    <w:rsid w:val="00DA4505"/>
    <w:rsid w:val="00DA4531"/>
    <w:rsid w:val="00DA4549"/>
    <w:rsid w:val="00DA460F"/>
    <w:rsid w:val="00DA4633"/>
    <w:rsid w:val="00DA4766"/>
    <w:rsid w:val="00DA476C"/>
    <w:rsid w:val="00DA47BD"/>
    <w:rsid w:val="00DA4898"/>
    <w:rsid w:val="00DA48B8"/>
    <w:rsid w:val="00DA48F3"/>
    <w:rsid w:val="00DA4AA1"/>
    <w:rsid w:val="00DA4AA6"/>
    <w:rsid w:val="00DA4AB1"/>
    <w:rsid w:val="00DA4B87"/>
    <w:rsid w:val="00DA4C9F"/>
    <w:rsid w:val="00DA4CA7"/>
    <w:rsid w:val="00DA4CCE"/>
    <w:rsid w:val="00DA4D4B"/>
    <w:rsid w:val="00DA4D5D"/>
    <w:rsid w:val="00DA4DFE"/>
    <w:rsid w:val="00DA4E06"/>
    <w:rsid w:val="00DA4F85"/>
    <w:rsid w:val="00DA4FD6"/>
    <w:rsid w:val="00DA4FEE"/>
    <w:rsid w:val="00DA501F"/>
    <w:rsid w:val="00DA5077"/>
    <w:rsid w:val="00DA50C0"/>
    <w:rsid w:val="00DA5194"/>
    <w:rsid w:val="00DA5209"/>
    <w:rsid w:val="00DA524A"/>
    <w:rsid w:val="00DA526A"/>
    <w:rsid w:val="00DA52FB"/>
    <w:rsid w:val="00DA5352"/>
    <w:rsid w:val="00DA53A2"/>
    <w:rsid w:val="00DA542E"/>
    <w:rsid w:val="00DA5441"/>
    <w:rsid w:val="00DA5463"/>
    <w:rsid w:val="00DA54D0"/>
    <w:rsid w:val="00DA554A"/>
    <w:rsid w:val="00DA55DE"/>
    <w:rsid w:val="00DA5605"/>
    <w:rsid w:val="00DA56AF"/>
    <w:rsid w:val="00DA56F4"/>
    <w:rsid w:val="00DA574D"/>
    <w:rsid w:val="00DA57B4"/>
    <w:rsid w:val="00DA57B5"/>
    <w:rsid w:val="00DA5813"/>
    <w:rsid w:val="00DA581A"/>
    <w:rsid w:val="00DA581C"/>
    <w:rsid w:val="00DA5853"/>
    <w:rsid w:val="00DA5959"/>
    <w:rsid w:val="00DA597D"/>
    <w:rsid w:val="00DA59B8"/>
    <w:rsid w:val="00DA5A08"/>
    <w:rsid w:val="00DA5A18"/>
    <w:rsid w:val="00DA5A21"/>
    <w:rsid w:val="00DA5A40"/>
    <w:rsid w:val="00DA5AE4"/>
    <w:rsid w:val="00DA5AF1"/>
    <w:rsid w:val="00DA5B06"/>
    <w:rsid w:val="00DA5B3D"/>
    <w:rsid w:val="00DA5B57"/>
    <w:rsid w:val="00DA5B8D"/>
    <w:rsid w:val="00DA5C3E"/>
    <w:rsid w:val="00DA5C50"/>
    <w:rsid w:val="00DA5C89"/>
    <w:rsid w:val="00DA5CA9"/>
    <w:rsid w:val="00DA5D16"/>
    <w:rsid w:val="00DA5D77"/>
    <w:rsid w:val="00DA5E25"/>
    <w:rsid w:val="00DA5E2B"/>
    <w:rsid w:val="00DA5E8F"/>
    <w:rsid w:val="00DA5EB2"/>
    <w:rsid w:val="00DA5ECD"/>
    <w:rsid w:val="00DA5F2A"/>
    <w:rsid w:val="00DA5F88"/>
    <w:rsid w:val="00DA5FA6"/>
    <w:rsid w:val="00DA5FC9"/>
    <w:rsid w:val="00DA5FFF"/>
    <w:rsid w:val="00DA60CF"/>
    <w:rsid w:val="00DA6150"/>
    <w:rsid w:val="00DA6179"/>
    <w:rsid w:val="00DA61A0"/>
    <w:rsid w:val="00DA61EF"/>
    <w:rsid w:val="00DA6235"/>
    <w:rsid w:val="00DA6259"/>
    <w:rsid w:val="00DA62C2"/>
    <w:rsid w:val="00DA62CE"/>
    <w:rsid w:val="00DA6303"/>
    <w:rsid w:val="00DA6382"/>
    <w:rsid w:val="00DA640D"/>
    <w:rsid w:val="00DA647F"/>
    <w:rsid w:val="00DA64EB"/>
    <w:rsid w:val="00DA6504"/>
    <w:rsid w:val="00DA6518"/>
    <w:rsid w:val="00DA6566"/>
    <w:rsid w:val="00DA65C6"/>
    <w:rsid w:val="00DA66CD"/>
    <w:rsid w:val="00DA66D2"/>
    <w:rsid w:val="00DA66EF"/>
    <w:rsid w:val="00DA678D"/>
    <w:rsid w:val="00DA67B6"/>
    <w:rsid w:val="00DA67DC"/>
    <w:rsid w:val="00DA6806"/>
    <w:rsid w:val="00DA6873"/>
    <w:rsid w:val="00DA697C"/>
    <w:rsid w:val="00DA69DF"/>
    <w:rsid w:val="00DA6AB6"/>
    <w:rsid w:val="00DA6BB2"/>
    <w:rsid w:val="00DA6BCB"/>
    <w:rsid w:val="00DA6C4B"/>
    <w:rsid w:val="00DA6C64"/>
    <w:rsid w:val="00DA6C86"/>
    <w:rsid w:val="00DA6E26"/>
    <w:rsid w:val="00DA6EA4"/>
    <w:rsid w:val="00DA6EED"/>
    <w:rsid w:val="00DA7011"/>
    <w:rsid w:val="00DA7065"/>
    <w:rsid w:val="00DA7088"/>
    <w:rsid w:val="00DA719A"/>
    <w:rsid w:val="00DA71B0"/>
    <w:rsid w:val="00DA7218"/>
    <w:rsid w:val="00DA725C"/>
    <w:rsid w:val="00DA7286"/>
    <w:rsid w:val="00DA72A0"/>
    <w:rsid w:val="00DA7324"/>
    <w:rsid w:val="00DA7328"/>
    <w:rsid w:val="00DA73EC"/>
    <w:rsid w:val="00DA7484"/>
    <w:rsid w:val="00DA752C"/>
    <w:rsid w:val="00DA758D"/>
    <w:rsid w:val="00DA7603"/>
    <w:rsid w:val="00DA76D8"/>
    <w:rsid w:val="00DA7768"/>
    <w:rsid w:val="00DA78A9"/>
    <w:rsid w:val="00DA78D4"/>
    <w:rsid w:val="00DA78EC"/>
    <w:rsid w:val="00DA7A84"/>
    <w:rsid w:val="00DA7ABC"/>
    <w:rsid w:val="00DA7AF6"/>
    <w:rsid w:val="00DA7B8D"/>
    <w:rsid w:val="00DA7CBD"/>
    <w:rsid w:val="00DA7D56"/>
    <w:rsid w:val="00DA7DF0"/>
    <w:rsid w:val="00DA7EBA"/>
    <w:rsid w:val="00DA7ECA"/>
    <w:rsid w:val="00DA7EEA"/>
    <w:rsid w:val="00DA7F0B"/>
    <w:rsid w:val="00DA7F2B"/>
    <w:rsid w:val="00DA7F2C"/>
    <w:rsid w:val="00DA7FF5"/>
    <w:rsid w:val="00DB0048"/>
    <w:rsid w:val="00DB0051"/>
    <w:rsid w:val="00DB0083"/>
    <w:rsid w:val="00DB0086"/>
    <w:rsid w:val="00DB010E"/>
    <w:rsid w:val="00DB011E"/>
    <w:rsid w:val="00DB016F"/>
    <w:rsid w:val="00DB01BB"/>
    <w:rsid w:val="00DB0295"/>
    <w:rsid w:val="00DB02BA"/>
    <w:rsid w:val="00DB02CD"/>
    <w:rsid w:val="00DB0369"/>
    <w:rsid w:val="00DB036C"/>
    <w:rsid w:val="00DB0379"/>
    <w:rsid w:val="00DB03BB"/>
    <w:rsid w:val="00DB03C9"/>
    <w:rsid w:val="00DB041B"/>
    <w:rsid w:val="00DB0431"/>
    <w:rsid w:val="00DB043B"/>
    <w:rsid w:val="00DB046C"/>
    <w:rsid w:val="00DB0497"/>
    <w:rsid w:val="00DB0565"/>
    <w:rsid w:val="00DB059C"/>
    <w:rsid w:val="00DB05D6"/>
    <w:rsid w:val="00DB068D"/>
    <w:rsid w:val="00DB069C"/>
    <w:rsid w:val="00DB06EA"/>
    <w:rsid w:val="00DB0795"/>
    <w:rsid w:val="00DB094C"/>
    <w:rsid w:val="00DB097B"/>
    <w:rsid w:val="00DB0A2B"/>
    <w:rsid w:val="00DB0A79"/>
    <w:rsid w:val="00DB0A99"/>
    <w:rsid w:val="00DB0A9B"/>
    <w:rsid w:val="00DB0A9F"/>
    <w:rsid w:val="00DB0B4B"/>
    <w:rsid w:val="00DB0B5C"/>
    <w:rsid w:val="00DB0BAE"/>
    <w:rsid w:val="00DB0BCA"/>
    <w:rsid w:val="00DB0C02"/>
    <w:rsid w:val="00DB0C23"/>
    <w:rsid w:val="00DB0CA8"/>
    <w:rsid w:val="00DB0DA8"/>
    <w:rsid w:val="00DB0F08"/>
    <w:rsid w:val="00DB0F3B"/>
    <w:rsid w:val="00DB0F85"/>
    <w:rsid w:val="00DB107E"/>
    <w:rsid w:val="00DB1082"/>
    <w:rsid w:val="00DB10E5"/>
    <w:rsid w:val="00DB116E"/>
    <w:rsid w:val="00DB11B3"/>
    <w:rsid w:val="00DB12A2"/>
    <w:rsid w:val="00DB1379"/>
    <w:rsid w:val="00DB13A1"/>
    <w:rsid w:val="00DB13BA"/>
    <w:rsid w:val="00DB1419"/>
    <w:rsid w:val="00DB1461"/>
    <w:rsid w:val="00DB147D"/>
    <w:rsid w:val="00DB1530"/>
    <w:rsid w:val="00DB1533"/>
    <w:rsid w:val="00DB155A"/>
    <w:rsid w:val="00DB174D"/>
    <w:rsid w:val="00DB177F"/>
    <w:rsid w:val="00DB185A"/>
    <w:rsid w:val="00DB18E2"/>
    <w:rsid w:val="00DB1932"/>
    <w:rsid w:val="00DB1A7A"/>
    <w:rsid w:val="00DB1AD5"/>
    <w:rsid w:val="00DB1AE3"/>
    <w:rsid w:val="00DB1B22"/>
    <w:rsid w:val="00DB1B6A"/>
    <w:rsid w:val="00DB1B82"/>
    <w:rsid w:val="00DB1C62"/>
    <w:rsid w:val="00DB1CBB"/>
    <w:rsid w:val="00DB1CBD"/>
    <w:rsid w:val="00DB1D09"/>
    <w:rsid w:val="00DB1D63"/>
    <w:rsid w:val="00DB1D99"/>
    <w:rsid w:val="00DB1DC3"/>
    <w:rsid w:val="00DB1DDF"/>
    <w:rsid w:val="00DB1E77"/>
    <w:rsid w:val="00DB1E7B"/>
    <w:rsid w:val="00DB1FBB"/>
    <w:rsid w:val="00DB1FF7"/>
    <w:rsid w:val="00DB20BE"/>
    <w:rsid w:val="00DB20BF"/>
    <w:rsid w:val="00DB2138"/>
    <w:rsid w:val="00DB21FC"/>
    <w:rsid w:val="00DB2295"/>
    <w:rsid w:val="00DB22A5"/>
    <w:rsid w:val="00DB22C8"/>
    <w:rsid w:val="00DB2391"/>
    <w:rsid w:val="00DB23E4"/>
    <w:rsid w:val="00DB246F"/>
    <w:rsid w:val="00DB2524"/>
    <w:rsid w:val="00DB2569"/>
    <w:rsid w:val="00DB25DD"/>
    <w:rsid w:val="00DB2613"/>
    <w:rsid w:val="00DB2736"/>
    <w:rsid w:val="00DB2793"/>
    <w:rsid w:val="00DB2814"/>
    <w:rsid w:val="00DB28BD"/>
    <w:rsid w:val="00DB28F0"/>
    <w:rsid w:val="00DB28FD"/>
    <w:rsid w:val="00DB29D2"/>
    <w:rsid w:val="00DB2AF5"/>
    <w:rsid w:val="00DB2B2D"/>
    <w:rsid w:val="00DB2B3C"/>
    <w:rsid w:val="00DB2B40"/>
    <w:rsid w:val="00DB2BC7"/>
    <w:rsid w:val="00DB2C36"/>
    <w:rsid w:val="00DB2C6F"/>
    <w:rsid w:val="00DB2C74"/>
    <w:rsid w:val="00DB2CE4"/>
    <w:rsid w:val="00DB2D4C"/>
    <w:rsid w:val="00DB2E13"/>
    <w:rsid w:val="00DB2E69"/>
    <w:rsid w:val="00DB2E98"/>
    <w:rsid w:val="00DB2EE7"/>
    <w:rsid w:val="00DB2F2F"/>
    <w:rsid w:val="00DB2FAC"/>
    <w:rsid w:val="00DB2FCD"/>
    <w:rsid w:val="00DB2FE3"/>
    <w:rsid w:val="00DB309F"/>
    <w:rsid w:val="00DB313B"/>
    <w:rsid w:val="00DB3152"/>
    <w:rsid w:val="00DB3183"/>
    <w:rsid w:val="00DB32CE"/>
    <w:rsid w:val="00DB3357"/>
    <w:rsid w:val="00DB3358"/>
    <w:rsid w:val="00DB3359"/>
    <w:rsid w:val="00DB33E1"/>
    <w:rsid w:val="00DB3443"/>
    <w:rsid w:val="00DB3467"/>
    <w:rsid w:val="00DB3488"/>
    <w:rsid w:val="00DB34EF"/>
    <w:rsid w:val="00DB3503"/>
    <w:rsid w:val="00DB351F"/>
    <w:rsid w:val="00DB353F"/>
    <w:rsid w:val="00DB35EE"/>
    <w:rsid w:val="00DB36A6"/>
    <w:rsid w:val="00DB36C5"/>
    <w:rsid w:val="00DB3729"/>
    <w:rsid w:val="00DB37E7"/>
    <w:rsid w:val="00DB37F4"/>
    <w:rsid w:val="00DB37F5"/>
    <w:rsid w:val="00DB38B9"/>
    <w:rsid w:val="00DB3A7D"/>
    <w:rsid w:val="00DB3B27"/>
    <w:rsid w:val="00DB3B31"/>
    <w:rsid w:val="00DB3B82"/>
    <w:rsid w:val="00DB3BD6"/>
    <w:rsid w:val="00DB3C9C"/>
    <w:rsid w:val="00DB3D24"/>
    <w:rsid w:val="00DB3ECD"/>
    <w:rsid w:val="00DB3F07"/>
    <w:rsid w:val="00DB3FE7"/>
    <w:rsid w:val="00DB4060"/>
    <w:rsid w:val="00DB4092"/>
    <w:rsid w:val="00DB415F"/>
    <w:rsid w:val="00DB4198"/>
    <w:rsid w:val="00DB4248"/>
    <w:rsid w:val="00DB43C0"/>
    <w:rsid w:val="00DB43CF"/>
    <w:rsid w:val="00DB43E1"/>
    <w:rsid w:val="00DB448F"/>
    <w:rsid w:val="00DB44EA"/>
    <w:rsid w:val="00DB4554"/>
    <w:rsid w:val="00DB455C"/>
    <w:rsid w:val="00DB4591"/>
    <w:rsid w:val="00DB45A5"/>
    <w:rsid w:val="00DB4647"/>
    <w:rsid w:val="00DB4665"/>
    <w:rsid w:val="00DB467D"/>
    <w:rsid w:val="00DB4695"/>
    <w:rsid w:val="00DB4702"/>
    <w:rsid w:val="00DB4711"/>
    <w:rsid w:val="00DB47FB"/>
    <w:rsid w:val="00DB4873"/>
    <w:rsid w:val="00DB49E7"/>
    <w:rsid w:val="00DB4A0C"/>
    <w:rsid w:val="00DB4A3D"/>
    <w:rsid w:val="00DB4A4C"/>
    <w:rsid w:val="00DB4A98"/>
    <w:rsid w:val="00DB4AA3"/>
    <w:rsid w:val="00DB4AE6"/>
    <w:rsid w:val="00DB4B40"/>
    <w:rsid w:val="00DB4B4A"/>
    <w:rsid w:val="00DB4BCC"/>
    <w:rsid w:val="00DB4BCE"/>
    <w:rsid w:val="00DB4BDA"/>
    <w:rsid w:val="00DB4C5C"/>
    <w:rsid w:val="00DB4D20"/>
    <w:rsid w:val="00DB4D80"/>
    <w:rsid w:val="00DB4D97"/>
    <w:rsid w:val="00DB4DA3"/>
    <w:rsid w:val="00DB4DBC"/>
    <w:rsid w:val="00DB4DFC"/>
    <w:rsid w:val="00DB4E21"/>
    <w:rsid w:val="00DB4EEF"/>
    <w:rsid w:val="00DB4F1D"/>
    <w:rsid w:val="00DB4F3E"/>
    <w:rsid w:val="00DB4F50"/>
    <w:rsid w:val="00DB4FAB"/>
    <w:rsid w:val="00DB5003"/>
    <w:rsid w:val="00DB504D"/>
    <w:rsid w:val="00DB5065"/>
    <w:rsid w:val="00DB50CC"/>
    <w:rsid w:val="00DB512A"/>
    <w:rsid w:val="00DB5150"/>
    <w:rsid w:val="00DB51D9"/>
    <w:rsid w:val="00DB51F7"/>
    <w:rsid w:val="00DB5314"/>
    <w:rsid w:val="00DB5341"/>
    <w:rsid w:val="00DB5388"/>
    <w:rsid w:val="00DB53B3"/>
    <w:rsid w:val="00DB53C3"/>
    <w:rsid w:val="00DB53C6"/>
    <w:rsid w:val="00DB546A"/>
    <w:rsid w:val="00DB5470"/>
    <w:rsid w:val="00DB5512"/>
    <w:rsid w:val="00DB5524"/>
    <w:rsid w:val="00DB5538"/>
    <w:rsid w:val="00DB5539"/>
    <w:rsid w:val="00DB55D1"/>
    <w:rsid w:val="00DB55D2"/>
    <w:rsid w:val="00DB5648"/>
    <w:rsid w:val="00DB5662"/>
    <w:rsid w:val="00DB569A"/>
    <w:rsid w:val="00DB578D"/>
    <w:rsid w:val="00DB57CE"/>
    <w:rsid w:val="00DB57F8"/>
    <w:rsid w:val="00DB5812"/>
    <w:rsid w:val="00DB5829"/>
    <w:rsid w:val="00DB5841"/>
    <w:rsid w:val="00DB58A8"/>
    <w:rsid w:val="00DB58C7"/>
    <w:rsid w:val="00DB58FB"/>
    <w:rsid w:val="00DB5964"/>
    <w:rsid w:val="00DB598F"/>
    <w:rsid w:val="00DB59A9"/>
    <w:rsid w:val="00DB59EB"/>
    <w:rsid w:val="00DB5A2D"/>
    <w:rsid w:val="00DB5A6E"/>
    <w:rsid w:val="00DB5AB9"/>
    <w:rsid w:val="00DB5ADB"/>
    <w:rsid w:val="00DB5AFB"/>
    <w:rsid w:val="00DB5B50"/>
    <w:rsid w:val="00DB5C2A"/>
    <w:rsid w:val="00DB5C9B"/>
    <w:rsid w:val="00DB5CAC"/>
    <w:rsid w:val="00DB5CDC"/>
    <w:rsid w:val="00DB5D0E"/>
    <w:rsid w:val="00DB5E61"/>
    <w:rsid w:val="00DB5E64"/>
    <w:rsid w:val="00DB5E73"/>
    <w:rsid w:val="00DB5E7B"/>
    <w:rsid w:val="00DB5E86"/>
    <w:rsid w:val="00DB5EA2"/>
    <w:rsid w:val="00DB5EDB"/>
    <w:rsid w:val="00DB5F93"/>
    <w:rsid w:val="00DB5FE4"/>
    <w:rsid w:val="00DB600F"/>
    <w:rsid w:val="00DB60C7"/>
    <w:rsid w:val="00DB614A"/>
    <w:rsid w:val="00DB61AE"/>
    <w:rsid w:val="00DB61DB"/>
    <w:rsid w:val="00DB6233"/>
    <w:rsid w:val="00DB6318"/>
    <w:rsid w:val="00DB631C"/>
    <w:rsid w:val="00DB63C7"/>
    <w:rsid w:val="00DB63C9"/>
    <w:rsid w:val="00DB6450"/>
    <w:rsid w:val="00DB6466"/>
    <w:rsid w:val="00DB648E"/>
    <w:rsid w:val="00DB64B1"/>
    <w:rsid w:val="00DB6517"/>
    <w:rsid w:val="00DB6573"/>
    <w:rsid w:val="00DB6590"/>
    <w:rsid w:val="00DB663B"/>
    <w:rsid w:val="00DB66CC"/>
    <w:rsid w:val="00DB66F2"/>
    <w:rsid w:val="00DB673E"/>
    <w:rsid w:val="00DB6767"/>
    <w:rsid w:val="00DB6774"/>
    <w:rsid w:val="00DB6783"/>
    <w:rsid w:val="00DB682B"/>
    <w:rsid w:val="00DB6857"/>
    <w:rsid w:val="00DB6861"/>
    <w:rsid w:val="00DB6958"/>
    <w:rsid w:val="00DB696E"/>
    <w:rsid w:val="00DB69EF"/>
    <w:rsid w:val="00DB69F3"/>
    <w:rsid w:val="00DB69FD"/>
    <w:rsid w:val="00DB6A5C"/>
    <w:rsid w:val="00DB6AD3"/>
    <w:rsid w:val="00DB6BC2"/>
    <w:rsid w:val="00DB6C5F"/>
    <w:rsid w:val="00DB6C62"/>
    <w:rsid w:val="00DB6C6E"/>
    <w:rsid w:val="00DB6D7D"/>
    <w:rsid w:val="00DB6F03"/>
    <w:rsid w:val="00DB6F7B"/>
    <w:rsid w:val="00DB6FCA"/>
    <w:rsid w:val="00DB6FDB"/>
    <w:rsid w:val="00DB701D"/>
    <w:rsid w:val="00DB70B9"/>
    <w:rsid w:val="00DB70CE"/>
    <w:rsid w:val="00DB71B5"/>
    <w:rsid w:val="00DB71CE"/>
    <w:rsid w:val="00DB71D5"/>
    <w:rsid w:val="00DB71E6"/>
    <w:rsid w:val="00DB7214"/>
    <w:rsid w:val="00DB723E"/>
    <w:rsid w:val="00DB72A7"/>
    <w:rsid w:val="00DB7494"/>
    <w:rsid w:val="00DB74A2"/>
    <w:rsid w:val="00DB74B0"/>
    <w:rsid w:val="00DB74ED"/>
    <w:rsid w:val="00DB75C0"/>
    <w:rsid w:val="00DB7638"/>
    <w:rsid w:val="00DB763B"/>
    <w:rsid w:val="00DB76F1"/>
    <w:rsid w:val="00DB7828"/>
    <w:rsid w:val="00DB7879"/>
    <w:rsid w:val="00DB7926"/>
    <w:rsid w:val="00DB79B5"/>
    <w:rsid w:val="00DB7AE9"/>
    <w:rsid w:val="00DB7BAA"/>
    <w:rsid w:val="00DB7C09"/>
    <w:rsid w:val="00DB7C0B"/>
    <w:rsid w:val="00DB7C23"/>
    <w:rsid w:val="00DB7C40"/>
    <w:rsid w:val="00DB7C94"/>
    <w:rsid w:val="00DB7CE2"/>
    <w:rsid w:val="00DB7CE3"/>
    <w:rsid w:val="00DB7D5A"/>
    <w:rsid w:val="00DB7D5F"/>
    <w:rsid w:val="00DB7D86"/>
    <w:rsid w:val="00DB7DB8"/>
    <w:rsid w:val="00DB7E45"/>
    <w:rsid w:val="00DB7E70"/>
    <w:rsid w:val="00DB7EC6"/>
    <w:rsid w:val="00DB7ECC"/>
    <w:rsid w:val="00DB7EF9"/>
    <w:rsid w:val="00DB7FDB"/>
    <w:rsid w:val="00DB7FFC"/>
    <w:rsid w:val="00DC004A"/>
    <w:rsid w:val="00DC0186"/>
    <w:rsid w:val="00DC0197"/>
    <w:rsid w:val="00DC01A9"/>
    <w:rsid w:val="00DC01BB"/>
    <w:rsid w:val="00DC01C9"/>
    <w:rsid w:val="00DC01FD"/>
    <w:rsid w:val="00DC0200"/>
    <w:rsid w:val="00DC02B8"/>
    <w:rsid w:val="00DC02DE"/>
    <w:rsid w:val="00DC0362"/>
    <w:rsid w:val="00DC037A"/>
    <w:rsid w:val="00DC0407"/>
    <w:rsid w:val="00DC051A"/>
    <w:rsid w:val="00DC05D0"/>
    <w:rsid w:val="00DC0605"/>
    <w:rsid w:val="00DC0678"/>
    <w:rsid w:val="00DC0831"/>
    <w:rsid w:val="00DC0857"/>
    <w:rsid w:val="00DC08CE"/>
    <w:rsid w:val="00DC09ED"/>
    <w:rsid w:val="00DC09F2"/>
    <w:rsid w:val="00DC0A24"/>
    <w:rsid w:val="00DC0AAD"/>
    <w:rsid w:val="00DC0C04"/>
    <w:rsid w:val="00DC0C1F"/>
    <w:rsid w:val="00DC0C2B"/>
    <w:rsid w:val="00DC0C51"/>
    <w:rsid w:val="00DC0C94"/>
    <w:rsid w:val="00DC0D7F"/>
    <w:rsid w:val="00DC0D80"/>
    <w:rsid w:val="00DC0DC9"/>
    <w:rsid w:val="00DC0DCC"/>
    <w:rsid w:val="00DC0E00"/>
    <w:rsid w:val="00DC0E21"/>
    <w:rsid w:val="00DC0E77"/>
    <w:rsid w:val="00DC0F83"/>
    <w:rsid w:val="00DC10AD"/>
    <w:rsid w:val="00DC118A"/>
    <w:rsid w:val="00DC1193"/>
    <w:rsid w:val="00DC11BA"/>
    <w:rsid w:val="00DC121F"/>
    <w:rsid w:val="00DC1228"/>
    <w:rsid w:val="00DC1263"/>
    <w:rsid w:val="00DC12A2"/>
    <w:rsid w:val="00DC132D"/>
    <w:rsid w:val="00DC1331"/>
    <w:rsid w:val="00DC13A8"/>
    <w:rsid w:val="00DC13F2"/>
    <w:rsid w:val="00DC1438"/>
    <w:rsid w:val="00DC1475"/>
    <w:rsid w:val="00DC1555"/>
    <w:rsid w:val="00DC1675"/>
    <w:rsid w:val="00DC1686"/>
    <w:rsid w:val="00DC16AF"/>
    <w:rsid w:val="00DC1706"/>
    <w:rsid w:val="00DC171D"/>
    <w:rsid w:val="00DC1721"/>
    <w:rsid w:val="00DC175E"/>
    <w:rsid w:val="00DC1768"/>
    <w:rsid w:val="00DC1784"/>
    <w:rsid w:val="00DC179E"/>
    <w:rsid w:val="00DC17F5"/>
    <w:rsid w:val="00DC1839"/>
    <w:rsid w:val="00DC1872"/>
    <w:rsid w:val="00DC1968"/>
    <w:rsid w:val="00DC1AEF"/>
    <w:rsid w:val="00DC1B03"/>
    <w:rsid w:val="00DC1B3D"/>
    <w:rsid w:val="00DC1B58"/>
    <w:rsid w:val="00DC1BE2"/>
    <w:rsid w:val="00DC1BF4"/>
    <w:rsid w:val="00DC1C7B"/>
    <w:rsid w:val="00DC1CC2"/>
    <w:rsid w:val="00DC1CD9"/>
    <w:rsid w:val="00DC1D74"/>
    <w:rsid w:val="00DC1D9E"/>
    <w:rsid w:val="00DC1EF4"/>
    <w:rsid w:val="00DC1F09"/>
    <w:rsid w:val="00DC1F11"/>
    <w:rsid w:val="00DC1FBB"/>
    <w:rsid w:val="00DC2091"/>
    <w:rsid w:val="00DC20A9"/>
    <w:rsid w:val="00DC2113"/>
    <w:rsid w:val="00DC2146"/>
    <w:rsid w:val="00DC223B"/>
    <w:rsid w:val="00DC225F"/>
    <w:rsid w:val="00DC22B2"/>
    <w:rsid w:val="00DC22CA"/>
    <w:rsid w:val="00DC22D0"/>
    <w:rsid w:val="00DC22EB"/>
    <w:rsid w:val="00DC22F6"/>
    <w:rsid w:val="00DC23BE"/>
    <w:rsid w:val="00DC23FE"/>
    <w:rsid w:val="00DC2441"/>
    <w:rsid w:val="00DC24A8"/>
    <w:rsid w:val="00DC24D9"/>
    <w:rsid w:val="00DC2503"/>
    <w:rsid w:val="00DC250F"/>
    <w:rsid w:val="00DC25A5"/>
    <w:rsid w:val="00DC25BF"/>
    <w:rsid w:val="00DC25D7"/>
    <w:rsid w:val="00DC26CB"/>
    <w:rsid w:val="00DC28B8"/>
    <w:rsid w:val="00DC2931"/>
    <w:rsid w:val="00DC2937"/>
    <w:rsid w:val="00DC2970"/>
    <w:rsid w:val="00DC29BF"/>
    <w:rsid w:val="00DC2A75"/>
    <w:rsid w:val="00DC2AA4"/>
    <w:rsid w:val="00DC2AE9"/>
    <w:rsid w:val="00DC2AF1"/>
    <w:rsid w:val="00DC2B20"/>
    <w:rsid w:val="00DC2B96"/>
    <w:rsid w:val="00DC2BB9"/>
    <w:rsid w:val="00DC2BCA"/>
    <w:rsid w:val="00DC2BDE"/>
    <w:rsid w:val="00DC2C8F"/>
    <w:rsid w:val="00DC2D2A"/>
    <w:rsid w:val="00DC2D54"/>
    <w:rsid w:val="00DC2DAF"/>
    <w:rsid w:val="00DC2E8B"/>
    <w:rsid w:val="00DC2EF1"/>
    <w:rsid w:val="00DC2F23"/>
    <w:rsid w:val="00DC313C"/>
    <w:rsid w:val="00DC317D"/>
    <w:rsid w:val="00DC31F5"/>
    <w:rsid w:val="00DC33A0"/>
    <w:rsid w:val="00DC347F"/>
    <w:rsid w:val="00DC34F9"/>
    <w:rsid w:val="00DC3524"/>
    <w:rsid w:val="00DC3533"/>
    <w:rsid w:val="00DC358F"/>
    <w:rsid w:val="00DC35A4"/>
    <w:rsid w:val="00DC364C"/>
    <w:rsid w:val="00DC37AC"/>
    <w:rsid w:val="00DC37C1"/>
    <w:rsid w:val="00DC3803"/>
    <w:rsid w:val="00DC3811"/>
    <w:rsid w:val="00DC38DA"/>
    <w:rsid w:val="00DC3953"/>
    <w:rsid w:val="00DC397D"/>
    <w:rsid w:val="00DC3A09"/>
    <w:rsid w:val="00DC3A0C"/>
    <w:rsid w:val="00DC3A9F"/>
    <w:rsid w:val="00DC3AE8"/>
    <w:rsid w:val="00DC3BA6"/>
    <w:rsid w:val="00DC3DCA"/>
    <w:rsid w:val="00DC3DE9"/>
    <w:rsid w:val="00DC3E66"/>
    <w:rsid w:val="00DC3E7D"/>
    <w:rsid w:val="00DC3EC6"/>
    <w:rsid w:val="00DC403E"/>
    <w:rsid w:val="00DC407A"/>
    <w:rsid w:val="00DC40B0"/>
    <w:rsid w:val="00DC410A"/>
    <w:rsid w:val="00DC412D"/>
    <w:rsid w:val="00DC415C"/>
    <w:rsid w:val="00DC41F5"/>
    <w:rsid w:val="00DC42D4"/>
    <w:rsid w:val="00DC4346"/>
    <w:rsid w:val="00DC4385"/>
    <w:rsid w:val="00DC43AF"/>
    <w:rsid w:val="00DC43BA"/>
    <w:rsid w:val="00DC4421"/>
    <w:rsid w:val="00DC44B6"/>
    <w:rsid w:val="00DC4502"/>
    <w:rsid w:val="00DC452C"/>
    <w:rsid w:val="00DC454A"/>
    <w:rsid w:val="00DC4613"/>
    <w:rsid w:val="00DC464B"/>
    <w:rsid w:val="00DC46A3"/>
    <w:rsid w:val="00DC46AC"/>
    <w:rsid w:val="00DC46DE"/>
    <w:rsid w:val="00DC4732"/>
    <w:rsid w:val="00DC48C1"/>
    <w:rsid w:val="00DC49DA"/>
    <w:rsid w:val="00DC4AAC"/>
    <w:rsid w:val="00DC4B4F"/>
    <w:rsid w:val="00DC4C7B"/>
    <w:rsid w:val="00DC4CD4"/>
    <w:rsid w:val="00DC4D23"/>
    <w:rsid w:val="00DC4D3F"/>
    <w:rsid w:val="00DC4D62"/>
    <w:rsid w:val="00DC4D6D"/>
    <w:rsid w:val="00DC4DD7"/>
    <w:rsid w:val="00DC4DE9"/>
    <w:rsid w:val="00DC4F7E"/>
    <w:rsid w:val="00DC5079"/>
    <w:rsid w:val="00DC527D"/>
    <w:rsid w:val="00DC527F"/>
    <w:rsid w:val="00DC529B"/>
    <w:rsid w:val="00DC52B2"/>
    <w:rsid w:val="00DC52BD"/>
    <w:rsid w:val="00DC52D4"/>
    <w:rsid w:val="00DC530F"/>
    <w:rsid w:val="00DC5350"/>
    <w:rsid w:val="00DC5402"/>
    <w:rsid w:val="00DC554C"/>
    <w:rsid w:val="00DC55BA"/>
    <w:rsid w:val="00DC55D2"/>
    <w:rsid w:val="00DC55FD"/>
    <w:rsid w:val="00DC564C"/>
    <w:rsid w:val="00DC564F"/>
    <w:rsid w:val="00DC566A"/>
    <w:rsid w:val="00DC5689"/>
    <w:rsid w:val="00DC57E9"/>
    <w:rsid w:val="00DC582A"/>
    <w:rsid w:val="00DC586F"/>
    <w:rsid w:val="00DC592A"/>
    <w:rsid w:val="00DC598B"/>
    <w:rsid w:val="00DC59B4"/>
    <w:rsid w:val="00DC5A34"/>
    <w:rsid w:val="00DC5AAA"/>
    <w:rsid w:val="00DC5C20"/>
    <w:rsid w:val="00DC5C74"/>
    <w:rsid w:val="00DC5C80"/>
    <w:rsid w:val="00DC5D21"/>
    <w:rsid w:val="00DC5D5C"/>
    <w:rsid w:val="00DC5D65"/>
    <w:rsid w:val="00DC5D78"/>
    <w:rsid w:val="00DC5E11"/>
    <w:rsid w:val="00DC5E93"/>
    <w:rsid w:val="00DC5F15"/>
    <w:rsid w:val="00DC5FCD"/>
    <w:rsid w:val="00DC6007"/>
    <w:rsid w:val="00DC6045"/>
    <w:rsid w:val="00DC606A"/>
    <w:rsid w:val="00DC60F8"/>
    <w:rsid w:val="00DC60FE"/>
    <w:rsid w:val="00DC617F"/>
    <w:rsid w:val="00DC6191"/>
    <w:rsid w:val="00DC6199"/>
    <w:rsid w:val="00DC62AB"/>
    <w:rsid w:val="00DC62BD"/>
    <w:rsid w:val="00DC6318"/>
    <w:rsid w:val="00DC63C2"/>
    <w:rsid w:val="00DC6585"/>
    <w:rsid w:val="00DC65FA"/>
    <w:rsid w:val="00DC6670"/>
    <w:rsid w:val="00DC6671"/>
    <w:rsid w:val="00DC6706"/>
    <w:rsid w:val="00DC670A"/>
    <w:rsid w:val="00DC6714"/>
    <w:rsid w:val="00DC6746"/>
    <w:rsid w:val="00DC6778"/>
    <w:rsid w:val="00DC678B"/>
    <w:rsid w:val="00DC68BD"/>
    <w:rsid w:val="00DC691B"/>
    <w:rsid w:val="00DC6999"/>
    <w:rsid w:val="00DC69A3"/>
    <w:rsid w:val="00DC6A33"/>
    <w:rsid w:val="00DC6A45"/>
    <w:rsid w:val="00DC6A82"/>
    <w:rsid w:val="00DC6ADD"/>
    <w:rsid w:val="00DC6B36"/>
    <w:rsid w:val="00DC6BAA"/>
    <w:rsid w:val="00DC6BF4"/>
    <w:rsid w:val="00DC6C27"/>
    <w:rsid w:val="00DC6C90"/>
    <w:rsid w:val="00DC6D5B"/>
    <w:rsid w:val="00DC6DAB"/>
    <w:rsid w:val="00DC6E36"/>
    <w:rsid w:val="00DC6E3A"/>
    <w:rsid w:val="00DC6E99"/>
    <w:rsid w:val="00DC6F1A"/>
    <w:rsid w:val="00DC6F5F"/>
    <w:rsid w:val="00DC705B"/>
    <w:rsid w:val="00DC70EE"/>
    <w:rsid w:val="00DC7176"/>
    <w:rsid w:val="00DC72C5"/>
    <w:rsid w:val="00DC7389"/>
    <w:rsid w:val="00DC740F"/>
    <w:rsid w:val="00DC744E"/>
    <w:rsid w:val="00DC74D5"/>
    <w:rsid w:val="00DC7555"/>
    <w:rsid w:val="00DC75FE"/>
    <w:rsid w:val="00DC7615"/>
    <w:rsid w:val="00DC7666"/>
    <w:rsid w:val="00DC7813"/>
    <w:rsid w:val="00DC78E8"/>
    <w:rsid w:val="00DC78F9"/>
    <w:rsid w:val="00DC7928"/>
    <w:rsid w:val="00DC7A0B"/>
    <w:rsid w:val="00DC7B6F"/>
    <w:rsid w:val="00DC7BA9"/>
    <w:rsid w:val="00DC7BC8"/>
    <w:rsid w:val="00DC7BE7"/>
    <w:rsid w:val="00DC7C26"/>
    <w:rsid w:val="00DC7C3E"/>
    <w:rsid w:val="00DC7D02"/>
    <w:rsid w:val="00DC7D3C"/>
    <w:rsid w:val="00DC7D47"/>
    <w:rsid w:val="00DC7D92"/>
    <w:rsid w:val="00DC7E1B"/>
    <w:rsid w:val="00DC7E3E"/>
    <w:rsid w:val="00DC7E42"/>
    <w:rsid w:val="00DC7ED5"/>
    <w:rsid w:val="00DC7F1A"/>
    <w:rsid w:val="00DC7F76"/>
    <w:rsid w:val="00DC7FBA"/>
    <w:rsid w:val="00DC7FCD"/>
    <w:rsid w:val="00DC7FFC"/>
    <w:rsid w:val="00DD0008"/>
    <w:rsid w:val="00DD002F"/>
    <w:rsid w:val="00DD00A3"/>
    <w:rsid w:val="00DD00E4"/>
    <w:rsid w:val="00DD022A"/>
    <w:rsid w:val="00DD023E"/>
    <w:rsid w:val="00DD026B"/>
    <w:rsid w:val="00DD02B7"/>
    <w:rsid w:val="00DD02E4"/>
    <w:rsid w:val="00DD02F1"/>
    <w:rsid w:val="00DD03A4"/>
    <w:rsid w:val="00DD03AD"/>
    <w:rsid w:val="00DD03F7"/>
    <w:rsid w:val="00DD0428"/>
    <w:rsid w:val="00DD043C"/>
    <w:rsid w:val="00DD04DC"/>
    <w:rsid w:val="00DD04E1"/>
    <w:rsid w:val="00DD04EE"/>
    <w:rsid w:val="00DD0517"/>
    <w:rsid w:val="00DD0538"/>
    <w:rsid w:val="00DD053C"/>
    <w:rsid w:val="00DD068B"/>
    <w:rsid w:val="00DD06D9"/>
    <w:rsid w:val="00DD06EF"/>
    <w:rsid w:val="00DD0719"/>
    <w:rsid w:val="00DD0777"/>
    <w:rsid w:val="00DD07DF"/>
    <w:rsid w:val="00DD07F3"/>
    <w:rsid w:val="00DD07F8"/>
    <w:rsid w:val="00DD0809"/>
    <w:rsid w:val="00DD081D"/>
    <w:rsid w:val="00DD08FE"/>
    <w:rsid w:val="00DD0902"/>
    <w:rsid w:val="00DD092F"/>
    <w:rsid w:val="00DD0988"/>
    <w:rsid w:val="00DD0993"/>
    <w:rsid w:val="00DD099B"/>
    <w:rsid w:val="00DD0A5A"/>
    <w:rsid w:val="00DD0A8B"/>
    <w:rsid w:val="00DD0B07"/>
    <w:rsid w:val="00DD0BF8"/>
    <w:rsid w:val="00DD0CF9"/>
    <w:rsid w:val="00DD0D6F"/>
    <w:rsid w:val="00DD0DCA"/>
    <w:rsid w:val="00DD0E87"/>
    <w:rsid w:val="00DD0F1F"/>
    <w:rsid w:val="00DD0F58"/>
    <w:rsid w:val="00DD0FC9"/>
    <w:rsid w:val="00DD0FE1"/>
    <w:rsid w:val="00DD1138"/>
    <w:rsid w:val="00DD11A7"/>
    <w:rsid w:val="00DD11EB"/>
    <w:rsid w:val="00DD1208"/>
    <w:rsid w:val="00DD1231"/>
    <w:rsid w:val="00DD129C"/>
    <w:rsid w:val="00DD12A6"/>
    <w:rsid w:val="00DD12E1"/>
    <w:rsid w:val="00DD1340"/>
    <w:rsid w:val="00DD139A"/>
    <w:rsid w:val="00DD1403"/>
    <w:rsid w:val="00DD146A"/>
    <w:rsid w:val="00DD1481"/>
    <w:rsid w:val="00DD14BF"/>
    <w:rsid w:val="00DD155A"/>
    <w:rsid w:val="00DD16CB"/>
    <w:rsid w:val="00DD1716"/>
    <w:rsid w:val="00DD17BF"/>
    <w:rsid w:val="00DD182C"/>
    <w:rsid w:val="00DD183A"/>
    <w:rsid w:val="00DD187C"/>
    <w:rsid w:val="00DD188B"/>
    <w:rsid w:val="00DD18CC"/>
    <w:rsid w:val="00DD1932"/>
    <w:rsid w:val="00DD194B"/>
    <w:rsid w:val="00DD1985"/>
    <w:rsid w:val="00DD19A4"/>
    <w:rsid w:val="00DD19BF"/>
    <w:rsid w:val="00DD19EA"/>
    <w:rsid w:val="00DD1A70"/>
    <w:rsid w:val="00DD1A7D"/>
    <w:rsid w:val="00DD1A8A"/>
    <w:rsid w:val="00DD1A9A"/>
    <w:rsid w:val="00DD1B6C"/>
    <w:rsid w:val="00DD1C19"/>
    <w:rsid w:val="00DD1CFB"/>
    <w:rsid w:val="00DD1D50"/>
    <w:rsid w:val="00DD1D88"/>
    <w:rsid w:val="00DD1D91"/>
    <w:rsid w:val="00DD1E39"/>
    <w:rsid w:val="00DD1E84"/>
    <w:rsid w:val="00DD1ED1"/>
    <w:rsid w:val="00DD1F05"/>
    <w:rsid w:val="00DD1F22"/>
    <w:rsid w:val="00DD1F27"/>
    <w:rsid w:val="00DD1F49"/>
    <w:rsid w:val="00DD1F4A"/>
    <w:rsid w:val="00DD2033"/>
    <w:rsid w:val="00DD20C4"/>
    <w:rsid w:val="00DD20E7"/>
    <w:rsid w:val="00DD2147"/>
    <w:rsid w:val="00DD2188"/>
    <w:rsid w:val="00DD21A8"/>
    <w:rsid w:val="00DD21C5"/>
    <w:rsid w:val="00DD21D8"/>
    <w:rsid w:val="00DD2266"/>
    <w:rsid w:val="00DD237C"/>
    <w:rsid w:val="00DD24F5"/>
    <w:rsid w:val="00DD2519"/>
    <w:rsid w:val="00DD2555"/>
    <w:rsid w:val="00DD259D"/>
    <w:rsid w:val="00DD25DA"/>
    <w:rsid w:val="00DD261F"/>
    <w:rsid w:val="00DD26CF"/>
    <w:rsid w:val="00DD26D2"/>
    <w:rsid w:val="00DD26E5"/>
    <w:rsid w:val="00DD2719"/>
    <w:rsid w:val="00DD273C"/>
    <w:rsid w:val="00DD282D"/>
    <w:rsid w:val="00DD284B"/>
    <w:rsid w:val="00DD287B"/>
    <w:rsid w:val="00DD2890"/>
    <w:rsid w:val="00DD29BA"/>
    <w:rsid w:val="00DD2A21"/>
    <w:rsid w:val="00DD2A26"/>
    <w:rsid w:val="00DD2B31"/>
    <w:rsid w:val="00DD2B33"/>
    <w:rsid w:val="00DD2B65"/>
    <w:rsid w:val="00DD2BA4"/>
    <w:rsid w:val="00DD2C2C"/>
    <w:rsid w:val="00DD2D37"/>
    <w:rsid w:val="00DD2DBC"/>
    <w:rsid w:val="00DD2DC5"/>
    <w:rsid w:val="00DD2DD8"/>
    <w:rsid w:val="00DD2E0D"/>
    <w:rsid w:val="00DD2E5F"/>
    <w:rsid w:val="00DD2EDC"/>
    <w:rsid w:val="00DD2EFE"/>
    <w:rsid w:val="00DD2F1C"/>
    <w:rsid w:val="00DD3014"/>
    <w:rsid w:val="00DD30BD"/>
    <w:rsid w:val="00DD30C8"/>
    <w:rsid w:val="00DD3184"/>
    <w:rsid w:val="00DD31A9"/>
    <w:rsid w:val="00DD3233"/>
    <w:rsid w:val="00DD32AA"/>
    <w:rsid w:val="00DD32B6"/>
    <w:rsid w:val="00DD3388"/>
    <w:rsid w:val="00DD33A8"/>
    <w:rsid w:val="00DD33B3"/>
    <w:rsid w:val="00DD33CA"/>
    <w:rsid w:val="00DD34A9"/>
    <w:rsid w:val="00DD3529"/>
    <w:rsid w:val="00DD3557"/>
    <w:rsid w:val="00DD358D"/>
    <w:rsid w:val="00DD3598"/>
    <w:rsid w:val="00DD3602"/>
    <w:rsid w:val="00DD3623"/>
    <w:rsid w:val="00DD368D"/>
    <w:rsid w:val="00DD36DF"/>
    <w:rsid w:val="00DD3785"/>
    <w:rsid w:val="00DD37B2"/>
    <w:rsid w:val="00DD3846"/>
    <w:rsid w:val="00DD389A"/>
    <w:rsid w:val="00DD389D"/>
    <w:rsid w:val="00DD3902"/>
    <w:rsid w:val="00DD3976"/>
    <w:rsid w:val="00DD39B7"/>
    <w:rsid w:val="00DD39F0"/>
    <w:rsid w:val="00DD39F1"/>
    <w:rsid w:val="00DD3A1D"/>
    <w:rsid w:val="00DD3ABB"/>
    <w:rsid w:val="00DD3AE8"/>
    <w:rsid w:val="00DD3B0B"/>
    <w:rsid w:val="00DD3B2A"/>
    <w:rsid w:val="00DD3B33"/>
    <w:rsid w:val="00DD3BAA"/>
    <w:rsid w:val="00DD3D5A"/>
    <w:rsid w:val="00DD3D7F"/>
    <w:rsid w:val="00DD3D93"/>
    <w:rsid w:val="00DD3E23"/>
    <w:rsid w:val="00DD3E3C"/>
    <w:rsid w:val="00DD3EAF"/>
    <w:rsid w:val="00DD40AC"/>
    <w:rsid w:val="00DD40B7"/>
    <w:rsid w:val="00DD410B"/>
    <w:rsid w:val="00DD4152"/>
    <w:rsid w:val="00DD422A"/>
    <w:rsid w:val="00DD427A"/>
    <w:rsid w:val="00DD42D9"/>
    <w:rsid w:val="00DD434A"/>
    <w:rsid w:val="00DD434F"/>
    <w:rsid w:val="00DD439A"/>
    <w:rsid w:val="00DD4406"/>
    <w:rsid w:val="00DD445E"/>
    <w:rsid w:val="00DD4480"/>
    <w:rsid w:val="00DD4499"/>
    <w:rsid w:val="00DD450A"/>
    <w:rsid w:val="00DD452C"/>
    <w:rsid w:val="00DD4594"/>
    <w:rsid w:val="00DD4597"/>
    <w:rsid w:val="00DD45AB"/>
    <w:rsid w:val="00DD45C0"/>
    <w:rsid w:val="00DD45E1"/>
    <w:rsid w:val="00DD4684"/>
    <w:rsid w:val="00DD468D"/>
    <w:rsid w:val="00DD4693"/>
    <w:rsid w:val="00DD469B"/>
    <w:rsid w:val="00DD46B1"/>
    <w:rsid w:val="00DD47FB"/>
    <w:rsid w:val="00DD4897"/>
    <w:rsid w:val="00DD48B8"/>
    <w:rsid w:val="00DD4925"/>
    <w:rsid w:val="00DD492B"/>
    <w:rsid w:val="00DD4974"/>
    <w:rsid w:val="00DD497D"/>
    <w:rsid w:val="00DD49A3"/>
    <w:rsid w:val="00DD49F1"/>
    <w:rsid w:val="00DD49FC"/>
    <w:rsid w:val="00DD4A1F"/>
    <w:rsid w:val="00DD4A55"/>
    <w:rsid w:val="00DD4A9B"/>
    <w:rsid w:val="00DD4AA9"/>
    <w:rsid w:val="00DD4D46"/>
    <w:rsid w:val="00DD4D4D"/>
    <w:rsid w:val="00DD4D97"/>
    <w:rsid w:val="00DD4F1D"/>
    <w:rsid w:val="00DD4FA0"/>
    <w:rsid w:val="00DD4FF2"/>
    <w:rsid w:val="00DD509D"/>
    <w:rsid w:val="00DD50B5"/>
    <w:rsid w:val="00DD52F1"/>
    <w:rsid w:val="00DD52FC"/>
    <w:rsid w:val="00DD52FE"/>
    <w:rsid w:val="00DD53FB"/>
    <w:rsid w:val="00DD53FF"/>
    <w:rsid w:val="00DD5406"/>
    <w:rsid w:val="00DD5419"/>
    <w:rsid w:val="00DD543E"/>
    <w:rsid w:val="00DD5537"/>
    <w:rsid w:val="00DD559B"/>
    <w:rsid w:val="00DD559E"/>
    <w:rsid w:val="00DD55BD"/>
    <w:rsid w:val="00DD55F6"/>
    <w:rsid w:val="00DD560E"/>
    <w:rsid w:val="00DD5652"/>
    <w:rsid w:val="00DD5665"/>
    <w:rsid w:val="00DD5673"/>
    <w:rsid w:val="00DD569F"/>
    <w:rsid w:val="00DD56E1"/>
    <w:rsid w:val="00DD57FA"/>
    <w:rsid w:val="00DD588B"/>
    <w:rsid w:val="00DD58C6"/>
    <w:rsid w:val="00DD58FF"/>
    <w:rsid w:val="00DD5963"/>
    <w:rsid w:val="00DD5971"/>
    <w:rsid w:val="00DD5A47"/>
    <w:rsid w:val="00DD5A50"/>
    <w:rsid w:val="00DD5ABE"/>
    <w:rsid w:val="00DD5AC9"/>
    <w:rsid w:val="00DD5B0A"/>
    <w:rsid w:val="00DD5C22"/>
    <w:rsid w:val="00DD5C6E"/>
    <w:rsid w:val="00DD5CB1"/>
    <w:rsid w:val="00DD5D06"/>
    <w:rsid w:val="00DD5D4F"/>
    <w:rsid w:val="00DD5D52"/>
    <w:rsid w:val="00DD5D73"/>
    <w:rsid w:val="00DD5D9E"/>
    <w:rsid w:val="00DD5E49"/>
    <w:rsid w:val="00DD5EB2"/>
    <w:rsid w:val="00DD5EFA"/>
    <w:rsid w:val="00DD5F22"/>
    <w:rsid w:val="00DD602B"/>
    <w:rsid w:val="00DD602E"/>
    <w:rsid w:val="00DD608E"/>
    <w:rsid w:val="00DD60A3"/>
    <w:rsid w:val="00DD62BB"/>
    <w:rsid w:val="00DD6351"/>
    <w:rsid w:val="00DD63BB"/>
    <w:rsid w:val="00DD63C0"/>
    <w:rsid w:val="00DD6403"/>
    <w:rsid w:val="00DD6457"/>
    <w:rsid w:val="00DD64B8"/>
    <w:rsid w:val="00DD64B9"/>
    <w:rsid w:val="00DD64CF"/>
    <w:rsid w:val="00DD6586"/>
    <w:rsid w:val="00DD6587"/>
    <w:rsid w:val="00DD6648"/>
    <w:rsid w:val="00DD6674"/>
    <w:rsid w:val="00DD66E2"/>
    <w:rsid w:val="00DD6743"/>
    <w:rsid w:val="00DD676D"/>
    <w:rsid w:val="00DD67A8"/>
    <w:rsid w:val="00DD67E8"/>
    <w:rsid w:val="00DD67F9"/>
    <w:rsid w:val="00DD680C"/>
    <w:rsid w:val="00DD68E4"/>
    <w:rsid w:val="00DD6934"/>
    <w:rsid w:val="00DD69D4"/>
    <w:rsid w:val="00DD6AAF"/>
    <w:rsid w:val="00DD6AC6"/>
    <w:rsid w:val="00DD6B08"/>
    <w:rsid w:val="00DD6BD2"/>
    <w:rsid w:val="00DD6CC8"/>
    <w:rsid w:val="00DD6CE5"/>
    <w:rsid w:val="00DD6DDD"/>
    <w:rsid w:val="00DD6ED9"/>
    <w:rsid w:val="00DD6F2B"/>
    <w:rsid w:val="00DD6FAE"/>
    <w:rsid w:val="00DD701B"/>
    <w:rsid w:val="00DD7020"/>
    <w:rsid w:val="00DD70B1"/>
    <w:rsid w:val="00DD71AC"/>
    <w:rsid w:val="00DD759A"/>
    <w:rsid w:val="00DD75F6"/>
    <w:rsid w:val="00DD760B"/>
    <w:rsid w:val="00DD7646"/>
    <w:rsid w:val="00DD767C"/>
    <w:rsid w:val="00DD76A6"/>
    <w:rsid w:val="00DD76B5"/>
    <w:rsid w:val="00DD76E7"/>
    <w:rsid w:val="00DD76F5"/>
    <w:rsid w:val="00DD78DC"/>
    <w:rsid w:val="00DD78EE"/>
    <w:rsid w:val="00DD791A"/>
    <w:rsid w:val="00DD794F"/>
    <w:rsid w:val="00DD796E"/>
    <w:rsid w:val="00DD79A7"/>
    <w:rsid w:val="00DD7A35"/>
    <w:rsid w:val="00DD7A42"/>
    <w:rsid w:val="00DD7ACE"/>
    <w:rsid w:val="00DD7ACF"/>
    <w:rsid w:val="00DD7C14"/>
    <w:rsid w:val="00DD7C88"/>
    <w:rsid w:val="00DD7C94"/>
    <w:rsid w:val="00DD7D4E"/>
    <w:rsid w:val="00DD7DB2"/>
    <w:rsid w:val="00DD7DC4"/>
    <w:rsid w:val="00DD7E14"/>
    <w:rsid w:val="00DD7E15"/>
    <w:rsid w:val="00DD7E50"/>
    <w:rsid w:val="00DD7EA7"/>
    <w:rsid w:val="00DD7F0E"/>
    <w:rsid w:val="00DD7F35"/>
    <w:rsid w:val="00DD7F91"/>
    <w:rsid w:val="00DD7FB6"/>
    <w:rsid w:val="00DE0061"/>
    <w:rsid w:val="00DE011E"/>
    <w:rsid w:val="00DE018B"/>
    <w:rsid w:val="00DE0191"/>
    <w:rsid w:val="00DE01BF"/>
    <w:rsid w:val="00DE02F6"/>
    <w:rsid w:val="00DE0308"/>
    <w:rsid w:val="00DE0348"/>
    <w:rsid w:val="00DE03A7"/>
    <w:rsid w:val="00DE03B2"/>
    <w:rsid w:val="00DE03CA"/>
    <w:rsid w:val="00DE03F7"/>
    <w:rsid w:val="00DE0488"/>
    <w:rsid w:val="00DE048D"/>
    <w:rsid w:val="00DE04C0"/>
    <w:rsid w:val="00DE055F"/>
    <w:rsid w:val="00DE0573"/>
    <w:rsid w:val="00DE0590"/>
    <w:rsid w:val="00DE05B5"/>
    <w:rsid w:val="00DE05FB"/>
    <w:rsid w:val="00DE0619"/>
    <w:rsid w:val="00DE0641"/>
    <w:rsid w:val="00DE072E"/>
    <w:rsid w:val="00DE07EA"/>
    <w:rsid w:val="00DE0830"/>
    <w:rsid w:val="00DE0875"/>
    <w:rsid w:val="00DE09A1"/>
    <w:rsid w:val="00DE0BC7"/>
    <w:rsid w:val="00DE0D02"/>
    <w:rsid w:val="00DE0D22"/>
    <w:rsid w:val="00DE0D54"/>
    <w:rsid w:val="00DE0D5E"/>
    <w:rsid w:val="00DE0E1A"/>
    <w:rsid w:val="00DE0E47"/>
    <w:rsid w:val="00DE0EA5"/>
    <w:rsid w:val="00DE0FFE"/>
    <w:rsid w:val="00DE108F"/>
    <w:rsid w:val="00DE11A1"/>
    <w:rsid w:val="00DE11EB"/>
    <w:rsid w:val="00DE122E"/>
    <w:rsid w:val="00DE124E"/>
    <w:rsid w:val="00DE1257"/>
    <w:rsid w:val="00DE141D"/>
    <w:rsid w:val="00DE141F"/>
    <w:rsid w:val="00DE1448"/>
    <w:rsid w:val="00DE14D1"/>
    <w:rsid w:val="00DE155B"/>
    <w:rsid w:val="00DE1570"/>
    <w:rsid w:val="00DE1599"/>
    <w:rsid w:val="00DE159E"/>
    <w:rsid w:val="00DE1648"/>
    <w:rsid w:val="00DE16BC"/>
    <w:rsid w:val="00DE17C3"/>
    <w:rsid w:val="00DE1875"/>
    <w:rsid w:val="00DE1880"/>
    <w:rsid w:val="00DE1888"/>
    <w:rsid w:val="00DE188E"/>
    <w:rsid w:val="00DE18C4"/>
    <w:rsid w:val="00DE197A"/>
    <w:rsid w:val="00DE19D0"/>
    <w:rsid w:val="00DE19E9"/>
    <w:rsid w:val="00DE19F2"/>
    <w:rsid w:val="00DE1AA2"/>
    <w:rsid w:val="00DE1AB4"/>
    <w:rsid w:val="00DE1B39"/>
    <w:rsid w:val="00DE1B99"/>
    <w:rsid w:val="00DE1BD5"/>
    <w:rsid w:val="00DE1CDE"/>
    <w:rsid w:val="00DE1D48"/>
    <w:rsid w:val="00DE1D99"/>
    <w:rsid w:val="00DE1DD6"/>
    <w:rsid w:val="00DE1EA7"/>
    <w:rsid w:val="00DE1EF5"/>
    <w:rsid w:val="00DE1F96"/>
    <w:rsid w:val="00DE2026"/>
    <w:rsid w:val="00DE2058"/>
    <w:rsid w:val="00DE208B"/>
    <w:rsid w:val="00DE20D8"/>
    <w:rsid w:val="00DE215F"/>
    <w:rsid w:val="00DE21B2"/>
    <w:rsid w:val="00DE2208"/>
    <w:rsid w:val="00DE2209"/>
    <w:rsid w:val="00DE22C6"/>
    <w:rsid w:val="00DE230E"/>
    <w:rsid w:val="00DE2354"/>
    <w:rsid w:val="00DE2361"/>
    <w:rsid w:val="00DE23DB"/>
    <w:rsid w:val="00DE23F4"/>
    <w:rsid w:val="00DE23FB"/>
    <w:rsid w:val="00DE2455"/>
    <w:rsid w:val="00DE24A6"/>
    <w:rsid w:val="00DE250F"/>
    <w:rsid w:val="00DE2583"/>
    <w:rsid w:val="00DE2662"/>
    <w:rsid w:val="00DE267E"/>
    <w:rsid w:val="00DE268D"/>
    <w:rsid w:val="00DE26B8"/>
    <w:rsid w:val="00DE26C9"/>
    <w:rsid w:val="00DE2745"/>
    <w:rsid w:val="00DE28C3"/>
    <w:rsid w:val="00DE290A"/>
    <w:rsid w:val="00DE294A"/>
    <w:rsid w:val="00DE29E3"/>
    <w:rsid w:val="00DE2A0F"/>
    <w:rsid w:val="00DE2A24"/>
    <w:rsid w:val="00DE2A90"/>
    <w:rsid w:val="00DE2ACF"/>
    <w:rsid w:val="00DE2B21"/>
    <w:rsid w:val="00DE2B33"/>
    <w:rsid w:val="00DE2B7A"/>
    <w:rsid w:val="00DE2B7C"/>
    <w:rsid w:val="00DE2B97"/>
    <w:rsid w:val="00DE2BE8"/>
    <w:rsid w:val="00DE2C0F"/>
    <w:rsid w:val="00DE2C24"/>
    <w:rsid w:val="00DE2DA3"/>
    <w:rsid w:val="00DE2E7B"/>
    <w:rsid w:val="00DE2F61"/>
    <w:rsid w:val="00DE301E"/>
    <w:rsid w:val="00DE30AF"/>
    <w:rsid w:val="00DE30F7"/>
    <w:rsid w:val="00DE3185"/>
    <w:rsid w:val="00DE3205"/>
    <w:rsid w:val="00DE3262"/>
    <w:rsid w:val="00DE333F"/>
    <w:rsid w:val="00DE334E"/>
    <w:rsid w:val="00DE3353"/>
    <w:rsid w:val="00DE335C"/>
    <w:rsid w:val="00DE33FB"/>
    <w:rsid w:val="00DE3467"/>
    <w:rsid w:val="00DE3502"/>
    <w:rsid w:val="00DE35E5"/>
    <w:rsid w:val="00DE36E8"/>
    <w:rsid w:val="00DE370C"/>
    <w:rsid w:val="00DE37E7"/>
    <w:rsid w:val="00DE382E"/>
    <w:rsid w:val="00DE38B1"/>
    <w:rsid w:val="00DE38C9"/>
    <w:rsid w:val="00DE38FC"/>
    <w:rsid w:val="00DE3923"/>
    <w:rsid w:val="00DE397E"/>
    <w:rsid w:val="00DE39C4"/>
    <w:rsid w:val="00DE3A58"/>
    <w:rsid w:val="00DE3B1A"/>
    <w:rsid w:val="00DE3B8B"/>
    <w:rsid w:val="00DE3B92"/>
    <w:rsid w:val="00DE3BF5"/>
    <w:rsid w:val="00DE3C06"/>
    <w:rsid w:val="00DE3CA2"/>
    <w:rsid w:val="00DE3D3F"/>
    <w:rsid w:val="00DE3E96"/>
    <w:rsid w:val="00DE3EBA"/>
    <w:rsid w:val="00DE3EDD"/>
    <w:rsid w:val="00DE3FC8"/>
    <w:rsid w:val="00DE3FDE"/>
    <w:rsid w:val="00DE4021"/>
    <w:rsid w:val="00DE414D"/>
    <w:rsid w:val="00DE4171"/>
    <w:rsid w:val="00DE418F"/>
    <w:rsid w:val="00DE425D"/>
    <w:rsid w:val="00DE42C3"/>
    <w:rsid w:val="00DE4313"/>
    <w:rsid w:val="00DE4364"/>
    <w:rsid w:val="00DE4370"/>
    <w:rsid w:val="00DE438F"/>
    <w:rsid w:val="00DE43CA"/>
    <w:rsid w:val="00DE43F2"/>
    <w:rsid w:val="00DE440C"/>
    <w:rsid w:val="00DE446C"/>
    <w:rsid w:val="00DE449B"/>
    <w:rsid w:val="00DE45BA"/>
    <w:rsid w:val="00DE4652"/>
    <w:rsid w:val="00DE4680"/>
    <w:rsid w:val="00DE46BC"/>
    <w:rsid w:val="00DE46FD"/>
    <w:rsid w:val="00DE473A"/>
    <w:rsid w:val="00DE4761"/>
    <w:rsid w:val="00DE4885"/>
    <w:rsid w:val="00DE4A26"/>
    <w:rsid w:val="00DE4ABD"/>
    <w:rsid w:val="00DE4B01"/>
    <w:rsid w:val="00DE4B3F"/>
    <w:rsid w:val="00DE4BCA"/>
    <w:rsid w:val="00DE4C48"/>
    <w:rsid w:val="00DE4CD6"/>
    <w:rsid w:val="00DE4D41"/>
    <w:rsid w:val="00DE4E05"/>
    <w:rsid w:val="00DE4E35"/>
    <w:rsid w:val="00DE4E52"/>
    <w:rsid w:val="00DE4E58"/>
    <w:rsid w:val="00DE4E69"/>
    <w:rsid w:val="00DE4F3E"/>
    <w:rsid w:val="00DE4F74"/>
    <w:rsid w:val="00DE4F97"/>
    <w:rsid w:val="00DE4FAA"/>
    <w:rsid w:val="00DE5053"/>
    <w:rsid w:val="00DE511A"/>
    <w:rsid w:val="00DE5123"/>
    <w:rsid w:val="00DE5227"/>
    <w:rsid w:val="00DE5235"/>
    <w:rsid w:val="00DE5310"/>
    <w:rsid w:val="00DE5367"/>
    <w:rsid w:val="00DE53A0"/>
    <w:rsid w:val="00DE53A1"/>
    <w:rsid w:val="00DE5451"/>
    <w:rsid w:val="00DE5481"/>
    <w:rsid w:val="00DE54CC"/>
    <w:rsid w:val="00DE54F5"/>
    <w:rsid w:val="00DE550A"/>
    <w:rsid w:val="00DE555E"/>
    <w:rsid w:val="00DE55A9"/>
    <w:rsid w:val="00DE55CF"/>
    <w:rsid w:val="00DE55F4"/>
    <w:rsid w:val="00DE560D"/>
    <w:rsid w:val="00DE5613"/>
    <w:rsid w:val="00DE5625"/>
    <w:rsid w:val="00DE5634"/>
    <w:rsid w:val="00DE567F"/>
    <w:rsid w:val="00DE5682"/>
    <w:rsid w:val="00DE5711"/>
    <w:rsid w:val="00DE5795"/>
    <w:rsid w:val="00DE57EE"/>
    <w:rsid w:val="00DE5822"/>
    <w:rsid w:val="00DE5832"/>
    <w:rsid w:val="00DE5848"/>
    <w:rsid w:val="00DE588D"/>
    <w:rsid w:val="00DE590B"/>
    <w:rsid w:val="00DE5993"/>
    <w:rsid w:val="00DE59CB"/>
    <w:rsid w:val="00DE5A0D"/>
    <w:rsid w:val="00DE5AA2"/>
    <w:rsid w:val="00DE5B4B"/>
    <w:rsid w:val="00DE5B4D"/>
    <w:rsid w:val="00DE5C10"/>
    <w:rsid w:val="00DE5C21"/>
    <w:rsid w:val="00DE5C4F"/>
    <w:rsid w:val="00DE5CEA"/>
    <w:rsid w:val="00DE5DBF"/>
    <w:rsid w:val="00DE5E17"/>
    <w:rsid w:val="00DE5E2D"/>
    <w:rsid w:val="00DE5E4C"/>
    <w:rsid w:val="00DE5F78"/>
    <w:rsid w:val="00DE5FC9"/>
    <w:rsid w:val="00DE601C"/>
    <w:rsid w:val="00DE609E"/>
    <w:rsid w:val="00DE60A8"/>
    <w:rsid w:val="00DE618B"/>
    <w:rsid w:val="00DE6191"/>
    <w:rsid w:val="00DE621A"/>
    <w:rsid w:val="00DE6286"/>
    <w:rsid w:val="00DE6294"/>
    <w:rsid w:val="00DE62F5"/>
    <w:rsid w:val="00DE6351"/>
    <w:rsid w:val="00DE6459"/>
    <w:rsid w:val="00DE646D"/>
    <w:rsid w:val="00DE64BB"/>
    <w:rsid w:val="00DE6564"/>
    <w:rsid w:val="00DE6587"/>
    <w:rsid w:val="00DE65CD"/>
    <w:rsid w:val="00DE65DE"/>
    <w:rsid w:val="00DE65F4"/>
    <w:rsid w:val="00DE6680"/>
    <w:rsid w:val="00DE66BD"/>
    <w:rsid w:val="00DE66D1"/>
    <w:rsid w:val="00DE6751"/>
    <w:rsid w:val="00DE6771"/>
    <w:rsid w:val="00DE6802"/>
    <w:rsid w:val="00DE6808"/>
    <w:rsid w:val="00DE6820"/>
    <w:rsid w:val="00DE6895"/>
    <w:rsid w:val="00DE6920"/>
    <w:rsid w:val="00DE6952"/>
    <w:rsid w:val="00DE697A"/>
    <w:rsid w:val="00DE69B9"/>
    <w:rsid w:val="00DE6A15"/>
    <w:rsid w:val="00DE6AB1"/>
    <w:rsid w:val="00DE6ACA"/>
    <w:rsid w:val="00DE6BB9"/>
    <w:rsid w:val="00DE6BD0"/>
    <w:rsid w:val="00DE6BE4"/>
    <w:rsid w:val="00DE6C00"/>
    <w:rsid w:val="00DE6C2E"/>
    <w:rsid w:val="00DE6C36"/>
    <w:rsid w:val="00DE6C85"/>
    <w:rsid w:val="00DE6C8D"/>
    <w:rsid w:val="00DE6D22"/>
    <w:rsid w:val="00DE6D2C"/>
    <w:rsid w:val="00DE6D64"/>
    <w:rsid w:val="00DE6D80"/>
    <w:rsid w:val="00DE6DAB"/>
    <w:rsid w:val="00DE6DC7"/>
    <w:rsid w:val="00DE6DE1"/>
    <w:rsid w:val="00DE6EFC"/>
    <w:rsid w:val="00DE6F24"/>
    <w:rsid w:val="00DE6F64"/>
    <w:rsid w:val="00DE6F71"/>
    <w:rsid w:val="00DE6F7F"/>
    <w:rsid w:val="00DE6FE3"/>
    <w:rsid w:val="00DE6FF8"/>
    <w:rsid w:val="00DE6FFB"/>
    <w:rsid w:val="00DE7003"/>
    <w:rsid w:val="00DE7079"/>
    <w:rsid w:val="00DE70D3"/>
    <w:rsid w:val="00DE7125"/>
    <w:rsid w:val="00DE7177"/>
    <w:rsid w:val="00DE71A6"/>
    <w:rsid w:val="00DE7258"/>
    <w:rsid w:val="00DE725E"/>
    <w:rsid w:val="00DE7263"/>
    <w:rsid w:val="00DE72B9"/>
    <w:rsid w:val="00DE72F2"/>
    <w:rsid w:val="00DE732C"/>
    <w:rsid w:val="00DE73AC"/>
    <w:rsid w:val="00DE73C1"/>
    <w:rsid w:val="00DE73CB"/>
    <w:rsid w:val="00DE73DB"/>
    <w:rsid w:val="00DE73E6"/>
    <w:rsid w:val="00DE746D"/>
    <w:rsid w:val="00DE7498"/>
    <w:rsid w:val="00DE750B"/>
    <w:rsid w:val="00DE7577"/>
    <w:rsid w:val="00DE757B"/>
    <w:rsid w:val="00DE75FA"/>
    <w:rsid w:val="00DE763E"/>
    <w:rsid w:val="00DE76D8"/>
    <w:rsid w:val="00DE772E"/>
    <w:rsid w:val="00DE774F"/>
    <w:rsid w:val="00DE775F"/>
    <w:rsid w:val="00DE785C"/>
    <w:rsid w:val="00DE7861"/>
    <w:rsid w:val="00DE7864"/>
    <w:rsid w:val="00DE7878"/>
    <w:rsid w:val="00DE78A1"/>
    <w:rsid w:val="00DE78BE"/>
    <w:rsid w:val="00DE7907"/>
    <w:rsid w:val="00DE7B21"/>
    <w:rsid w:val="00DE7B3B"/>
    <w:rsid w:val="00DE7BF3"/>
    <w:rsid w:val="00DE7C6D"/>
    <w:rsid w:val="00DE7C9C"/>
    <w:rsid w:val="00DE7CD4"/>
    <w:rsid w:val="00DE7D0B"/>
    <w:rsid w:val="00DE7D77"/>
    <w:rsid w:val="00DE7D8D"/>
    <w:rsid w:val="00DE7E15"/>
    <w:rsid w:val="00DE7E80"/>
    <w:rsid w:val="00DE7E8C"/>
    <w:rsid w:val="00DE7EB6"/>
    <w:rsid w:val="00DE7EC8"/>
    <w:rsid w:val="00DE7EDF"/>
    <w:rsid w:val="00DE7F4E"/>
    <w:rsid w:val="00DE7F60"/>
    <w:rsid w:val="00DF010F"/>
    <w:rsid w:val="00DF038B"/>
    <w:rsid w:val="00DF03B8"/>
    <w:rsid w:val="00DF03E3"/>
    <w:rsid w:val="00DF0449"/>
    <w:rsid w:val="00DF0462"/>
    <w:rsid w:val="00DF04B1"/>
    <w:rsid w:val="00DF0540"/>
    <w:rsid w:val="00DF059E"/>
    <w:rsid w:val="00DF0624"/>
    <w:rsid w:val="00DF068B"/>
    <w:rsid w:val="00DF06E3"/>
    <w:rsid w:val="00DF0721"/>
    <w:rsid w:val="00DF0722"/>
    <w:rsid w:val="00DF07ED"/>
    <w:rsid w:val="00DF080C"/>
    <w:rsid w:val="00DF0929"/>
    <w:rsid w:val="00DF0961"/>
    <w:rsid w:val="00DF09B5"/>
    <w:rsid w:val="00DF0A70"/>
    <w:rsid w:val="00DF0AAB"/>
    <w:rsid w:val="00DF0AD7"/>
    <w:rsid w:val="00DF0B09"/>
    <w:rsid w:val="00DF0BEA"/>
    <w:rsid w:val="00DF0C22"/>
    <w:rsid w:val="00DF0C58"/>
    <w:rsid w:val="00DF0E50"/>
    <w:rsid w:val="00DF0ED3"/>
    <w:rsid w:val="00DF0F2A"/>
    <w:rsid w:val="00DF0FE5"/>
    <w:rsid w:val="00DF103E"/>
    <w:rsid w:val="00DF1050"/>
    <w:rsid w:val="00DF1054"/>
    <w:rsid w:val="00DF106C"/>
    <w:rsid w:val="00DF11D3"/>
    <w:rsid w:val="00DF123D"/>
    <w:rsid w:val="00DF12AE"/>
    <w:rsid w:val="00DF12BA"/>
    <w:rsid w:val="00DF12BB"/>
    <w:rsid w:val="00DF12D7"/>
    <w:rsid w:val="00DF1318"/>
    <w:rsid w:val="00DF131C"/>
    <w:rsid w:val="00DF1325"/>
    <w:rsid w:val="00DF1327"/>
    <w:rsid w:val="00DF13B7"/>
    <w:rsid w:val="00DF1420"/>
    <w:rsid w:val="00DF1441"/>
    <w:rsid w:val="00DF145C"/>
    <w:rsid w:val="00DF145E"/>
    <w:rsid w:val="00DF1484"/>
    <w:rsid w:val="00DF14A0"/>
    <w:rsid w:val="00DF14CE"/>
    <w:rsid w:val="00DF1526"/>
    <w:rsid w:val="00DF1556"/>
    <w:rsid w:val="00DF1729"/>
    <w:rsid w:val="00DF17B5"/>
    <w:rsid w:val="00DF17BD"/>
    <w:rsid w:val="00DF17C9"/>
    <w:rsid w:val="00DF1859"/>
    <w:rsid w:val="00DF18A0"/>
    <w:rsid w:val="00DF18BC"/>
    <w:rsid w:val="00DF18E9"/>
    <w:rsid w:val="00DF1962"/>
    <w:rsid w:val="00DF1967"/>
    <w:rsid w:val="00DF19DD"/>
    <w:rsid w:val="00DF19E5"/>
    <w:rsid w:val="00DF1A1D"/>
    <w:rsid w:val="00DF1A39"/>
    <w:rsid w:val="00DF1A3F"/>
    <w:rsid w:val="00DF1A65"/>
    <w:rsid w:val="00DF1A93"/>
    <w:rsid w:val="00DF1ACE"/>
    <w:rsid w:val="00DF1B08"/>
    <w:rsid w:val="00DF1B63"/>
    <w:rsid w:val="00DF1B67"/>
    <w:rsid w:val="00DF1B7A"/>
    <w:rsid w:val="00DF1BBC"/>
    <w:rsid w:val="00DF1BC7"/>
    <w:rsid w:val="00DF1D09"/>
    <w:rsid w:val="00DF1D35"/>
    <w:rsid w:val="00DF1D8A"/>
    <w:rsid w:val="00DF1F80"/>
    <w:rsid w:val="00DF1FBD"/>
    <w:rsid w:val="00DF2000"/>
    <w:rsid w:val="00DF2008"/>
    <w:rsid w:val="00DF200D"/>
    <w:rsid w:val="00DF2016"/>
    <w:rsid w:val="00DF2027"/>
    <w:rsid w:val="00DF2112"/>
    <w:rsid w:val="00DF2141"/>
    <w:rsid w:val="00DF218E"/>
    <w:rsid w:val="00DF21AF"/>
    <w:rsid w:val="00DF2266"/>
    <w:rsid w:val="00DF2299"/>
    <w:rsid w:val="00DF2307"/>
    <w:rsid w:val="00DF23B2"/>
    <w:rsid w:val="00DF23F5"/>
    <w:rsid w:val="00DF2428"/>
    <w:rsid w:val="00DF2433"/>
    <w:rsid w:val="00DF2512"/>
    <w:rsid w:val="00DF257D"/>
    <w:rsid w:val="00DF258B"/>
    <w:rsid w:val="00DF2640"/>
    <w:rsid w:val="00DF26C5"/>
    <w:rsid w:val="00DF26CB"/>
    <w:rsid w:val="00DF270D"/>
    <w:rsid w:val="00DF278A"/>
    <w:rsid w:val="00DF2793"/>
    <w:rsid w:val="00DF27B7"/>
    <w:rsid w:val="00DF2800"/>
    <w:rsid w:val="00DF287C"/>
    <w:rsid w:val="00DF28B6"/>
    <w:rsid w:val="00DF28D7"/>
    <w:rsid w:val="00DF294F"/>
    <w:rsid w:val="00DF29FB"/>
    <w:rsid w:val="00DF2A60"/>
    <w:rsid w:val="00DF2A78"/>
    <w:rsid w:val="00DF2A83"/>
    <w:rsid w:val="00DF2AAA"/>
    <w:rsid w:val="00DF2AC4"/>
    <w:rsid w:val="00DF2AE9"/>
    <w:rsid w:val="00DF2BB2"/>
    <w:rsid w:val="00DF2C5E"/>
    <w:rsid w:val="00DF2C63"/>
    <w:rsid w:val="00DF2CA7"/>
    <w:rsid w:val="00DF2CDE"/>
    <w:rsid w:val="00DF2D74"/>
    <w:rsid w:val="00DF2DBB"/>
    <w:rsid w:val="00DF2DF9"/>
    <w:rsid w:val="00DF2E35"/>
    <w:rsid w:val="00DF2E81"/>
    <w:rsid w:val="00DF2EA3"/>
    <w:rsid w:val="00DF2F2B"/>
    <w:rsid w:val="00DF2F61"/>
    <w:rsid w:val="00DF3001"/>
    <w:rsid w:val="00DF3036"/>
    <w:rsid w:val="00DF3092"/>
    <w:rsid w:val="00DF30E9"/>
    <w:rsid w:val="00DF3108"/>
    <w:rsid w:val="00DF3148"/>
    <w:rsid w:val="00DF31BA"/>
    <w:rsid w:val="00DF320E"/>
    <w:rsid w:val="00DF3259"/>
    <w:rsid w:val="00DF32BC"/>
    <w:rsid w:val="00DF33AB"/>
    <w:rsid w:val="00DF3488"/>
    <w:rsid w:val="00DF34AC"/>
    <w:rsid w:val="00DF3507"/>
    <w:rsid w:val="00DF355C"/>
    <w:rsid w:val="00DF35EB"/>
    <w:rsid w:val="00DF3603"/>
    <w:rsid w:val="00DF364E"/>
    <w:rsid w:val="00DF3683"/>
    <w:rsid w:val="00DF3696"/>
    <w:rsid w:val="00DF36D4"/>
    <w:rsid w:val="00DF36EB"/>
    <w:rsid w:val="00DF37D5"/>
    <w:rsid w:val="00DF37DE"/>
    <w:rsid w:val="00DF3825"/>
    <w:rsid w:val="00DF383F"/>
    <w:rsid w:val="00DF3852"/>
    <w:rsid w:val="00DF38A2"/>
    <w:rsid w:val="00DF38A5"/>
    <w:rsid w:val="00DF38C8"/>
    <w:rsid w:val="00DF3A6E"/>
    <w:rsid w:val="00DF3A6F"/>
    <w:rsid w:val="00DF3AFA"/>
    <w:rsid w:val="00DF3B30"/>
    <w:rsid w:val="00DF3B31"/>
    <w:rsid w:val="00DF3B4C"/>
    <w:rsid w:val="00DF3B9C"/>
    <w:rsid w:val="00DF3BAB"/>
    <w:rsid w:val="00DF3BE5"/>
    <w:rsid w:val="00DF3C32"/>
    <w:rsid w:val="00DF3C5A"/>
    <w:rsid w:val="00DF3CE9"/>
    <w:rsid w:val="00DF3D11"/>
    <w:rsid w:val="00DF3DB1"/>
    <w:rsid w:val="00DF3DD1"/>
    <w:rsid w:val="00DF3EA1"/>
    <w:rsid w:val="00DF3EA9"/>
    <w:rsid w:val="00DF3F17"/>
    <w:rsid w:val="00DF401E"/>
    <w:rsid w:val="00DF4049"/>
    <w:rsid w:val="00DF40BF"/>
    <w:rsid w:val="00DF40D9"/>
    <w:rsid w:val="00DF40E9"/>
    <w:rsid w:val="00DF4101"/>
    <w:rsid w:val="00DF4207"/>
    <w:rsid w:val="00DF4212"/>
    <w:rsid w:val="00DF42AF"/>
    <w:rsid w:val="00DF42E1"/>
    <w:rsid w:val="00DF4349"/>
    <w:rsid w:val="00DF43B3"/>
    <w:rsid w:val="00DF44FA"/>
    <w:rsid w:val="00DF4500"/>
    <w:rsid w:val="00DF4599"/>
    <w:rsid w:val="00DF45FA"/>
    <w:rsid w:val="00DF468C"/>
    <w:rsid w:val="00DF477B"/>
    <w:rsid w:val="00DF4803"/>
    <w:rsid w:val="00DF4804"/>
    <w:rsid w:val="00DF485D"/>
    <w:rsid w:val="00DF48B1"/>
    <w:rsid w:val="00DF48EC"/>
    <w:rsid w:val="00DF492C"/>
    <w:rsid w:val="00DF4A7D"/>
    <w:rsid w:val="00DF4B20"/>
    <w:rsid w:val="00DF4B4B"/>
    <w:rsid w:val="00DF4C74"/>
    <w:rsid w:val="00DF4CD7"/>
    <w:rsid w:val="00DF4D88"/>
    <w:rsid w:val="00DF4E43"/>
    <w:rsid w:val="00DF4E4E"/>
    <w:rsid w:val="00DF4E54"/>
    <w:rsid w:val="00DF4E97"/>
    <w:rsid w:val="00DF4E9C"/>
    <w:rsid w:val="00DF4F73"/>
    <w:rsid w:val="00DF4FF6"/>
    <w:rsid w:val="00DF503E"/>
    <w:rsid w:val="00DF5129"/>
    <w:rsid w:val="00DF517E"/>
    <w:rsid w:val="00DF5195"/>
    <w:rsid w:val="00DF51DD"/>
    <w:rsid w:val="00DF527E"/>
    <w:rsid w:val="00DF52CE"/>
    <w:rsid w:val="00DF53ED"/>
    <w:rsid w:val="00DF53FD"/>
    <w:rsid w:val="00DF5404"/>
    <w:rsid w:val="00DF5428"/>
    <w:rsid w:val="00DF5451"/>
    <w:rsid w:val="00DF54E8"/>
    <w:rsid w:val="00DF5504"/>
    <w:rsid w:val="00DF5546"/>
    <w:rsid w:val="00DF55A7"/>
    <w:rsid w:val="00DF566F"/>
    <w:rsid w:val="00DF56C2"/>
    <w:rsid w:val="00DF5710"/>
    <w:rsid w:val="00DF5873"/>
    <w:rsid w:val="00DF5879"/>
    <w:rsid w:val="00DF5898"/>
    <w:rsid w:val="00DF58BF"/>
    <w:rsid w:val="00DF58EE"/>
    <w:rsid w:val="00DF5962"/>
    <w:rsid w:val="00DF5985"/>
    <w:rsid w:val="00DF5988"/>
    <w:rsid w:val="00DF59D3"/>
    <w:rsid w:val="00DF59E0"/>
    <w:rsid w:val="00DF5A1F"/>
    <w:rsid w:val="00DF5A22"/>
    <w:rsid w:val="00DF5B18"/>
    <w:rsid w:val="00DF5B2E"/>
    <w:rsid w:val="00DF5B46"/>
    <w:rsid w:val="00DF5B96"/>
    <w:rsid w:val="00DF5B98"/>
    <w:rsid w:val="00DF5C38"/>
    <w:rsid w:val="00DF5CC8"/>
    <w:rsid w:val="00DF5CF0"/>
    <w:rsid w:val="00DF5D74"/>
    <w:rsid w:val="00DF5DD6"/>
    <w:rsid w:val="00DF5E21"/>
    <w:rsid w:val="00DF5E6F"/>
    <w:rsid w:val="00DF5E7D"/>
    <w:rsid w:val="00DF5E80"/>
    <w:rsid w:val="00DF5E88"/>
    <w:rsid w:val="00DF5E96"/>
    <w:rsid w:val="00DF5F34"/>
    <w:rsid w:val="00DF5FA9"/>
    <w:rsid w:val="00DF5FE3"/>
    <w:rsid w:val="00DF6043"/>
    <w:rsid w:val="00DF6048"/>
    <w:rsid w:val="00DF60C0"/>
    <w:rsid w:val="00DF6105"/>
    <w:rsid w:val="00DF6166"/>
    <w:rsid w:val="00DF61D3"/>
    <w:rsid w:val="00DF6202"/>
    <w:rsid w:val="00DF63B0"/>
    <w:rsid w:val="00DF63C9"/>
    <w:rsid w:val="00DF6412"/>
    <w:rsid w:val="00DF641C"/>
    <w:rsid w:val="00DF645A"/>
    <w:rsid w:val="00DF645F"/>
    <w:rsid w:val="00DF652B"/>
    <w:rsid w:val="00DF6534"/>
    <w:rsid w:val="00DF654A"/>
    <w:rsid w:val="00DF65AB"/>
    <w:rsid w:val="00DF6685"/>
    <w:rsid w:val="00DF668A"/>
    <w:rsid w:val="00DF6701"/>
    <w:rsid w:val="00DF6724"/>
    <w:rsid w:val="00DF6730"/>
    <w:rsid w:val="00DF6750"/>
    <w:rsid w:val="00DF6776"/>
    <w:rsid w:val="00DF6782"/>
    <w:rsid w:val="00DF67CF"/>
    <w:rsid w:val="00DF6804"/>
    <w:rsid w:val="00DF6840"/>
    <w:rsid w:val="00DF68A9"/>
    <w:rsid w:val="00DF691D"/>
    <w:rsid w:val="00DF695E"/>
    <w:rsid w:val="00DF6988"/>
    <w:rsid w:val="00DF6A18"/>
    <w:rsid w:val="00DF6A27"/>
    <w:rsid w:val="00DF6AA1"/>
    <w:rsid w:val="00DF6B28"/>
    <w:rsid w:val="00DF6B2F"/>
    <w:rsid w:val="00DF6B34"/>
    <w:rsid w:val="00DF6B5E"/>
    <w:rsid w:val="00DF6BC3"/>
    <w:rsid w:val="00DF6BF5"/>
    <w:rsid w:val="00DF6C08"/>
    <w:rsid w:val="00DF6C60"/>
    <w:rsid w:val="00DF6C61"/>
    <w:rsid w:val="00DF6CE5"/>
    <w:rsid w:val="00DF6D3C"/>
    <w:rsid w:val="00DF6D4E"/>
    <w:rsid w:val="00DF6E44"/>
    <w:rsid w:val="00DF6EB2"/>
    <w:rsid w:val="00DF6EE2"/>
    <w:rsid w:val="00DF6F68"/>
    <w:rsid w:val="00DF7057"/>
    <w:rsid w:val="00DF71DF"/>
    <w:rsid w:val="00DF71FB"/>
    <w:rsid w:val="00DF729E"/>
    <w:rsid w:val="00DF733C"/>
    <w:rsid w:val="00DF734D"/>
    <w:rsid w:val="00DF7356"/>
    <w:rsid w:val="00DF7369"/>
    <w:rsid w:val="00DF73CC"/>
    <w:rsid w:val="00DF73E1"/>
    <w:rsid w:val="00DF7472"/>
    <w:rsid w:val="00DF74F8"/>
    <w:rsid w:val="00DF7513"/>
    <w:rsid w:val="00DF753B"/>
    <w:rsid w:val="00DF758A"/>
    <w:rsid w:val="00DF75B5"/>
    <w:rsid w:val="00DF75BB"/>
    <w:rsid w:val="00DF7637"/>
    <w:rsid w:val="00DF765C"/>
    <w:rsid w:val="00DF76C1"/>
    <w:rsid w:val="00DF76C4"/>
    <w:rsid w:val="00DF76DE"/>
    <w:rsid w:val="00DF76E1"/>
    <w:rsid w:val="00DF771B"/>
    <w:rsid w:val="00DF7735"/>
    <w:rsid w:val="00DF777B"/>
    <w:rsid w:val="00DF77D5"/>
    <w:rsid w:val="00DF7865"/>
    <w:rsid w:val="00DF789E"/>
    <w:rsid w:val="00DF78A6"/>
    <w:rsid w:val="00DF78B7"/>
    <w:rsid w:val="00DF792C"/>
    <w:rsid w:val="00DF79C0"/>
    <w:rsid w:val="00DF79E5"/>
    <w:rsid w:val="00DF7A64"/>
    <w:rsid w:val="00DF7B44"/>
    <w:rsid w:val="00DF7B54"/>
    <w:rsid w:val="00DF7D13"/>
    <w:rsid w:val="00DF7D6C"/>
    <w:rsid w:val="00DF7DEF"/>
    <w:rsid w:val="00DF7E2D"/>
    <w:rsid w:val="00DF7E50"/>
    <w:rsid w:val="00DF7EE6"/>
    <w:rsid w:val="00DF7FCD"/>
    <w:rsid w:val="00E000C4"/>
    <w:rsid w:val="00E000F5"/>
    <w:rsid w:val="00E0015A"/>
    <w:rsid w:val="00E001A5"/>
    <w:rsid w:val="00E001D5"/>
    <w:rsid w:val="00E0021A"/>
    <w:rsid w:val="00E00227"/>
    <w:rsid w:val="00E00237"/>
    <w:rsid w:val="00E00255"/>
    <w:rsid w:val="00E0026D"/>
    <w:rsid w:val="00E002F2"/>
    <w:rsid w:val="00E0040E"/>
    <w:rsid w:val="00E00412"/>
    <w:rsid w:val="00E00488"/>
    <w:rsid w:val="00E004C8"/>
    <w:rsid w:val="00E0052D"/>
    <w:rsid w:val="00E0053A"/>
    <w:rsid w:val="00E0060C"/>
    <w:rsid w:val="00E00633"/>
    <w:rsid w:val="00E0064F"/>
    <w:rsid w:val="00E007A8"/>
    <w:rsid w:val="00E00814"/>
    <w:rsid w:val="00E00819"/>
    <w:rsid w:val="00E00833"/>
    <w:rsid w:val="00E00881"/>
    <w:rsid w:val="00E008EB"/>
    <w:rsid w:val="00E00916"/>
    <w:rsid w:val="00E009E3"/>
    <w:rsid w:val="00E00A17"/>
    <w:rsid w:val="00E00A6D"/>
    <w:rsid w:val="00E00AA4"/>
    <w:rsid w:val="00E00AA9"/>
    <w:rsid w:val="00E00AC6"/>
    <w:rsid w:val="00E00B13"/>
    <w:rsid w:val="00E00B52"/>
    <w:rsid w:val="00E00BF3"/>
    <w:rsid w:val="00E00BFD"/>
    <w:rsid w:val="00E00C26"/>
    <w:rsid w:val="00E00C7E"/>
    <w:rsid w:val="00E00CA8"/>
    <w:rsid w:val="00E00CDC"/>
    <w:rsid w:val="00E00D55"/>
    <w:rsid w:val="00E00D95"/>
    <w:rsid w:val="00E00DF9"/>
    <w:rsid w:val="00E00E0B"/>
    <w:rsid w:val="00E00E7D"/>
    <w:rsid w:val="00E00E85"/>
    <w:rsid w:val="00E00EA2"/>
    <w:rsid w:val="00E00ED8"/>
    <w:rsid w:val="00E00FF2"/>
    <w:rsid w:val="00E01083"/>
    <w:rsid w:val="00E01089"/>
    <w:rsid w:val="00E01090"/>
    <w:rsid w:val="00E010D0"/>
    <w:rsid w:val="00E0110C"/>
    <w:rsid w:val="00E01256"/>
    <w:rsid w:val="00E012EF"/>
    <w:rsid w:val="00E01300"/>
    <w:rsid w:val="00E01315"/>
    <w:rsid w:val="00E01416"/>
    <w:rsid w:val="00E0143A"/>
    <w:rsid w:val="00E01479"/>
    <w:rsid w:val="00E0147E"/>
    <w:rsid w:val="00E01696"/>
    <w:rsid w:val="00E016BC"/>
    <w:rsid w:val="00E01769"/>
    <w:rsid w:val="00E01777"/>
    <w:rsid w:val="00E017B4"/>
    <w:rsid w:val="00E017E1"/>
    <w:rsid w:val="00E017EA"/>
    <w:rsid w:val="00E0184E"/>
    <w:rsid w:val="00E018BC"/>
    <w:rsid w:val="00E018FB"/>
    <w:rsid w:val="00E01A04"/>
    <w:rsid w:val="00E01AB8"/>
    <w:rsid w:val="00E01B1B"/>
    <w:rsid w:val="00E01B37"/>
    <w:rsid w:val="00E01BD6"/>
    <w:rsid w:val="00E01C3F"/>
    <w:rsid w:val="00E01CAC"/>
    <w:rsid w:val="00E01D39"/>
    <w:rsid w:val="00E01DCA"/>
    <w:rsid w:val="00E01E29"/>
    <w:rsid w:val="00E01E80"/>
    <w:rsid w:val="00E01ED4"/>
    <w:rsid w:val="00E01EF6"/>
    <w:rsid w:val="00E01F03"/>
    <w:rsid w:val="00E01F91"/>
    <w:rsid w:val="00E01FE4"/>
    <w:rsid w:val="00E01FFA"/>
    <w:rsid w:val="00E02080"/>
    <w:rsid w:val="00E020E9"/>
    <w:rsid w:val="00E02164"/>
    <w:rsid w:val="00E02192"/>
    <w:rsid w:val="00E021BB"/>
    <w:rsid w:val="00E021CF"/>
    <w:rsid w:val="00E021DA"/>
    <w:rsid w:val="00E02250"/>
    <w:rsid w:val="00E02256"/>
    <w:rsid w:val="00E0227A"/>
    <w:rsid w:val="00E022BC"/>
    <w:rsid w:val="00E02319"/>
    <w:rsid w:val="00E02377"/>
    <w:rsid w:val="00E02387"/>
    <w:rsid w:val="00E0239F"/>
    <w:rsid w:val="00E02448"/>
    <w:rsid w:val="00E02464"/>
    <w:rsid w:val="00E025C7"/>
    <w:rsid w:val="00E02644"/>
    <w:rsid w:val="00E02649"/>
    <w:rsid w:val="00E02728"/>
    <w:rsid w:val="00E027AF"/>
    <w:rsid w:val="00E02823"/>
    <w:rsid w:val="00E02825"/>
    <w:rsid w:val="00E02898"/>
    <w:rsid w:val="00E029F4"/>
    <w:rsid w:val="00E029F8"/>
    <w:rsid w:val="00E02A5A"/>
    <w:rsid w:val="00E02A93"/>
    <w:rsid w:val="00E02AA2"/>
    <w:rsid w:val="00E02B6D"/>
    <w:rsid w:val="00E02CD9"/>
    <w:rsid w:val="00E02CDD"/>
    <w:rsid w:val="00E02CDF"/>
    <w:rsid w:val="00E02E0B"/>
    <w:rsid w:val="00E02E67"/>
    <w:rsid w:val="00E02E86"/>
    <w:rsid w:val="00E02E93"/>
    <w:rsid w:val="00E02EB9"/>
    <w:rsid w:val="00E03054"/>
    <w:rsid w:val="00E03091"/>
    <w:rsid w:val="00E030B2"/>
    <w:rsid w:val="00E03117"/>
    <w:rsid w:val="00E0312B"/>
    <w:rsid w:val="00E03200"/>
    <w:rsid w:val="00E03222"/>
    <w:rsid w:val="00E0327E"/>
    <w:rsid w:val="00E032A4"/>
    <w:rsid w:val="00E032D7"/>
    <w:rsid w:val="00E032F1"/>
    <w:rsid w:val="00E03347"/>
    <w:rsid w:val="00E03406"/>
    <w:rsid w:val="00E0341C"/>
    <w:rsid w:val="00E03482"/>
    <w:rsid w:val="00E034E5"/>
    <w:rsid w:val="00E03636"/>
    <w:rsid w:val="00E03645"/>
    <w:rsid w:val="00E03648"/>
    <w:rsid w:val="00E036A7"/>
    <w:rsid w:val="00E0371A"/>
    <w:rsid w:val="00E03801"/>
    <w:rsid w:val="00E03831"/>
    <w:rsid w:val="00E03878"/>
    <w:rsid w:val="00E038EF"/>
    <w:rsid w:val="00E03947"/>
    <w:rsid w:val="00E039A6"/>
    <w:rsid w:val="00E03A01"/>
    <w:rsid w:val="00E03A49"/>
    <w:rsid w:val="00E03AAC"/>
    <w:rsid w:val="00E03ADA"/>
    <w:rsid w:val="00E03B45"/>
    <w:rsid w:val="00E03BFF"/>
    <w:rsid w:val="00E03C74"/>
    <w:rsid w:val="00E03CBB"/>
    <w:rsid w:val="00E03CF1"/>
    <w:rsid w:val="00E03D4D"/>
    <w:rsid w:val="00E03DBB"/>
    <w:rsid w:val="00E03E87"/>
    <w:rsid w:val="00E03E9F"/>
    <w:rsid w:val="00E03F11"/>
    <w:rsid w:val="00E03F1D"/>
    <w:rsid w:val="00E04088"/>
    <w:rsid w:val="00E042AB"/>
    <w:rsid w:val="00E042CF"/>
    <w:rsid w:val="00E043B0"/>
    <w:rsid w:val="00E04452"/>
    <w:rsid w:val="00E04458"/>
    <w:rsid w:val="00E04505"/>
    <w:rsid w:val="00E04553"/>
    <w:rsid w:val="00E04557"/>
    <w:rsid w:val="00E0456D"/>
    <w:rsid w:val="00E045C2"/>
    <w:rsid w:val="00E04607"/>
    <w:rsid w:val="00E04688"/>
    <w:rsid w:val="00E046AF"/>
    <w:rsid w:val="00E0472A"/>
    <w:rsid w:val="00E04739"/>
    <w:rsid w:val="00E04758"/>
    <w:rsid w:val="00E047BC"/>
    <w:rsid w:val="00E047C4"/>
    <w:rsid w:val="00E04970"/>
    <w:rsid w:val="00E049E0"/>
    <w:rsid w:val="00E04AAB"/>
    <w:rsid w:val="00E04AF7"/>
    <w:rsid w:val="00E04B6B"/>
    <w:rsid w:val="00E04CA6"/>
    <w:rsid w:val="00E04CC2"/>
    <w:rsid w:val="00E04D03"/>
    <w:rsid w:val="00E04D3F"/>
    <w:rsid w:val="00E04D7D"/>
    <w:rsid w:val="00E04D94"/>
    <w:rsid w:val="00E04E20"/>
    <w:rsid w:val="00E04ED4"/>
    <w:rsid w:val="00E04EEE"/>
    <w:rsid w:val="00E04F33"/>
    <w:rsid w:val="00E04F5D"/>
    <w:rsid w:val="00E0500A"/>
    <w:rsid w:val="00E0509E"/>
    <w:rsid w:val="00E050C5"/>
    <w:rsid w:val="00E051BC"/>
    <w:rsid w:val="00E05289"/>
    <w:rsid w:val="00E0531C"/>
    <w:rsid w:val="00E05372"/>
    <w:rsid w:val="00E05395"/>
    <w:rsid w:val="00E05413"/>
    <w:rsid w:val="00E0545D"/>
    <w:rsid w:val="00E05489"/>
    <w:rsid w:val="00E054D8"/>
    <w:rsid w:val="00E0551B"/>
    <w:rsid w:val="00E05526"/>
    <w:rsid w:val="00E0553B"/>
    <w:rsid w:val="00E0556E"/>
    <w:rsid w:val="00E055B7"/>
    <w:rsid w:val="00E05672"/>
    <w:rsid w:val="00E05691"/>
    <w:rsid w:val="00E05813"/>
    <w:rsid w:val="00E0587D"/>
    <w:rsid w:val="00E058B0"/>
    <w:rsid w:val="00E058B5"/>
    <w:rsid w:val="00E058CA"/>
    <w:rsid w:val="00E058CF"/>
    <w:rsid w:val="00E05937"/>
    <w:rsid w:val="00E05985"/>
    <w:rsid w:val="00E059D3"/>
    <w:rsid w:val="00E05A18"/>
    <w:rsid w:val="00E05B73"/>
    <w:rsid w:val="00E05BD3"/>
    <w:rsid w:val="00E05C1E"/>
    <w:rsid w:val="00E05C53"/>
    <w:rsid w:val="00E05C61"/>
    <w:rsid w:val="00E05C7E"/>
    <w:rsid w:val="00E05CDA"/>
    <w:rsid w:val="00E05D1C"/>
    <w:rsid w:val="00E05D88"/>
    <w:rsid w:val="00E05DCD"/>
    <w:rsid w:val="00E05E2D"/>
    <w:rsid w:val="00E05E38"/>
    <w:rsid w:val="00E05E4C"/>
    <w:rsid w:val="00E05E54"/>
    <w:rsid w:val="00E05E6F"/>
    <w:rsid w:val="00E05E87"/>
    <w:rsid w:val="00E05F65"/>
    <w:rsid w:val="00E0601B"/>
    <w:rsid w:val="00E06023"/>
    <w:rsid w:val="00E060C7"/>
    <w:rsid w:val="00E06125"/>
    <w:rsid w:val="00E0612A"/>
    <w:rsid w:val="00E06148"/>
    <w:rsid w:val="00E06182"/>
    <w:rsid w:val="00E06197"/>
    <w:rsid w:val="00E061FA"/>
    <w:rsid w:val="00E06239"/>
    <w:rsid w:val="00E0625F"/>
    <w:rsid w:val="00E0628B"/>
    <w:rsid w:val="00E06307"/>
    <w:rsid w:val="00E0633D"/>
    <w:rsid w:val="00E063F3"/>
    <w:rsid w:val="00E0641E"/>
    <w:rsid w:val="00E06471"/>
    <w:rsid w:val="00E064A3"/>
    <w:rsid w:val="00E0650B"/>
    <w:rsid w:val="00E06541"/>
    <w:rsid w:val="00E06570"/>
    <w:rsid w:val="00E06616"/>
    <w:rsid w:val="00E0664C"/>
    <w:rsid w:val="00E066CB"/>
    <w:rsid w:val="00E066CD"/>
    <w:rsid w:val="00E066DE"/>
    <w:rsid w:val="00E06710"/>
    <w:rsid w:val="00E067F5"/>
    <w:rsid w:val="00E067FD"/>
    <w:rsid w:val="00E06833"/>
    <w:rsid w:val="00E06842"/>
    <w:rsid w:val="00E0688C"/>
    <w:rsid w:val="00E0694C"/>
    <w:rsid w:val="00E06969"/>
    <w:rsid w:val="00E069D4"/>
    <w:rsid w:val="00E06A66"/>
    <w:rsid w:val="00E06A88"/>
    <w:rsid w:val="00E06B58"/>
    <w:rsid w:val="00E06BC0"/>
    <w:rsid w:val="00E06BF7"/>
    <w:rsid w:val="00E06C54"/>
    <w:rsid w:val="00E06CFE"/>
    <w:rsid w:val="00E06D74"/>
    <w:rsid w:val="00E06DE3"/>
    <w:rsid w:val="00E06E0A"/>
    <w:rsid w:val="00E06E17"/>
    <w:rsid w:val="00E06E7D"/>
    <w:rsid w:val="00E06EEF"/>
    <w:rsid w:val="00E06F43"/>
    <w:rsid w:val="00E06F46"/>
    <w:rsid w:val="00E06F53"/>
    <w:rsid w:val="00E07078"/>
    <w:rsid w:val="00E070D4"/>
    <w:rsid w:val="00E07102"/>
    <w:rsid w:val="00E071B2"/>
    <w:rsid w:val="00E07229"/>
    <w:rsid w:val="00E07243"/>
    <w:rsid w:val="00E07263"/>
    <w:rsid w:val="00E072AB"/>
    <w:rsid w:val="00E072EC"/>
    <w:rsid w:val="00E07374"/>
    <w:rsid w:val="00E0740A"/>
    <w:rsid w:val="00E075AD"/>
    <w:rsid w:val="00E075E7"/>
    <w:rsid w:val="00E076FC"/>
    <w:rsid w:val="00E0777E"/>
    <w:rsid w:val="00E0786E"/>
    <w:rsid w:val="00E078BC"/>
    <w:rsid w:val="00E0792F"/>
    <w:rsid w:val="00E079AA"/>
    <w:rsid w:val="00E079B7"/>
    <w:rsid w:val="00E07A0D"/>
    <w:rsid w:val="00E07A5A"/>
    <w:rsid w:val="00E07A67"/>
    <w:rsid w:val="00E07B1B"/>
    <w:rsid w:val="00E07B63"/>
    <w:rsid w:val="00E07B78"/>
    <w:rsid w:val="00E07D86"/>
    <w:rsid w:val="00E07DB3"/>
    <w:rsid w:val="00E07DE6"/>
    <w:rsid w:val="00E07E59"/>
    <w:rsid w:val="00E07EF2"/>
    <w:rsid w:val="00E07F17"/>
    <w:rsid w:val="00E07FAB"/>
    <w:rsid w:val="00E1006C"/>
    <w:rsid w:val="00E1008A"/>
    <w:rsid w:val="00E1008F"/>
    <w:rsid w:val="00E101E3"/>
    <w:rsid w:val="00E101EF"/>
    <w:rsid w:val="00E10231"/>
    <w:rsid w:val="00E1024A"/>
    <w:rsid w:val="00E10263"/>
    <w:rsid w:val="00E102EC"/>
    <w:rsid w:val="00E103BE"/>
    <w:rsid w:val="00E103D7"/>
    <w:rsid w:val="00E103F0"/>
    <w:rsid w:val="00E10455"/>
    <w:rsid w:val="00E1048C"/>
    <w:rsid w:val="00E10491"/>
    <w:rsid w:val="00E104B8"/>
    <w:rsid w:val="00E104EB"/>
    <w:rsid w:val="00E1052D"/>
    <w:rsid w:val="00E1055C"/>
    <w:rsid w:val="00E105EE"/>
    <w:rsid w:val="00E105EF"/>
    <w:rsid w:val="00E106F2"/>
    <w:rsid w:val="00E10948"/>
    <w:rsid w:val="00E10949"/>
    <w:rsid w:val="00E109F7"/>
    <w:rsid w:val="00E10A87"/>
    <w:rsid w:val="00E10A91"/>
    <w:rsid w:val="00E10AE3"/>
    <w:rsid w:val="00E10B45"/>
    <w:rsid w:val="00E10B95"/>
    <w:rsid w:val="00E10C07"/>
    <w:rsid w:val="00E10D12"/>
    <w:rsid w:val="00E10D21"/>
    <w:rsid w:val="00E10D23"/>
    <w:rsid w:val="00E10D3D"/>
    <w:rsid w:val="00E10DA0"/>
    <w:rsid w:val="00E10DAC"/>
    <w:rsid w:val="00E10DC4"/>
    <w:rsid w:val="00E10DE6"/>
    <w:rsid w:val="00E10DFA"/>
    <w:rsid w:val="00E10E2D"/>
    <w:rsid w:val="00E10EA5"/>
    <w:rsid w:val="00E10F14"/>
    <w:rsid w:val="00E10F4C"/>
    <w:rsid w:val="00E10FA0"/>
    <w:rsid w:val="00E11123"/>
    <w:rsid w:val="00E11128"/>
    <w:rsid w:val="00E111BF"/>
    <w:rsid w:val="00E11257"/>
    <w:rsid w:val="00E11273"/>
    <w:rsid w:val="00E11355"/>
    <w:rsid w:val="00E114B1"/>
    <w:rsid w:val="00E1156D"/>
    <w:rsid w:val="00E115A5"/>
    <w:rsid w:val="00E115E1"/>
    <w:rsid w:val="00E11690"/>
    <w:rsid w:val="00E116A4"/>
    <w:rsid w:val="00E116E4"/>
    <w:rsid w:val="00E116FB"/>
    <w:rsid w:val="00E1172F"/>
    <w:rsid w:val="00E1187D"/>
    <w:rsid w:val="00E118E5"/>
    <w:rsid w:val="00E11940"/>
    <w:rsid w:val="00E119A6"/>
    <w:rsid w:val="00E119C4"/>
    <w:rsid w:val="00E11A0F"/>
    <w:rsid w:val="00E11B85"/>
    <w:rsid w:val="00E11C19"/>
    <w:rsid w:val="00E11DA5"/>
    <w:rsid w:val="00E11DB8"/>
    <w:rsid w:val="00E11E09"/>
    <w:rsid w:val="00E11E5A"/>
    <w:rsid w:val="00E11ECD"/>
    <w:rsid w:val="00E11EE8"/>
    <w:rsid w:val="00E11F28"/>
    <w:rsid w:val="00E11F78"/>
    <w:rsid w:val="00E11F9D"/>
    <w:rsid w:val="00E11FC0"/>
    <w:rsid w:val="00E12005"/>
    <w:rsid w:val="00E1201B"/>
    <w:rsid w:val="00E12063"/>
    <w:rsid w:val="00E1209D"/>
    <w:rsid w:val="00E120B8"/>
    <w:rsid w:val="00E12138"/>
    <w:rsid w:val="00E1216B"/>
    <w:rsid w:val="00E1217C"/>
    <w:rsid w:val="00E12490"/>
    <w:rsid w:val="00E12492"/>
    <w:rsid w:val="00E125BB"/>
    <w:rsid w:val="00E125D2"/>
    <w:rsid w:val="00E12756"/>
    <w:rsid w:val="00E12759"/>
    <w:rsid w:val="00E127FA"/>
    <w:rsid w:val="00E128B7"/>
    <w:rsid w:val="00E128D0"/>
    <w:rsid w:val="00E128E1"/>
    <w:rsid w:val="00E1291B"/>
    <w:rsid w:val="00E1293D"/>
    <w:rsid w:val="00E129AC"/>
    <w:rsid w:val="00E129F3"/>
    <w:rsid w:val="00E12A34"/>
    <w:rsid w:val="00E12AE9"/>
    <w:rsid w:val="00E12B85"/>
    <w:rsid w:val="00E12BCB"/>
    <w:rsid w:val="00E12C86"/>
    <w:rsid w:val="00E12D0E"/>
    <w:rsid w:val="00E12D72"/>
    <w:rsid w:val="00E12D89"/>
    <w:rsid w:val="00E12D94"/>
    <w:rsid w:val="00E12DF9"/>
    <w:rsid w:val="00E12E66"/>
    <w:rsid w:val="00E12E67"/>
    <w:rsid w:val="00E12E70"/>
    <w:rsid w:val="00E12E73"/>
    <w:rsid w:val="00E12EE3"/>
    <w:rsid w:val="00E12EF8"/>
    <w:rsid w:val="00E130A1"/>
    <w:rsid w:val="00E13142"/>
    <w:rsid w:val="00E13159"/>
    <w:rsid w:val="00E131A3"/>
    <w:rsid w:val="00E131F1"/>
    <w:rsid w:val="00E131F6"/>
    <w:rsid w:val="00E13226"/>
    <w:rsid w:val="00E13231"/>
    <w:rsid w:val="00E1337D"/>
    <w:rsid w:val="00E13384"/>
    <w:rsid w:val="00E133E0"/>
    <w:rsid w:val="00E1348D"/>
    <w:rsid w:val="00E13550"/>
    <w:rsid w:val="00E135A7"/>
    <w:rsid w:val="00E13635"/>
    <w:rsid w:val="00E13693"/>
    <w:rsid w:val="00E13746"/>
    <w:rsid w:val="00E137FE"/>
    <w:rsid w:val="00E13825"/>
    <w:rsid w:val="00E138B0"/>
    <w:rsid w:val="00E13997"/>
    <w:rsid w:val="00E139B0"/>
    <w:rsid w:val="00E13A46"/>
    <w:rsid w:val="00E13B82"/>
    <w:rsid w:val="00E13BCE"/>
    <w:rsid w:val="00E13BE5"/>
    <w:rsid w:val="00E13BF9"/>
    <w:rsid w:val="00E13CC6"/>
    <w:rsid w:val="00E13CCD"/>
    <w:rsid w:val="00E13D43"/>
    <w:rsid w:val="00E13D70"/>
    <w:rsid w:val="00E13DEC"/>
    <w:rsid w:val="00E13E4E"/>
    <w:rsid w:val="00E13E57"/>
    <w:rsid w:val="00E13F8A"/>
    <w:rsid w:val="00E13FF2"/>
    <w:rsid w:val="00E1400C"/>
    <w:rsid w:val="00E1407D"/>
    <w:rsid w:val="00E14081"/>
    <w:rsid w:val="00E14085"/>
    <w:rsid w:val="00E14216"/>
    <w:rsid w:val="00E14273"/>
    <w:rsid w:val="00E1429C"/>
    <w:rsid w:val="00E142F2"/>
    <w:rsid w:val="00E14348"/>
    <w:rsid w:val="00E14360"/>
    <w:rsid w:val="00E143BA"/>
    <w:rsid w:val="00E1441D"/>
    <w:rsid w:val="00E1443F"/>
    <w:rsid w:val="00E14476"/>
    <w:rsid w:val="00E144DC"/>
    <w:rsid w:val="00E144FA"/>
    <w:rsid w:val="00E14552"/>
    <w:rsid w:val="00E145AB"/>
    <w:rsid w:val="00E145DA"/>
    <w:rsid w:val="00E14658"/>
    <w:rsid w:val="00E146DC"/>
    <w:rsid w:val="00E146F1"/>
    <w:rsid w:val="00E146F2"/>
    <w:rsid w:val="00E14780"/>
    <w:rsid w:val="00E14787"/>
    <w:rsid w:val="00E14802"/>
    <w:rsid w:val="00E1491D"/>
    <w:rsid w:val="00E14958"/>
    <w:rsid w:val="00E1498F"/>
    <w:rsid w:val="00E14ACE"/>
    <w:rsid w:val="00E14BA9"/>
    <w:rsid w:val="00E14BF3"/>
    <w:rsid w:val="00E14BF6"/>
    <w:rsid w:val="00E14C54"/>
    <w:rsid w:val="00E14D1F"/>
    <w:rsid w:val="00E14D6A"/>
    <w:rsid w:val="00E14D8C"/>
    <w:rsid w:val="00E14D93"/>
    <w:rsid w:val="00E14DD7"/>
    <w:rsid w:val="00E14E71"/>
    <w:rsid w:val="00E14EC1"/>
    <w:rsid w:val="00E14F60"/>
    <w:rsid w:val="00E1519B"/>
    <w:rsid w:val="00E1519E"/>
    <w:rsid w:val="00E151CB"/>
    <w:rsid w:val="00E152EE"/>
    <w:rsid w:val="00E15314"/>
    <w:rsid w:val="00E15335"/>
    <w:rsid w:val="00E15385"/>
    <w:rsid w:val="00E1539F"/>
    <w:rsid w:val="00E153A2"/>
    <w:rsid w:val="00E1547A"/>
    <w:rsid w:val="00E1547D"/>
    <w:rsid w:val="00E15506"/>
    <w:rsid w:val="00E15570"/>
    <w:rsid w:val="00E1557E"/>
    <w:rsid w:val="00E1560D"/>
    <w:rsid w:val="00E15648"/>
    <w:rsid w:val="00E15650"/>
    <w:rsid w:val="00E1565C"/>
    <w:rsid w:val="00E1569E"/>
    <w:rsid w:val="00E156DF"/>
    <w:rsid w:val="00E156F8"/>
    <w:rsid w:val="00E15789"/>
    <w:rsid w:val="00E157C7"/>
    <w:rsid w:val="00E158E5"/>
    <w:rsid w:val="00E159B5"/>
    <w:rsid w:val="00E159E4"/>
    <w:rsid w:val="00E159FC"/>
    <w:rsid w:val="00E15A54"/>
    <w:rsid w:val="00E15B22"/>
    <w:rsid w:val="00E15C82"/>
    <w:rsid w:val="00E15C9F"/>
    <w:rsid w:val="00E15D49"/>
    <w:rsid w:val="00E15D6B"/>
    <w:rsid w:val="00E15D90"/>
    <w:rsid w:val="00E15E19"/>
    <w:rsid w:val="00E15EB9"/>
    <w:rsid w:val="00E15F36"/>
    <w:rsid w:val="00E15F46"/>
    <w:rsid w:val="00E15FE4"/>
    <w:rsid w:val="00E15FFF"/>
    <w:rsid w:val="00E16005"/>
    <w:rsid w:val="00E16062"/>
    <w:rsid w:val="00E16262"/>
    <w:rsid w:val="00E1629B"/>
    <w:rsid w:val="00E1631D"/>
    <w:rsid w:val="00E1638C"/>
    <w:rsid w:val="00E163B9"/>
    <w:rsid w:val="00E163FE"/>
    <w:rsid w:val="00E16434"/>
    <w:rsid w:val="00E16459"/>
    <w:rsid w:val="00E16476"/>
    <w:rsid w:val="00E164C5"/>
    <w:rsid w:val="00E164E5"/>
    <w:rsid w:val="00E164F3"/>
    <w:rsid w:val="00E164F6"/>
    <w:rsid w:val="00E165D3"/>
    <w:rsid w:val="00E165EA"/>
    <w:rsid w:val="00E16693"/>
    <w:rsid w:val="00E1669F"/>
    <w:rsid w:val="00E166A4"/>
    <w:rsid w:val="00E16780"/>
    <w:rsid w:val="00E167A7"/>
    <w:rsid w:val="00E16839"/>
    <w:rsid w:val="00E1685F"/>
    <w:rsid w:val="00E168B3"/>
    <w:rsid w:val="00E168FA"/>
    <w:rsid w:val="00E16952"/>
    <w:rsid w:val="00E1698E"/>
    <w:rsid w:val="00E16A03"/>
    <w:rsid w:val="00E16ABE"/>
    <w:rsid w:val="00E16B3E"/>
    <w:rsid w:val="00E16C7A"/>
    <w:rsid w:val="00E16CCC"/>
    <w:rsid w:val="00E16DAA"/>
    <w:rsid w:val="00E16DB6"/>
    <w:rsid w:val="00E16E14"/>
    <w:rsid w:val="00E16E6D"/>
    <w:rsid w:val="00E16EAA"/>
    <w:rsid w:val="00E16EB1"/>
    <w:rsid w:val="00E16F37"/>
    <w:rsid w:val="00E16F4B"/>
    <w:rsid w:val="00E16F4E"/>
    <w:rsid w:val="00E16FD0"/>
    <w:rsid w:val="00E16FF5"/>
    <w:rsid w:val="00E1707F"/>
    <w:rsid w:val="00E170C8"/>
    <w:rsid w:val="00E170FE"/>
    <w:rsid w:val="00E171A6"/>
    <w:rsid w:val="00E171B5"/>
    <w:rsid w:val="00E171E3"/>
    <w:rsid w:val="00E1723F"/>
    <w:rsid w:val="00E17370"/>
    <w:rsid w:val="00E173B6"/>
    <w:rsid w:val="00E17408"/>
    <w:rsid w:val="00E17439"/>
    <w:rsid w:val="00E17476"/>
    <w:rsid w:val="00E174AD"/>
    <w:rsid w:val="00E17593"/>
    <w:rsid w:val="00E175A7"/>
    <w:rsid w:val="00E175C4"/>
    <w:rsid w:val="00E175D8"/>
    <w:rsid w:val="00E175F6"/>
    <w:rsid w:val="00E17615"/>
    <w:rsid w:val="00E177DA"/>
    <w:rsid w:val="00E177FE"/>
    <w:rsid w:val="00E17818"/>
    <w:rsid w:val="00E17833"/>
    <w:rsid w:val="00E17834"/>
    <w:rsid w:val="00E179CF"/>
    <w:rsid w:val="00E179FB"/>
    <w:rsid w:val="00E17A48"/>
    <w:rsid w:val="00E17AB7"/>
    <w:rsid w:val="00E17B36"/>
    <w:rsid w:val="00E17B61"/>
    <w:rsid w:val="00E17C7B"/>
    <w:rsid w:val="00E17CB2"/>
    <w:rsid w:val="00E17D40"/>
    <w:rsid w:val="00E17D46"/>
    <w:rsid w:val="00E17DEC"/>
    <w:rsid w:val="00E17DFC"/>
    <w:rsid w:val="00E17E71"/>
    <w:rsid w:val="00E17ECA"/>
    <w:rsid w:val="00E17F66"/>
    <w:rsid w:val="00E17F68"/>
    <w:rsid w:val="00E17FCF"/>
    <w:rsid w:val="00E1E011"/>
    <w:rsid w:val="00E200CF"/>
    <w:rsid w:val="00E20164"/>
    <w:rsid w:val="00E2017C"/>
    <w:rsid w:val="00E201D7"/>
    <w:rsid w:val="00E20298"/>
    <w:rsid w:val="00E202A0"/>
    <w:rsid w:val="00E20379"/>
    <w:rsid w:val="00E20390"/>
    <w:rsid w:val="00E203FC"/>
    <w:rsid w:val="00E2044B"/>
    <w:rsid w:val="00E20528"/>
    <w:rsid w:val="00E205D1"/>
    <w:rsid w:val="00E2060B"/>
    <w:rsid w:val="00E20663"/>
    <w:rsid w:val="00E206F4"/>
    <w:rsid w:val="00E20802"/>
    <w:rsid w:val="00E20856"/>
    <w:rsid w:val="00E20887"/>
    <w:rsid w:val="00E208A4"/>
    <w:rsid w:val="00E2090E"/>
    <w:rsid w:val="00E209D4"/>
    <w:rsid w:val="00E20B51"/>
    <w:rsid w:val="00E20BC2"/>
    <w:rsid w:val="00E20C8F"/>
    <w:rsid w:val="00E20CA5"/>
    <w:rsid w:val="00E20CF2"/>
    <w:rsid w:val="00E20E1A"/>
    <w:rsid w:val="00E20E36"/>
    <w:rsid w:val="00E20ED3"/>
    <w:rsid w:val="00E20FC1"/>
    <w:rsid w:val="00E2101F"/>
    <w:rsid w:val="00E210A5"/>
    <w:rsid w:val="00E210F6"/>
    <w:rsid w:val="00E2117A"/>
    <w:rsid w:val="00E211A0"/>
    <w:rsid w:val="00E211C1"/>
    <w:rsid w:val="00E2123E"/>
    <w:rsid w:val="00E21339"/>
    <w:rsid w:val="00E2137C"/>
    <w:rsid w:val="00E2139D"/>
    <w:rsid w:val="00E214F3"/>
    <w:rsid w:val="00E21501"/>
    <w:rsid w:val="00E21820"/>
    <w:rsid w:val="00E218D6"/>
    <w:rsid w:val="00E21936"/>
    <w:rsid w:val="00E2198A"/>
    <w:rsid w:val="00E219AC"/>
    <w:rsid w:val="00E219AE"/>
    <w:rsid w:val="00E219BC"/>
    <w:rsid w:val="00E21A06"/>
    <w:rsid w:val="00E21AC4"/>
    <w:rsid w:val="00E21B1F"/>
    <w:rsid w:val="00E21C1E"/>
    <w:rsid w:val="00E21CA5"/>
    <w:rsid w:val="00E21D17"/>
    <w:rsid w:val="00E21D7D"/>
    <w:rsid w:val="00E21E60"/>
    <w:rsid w:val="00E21F33"/>
    <w:rsid w:val="00E21F60"/>
    <w:rsid w:val="00E21F6D"/>
    <w:rsid w:val="00E21F6E"/>
    <w:rsid w:val="00E22006"/>
    <w:rsid w:val="00E220C8"/>
    <w:rsid w:val="00E22105"/>
    <w:rsid w:val="00E22159"/>
    <w:rsid w:val="00E22180"/>
    <w:rsid w:val="00E221C0"/>
    <w:rsid w:val="00E221C2"/>
    <w:rsid w:val="00E22234"/>
    <w:rsid w:val="00E222B8"/>
    <w:rsid w:val="00E222EB"/>
    <w:rsid w:val="00E223A5"/>
    <w:rsid w:val="00E223C5"/>
    <w:rsid w:val="00E223D8"/>
    <w:rsid w:val="00E223DB"/>
    <w:rsid w:val="00E223EF"/>
    <w:rsid w:val="00E22480"/>
    <w:rsid w:val="00E224D9"/>
    <w:rsid w:val="00E225BE"/>
    <w:rsid w:val="00E2271E"/>
    <w:rsid w:val="00E2284D"/>
    <w:rsid w:val="00E22910"/>
    <w:rsid w:val="00E2295E"/>
    <w:rsid w:val="00E229E3"/>
    <w:rsid w:val="00E22A71"/>
    <w:rsid w:val="00E22A7A"/>
    <w:rsid w:val="00E22A8F"/>
    <w:rsid w:val="00E22ACB"/>
    <w:rsid w:val="00E22AF2"/>
    <w:rsid w:val="00E22AF6"/>
    <w:rsid w:val="00E22B9F"/>
    <w:rsid w:val="00E22BAE"/>
    <w:rsid w:val="00E22C39"/>
    <w:rsid w:val="00E22C3F"/>
    <w:rsid w:val="00E22C56"/>
    <w:rsid w:val="00E22CE6"/>
    <w:rsid w:val="00E22D86"/>
    <w:rsid w:val="00E22E73"/>
    <w:rsid w:val="00E22FB3"/>
    <w:rsid w:val="00E22FF3"/>
    <w:rsid w:val="00E23089"/>
    <w:rsid w:val="00E230EA"/>
    <w:rsid w:val="00E230FB"/>
    <w:rsid w:val="00E23175"/>
    <w:rsid w:val="00E2317A"/>
    <w:rsid w:val="00E23233"/>
    <w:rsid w:val="00E232CD"/>
    <w:rsid w:val="00E2350B"/>
    <w:rsid w:val="00E23591"/>
    <w:rsid w:val="00E235D8"/>
    <w:rsid w:val="00E2364E"/>
    <w:rsid w:val="00E236B9"/>
    <w:rsid w:val="00E236D8"/>
    <w:rsid w:val="00E2374D"/>
    <w:rsid w:val="00E23894"/>
    <w:rsid w:val="00E238C9"/>
    <w:rsid w:val="00E238D3"/>
    <w:rsid w:val="00E23957"/>
    <w:rsid w:val="00E23982"/>
    <w:rsid w:val="00E239E0"/>
    <w:rsid w:val="00E23ABE"/>
    <w:rsid w:val="00E23C63"/>
    <w:rsid w:val="00E23CE1"/>
    <w:rsid w:val="00E23D0D"/>
    <w:rsid w:val="00E23D3C"/>
    <w:rsid w:val="00E23DF2"/>
    <w:rsid w:val="00E23E9B"/>
    <w:rsid w:val="00E23F17"/>
    <w:rsid w:val="00E23F69"/>
    <w:rsid w:val="00E23F6E"/>
    <w:rsid w:val="00E23FF5"/>
    <w:rsid w:val="00E24048"/>
    <w:rsid w:val="00E24062"/>
    <w:rsid w:val="00E2406B"/>
    <w:rsid w:val="00E240DE"/>
    <w:rsid w:val="00E2416F"/>
    <w:rsid w:val="00E242C5"/>
    <w:rsid w:val="00E24335"/>
    <w:rsid w:val="00E2438A"/>
    <w:rsid w:val="00E244A9"/>
    <w:rsid w:val="00E2450E"/>
    <w:rsid w:val="00E2452B"/>
    <w:rsid w:val="00E2454A"/>
    <w:rsid w:val="00E24557"/>
    <w:rsid w:val="00E245FF"/>
    <w:rsid w:val="00E2464A"/>
    <w:rsid w:val="00E2467C"/>
    <w:rsid w:val="00E24738"/>
    <w:rsid w:val="00E24777"/>
    <w:rsid w:val="00E2477A"/>
    <w:rsid w:val="00E247D2"/>
    <w:rsid w:val="00E247EE"/>
    <w:rsid w:val="00E2486A"/>
    <w:rsid w:val="00E2488D"/>
    <w:rsid w:val="00E2488E"/>
    <w:rsid w:val="00E248E2"/>
    <w:rsid w:val="00E249AA"/>
    <w:rsid w:val="00E249F3"/>
    <w:rsid w:val="00E24A5D"/>
    <w:rsid w:val="00E24B20"/>
    <w:rsid w:val="00E24B9F"/>
    <w:rsid w:val="00E24BF0"/>
    <w:rsid w:val="00E24C3A"/>
    <w:rsid w:val="00E24C6A"/>
    <w:rsid w:val="00E24C85"/>
    <w:rsid w:val="00E24C90"/>
    <w:rsid w:val="00E24C91"/>
    <w:rsid w:val="00E24D77"/>
    <w:rsid w:val="00E24D9A"/>
    <w:rsid w:val="00E24E19"/>
    <w:rsid w:val="00E24EC1"/>
    <w:rsid w:val="00E24F60"/>
    <w:rsid w:val="00E24F8A"/>
    <w:rsid w:val="00E24FA1"/>
    <w:rsid w:val="00E24FFB"/>
    <w:rsid w:val="00E2500F"/>
    <w:rsid w:val="00E25045"/>
    <w:rsid w:val="00E25089"/>
    <w:rsid w:val="00E250F6"/>
    <w:rsid w:val="00E2510D"/>
    <w:rsid w:val="00E251A4"/>
    <w:rsid w:val="00E251AF"/>
    <w:rsid w:val="00E251D2"/>
    <w:rsid w:val="00E25272"/>
    <w:rsid w:val="00E25390"/>
    <w:rsid w:val="00E2539E"/>
    <w:rsid w:val="00E253EE"/>
    <w:rsid w:val="00E25452"/>
    <w:rsid w:val="00E25713"/>
    <w:rsid w:val="00E2578C"/>
    <w:rsid w:val="00E25791"/>
    <w:rsid w:val="00E257B1"/>
    <w:rsid w:val="00E257BE"/>
    <w:rsid w:val="00E25892"/>
    <w:rsid w:val="00E2589E"/>
    <w:rsid w:val="00E258C0"/>
    <w:rsid w:val="00E258EF"/>
    <w:rsid w:val="00E259AA"/>
    <w:rsid w:val="00E25A05"/>
    <w:rsid w:val="00E25AE3"/>
    <w:rsid w:val="00E25B56"/>
    <w:rsid w:val="00E25BB2"/>
    <w:rsid w:val="00E25BF6"/>
    <w:rsid w:val="00E25DEB"/>
    <w:rsid w:val="00E25E80"/>
    <w:rsid w:val="00E25E8C"/>
    <w:rsid w:val="00E25EA9"/>
    <w:rsid w:val="00E25EAC"/>
    <w:rsid w:val="00E25F31"/>
    <w:rsid w:val="00E26033"/>
    <w:rsid w:val="00E26134"/>
    <w:rsid w:val="00E26192"/>
    <w:rsid w:val="00E26198"/>
    <w:rsid w:val="00E261A3"/>
    <w:rsid w:val="00E26260"/>
    <w:rsid w:val="00E26355"/>
    <w:rsid w:val="00E263A7"/>
    <w:rsid w:val="00E26439"/>
    <w:rsid w:val="00E2647E"/>
    <w:rsid w:val="00E264B3"/>
    <w:rsid w:val="00E264FA"/>
    <w:rsid w:val="00E2652A"/>
    <w:rsid w:val="00E26671"/>
    <w:rsid w:val="00E2671F"/>
    <w:rsid w:val="00E26766"/>
    <w:rsid w:val="00E26772"/>
    <w:rsid w:val="00E2682B"/>
    <w:rsid w:val="00E26849"/>
    <w:rsid w:val="00E268A3"/>
    <w:rsid w:val="00E268D9"/>
    <w:rsid w:val="00E26968"/>
    <w:rsid w:val="00E26A55"/>
    <w:rsid w:val="00E26A66"/>
    <w:rsid w:val="00E26A7E"/>
    <w:rsid w:val="00E26AA1"/>
    <w:rsid w:val="00E26B47"/>
    <w:rsid w:val="00E26B7D"/>
    <w:rsid w:val="00E26BAE"/>
    <w:rsid w:val="00E26BC1"/>
    <w:rsid w:val="00E26BCD"/>
    <w:rsid w:val="00E26BD6"/>
    <w:rsid w:val="00E26C54"/>
    <w:rsid w:val="00E26C68"/>
    <w:rsid w:val="00E26CBD"/>
    <w:rsid w:val="00E26D3C"/>
    <w:rsid w:val="00E26D74"/>
    <w:rsid w:val="00E26D9B"/>
    <w:rsid w:val="00E26DA8"/>
    <w:rsid w:val="00E26E87"/>
    <w:rsid w:val="00E26EC6"/>
    <w:rsid w:val="00E26F17"/>
    <w:rsid w:val="00E26F7C"/>
    <w:rsid w:val="00E26FCD"/>
    <w:rsid w:val="00E27016"/>
    <w:rsid w:val="00E2702B"/>
    <w:rsid w:val="00E2703E"/>
    <w:rsid w:val="00E27049"/>
    <w:rsid w:val="00E27066"/>
    <w:rsid w:val="00E270EE"/>
    <w:rsid w:val="00E27120"/>
    <w:rsid w:val="00E27218"/>
    <w:rsid w:val="00E2722E"/>
    <w:rsid w:val="00E2731E"/>
    <w:rsid w:val="00E2733A"/>
    <w:rsid w:val="00E2733F"/>
    <w:rsid w:val="00E273F1"/>
    <w:rsid w:val="00E273F2"/>
    <w:rsid w:val="00E27409"/>
    <w:rsid w:val="00E27495"/>
    <w:rsid w:val="00E2749E"/>
    <w:rsid w:val="00E274D2"/>
    <w:rsid w:val="00E274F0"/>
    <w:rsid w:val="00E275A2"/>
    <w:rsid w:val="00E275EA"/>
    <w:rsid w:val="00E27685"/>
    <w:rsid w:val="00E276FA"/>
    <w:rsid w:val="00E27746"/>
    <w:rsid w:val="00E27764"/>
    <w:rsid w:val="00E27848"/>
    <w:rsid w:val="00E27866"/>
    <w:rsid w:val="00E278B8"/>
    <w:rsid w:val="00E278E6"/>
    <w:rsid w:val="00E279EC"/>
    <w:rsid w:val="00E27A18"/>
    <w:rsid w:val="00E27A5A"/>
    <w:rsid w:val="00E27A69"/>
    <w:rsid w:val="00E27A83"/>
    <w:rsid w:val="00E27B05"/>
    <w:rsid w:val="00E27BAC"/>
    <w:rsid w:val="00E27BAE"/>
    <w:rsid w:val="00E27BF7"/>
    <w:rsid w:val="00E27D0A"/>
    <w:rsid w:val="00E27E42"/>
    <w:rsid w:val="00E27EE0"/>
    <w:rsid w:val="00E27EEE"/>
    <w:rsid w:val="00E27F9E"/>
    <w:rsid w:val="00E30031"/>
    <w:rsid w:val="00E30093"/>
    <w:rsid w:val="00E301DA"/>
    <w:rsid w:val="00E301E1"/>
    <w:rsid w:val="00E30218"/>
    <w:rsid w:val="00E30304"/>
    <w:rsid w:val="00E303CD"/>
    <w:rsid w:val="00E30419"/>
    <w:rsid w:val="00E3059B"/>
    <w:rsid w:val="00E30602"/>
    <w:rsid w:val="00E30638"/>
    <w:rsid w:val="00E3063B"/>
    <w:rsid w:val="00E3067E"/>
    <w:rsid w:val="00E306D9"/>
    <w:rsid w:val="00E30715"/>
    <w:rsid w:val="00E3072D"/>
    <w:rsid w:val="00E3076B"/>
    <w:rsid w:val="00E30798"/>
    <w:rsid w:val="00E3079F"/>
    <w:rsid w:val="00E308FD"/>
    <w:rsid w:val="00E30999"/>
    <w:rsid w:val="00E30A78"/>
    <w:rsid w:val="00E30A9E"/>
    <w:rsid w:val="00E30B27"/>
    <w:rsid w:val="00E30B8F"/>
    <w:rsid w:val="00E30BA1"/>
    <w:rsid w:val="00E30C29"/>
    <w:rsid w:val="00E30C59"/>
    <w:rsid w:val="00E30CB6"/>
    <w:rsid w:val="00E30CF1"/>
    <w:rsid w:val="00E30DC6"/>
    <w:rsid w:val="00E30E21"/>
    <w:rsid w:val="00E30E2C"/>
    <w:rsid w:val="00E30EA8"/>
    <w:rsid w:val="00E30F78"/>
    <w:rsid w:val="00E30F84"/>
    <w:rsid w:val="00E30FD5"/>
    <w:rsid w:val="00E30FD7"/>
    <w:rsid w:val="00E3103A"/>
    <w:rsid w:val="00E310DA"/>
    <w:rsid w:val="00E31141"/>
    <w:rsid w:val="00E31222"/>
    <w:rsid w:val="00E31236"/>
    <w:rsid w:val="00E312CD"/>
    <w:rsid w:val="00E31320"/>
    <w:rsid w:val="00E31373"/>
    <w:rsid w:val="00E314B0"/>
    <w:rsid w:val="00E314D8"/>
    <w:rsid w:val="00E31525"/>
    <w:rsid w:val="00E31641"/>
    <w:rsid w:val="00E3164A"/>
    <w:rsid w:val="00E31683"/>
    <w:rsid w:val="00E316B5"/>
    <w:rsid w:val="00E316BF"/>
    <w:rsid w:val="00E31714"/>
    <w:rsid w:val="00E31744"/>
    <w:rsid w:val="00E3180C"/>
    <w:rsid w:val="00E31918"/>
    <w:rsid w:val="00E3194C"/>
    <w:rsid w:val="00E31959"/>
    <w:rsid w:val="00E31A0A"/>
    <w:rsid w:val="00E31B31"/>
    <w:rsid w:val="00E31B48"/>
    <w:rsid w:val="00E31B6A"/>
    <w:rsid w:val="00E31B81"/>
    <w:rsid w:val="00E31BA9"/>
    <w:rsid w:val="00E31C2E"/>
    <w:rsid w:val="00E31CA6"/>
    <w:rsid w:val="00E31DD2"/>
    <w:rsid w:val="00E31DD7"/>
    <w:rsid w:val="00E31E1A"/>
    <w:rsid w:val="00E31EE6"/>
    <w:rsid w:val="00E31EF4"/>
    <w:rsid w:val="00E31F04"/>
    <w:rsid w:val="00E31F2E"/>
    <w:rsid w:val="00E31F5D"/>
    <w:rsid w:val="00E32041"/>
    <w:rsid w:val="00E3206F"/>
    <w:rsid w:val="00E32080"/>
    <w:rsid w:val="00E320C4"/>
    <w:rsid w:val="00E32143"/>
    <w:rsid w:val="00E3216C"/>
    <w:rsid w:val="00E3226B"/>
    <w:rsid w:val="00E322A2"/>
    <w:rsid w:val="00E32334"/>
    <w:rsid w:val="00E323D0"/>
    <w:rsid w:val="00E32416"/>
    <w:rsid w:val="00E324ED"/>
    <w:rsid w:val="00E3251E"/>
    <w:rsid w:val="00E32524"/>
    <w:rsid w:val="00E3254B"/>
    <w:rsid w:val="00E32700"/>
    <w:rsid w:val="00E32704"/>
    <w:rsid w:val="00E32712"/>
    <w:rsid w:val="00E327C0"/>
    <w:rsid w:val="00E327E5"/>
    <w:rsid w:val="00E32837"/>
    <w:rsid w:val="00E32880"/>
    <w:rsid w:val="00E32888"/>
    <w:rsid w:val="00E328FE"/>
    <w:rsid w:val="00E329D5"/>
    <w:rsid w:val="00E32A0A"/>
    <w:rsid w:val="00E32B2F"/>
    <w:rsid w:val="00E32C20"/>
    <w:rsid w:val="00E32C45"/>
    <w:rsid w:val="00E32D63"/>
    <w:rsid w:val="00E32D7B"/>
    <w:rsid w:val="00E32E90"/>
    <w:rsid w:val="00E32F87"/>
    <w:rsid w:val="00E32FF5"/>
    <w:rsid w:val="00E330A7"/>
    <w:rsid w:val="00E33110"/>
    <w:rsid w:val="00E3311D"/>
    <w:rsid w:val="00E33137"/>
    <w:rsid w:val="00E3319C"/>
    <w:rsid w:val="00E331BE"/>
    <w:rsid w:val="00E331C7"/>
    <w:rsid w:val="00E3328F"/>
    <w:rsid w:val="00E3331D"/>
    <w:rsid w:val="00E33399"/>
    <w:rsid w:val="00E333DC"/>
    <w:rsid w:val="00E3346A"/>
    <w:rsid w:val="00E334B1"/>
    <w:rsid w:val="00E334BB"/>
    <w:rsid w:val="00E334CC"/>
    <w:rsid w:val="00E334D6"/>
    <w:rsid w:val="00E334DC"/>
    <w:rsid w:val="00E3353C"/>
    <w:rsid w:val="00E3356F"/>
    <w:rsid w:val="00E33594"/>
    <w:rsid w:val="00E335A1"/>
    <w:rsid w:val="00E335E1"/>
    <w:rsid w:val="00E33680"/>
    <w:rsid w:val="00E336A6"/>
    <w:rsid w:val="00E336B9"/>
    <w:rsid w:val="00E3374A"/>
    <w:rsid w:val="00E33760"/>
    <w:rsid w:val="00E3379A"/>
    <w:rsid w:val="00E3381A"/>
    <w:rsid w:val="00E33842"/>
    <w:rsid w:val="00E33917"/>
    <w:rsid w:val="00E3393E"/>
    <w:rsid w:val="00E3397F"/>
    <w:rsid w:val="00E339EB"/>
    <w:rsid w:val="00E33A11"/>
    <w:rsid w:val="00E33AAB"/>
    <w:rsid w:val="00E33B4C"/>
    <w:rsid w:val="00E33B78"/>
    <w:rsid w:val="00E33BA0"/>
    <w:rsid w:val="00E33BAF"/>
    <w:rsid w:val="00E33D20"/>
    <w:rsid w:val="00E33D73"/>
    <w:rsid w:val="00E33E71"/>
    <w:rsid w:val="00E33EB9"/>
    <w:rsid w:val="00E33F48"/>
    <w:rsid w:val="00E33F88"/>
    <w:rsid w:val="00E33FB4"/>
    <w:rsid w:val="00E34014"/>
    <w:rsid w:val="00E34030"/>
    <w:rsid w:val="00E34037"/>
    <w:rsid w:val="00E34039"/>
    <w:rsid w:val="00E3407C"/>
    <w:rsid w:val="00E34139"/>
    <w:rsid w:val="00E3415B"/>
    <w:rsid w:val="00E34230"/>
    <w:rsid w:val="00E34264"/>
    <w:rsid w:val="00E34352"/>
    <w:rsid w:val="00E34357"/>
    <w:rsid w:val="00E343B9"/>
    <w:rsid w:val="00E343D4"/>
    <w:rsid w:val="00E34477"/>
    <w:rsid w:val="00E34570"/>
    <w:rsid w:val="00E345A2"/>
    <w:rsid w:val="00E345E4"/>
    <w:rsid w:val="00E3461C"/>
    <w:rsid w:val="00E3468C"/>
    <w:rsid w:val="00E346C1"/>
    <w:rsid w:val="00E346E2"/>
    <w:rsid w:val="00E346ED"/>
    <w:rsid w:val="00E3473F"/>
    <w:rsid w:val="00E3476A"/>
    <w:rsid w:val="00E3477F"/>
    <w:rsid w:val="00E34965"/>
    <w:rsid w:val="00E349B2"/>
    <w:rsid w:val="00E34A00"/>
    <w:rsid w:val="00E34A9D"/>
    <w:rsid w:val="00E34AB9"/>
    <w:rsid w:val="00E34B45"/>
    <w:rsid w:val="00E34B65"/>
    <w:rsid w:val="00E34BD4"/>
    <w:rsid w:val="00E34C03"/>
    <w:rsid w:val="00E34C0A"/>
    <w:rsid w:val="00E34C6F"/>
    <w:rsid w:val="00E34C7A"/>
    <w:rsid w:val="00E34CD8"/>
    <w:rsid w:val="00E34D0D"/>
    <w:rsid w:val="00E34D73"/>
    <w:rsid w:val="00E34DA4"/>
    <w:rsid w:val="00E34EF0"/>
    <w:rsid w:val="00E34F5F"/>
    <w:rsid w:val="00E34FF5"/>
    <w:rsid w:val="00E350B0"/>
    <w:rsid w:val="00E350EE"/>
    <w:rsid w:val="00E351A8"/>
    <w:rsid w:val="00E352BF"/>
    <w:rsid w:val="00E354AE"/>
    <w:rsid w:val="00E354C8"/>
    <w:rsid w:val="00E3557B"/>
    <w:rsid w:val="00E35609"/>
    <w:rsid w:val="00E3560F"/>
    <w:rsid w:val="00E3562B"/>
    <w:rsid w:val="00E3566B"/>
    <w:rsid w:val="00E356E6"/>
    <w:rsid w:val="00E356FC"/>
    <w:rsid w:val="00E35738"/>
    <w:rsid w:val="00E3573D"/>
    <w:rsid w:val="00E357AE"/>
    <w:rsid w:val="00E357BB"/>
    <w:rsid w:val="00E35964"/>
    <w:rsid w:val="00E35969"/>
    <w:rsid w:val="00E359BD"/>
    <w:rsid w:val="00E359CA"/>
    <w:rsid w:val="00E35AFC"/>
    <w:rsid w:val="00E35AFD"/>
    <w:rsid w:val="00E35B48"/>
    <w:rsid w:val="00E35BB9"/>
    <w:rsid w:val="00E35CFA"/>
    <w:rsid w:val="00E35D9B"/>
    <w:rsid w:val="00E35DEA"/>
    <w:rsid w:val="00E35EAF"/>
    <w:rsid w:val="00E35EDE"/>
    <w:rsid w:val="00E35F7A"/>
    <w:rsid w:val="00E35F97"/>
    <w:rsid w:val="00E35FBB"/>
    <w:rsid w:val="00E36031"/>
    <w:rsid w:val="00E36067"/>
    <w:rsid w:val="00E3609F"/>
    <w:rsid w:val="00E362B9"/>
    <w:rsid w:val="00E362CE"/>
    <w:rsid w:val="00E362EA"/>
    <w:rsid w:val="00E36323"/>
    <w:rsid w:val="00E36326"/>
    <w:rsid w:val="00E36329"/>
    <w:rsid w:val="00E3632F"/>
    <w:rsid w:val="00E363A2"/>
    <w:rsid w:val="00E363C7"/>
    <w:rsid w:val="00E364C8"/>
    <w:rsid w:val="00E36513"/>
    <w:rsid w:val="00E3654D"/>
    <w:rsid w:val="00E36590"/>
    <w:rsid w:val="00E365A7"/>
    <w:rsid w:val="00E36621"/>
    <w:rsid w:val="00E3663A"/>
    <w:rsid w:val="00E36656"/>
    <w:rsid w:val="00E36682"/>
    <w:rsid w:val="00E366AF"/>
    <w:rsid w:val="00E366CF"/>
    <w:rsid w:val="00E3674B"/>
    <w:rsid w:val="00E36825"/>
    <w:rsid w:val="00E3698A"/>
    <w:rsid w:val="00E36996"/>
    <w:rsid w:val="00E369D7"/>
    <w:rsid w:val="00E369F6"/>
    <w:rsid w:val="00E36AB6"/>
    <w:rsid w:val="00E36AF9"/>
    <w:rsid w:val="00E36BEF"/>
    <w:rsid w:val="00E36C23"/>
    <w:rsid w:val="00E36C2D"/>
    <w:rsid w:val="00E36CC5"/>
    <w:rsid w:val="00E36D51"/>
    <w:rsid w:val="00E36D5B"/>
    <w:rsid w:val="00E36DA3"/>
    <w:rsid w:val="00E36DED"/>
    <w:rsid w:val="00E36E09"/>
    <w:rsid w:val="00E36E46"/>
    <w:rsid w:val="00E36E60"/>
    <w:rsid w:val="00E36E6A"/>
    <w:rsid w:val="00E36E87"/>
    <w:rsid w:val="00E36F34"/>
    <w:rsid w:val="00E36F45"/>
    <w:rsid w:val="00E36F46"/>
    <w:rsid w:val="00E36F48"/>
    <w:rsid w:val="00E36F89"/>
    <w:rsid w:val="00E36FD2"/>
    <w:rsid w:val="00E37064"/>
    <w:rsid w:val="00E3708F"/>
    <w:rsid w:val="00E37129"/>
    <w:rsid w:val="00E3712E"/>
    <w:rsid w:val="00E371A3"/>
    <w:rsid w:val="00E371DC"/>
    <w:rsid w:val="00E37453"/>
    <w:rsid w:val="00E3747D"/>
    <w:rsid w:val="00E374AE"/>
    <w:rsid w:val="00E37547"/>
    <w:rsid w:val="00E3756E"/>
    <w:rsid w:val="00E37607"/>
    <w:rsid w:val="00E37705"/>
    <w:rsid w:val="00E3774C"/>
    <w:rsid w:val="00E377C8"/>
    <w:rsid w:val="00E37821"/>
    <w:rsid w:val="00E378EF"/>
    <w:rsid w:val="00E37932"/>
    <w:rsid w:val="00E37960"/>
    <w:rsid w:val="00E37994"/>
    <w:rsid w:val="00E379F2"/>
    <w:rsid w:val="00E37AAC"/>
    <w:rsid w:val="00E37AB7"/>
    <w:rsid w:val="00E37B15"/>
    <w:rsid w:val="00E37B95"/>
    <w:rsid w:val="00E37C13"/>
    <w:rsid w:val="00E37C70"/>
    <w:rsid w:val="00E37CDF"/>
    <w:rsid w:val="00E37D23"/>
    <w:rsid w:val="00E37D80"/>
    <w:rsid w:val="00E37DF6"/>
    <w:rsid w:val="00E37DFA"/>
    <w:rsid w:val="00E37E92"/>
    <w:rsid w:val="00E37EDB"/>
    <w:rsid w:val="00E37EF4"/>
    <w:rsid w:val="00E37FF8"/>
    <w:rsid w:val="00E40109"/>
    <w:rsid w:val="00E40119"/>
    <w:rsid w:val="00E401AC"/>
    <w:rsid w:val="00E401DB"/>
    <w:rsid w:val="00E40379"/>
    <w:rsid w:val="00E4038C"/>
    <w:rsid w:val="00E40418"/>
    <w:rsid w:val="00E404BF"/>
    <w:rsid w:val="00E404D4"/>
    <w:rsid w:val="00E40510"/>
    <w:rsid w:val="00E40540"/>
    <w:rsid w:val="00E405E4"/>
    <w:rsid w:val="00E406C2"/>
    <w:rsid w:val="00E40700"/>
    <w:rsid w:val="00E4071A"/>
    <w:rsid w:val="00E4071B"/>
    <w:rsid w:val="00E40721"/>
    <w:rsid w:val="00E407C7"/>
    <w:rsid w:val="00E408B5"/>
    <w:rsid w:val="00E40914"/>
    <w:rsid w:val="00E40987"/>
    <w:rsid w:val="00E40A8E"/>
    <w:rsid w:val="00E40B05"/>
    <w:rsid w:val="00E40B08"/>
    <w:rsid w:val="00E40B9D"/>
    <w:rsid w:val="00E40C35"/>
    <w:rsid w:val="00E40CC6"/>
    <w:rsid w:val="00E40D2F"/>
    <w:rsid w:val="00E40D52"/>
    <w:rsid w:val="00E40E5D"/>
    <w:rsid w:val="00E40F08"/>
    <w:rsid w:val="00E40F4B"/>
    <w:rsid w:val="00E40F4D"/>
    <w:rsid w:val="00E40F55"/>
    <w:rsid w:val="00E40F58"/>
    <w:rsid w:val="00E40F6C"/>
    <w:rsid w:val="00E40F6F"/>
    <w:rsid w:val="00E41063"/>
    <w:rsid w:val="00E41070"/>
    <w:rsid w:val="00E41077"/>
    <w:rsid w:val="00E4110B"/>
    <w:rsid w:val="00E4111E"/>
    <w:rsid w:val="00E41148"/>
    <w:rsid w:val="00E4115A"/>
    <w:rsid w:val="00E41239"/>
    <w:rsid w:val="00E41266"/>
    <w:rsid w:val="00E41355"/>
    <w:rsid w:val="00E4137A"/>
    <w:rsid w:val="00E414AE"/>
    <w:rsid w:val="00E414EC"/>
    <w:rsid w:val="00E415CE"/>
    <w:rsid w:val="00E415D3"/>
    <w:rsid w:val="00E4160D"/>
    <w:rsid w:val="00E41638"/>
    <w:rsid w:val="00E4176C"/>
    <w:rsid w:val="00E4178F"/>
    <w:rsid w:val="00E417D1"/>
    <w:rsid w:val="00E418C7"/>
    <w:rsid w:val="00E41972"/>
    <w:rsid w:val="00E41A20"/>
    <w:rsid w:val="00E41A33"/>
    <w:rsid w:val="00E41A65"/>
    <w:rsid w:val="00E41A9A"/>
    <w:rsid w:val="00E41AAC"/>
    <w:rsid w:val="00E41B3A"/>
    <w:rsid w:val="00E41BD2"/>
    <w:rsid w:val="00E41C08"/>
    <w:rsid w:val="00E41CE6"/>
    <w:rsid w:val="00E41CFE"/>
    <w:rsid w:val="00E41D04"/>
    <w:rsid w:val="00E41D3B"/>
    <w:rsid w:val="00E41D5D"/>
    <w:rsid w:val="00E41DD6"/>
    <w:rsid w:val="00E41E10"/>
    <w:rsid w:val="00E41E3D"/>
    <w:rsid w:val="00E41EA9"/>
    <w:rsid w:val="00E41EB3"/>
    <w:rsid w:val="00E41EFD"/>
    <w:rsid w:val="00E41F37"/>
    <w:rsid w:val="00E41F68"/>
    <w:rsid w:val="00E41F9F"/>
    <w:rsid w:val="00E4202C"/>
    <w:rsid w:val="00E420DD"/>
    <w:rsid w:val="00E4211A"/>
    <w:rsid w:val="00E42157"/>
    <w:rsid w:val="00E42197"/>
    <w:rsid w:val="00E422B2"/>
    <w:rsid w:val="00E423A3"/>
    <w:rsid w:val="00E42541"/>
    <w:rsid w:val="00E42582"/>
    <w:rsid w:val="00E425D3"/>
    <w:rsid w:val="00E426C1"/>
    <w:rsid w:val="00E426F3"/>
    <w:rsid w:val="00E42776"/>
    <w:rsid w:val="00E4277B"/>
    <w:rsid w:val="00E427AE"/>
    <w:rsid w:val="00E428C6"/>
    <w:rsid w:val="00E42914"/>
    <w:rsid w:val="00E42A20"/>
    <w:rsid w:val="00E42A27"/>
    <w:rsid w:val="00E42B78"/>
    <w:rsid w:val="00E42C36"/>
    <w:rsid w:val="00E42C4C"/>
    <w:rsid w:val="00E42CAF"/>
    <w:rsid w:val="00E42DE9"/>
    <w:rsid w:val="00E42E47"/>
    <w:rsid w:val="00E42E96"/>
    <w:rsid w:val="00E42E9F"/>
    <w:rsid w:val="00E42EF2"/>
    <w:rsid w:val="00E42F3D"/>
    <w:rsid w:val="00E42F48"/>
    <w:rsid w:val="00E42FB3"/>
    <w:rsid w:val="00E42FE2"/>
    <w:rsid w:val="00E43017"/>
    <w:rsid w:val="00E43047"/>
    <w:rsid w:val="00E4316A"/>
    <w:rsid w:val="00E431C0"/>
    <w:rsid w:val="00E431C9"/>
    <w:rsid w:val="00E431FB"/>
    <w:rsid w:val="00E43229"/>
    <w:rsid w:val="00E432A1"/>
    <w:rsid w:val="00E43308"/>
    <w:rsid w:val="00E43345"/>
    <w:rsid w:val="00E433B7"/>
    <w:rsid w:val="00E43400"/>
    <w:rsid w:val="00E43443"/>
    <w:rsid w:val="00E43457"/>
    <w:rsid w:val="00E4353C"/>
    <w:rsid w:val="00E4354E"/>
    <w:rsid w:val="00E43559"/>
    <w:rsid w:val="00E435BE"/>
    <w:rsid w:val="00E435DE"/>
    <w:rsid w:val="00E43651"/>
    <w:rsid w:val="00E4365E"/>
    <w:rsid w:val="00E43693"/>
    <w:rsid w:val="00E4369C"/>
    <w:rsid w:val="00E436DF"/>
    <w:rsid w:val="00E436E6"/>
    <w:rsid w:val="00E436EE"/>
    <w:rsid w:val="00E43703"/>
    <w:rsid w:val="00E43711"/>
    <w:rsid w:val="00E437EE"/>
    <w:rsid w:val="00E4388E"/>
    <w:rsid w:val="00E43924"/>
    <w:rsid w:val="00E43A0B"/>
    <w:rsid w:val="00E43A1A"/>
    <w:rsid w:val="00E43B6F"/>
    <w:rsid w:val="00E43B9A"/>
    <w:rsid w:val="00E43D2F"/>
    <w:rsid w:val="00E43D82"/>
    <w:rsid w:val="00E43D91"/>
    <w:rsid w:val="00E43E19"/>
    <w:rsid w:val="00E43E49"/>
    <w:rsid w:val="00E43F1C"/>
    <w:rsid w:val="00E43F28"/>
    <w:rsid w:val="00E43F55"/>
    <w:rsid w:val="00E4403C"/>
    <w:rsid w:val="00E4408E"/>
    <w:rsid w:val="00E440C0"/>
    <w:rsid w:val="00E44104"/>
    <w:rsid w:val="00E441A8"/>
    <w:rsid w:val="00E441E3"/>
    <w:rsid w:val="00E44282"/>
    <w:rsid w:val="00E4431E"/>
    <w:rsid w:val="00E4449A"/>
    <w:rsid w:val="00E444BC"/>
    <w:rsid w:val="00E444FD"/>
    <w:rsid w:val="00E44560"/>
    <w:rsid w:val="00E445C0"/>
    <w:rsid w:val="00E445D2"/>
    <w:rsid w:val="00E44676"/>
    <w:rsid w:val="00E446A9"/>
    <w:rsid w:val="00E446F6"/>
    <w:rsid w:val="00E446FA"/>
    <w:rsid w:val="00E44701"/>
    <w:rsid w:val="00E44718"/>
    <w:rsid w:val="00E44736"/>
    <w:rsid w:val="00E44746"/>
    <w:rsid w:val="00E4474B"/>
    <w:rsid w:val="00E4483C"/>
    <w:rsid w:val="00E4484A"/>
    <w:rsid w:val="00E44867"/>
    <w:rsid w:val="00E4486A"/>
    <w:rsid w:val="00E4494C"/>
    <w:rsid w:val="00E449AA"/>
    <w:rsid w:val="00E44A39"/>
    <w:rsid w:val="00E44A3F"/>
    <w:rsid w:val="00E44A68"/>
    <w:rsid w:val="00E44AE1"/>
    <w:rsid w:val="00E44AF3"/>
    <w:rsid w:val="00E44C84"/>
    <w:rsid w:val="00E44C9C"/>
    <w:rsid w:val="00E44DE6"/>
    <w:rsid w:val="00E44E21"/>
    <w:rsid w:val="00E44EC9"/>
    <w:rsid w:val="00E44F53"/>
    <w:rsid w:val="00E44F9C"/>
    <w:rsid w:val="00E44FCA"/>
    <w:rsid w:val="00E45056"/>
    <w:rsid w:val="00E4508B"/>
    <w:rsid w:val="00E450C9"/>
    <w:rsid w:val="00E451DD"/>
    <w:rsid w:val="00E451F9"/>
    <w:rsid w:val="00E45226"/>
    <w:rsid w:val="00E45244"/>
    <w:rsid w:val="00E452B2"/>
    <w:rsid w:val="00E452FE"/>
    <w:rsid w:val="00E4535D"/>
    <w:rsid w:val="00E45395"/>
    <w:rsid w:val="00E453BF"/>
    <w:rsid w:val="00E4545C"/>
    <w:rsid w:val="00E4546E"/>
    <w:rsid w:val="00E455D7"/>
    <w:rsid w:val="00E45612"/>
    <w:rsid w:val="00E4571D"/>
    <w:rsid w:val="00E458C3"/>
    <w:rsid w:val="00E458EF"/>
    <w:rsid w:val="00E4592B"/>
    <w:rsid w:val="00E45A0F"/>
    <w:rsid w:val="00E45A1A"/>
    <w:rsid w:val="00E45A82"/>
    <w:rsid w:val="00E45AB7"/>
    <w:rsid w:val="00E45ADB"/>
    <w:rsid w:val="00E45B45"/>
    <w:rsid w:val="00E45B53"/>
    <w:rsid w:val="00E45B9F"/>
    <w:rsid w:val="00E45C42"/>
    <w:rsid w:val="00E45D90"/>
    <w:rsid w:val="00E45DA2"/>
    <w:rsid w:val="00E45E50"/>
    <w:rsid w:val="00E46073"/>
    <w:rsid w:val="00E46104"/>
    <w:rsid w:val="00E461A6"/>
    <w:rsid w:val="00E4626E"/>
    <w:rsid w:val="00E46301"/>
    <w:rsid w:val="00E46338"/>
    <w:rsid w:val="00E46357"/>
    <w:rsid w:val="00E4637D"/>
    <w:rsid w:val="00E464CE"/>
    <w:rsid w:val="00E4655F"/>
    <w:rsid w:val="00E4667F"/>
    <w:rsid w:val="00E4668C"/>
    <w:rsid w:val="00E46761"/>
    <w:rsid w:val="00E46828"/>
    <w:rsid w:val="00E4684B"/>
    <w:rsid w:val="00E4686B"/>
    <w:rsid w:val="00E468A6"/>
    <w:rsid w:val="00E46958"/>
    <w:rsid w:val="00E46989"/>
    <w:rsid w:val="00E46A35"/>
    <w:rsid w:val="00E46A48"/>
    <w:rsid w:val="00E46A6F"/>
    <w:rsid w:val="00E46A71"/>
    <w:rsid w:val="00E46AB4"/>
    <w:rsid w:val="00E46AC4"/>
    <w:rsid w:val="00E46B05"/>
    <w:rsid w:val="00E46C00"/>
    <w:rsid w:val="00E46C06"/>
    <w:rsid w:val="00E46C31"/>
    <w:rsid w:val="00E46CA9"/>
    <w:rsid w:val="00E46D1B"/>
    <w:rsid w:val="00E46EB6"/>
    <w:rsid w:val="00E46EDC"/>
    <w:rsid w:val="00E46EF8"/>
    <w:rsid w:val="00E46F87"/>
    <w:rsid w:val="00E46FBC"/>
    <w:rsid w:val="00E47025"/>
    <w:rsid w:val="00E47056"/>
    <w:rsid w:val="00E47112"/>
    <w:rsid w:val="00E47252"/>
    <w:rsid w:val="00E47289"/>
    <w:rsid w:val="00E4731D"/>
    <w:rsid w:val="00E4732B"/>
    <w:rsid w:val="00E47390"/>
    <w:rsid w:val="00E473B1"/>
    <w:rsid w:val="00E47410"/>
    <w:rsid w:val="00E47442"/>
    <w:rsid w:val="00E47538"/>
    <w:rsid w:val="00E4769A"/>
    <w:rsid w:val="00E476AC"/>
    <w:rsid w:val="00E47700"/>
    <w:rsid w:val="00E47708"/>
    <w:rsid w:val="00E4772B"/>
    <w:rsid w:val="00E4775E"/>
    <w:rsid w:val="00E4787F"/>
    <w:rsid w:val="00E47951"/>
    <w:rsid w:val="00E4799E"/>
    <w:rsid w:val="00E479A1"/>
    <w:rsid w:val="00E479ED"/>
    <w:rsid w:val="00E47A46"/>
    <w:rsid w:val="00E47B3B"/>
    <w:rsid w:val="00E47B72"/>
    <w:rsid w:val="00E47BD7"/>
    <w:rsid w:val="00E47BE3"/>
    <w:rsid w:val="00E47BE5"/>
    <w:rsid w:val="00E47BF5"/>
    <w:rsid w:val="00E47CE0"/>
    <w:rsid w:val="00E47D62"/>
    <w:rsid w:val="00E47D91"/>
    <w:rsid w:val="00E47E8F"/>
    <w:rsid w:val="00E47ED9"/>
    <w:rsid w:val="00E47EEF"/>
    <w:rsid w:val="00E47F02"/>
    <w:rsid w:val="00E47F53"/>
    <w:rsid w:val="00E47FA4"/>
    <w:rsid w:val="00E47FEE"/>
    <w:rsid w:val="00E50046"/>
    <w:rsid w:val="00E50071"/>
    <w:rsid w:val="00E500A7"/>
    <w:rsid w:val="00E500CC"/>
    <w:rsid w:val="00E50151"/>
    <w:rsid w:val="00E501A1"/>
    <w:rsid w:val="00E501B5"/>
    <w:rsid w:val="00E501C4"/>
    <w:rsid w:val="00E501CA"/>
    <w:rsid w:val="00E501E9"/>
    <w:rsid w:val="00E50236"/>
    <w:rsid w:val="00E50272"/>
    <w:rsid w:val="00E5028D"/>
    <w:rsid w:val="00E50355"/>
    <w:rsid w:val="00E503CA"/>
    <w:rsid w:val="00E5041B"/>
    <w:rsid w:val="00E50458"/>
    <w:rsid w:val="00E5046A"/>
    <w:rsid w:val="00E504EA"/>
    <w:rsid w:val="00E504EE"/>
    <w:rsid w:val="00E50531"/>
    <w:rsid w:val="00E505FB"/>
    <w:rsid w:val="00E505FD"/>
    <w:rsid w:val="00E50668"/>
    <w:rsid w:val="00E5066C"/>
    <w:rsid w:val="00E5069B"/>
    <w:rsid w:val="00E50761"/>
    <w:rsid w:val="00E5076B"/>
    <w:rsid w:val="00E50814"/>
    <w:rsid w:val="00E5088E"/>
    <w:rsid w:val="00E508DE"/>
    <w:rsid w:val="00E50936"/>
    <w:rsid w:val="00E50972"/>
    <w:rsid w:val="00E50979"/>
    <w:rsid w:val="00E50A73"/>
    <w:rsid w:val="00E50AD7"/>
    <w:rsid w:val="00E50AF8"/>
    <w:rsid w:val="00E50AFD"/>
    <w:rsid w:val="00E50C59"/>
    <w:rsid w:val="00E50C5E"/>
    <w:rsid w:val="00E50CE1"/>
    <w:rsid w:val="00E50CEB"/>
    <w:rsid w:val="00E50D54"/>
    <w:rsid w:val="00E50E09"/>
    <w:rsid w:val="00E50EC1"/>
    <w:rsid w:val="00E50EC6"/>
    <w:rsid w:val="00E50EEF"/>
    <w:rsid w:val="00E50F33"/>
    <w:rsid w:val="00E50F5C"/>
    <w:rsid w:val="00E50FC5"/>
    <w:rsid w:val="00E50FD8"/>
    <w:rsid w:val="00E510F0"/>
    <w:rsid w:val="00E51110"/>
    <w:rsid w:val="00E51137"/>
    <w:rsid w:val="00E51140"/>
    <w:rsid w:val="00E51197"/>
    <w:rsid w:val="00E511D1"/>
    <w:rsid w:val="00E511F2"/>
    <w:rsid w:val="00E5126B"/>
    <w:rsid w:val="00E512DB"/>
    <w:rsid w:val="00E512F2"/>
    <w:rsid w:val="00E513DD"/>
    <w:rsid w:val="00E514E4"/>
    <w:rsid w:val="00E51505"/>
    <w:rsid w:val="00E51548"/>
    <w:rsid w:val="00E515AE"/>
    <w:rsid w:val="00E515DA"/>
    <w:rsid w:val="00E515ED"/>
    <w:rsid w:val="00E516AC"/>
    <w:rsid w:val="00E51775"/>
    <w:rsid w:val="00E5179D"/>
    <w:rsid w:val="00E517C4"/>
    <w:rsid w:val="00E5182E"/>
    <w:rsid w:val="00E5185C"/>
    <w:rsid w:val="00E51875"/>
    <w:rsid w:val="00E51892"/>
    <w:rsid w:val="00E518B3"/>
    <w:rsid w:val="00E5190B"/>
    <w:rsid w:val="00E519BA"/>
    <w:rsid w:val="00E51A62"/>
    <w:rsid w:val="00E51B8A"/>
    <w:rsid w:val="00E51BF0"/>
    <w:rsid w:val="00E51CAB"/>
    <w:rsid w:val="00E51CE6"/>
    <w:rsid w:val="00E51CF6"/>
    <w:rsid w:val="00E51D38"/>
    <w:rsid w:val="00E51ECF"/>
    <w:rsid w:val="00E51FA4"/>
    <w:rsid w:val="00E51FEA"/>
    <w:rsid w:val="00E51FFE"/>
    <w:rsid w:val="00E52001"/>
    <w:rsid w:val="00E5229F"/>
    <w:rsid w:val="00E522DE"/>
    <w:rsid w:val="00E52327"/>
    <w:rsid w:val="00E523BE"/>
    <w:rsid w:val="00E52449"/>
    <w:rsid w:val="00E524A5"/>
    <w:rsid w:val="00E524DF"/>
    <w:rsid w:val="00E524FD"/>
    <w:rsid w:val="00E5257B"/>
    <w:rsid w:val="00E5258C"/>
    <w:rsid w:val="00E525B5"/>
    <w:rsid w:val="00E5260C"/>
    <w:rsid w:val="00E526A6"/>
    <w:rsid w:val="00E52739"/>
    <w:rsid w:val="00E5275A"/>
    <w:rsid w:val="00E5277F"/>
    <w:rsid w:val="00E527E6"/>
    <w:rsid w:val="00E528AE"/>
    <w:rsid w:val="00E528F4"/>
    <w:rsid w:val="00E52908"/>
    <w:rsid w:val="00E52B2A"/>
    <w:rsid w:val="00E52BCD"/>
    <w:rsid w:val="00E52C5F"/>
    <w:rsid w:val="00E52C93"/>
    <w:rsid w:val="00E52CBC"/>
    <w:rsid w:val="00E52D25"/>
    <w:rsid w:val="00E52EB2"/>
    <w:rsid w:val="00E52ECE"/>
    <w:rsid w:val="00E52F25"/>
    <w:rsid w:val="00E52F6E"/>
    <w:rsid w:val="00E5313E"/>
    <w:rsid w:val="00E53194"/>
    <w:rsid w:val="00E531D4"/>
    <w:rsid w:val="00E5321D"/>
    <w:rsid w:val="00E532A6"/>
    <w:rsid w:val="00E532E2"/>
    <w:rsid w:val="00E53309"/>
    <w:rsid w:val="00E53365"/>
    <w:rsid w:val="00E533F5"/>
    <w:rsid w:val="00E53400"/>
    <w:rsid w:val="00E53443"/>
    <w:rsid w:val="00E53456"/>
    <w:rsid w:val="00E534EB"/>
    <w:rsid w:val="00E53526"/>
    <w:rsid w:val="00E53532"/>
    <w:rsid w:val="00E5353F"/>
    <w:rsid w:val="00E5355E"/>
    <w:rsid w:val="00E535AA"/>
    <w:rsid w:val="00E535CF"/>
    <w:rsid w:val="00E53610"/>
    <w:rsid w:val="00E53644"/>
    <w:rsid w:val="00E5365E"/>
    <w:rsid w:val="00E536BF"/>
    <w:rsid w:val="00E536CC"/>
    <w:rsid w:val="00E536F2"/>
    <w:rsid w:val="00E536F9"/>
    <w:rsid w:val="00E53774"/>
    <w:rsid w:val="00E537A8"/>
    <w:rsid w:val="00E53826"/>
    <w:rsid w:val="00E53831"/>
    <w:rsid w:val="00E539AC"/>
    <w:rsid w:val="00E539FB"/>
    <w:rsid w:val="00E53A0A"/>
    <w:rsid w:val="00E53A1F"/>
    <w:rsid w:val="00E53A89"/>
    <w:rsid w:val="00E53AAA"/>
    <w:rsid w:val="00E53B27"/>
    <w:rsid w:val="00E53B64"/>
    <w:rsid w:val="00E53BA5"/>
    <w:rsid w:val="00E53BC0"/>
    <w:rsid w:val="00E53C3E"/>
    <w:rsid w:val="00E53C9E"/>
    <w:rsid w:val="00E53CA5"/>
    <w:rsid w:val="00E53CD1"/>
    <w:rsid w:val="00E53CDA"/>
    <w:rsid w:val="00E53D08"/>
    <w:rsid w:val="00E53D13"/>
    <w:rsid w:val="00E53D20"/>
    <w:rsid w:val="00E53D4D"/>
    <w:rsid w:val="00E53D9A"/>
    <w:rsid w:val="00E53E2D"/>
    <w:rsid w:val="00E53E5A"/>
    <w:rsid w:val="00E53EE0"/>
    <w:rsid w:val="00E53F47"/>
    <w:rsid w:val="00E53F90"/>
    <w:rsid w:val="00E53FFC"/>
    <w:rsid w:val="00E54046"/>
    <w:rsid w:val="00E54071"/>
    <w:rsid w:val="00E540DB"/>
    <w:rsid w:val="00E5410E"/>
    <w:rsid w:val="00E5413A"/>
    <w:rsid w:val="00E54173"/>
    <w:rsid w:val="00E541A6"/>
    <w:rsid w:val="00E541D5"/>
    <w:rsid w:val="00E543E7"/>
    <w:rsid w:val="00E543EC"/>
    <w:rsid w:val="00E545CC"/>
    <w:rsid w:val="00E5469D"/>
    <w:rsid w:val="00E546EC"/>
    <w:rsid w:val="00E54700"/>
    <w:rsid w:val="00E5471B"/>
    <w:rsid w:val="00E54720"/>
    <w:rsid w:val="00E54734"/>
    <w:rsid w:val="00E54840"/>
    <w:rsid w:val="00E5487A"/>
    <w:rsid w:val="00E548B3"/>
    <w:rsid w:val="00E54945"/>
    <w:rsid w:val="00E5494D"/>
    <w:rsid w:val="00E54960"/>
    <w:rsid w:val="00E549B9"/>
    <w:rsid w:val="00E54A72"/>
    <w:rsid w:val="00E54B45"/>
    <w:rsid w:val="00E54B6A"/>
    <w:rsid w:val="00E54BDD"/>
    <w:rsid w:val="00E54C1B"/>
    <w:rsid w:val="00E54C42"/>
    <w:rsid w:val="00E54C53"/>
    <w:rsid w:val="00E54D9D"/>
    <w:rsid w:val="00E54DA1"/>
    <w:rsid w:val="00E54DAD"/>
    <w:rsid w:val="00E54E2B"/>
    <w:rsid w:val="00E54E76"/>
    <w:rsid w:val="00E54E9D"/>
    <w:rsid w:val="00E54EAB"/>
    <w:rsid w:val="00E54EC2"/>
    <w:rsid w:val="00E54FE5"/>
    <w:rsid w:val="00E5503C"/>
    <w:rsid w:val="00E550A8"/>
    <w:rsid w:val="00E550C7"/>
    <w:rsid w:val="00E550F8"/>
    <w:rsid w:val="00E55149"/>
    <w:rsid w:val="00E55227"/>
    <w:rsid w:val="00E5531B"/>
    <w:rsid w:val="00E55343"/>
    <w:rsid w:val="00E5534E"/>
    <w:rsid w:val="00E55369"/>
    <w:rsid w:val="00E553DF"/>
    <w:rsid w:val="00E5541B"/>
    <w:rsid w:val="00E5542C"/>
    <w:rsid w:val="00E55483"/>
    <w:rsid w:val="00E5551E"/>
    <w:rsid w:val="00E55564"/>
    <w:rsid w:val="00E5559E"/>
    <w:rsid w:val="00E55631"/>
    <w:rsid w:val="00E5579C"/>
    <w:rsid w:val="00E5579F"/>
    <w:rsid w:val="00E557E3"/>
    <w:rsid w:val="00E557EB"/>
    <w:rsid w:val="00E5585A"/>
    <w:rsid w:val="00E5588E"/>
    <w:rsid w:val="00E558B1"/>
    <w:rsid w:val="00E558B8"/>
    <w:rsid w:val="00E55A07"/>
    <w:rsid w:val="00E55A45"/>
    <w:rsid w:val="00E55B64"/>
    <w:rsid w:val="00E55BB8"/>
    <w:rsid w:val="00E55BF0"/>
    <w:rsid w:val="00E55BF9"/>
    <w:rsid w:val="00E55C15"/>
    <w:rsid w:val="00E55C31"/>
    <w:rsid w:val="00E55C6A"/>
    <w:rsid w:val="00E55D70"/>
    <w:rsid w:val="00E55D71"/>
    <w:rsid w:val="00E55E5C"/>
    <w:rsid w:val="00E55EA7"/>
    <w:rsid w:val="00E55EDD"/>
    <w:rsid w:val="00E55F87"/>
    <w:rsid w:val="00E55FCF"/>
    <w:rsid w:val="00E560A0"/>
    <w:rsid w:val="00E561C0"/>
    <w:rsid w:val="00E56240"/>
    <w:rsid w:val="00E56283"/>
    <w:rsid w:val="00E563A3"/>
    <w:rsid w:val="00E56446"/>
    <w:rsid w:val="00E56500"/>
    <w:rsid w:val="00E56550"/>
    <w:rsid w:val="00E56561"/>
    <w:rsid w:val="00E5656E"/>
    <w:rsid w:val="00E56659"/>
    <w:rsid w:val="00E56675"/>
    <w:rsid w:val="00E56688"/>
    <w:rsid w:val="00E566A2"/>
    <w:rsid w:val="00E56742"/>
    <w:rsid w:val="00E56747"/>
    <w:rsid w:val="00E56779"/>
    <w:rsid w:val="00E56799"/>
    <w:rsid w:val="00E567F1"/>
    <w:rsid w:val="00E56845"/>
    <w:rsid w:val="00E56869"/>
    <w:rsid w:val="00E5686C"/>
    <w:rsid w:val="00E56924"/>
    <w:rsid w:val="00E56951"/>
    <w:rsid w:val="00E56B00"/>
    <w:rsid w:val="00E56B9F"/>
    <w:rsid w:val="00E56BE1"/>
    <w:rsid w:val="00E56C16"/>
    <w:rsid w:val="00E56C70"/>
    <w:rsid w:val="00E56C7D"/>
    <w:rsid w:val="00E56DE6"/>
    <w:rsid w:val="00E56E17"/>
    <w:rsid w:val="00E56E9F"/>
    <w:rsid w:val="00E56EB8"/>
    <w:rsid w:val="00E56EE2"/>
    <w:rsid w:val="00E56F10"/>
    <w:rsid w:val="00E56F7A"/>
    <w:rsid w:val="00E56FB5"/>
    <w:rsid w:val="00E571C2"/>
    <w:rsid w:val="00E571F1"/>
    <w:rsid w:val="00E57200"/>
    <w:rsid w:val="00E57246"/>
    <w:rsid w:val="00E572CC"/>
    <w:rsid w:val="00E572CF"/>
    <w:rsid w:val="00E572E7"/>
    <w:rsid w:val="00E5733E"/>
    <w:rsid w:val="00E57398"/>
    <w:rsid w:val="00E573D7"/>
    <w:rsid w:val="00E57426"/>
    <w:rsid w:val="00E57439"/>
    <w:rsid w:val="00E5743E"/>
    <w:rsid w:val="00E57485"/>
    <w:rsid w:val="00E574BC"/>
    <w:rsid w:val="00E57629"/>
    <w:rsid w:val="00E576B3"/>
    <w:rsid w:val="00E57753"/>
    <w:rsid w:val="00E57790"/>
    <w:rsid w:val="00E577CB"/>
    <w:rsid w:val="00E577F2"/>
    <w:rsid w:val="00E57811"/>
    <w:rsid w:val="00E5783E"/>
    <w:rsid w:val="00E578C3"/>
    <w:rsid w:val="00E57A48"/>
    <w:rsid w:val="00E57A7E"/>
    <w:rsid w:val="00E57AE9"/>
    <w:rsid w:val="00E57B19"/>
    <w:rsid w:val="00E57B1F"/>
    <w:rsid w:val="00E57B53"/>
    <w:rsid w:val="00E57BBD"/>
    <w:rsid w:val="00E57C46"/>
    <w:rsid w:val="00E57C67"/>
    <w:rsid w:val="00E57DEA"/>
    <w:rsid w:val="00E57F10"/>
    <w:rsid w:val="00E57FAD"/>
    <w:rsid w:val="00E57FD2"/>
    <w:rsid w:val="00E60126"/>
    <w:rsid w:val="00E60250"/>
    <w:rsid w:val="00E6027F"/>
    <w:rsid w:val="00E60288"/>
    <w:rsid w:val="00E60295"/>
    <w:rsid w:val="00E602D1"/>
    <w:rsid w:val="00E60311"/>
    <w:rsid w:val="00E60326"/>
    <w:rsid w:val="00E60398"/>
    <w:rsid w:val="00E60410"/>
    <w:rsid w:val="00E60590"/>
    <w:rsid w:val="00E605FE"/>
    <w:rsid w:val="00E6065E"/>
    <w:rsid w:val="00E606B8"/>
    <w:rsid w:val="00E60721"/>
    <w:rsid w:val="00E60763"/>
    <w:rsid w:val="00E607C0"/>
    <w:rsid w:val="00E60810"/>
    <w:rsid w:val="00E60825"/>
    <w:rsid w:val="00E6085A"/>
    <w:rsid w:val="00E6097B"/>
    <w:rsid w:val="00E6097E"/>
    <w:rsid w:val="00E60A9A"/>
    <w:rsid w:val="00E60B15"/>
    <w:rsid w:val="00E60B53"/>
    <w:rsid w:val="00E60BBE"/>
    <w:rsid w:val="00E60C1E"/>
    <w:rsid w:val="00E60C52"/>
    <w:rsid w:val="00E60CAE"/>
    <w:rsid w:val="00E60CCC"/>
    <w:rsid w:val="00E60E0C"/>
    <w:rsid w:val="00E60E7B"/>
    <w:rsid w:val="00E60FB1"/>
    <w:rsid w:val="00E61030"/>
    <w:rsid w:val="00E61052"/>
    <w:rsid w:val="00E61058"/>
    <w:rsid w:val="00E61073"/>
    <w:rsid w:val="00E61083"/>
    <w:rsid w:val="00E610BD"/>
    <w:rsid w:val="00E61229"/>
    <w:rsid w:val="00E6130D"/>
    <w:rsid w:val="00E61319"/>
    <w:rsid w:val="00E613A8"/>
    <w:rsid w:val="00E61403"/>
    <w:rsid w:val="00E61427"/>
    <w:rsid w:val="00E61429"/>
    <w:rsid w:val="00E615AE"/>
    <w:rsid w:val="00E615E8"/>
    <w:rsid w:val="00E615FB"/>
    <w:rsid w:val="00E61648"/>
    <w:rsid w:val="00E6169F"/>
    <w:rsid w:val="00E6172A"/>
    <w:rsid w:val="00E6174F"/>
    <w:rsid w:val="00E61769"/>
    <w:rsid w:val="00E617A9"/>
    <w:rsid w:val="00E61806"/>
    <w:rsid w:val="00E61972"/>
    <w:rsid w:val="00E619AC"/>
    <w:rsid w:val="00E619EE"/>
    <w:rsid w:val="00E61A5B"/>
    <w:rsid w:val="00E61AD0"/>
    <w:rsid w:val="00E61B0E"/>
    <w:rsid w:val="00E61BC0"/>
    <w:rsid w:val="00E61C02"/>
    <w:rsid w:val="00E61C4E"/>
    <w:rsid w:val="00E61D3E"/>
    <w:rsid w:val="00E61DF1"/>
    <w:rsid w:val="00E61EF7"/>
    <w:rsid w:val="00E61F29"/>
    <w:rsid w:val="00E61F59"/>
    <w:rsid w:val="00E6209B"/>
    <w:rsid w:val="00E6209D"/>
    <w:rsid w:val="00E620D1"/>
    <w:rsid w:val="00E62126"/>
    <w:rsid w:val="00E62151"/>
    <w:rsid w:val="00E62210"/>
    <w:rsid w:val="00E6221A"/>
    <w:rsid w:val="00E622FF"/>
    <w:rsid w:val="00E6233A"/>
    <w:rsid w:val="00E62354"/>
    <w:rsid w:val="00E62364"/>
    <w:rsid w:val="00E623BB"/>
    <w:rsid w:val="00E623BF"/>
    <w:rsid w:val="00E624B3"/>
    <w:rsid w:val="00E624D1"/>
    <w:rsid w:val="00E624E0"/>
    <w:rsid w:val="00E624E1"/>
    <w:rsid w:val="00E62509"/>
    <w:rsid w:val="00E62590"/>
    <w:rsid w:val="00E625D0"/>
    <w:rsid w:val="00E625F3"/>
    <w:rsid w:val="00E625FC"/>
    <w:rsid w:val="00E62617"/>
    <w:rsid w:val="00E62670"/>
    <w:rsid w:val="00E626D5"/>
    <w:rsid w:val="00E626E2"/>
    <w:rsid w:val="00E62704"/>
    <w:rsid w:val="00E62739"/>
    <w:rsid w:val="00E62754"/>
    <w:rsid w:val="00E62788"/>
    <w:rsid w:val="00E6279F"/>
    <w:rsid w:val="00E627B4"/>
    <w:rsid w:val="00E62816"/>
    <w:rsid w:val="00E628E8"/>
    <w:rsid w:val="00E6295F"/>
    <w:rsid w:val="00E62962"/>
    <w:rsid w:val="00E62A3A"/>
    <w:rsid w:val="00E62A78"/>
    <w:rsid w:val="00E62AC1"/>
    <w:rsid w:val="00E62B62"/>
    <w:rsid w:val="00E62BA9"/>
    <w:rsid w:val="00E62C1D"/>
    <w:rsid w:val="00E62C50"/>
    <w:rsid w:val="00E62C66"/>
    <w:rsid w:val="00E62C6F"/>
    <w:rsid w:val="00E62C9D"/>
    <w:rsid w:val="00E62D66"/>
    <w:rsid w:val="00E62DED"/>
    <w:rsid w:val="00E62E91"/>
    <w:rsid w:val="00E62ED1"/>
    <w:rsid w:val="00E62ED7"/>
    <w:rsid w:val="00E62F49"/>
    <w:rsid w:val="00E62FDD"/>
    <w:rsid w:val="00E62FE2"/>
    <w:rsid w:val="00E62FFF"/>
    <w:rsid w:val="00E6300D"/>
    <w:rsid w:val="00E63014"/>
    <w:rsid w:val="00E630A7"/>
    <w:rsid w:val="00E63135"/>
    <w:rsid w:val="00E63202"/>
    <w:rsid w:val="00E6321E"/>
    <w:rsid w:val="00E63228"/>
    <w:rsid w:val="00E63240"/>
    <w:rsid w:val="00E632EC"/>
    <w:rsid w:val="00E63492"/>
    <w:rsid w:val="00E634E4"/>
    <w:rsid w:val="00E634F7"/>
    <w:rsid w:val="00E63544"/>
    <w:rsid w:val="00E63599"/>
    <w:rsid w:val="00E635A5"/>
    <w:rsid w:val="00E6362A"/>
    <w:rsid w:val="00E636A0"/>
    <w:rsid w:val="00E6373C"/>
    <w:rsid w:val="00E63750"/>
    <w:rsid w:val="00E637F7"/>
    <w:rsid w:val="00E63869"/>
    <w:rsid w:val="00E63914"/>
    <w:rsid w:val="00E639D9"/>
    <w:rsid w:val="00E639EA"/>
    <w:rsid w:val="00E63A59"/>
    <w:rsid w:val="00E63B1C"/>
    <w:rsid w:val="00E63B78"/>
    <w:rsid w:val="00E63C79"/>
    <w:rsid w:val="00E63E40"/>
    <w:rsid w:val="00E63E6F"/>
    <w:rsid w:val="00E63EC9"/>
    <w:rsid w:val="00E63F06"/>
    <w:rsid w:val="00E63F50"/>
    <w:rsid w:val="00E63FA3"/>
    <w:rsid w:val="00E64130"/>
    <w:rsid w:val="00E641E7"/>
    <w:rsid w:val="00E6422A"/>
    <w:rsid w:val="00E64238"/>
    <w:rsid w:val="00E6425A"/>
    <w:rsid w:val="00E642AD"/>
    <w:rsid w:val="00E644D4"/>
    <w:rsid w:val="00E644FA"/>
    <w:rsid w:val="00E64546"/>
    <w:rsid w:val="00E64568"/>
    <w:rsid w:val="00E64592"/>
    <w:rsid w:val="00E64597"/>
    <w:rsid w:val="00E645BD"/>
    <w:rsid w:val="00E645BE"/>
    <w:rsid w:val="00E64651"/>
    <w:rsid w:val="00E64658"/>
    <w:rsid w:val="00E64664"/>
    <w:rsid w:val="00E6466A"/>
    <w:rsid w:val="00E64672"/>
    <w:rsid w:val="00E646DE"/>
    <w:rsid w:val="00E6473F"/>
    <w:rsid w:val="00E647C2"/>
    <w:rsid w:val="00E647C4"/>
    <w:rsid w:val="00E647C7"/>
    <w:rsid w:val="00E64895"/>
    <w:rsid w:val="00E648FF"/>
    <w:rsid w:val="00E64997"/>
    <w:rsid w:val="00E64A2D"/>
    <w:rsid w:val="00E64A5D"/>
    <w:rsid w:val="00E64AC9"/>
    <w:rsid w:val="00E64AFD"/>
    <w:rsid w:val="00E64B58"/>
    <w:rsid w:val="00E64B9F"/>
    <w:rsid w:val="00E64BDC"/>
    <w:rsid w:val="00E64C6B"/>
    <w:rsid w:val="00E64DA7"/>
    <w:rsid w:val="00E64EE4"/>
    <w:rsid w:val="00E64F52"/>
    <w:rsid w:val="00E64FC6"/>
    <w:rsid w:val="00E64FC9"/>
    <w:rsid w:val="00E64FD8"/>
    <w:rsid w:val="00E65060"/>
    <w:rsid w:val="00E65062"/>
    <w:rsid w:val="00E65064"/>
    <w:rsid w:val="00E65087"/>
    <w:rsid w:val="00E650BB"/>
    <w:rsid w:val="00E650CB"/>
    <w:rsid w:val="00E65115"/>
    <w:rsid w:val="00E65198"/>
    <w:rsid w:val="00E65200"/>
    <w:rsid w:val="00E65210"/>
    <w:rsid w:val="00E65212"/>
    <w:rsid w:val="00E65277"/>
    <w:rsid w:val="00E6532E"/>
    <w:rsid w:val="00E65355"/>
    <w:rsid w:val="00E6546D"/>
    <w:rsid w:val="00E654B4"/>
    <w:rsid w:val="00E6557D"/>
    <w:rsid w:val="00E65587"/>
    <w:rsid w:val="00E65619"/>
    <w:rsid w:val="00E65629"/>
    <w:rsid w:val="00E6587F"/>
    <w:rsid w:val="00E65890"/>
    <w:rsid w:val="00E6594E"/>
    <w:rsid w:val="00E65997"/>
    <w:rsid w:val="00E659AB"/>
    <w:rsid w:val="00E659EF"/>
    <w:rsid w:val="00E65A2B"/>
    <w:rsid w:val="00E65A38"/>
    <w:rsid w:val="00E65A91"/>
    <w:rsid w:val="00E65B42"/>
    <w:rsid w:val="00E65B87"/>
    <w:rsid w:val="00E65BA3"/>
    <w:rsid w:val="00E65BE5"/>
    <w:rsid w:val="00E65DD2"/>
    <w:rsid w:val="00E65E46"/>
    <w:rsid w:val="00E65E6C"/>
    <w:rsid w:val="00E65E8A"/>
    <w:rsid w:val="00E65F1F"/>
    <w:rsid w:val="00E65F2A"/>
    <w:rsid w:val="00E66097"/>
    <w:rsid w:val="00E6615E"/>
    <w:rsid w:val="00E66217"/>
    <w:rsid w:val="00E6621A"/>
    <w:rsid w:val="00E66220"/>
    <w:rsid w:val="00E662B6"/>
    <w:rsid w:val="00E662ED"/>
    <w:rsid w:val="00E663DD"/>
    <w:rsid w:val="00E6643F"/>
    <w:rsid w:val="00E66441"/>
    <w:rsid w:val="00E6649A"/>
    <w:rsid w:val="00E664B1"/>
    <w:rsid w:val="00E6651C"/>
    <w:rsid w:val="00E6655B"/>
    <w:rsid w:val="00E6656A"/>
    <w:rsid w:val="00E66622"/>
    <w:rsid w:val="00E6664A"/>
    <w:rsid w:val="00E666E6"/>
    <w:rsid w:val="00E666F5"/>
    <w:rsid w:val="00E66711"/>
    <w:rsid w:val="00E6672D"/>
    <w:rsid w:val="00E667B7"/>
    <w:rsid w:val="00E66866"/>
    <w:rsid w:val="00E66956"/>
    <w:rsid w:val="00E66995"/>
    <w:rsid w:val="00E669D9"/>
    <w:rsid w:val="00E669E6"/>
    <w:rsid w:val="00E66A1D"/>
    <w:rsid w:val="00E66A28"/>
    <w:rsid w:val="00E66A3A"/>
    <w:rsid w:val="00E66A3B"/>
    <w:rsid w:val="00E66A48"/>
    <w:rsid w:val="00E66AEA"/>
    <w:rsid w:val="00E66AF4"/>
    <w:rsid w:val="00E66B51"/>
    <w:rsid w:val="00E66BD1"/>
    <w:rsid w:val="00E66BD7"/>
    <w:rsid w:val="00E66C44"/>
    <w:rsid w:val="00E66C48"/>
    <w:rsid w:val="00E66CB6"/>
    <w:rsid w:val="00E66DE6"/>
    <w:rsid w:val="00E66EBE"/>
    <w:rsid w:val="00E66F50"/>
    <w:rsid w:val="00E67010"/>
    <w:rsid w:val="00E67141"/>
    <w:rsid w:val="00E671F8"/>
    <w:rsid w:val="00E6721F"/>
    <w:rsid w:val="00E67229"/>
    <w:rsid w:val="00E672A5"/>
    <w:rsid w:val="00E672C2"/>
    <w:rsid w:val="00E672E5"/>
    <w:rsid w:val="00E6734D"/>
    <w:rsid w:val="00E6735E"/>
    <w:rsid w:val="00E67494"/>
    <w:rsid w:val="00E674D0"/>
    <w:rsid w:val="00E67581"/>
    <w:rsid w:val="00E67595"/>
    <w:rsid w:val="00E6759D"/>
    <w:rsid w:val="00E675CF"/>
    <w:rsid w:val="00E675D1"/>
    <w:rsid w:val="00E67602"/>
    <w:rsid w:val="00E6767F"/>
    <w:rsid w:val="00E67696"/>
    <w:rsid w:val="00E676DA"/>
    <w:rsid w:val="00E676F2"/>
    <w:rsid w:val="00E676FE"/>
    <w:rsid w:val="00E6771E"/>
    <w:rsid w:val="00E6772E"/>
    <w:rsid w:val="00E67746"/>
    <w:rsid w:val="00E6781E"/>
    <w:rsid w:val="00E67827"/>
    <w:rsid w:val="00E678BE"/>
    <w:rsid w:val="00E678D7"/>
    <w:rsid w:val="00E67984"/>
    <w:rsid w:val="00E67A34"/>
    <w:rsid w:val="00E67A40"/>
    <w:rsid w:val="00E67B48"/>
    <w:rsid w:val="00E67BBF"/>
    <w:rsid w:val="00E67BF4"/>
    <w:rsid w:val="00E67C02"/>
    <w:rsid w:val="00E67C5F"/>
    <w:rsid w:val="00E67CEF"/>
    <w:rsid w:val="00E67D33"/>
    <w:rsid w:val="00E67D4B"/>
    <w:rsid w:val="00E67D92"/>
    <w:rsid w:val="00E67DBF"/>
    <w:rsid w:val="00E67E17"/>
    <w:rsid w:val="00E67E34"/>
    <w:rsid w:val="00E67E7A"/>
    <w:rsid w:val="00E67EA7"/>
    <w:rsid w:val="00E67F1A"/>
    <w:rsid w:val="00E67FB2"/>
    <w:rsid w:val="00E700D1"/>
    <w:rsid w:val="00E70120"/>
    <w:rsid w:val="00E70189"/>
    <w:rsid w:val="00E7022E"/>
    <w:rsid w:val="00E7029B"/>
    <w:rsid w:val="00E703A9"/>
    <w:rsid w:val="00E70417"/>
    <w:rsid w:val="00E704B4"/>
    <w:rsid w:val="00E704CB"/>
    <w:rsid w:val="00E7052B"/>
    <w:rsid w:val="00E7052F"/>
    <w:rsid w:val="00E7058F"/>
    <w:rsid w:val="00E705C0"/>
    <w:rsid w:val="00E705FD"/>
    <w:rsid w:val="00E706C8"/>
    <w:rsid w:val="00E70778"/>
    <w:rsid w:val="00E70819"/>
    <w:rsid w:val="00E709A1"/>
    <w:rsid w:val="00E709BB"/>
    <w:rsid w:val="00E709C8"/>
    <w:rsid w:val="00E70A62"/>
    <w:rsid w:val="00E70AF3"/>
    <w:rsid w:val="00E70AF6"/>
    <w:rsid w:val="00E70B1A"/>
    <w:rsid w:val="00E70B9D"/>
    <w:rsid w:val="00E70BB0"/>
    <w:rsid w:val="00E70BE6"/>
    <w:rsid w:val="00E70CA5"/>
    <w:rsid w:val="00E70D12"/>
    <w:rsid w:val="00E70D44"/>
    <w:rsid w:val="00E70D83"/>
    <w:rsid w:val="00E70DA6"/>
    <w:rsid w:val="00E70E0C"/>
    <w:rsid w:val="00E70E5A"/>
    <w:rsid w:val="00E70EBA"/>
    <w:rsid w:val="00E70EBB"/>
    <w:rsid w:val="00E70EF4"/>
    <w:rsid w:val="00E70FBC"/>
    <w:rsid w:val="00E70FE1"/>
    <w:rsid w:val="00E7104C"/>
    <w:rsid w:val="00E7104D"/>
    <w:rsid w:val="00E71065"/>
    <w:rsid w:val="00E710A2"/>
    <w:rsid w:val="00E7112D"/>
    <w:rsid w:val="00E7135D"/>
    <w:rsid w:val="00E7138F"/>
    <w:rsid w:val="00E713AA"/>
    <w:rsid w:val="00E713B1"/>
    <w:rsid w:val="00E71419"/>
    <w:rsid w:val="00E7148B"/>
    <w:rsid w:val="00E71508"/>
    <w:rsid w:val="00E71548"/>
    <w:rsid w:val="00E71567"/>
    <w:rsid w:val="00E71636"/>
    <w:rsid w:val="00E71649"/>
    <w:rsid w:val="00E71741"/>
    <w:rsid w:val="00E717CA"/>
    <w:rsid w:val="00E718A9"/>
    <w:rsid w:val="00E718D0"/>
    <w:rsid w:val="00E718D4"/>
    <w:rsid w:val="00E718EF"/>
    <w:rsid w:val="00E718FF"/>
    <w:rsid w:val="00E7194A"/>
    <w:rsid w:val="00E719EF"/>
    <w:rsid w:val="00E71A18"/>
    <w:rsid w:val="00E71A83"/>
    <w:rsid w:val="00E71AEA"/>
    <w:rsid w:val="00E71B04"/>
    <w:rsid w:val="00E71B72"/>
    <w:rsid w:val="00E71C15"/>
    <w:rsid w:val="00E71C55"/>
    <w:rsid w:val="00E71CD6"/>
    <w:rsid w:val="00E71D57"/>
    <w:rsid w:val="00E71D95"/>
    <w:rsid w:val="00E71DAE"/>
    <w:rsid w:val="00E71EC6"/>
    <w:rsid w:val="00E71ED7"/>
    <w:rsid w:val="00E71FDC"/>
    <w:rsid w:val="00E72006"/>
    <w:rsid w:val="00E72021"/>
    <w:rsid w:val="00E72042"/>
    <w:rsid w:val="00E72072"/>
    <w:rsid w:val="00E720AC"/>
    <w:rsid w:val="00E721A4"/>
    <w:rsid w:val="00E721DA"/>
    <w:rsid w:val="00E722A2"/>
    <w:rsid w:val="00E7233F"/>
    <w:rsid w:val="00E723CB"/>
    <w:rsid w:val="00E724B8"/>
    <w:rsid w:val="00E72517"/>
    <w:rsid w:val="00E72576"/>
    <w:rsid w:val="00E72631"/>
    <w:rsid w:val="00E7267A"/>
    <w:rsid w:val="00E726B2"/>
    <w:rsid w:val="00E726D4"/>
    <w:rsid w:val="00E726E2"/>
    <w:rsid w:val="00E72719"/>
    <w:rsid w:val="00E72835"/>
    <w:rsid w:val="00E7285D"/>
    <w:rsid w:val="00E728CC"/>
    <w:rsid w:val="00E728F2"/>
    <w:rsid w:val="00E728FF"/>
    <w:rsid w:val="00E72950"/>
    <w:rsid w:val="00E7295A"/>
    <w:rsid w:val="00E72B77"/>
    <w:rsid w:val="00E72BB5"/>
    <w:rsid w:val="00E72C39"/>
    <w:rsid w:val="00E72DBC"/>
    <w:rsid w:val="00E72E9A"/>
    <w:rsid w:val="00E72EC7"/>
    <w:rsid w:val="00E72FA7"/>
    <w:rsid w:val="00E72FC0"/>
    <w:rsid w:val="00E72FFD"/>
    <w:rsid w:val="00E73045"/>
    <w:rsid w:val="00E7304D"/>
    <w:rsid w:val="00E730A6"/>
    <w:rsid w:val="00E731C5"/>
    <w:rsid w:val="00E731E4"/>
    <w:rsid w:val="00E732A7"/>
    <w:rsid w:val="00E732B8"/>
    <w:rsid w:val="00E732EA"/>
    <w:rsid w:val="00E73318"/>
    <w:rsid w:val="00E73357"/>
    <w:rsid w:val="00E7347B"/>
    <w:rsid w:val="00E73497"/>
    <w:rsid w:val="00E73558"/>
    <w:rsid w:val="00E735A0"/>
    <w:rsid w:val="00E735E8"/>
    <w:rsid w:val="00E736DE"/>
    <w:rsid w:val="00E7389C"/>
    <w:rsid w:val="00E738E2"/>
    <w:rsid w:val="00E7391B"/>
    <w:rsid w:val="00E73929"/>
    <w:rsid w:val="00E7393E"/>
    <w:rsid w:val="00E7394E"/>
    <w:rsid w:val="00E73989"/>
    <w:rsid w:val="00E739B4"/>
    <w:rsid w:val="00E73A13"/>
    <w:rsid w:val="00E73A7C"/>
    <w:rsid w:val="00E73AAE"/>
    <w:rsid w:val="00E73B29"/>
    <w:rsid w:val="00E73B99"/>
    <w:rsid w:val="00E73C32"/>
    <w:rsid w:val="00E73C4E"/>
    <w:rsid w:val="00E73C6C"/>
    <w:rsid w:val="00E73C8F"/>
    <w:rsid w:val="00E73CD2"/>
    <w:rsid w:val="00E73D36"/>
    <w:rsid w:val="00E73DAC"/>
    <w:rsid w:val="00E73E1D"/>
    <w:rsid w:val="00E73E75"/>
    <w:rsid w:val="00E73E95"/>
    <w:rsid w:val="00E73F62"/>
    <w:rsid w:val="00E73F8C"/>
    <w:rsid w:val="00E73FD8"/>
    <w:rsid w:val="00E73FE0"/>
    <w:rsid w:val="00E73FF4"/>
    <w:rsid w:val="00E74021"/>
    <w:rsid w:val="00E740A5"/>
    <w:rsid w:val="00E740FC"/>
    <w:rsid w:val="00E74149"/>
    <w:rsid w:val="00E7418B"/>
    <w:rsid w:val="00E741CA"/>
    <w:rsid w:val="00E74302"/>
    <w:rsid w:val="00E74356"/>
    <w:rsid w:val="00E74385"/>
    <w:rsid w:val="00E7441B"/>
    <w:rsid w:val="00E7447F"/>
    <w:rsid w:val="00E744AD"/>
    <w:rsid w:val="00E744D4"/>
    <w:rsid w:val="00E74562"/>
    <w:rsid w:val="00E74583"/>
    <w:rsid w:val="00E745CE"/>
    <w:rsid w:val="00E745D2"/>
    <w:rsid w:val="00E745EA"/>
    <w:rsid w:val="00E74612"/>
    <w:rsid w:val="00E74618"/>
    <w:rsid w:val="00E7464E"/>
    <w:rsid w:val="00E7466E"/>
    <w:rsid w:val="00E746B6"/>
    <w:rsid w:val="00E74839"/>
    <w:rsid w:val="00E7489A"/>
    <w:rsid w:val="00E748B3"/>
    <w:rsid w:val="00E74A15"/>
    <w:rsid w:val="00E74A44"/>
    <w:rsid w:val="00E74AC8"/>
    <w:rsid w:val="00E74AED"/>
    <w:rsid w:val="00E74AF5"/>
    <w:rsid w:val="00E74BED"/>
    <w:rsid w:val="00E74C16"/>
    <w:rsid w:val="00E74C17"/>
    <w:rsid w:val="00E74C4D"/>
    <w:rsid w:val="00E74C9F"/>
    <w:rsid w:val="00E74D06"/>
    <w:rsid w:val="00E74D7B"/>
    <w:rsid w:val="00E74E24"/>
    <w:rsid w:val="00E74E30"/>
    <w:rsid w:val="00E74E61"/>
    <w:rsid w:val="00E74F2B"/>
    <w:rsid w:val="00E74F3E"/>
    <w:rsid w:val="00E74F9B"/>
    <w:rsid w:val="00E74FA3"/>
    <w:rsid w:val="00E74FA8"/>
    <w:rsid w:val="00E75005"/>
    <w:rsid w:val="00E7500E"/>
    <w:rsid w:val="00E7508B"/>
    <w:rsid w:val="00E751CE"/>
    <w:rsid w:val="00E7520C"/>
    <w:rsid w:val="00E75211"/>
    <w:rsid w:val="00E75261"/>
    <w:rsid w:val="00E752BB"/>
    <w:rsid w:val="00E752C1"/>
    <w:rsid w:val="00E7532C"/>
    <w:rsid w:val="00E7545E"/>
    <w:rsid w:val="00E75471"/>
    <w:rsid w:val="00E75479"/>
    <w:rsid w:val="00E754C9"/>
    <w:rsid w:val="00E754FB"/>
    <w:rsid w:val="00E75501"/>
    <w:rsid w:val="00E7552E"/>
    <w:rsid w:val="00E755BB"/>
    <w:rsid w:val="00E755C9"/>
    <w:rsid w:val="00E7564C"/>
    <w:rsid w:val="00E75656"/>
    <w:rsid w:val="00E756E4"/>
    <w:rsid w:val="00E7571D"/>
    <w:rsid w:val="00E757B0"/>
    <w:rsid w:val="00E757B1"/>
    <w:rsid w:val="00E758EF"/>
    <w:rsid w:val="00E75918"/>
    <w:rsid w:val="00E7591A"/>
    <w:rsid w:val="00E7595E"/>
    <w:rsid w:val="00E75A89"/>
    <w:rsid w:val="00E75AA5"/>
    <w:rsid w:val="00E75AD6"/>
    <w:rsid w:val="00E75ADA"/>
    <w:rsid w:val="00E75B8B"/>
    <w:rsid w:val="00E75C46"/>
    <w:rsid w:val="00E75CDC"/>
    <w:rsid w:val="00E75CFB"/>
    <w:rsid w:val="00E75E00"/>
    <w:rsid w:val="00E75E85"/>
    <w:rsid w:val="00E75EB6"/>
    <w:rsid w:val="00E75EF3"/>
    <w:rsid w:val="00E75FFF"/>
    <w:rsid w:val="00E76010"/>
    <w:rsid w:val="00E7608E"/>
    <w:rsid w:val="00E760BC"/>
    <w:rsid w:val="00E76128"/>
    <w:rsid w:val="00E7615E"/>
    <w:rsid w:val="00E761F6"/>
    <w:rsid w:val="00E76252"/>
    <w:rsid w:val="00E76263"/>
    <w:rsid w:val="00E762A1"/>
    <w:rsid w:val="00E762FA"/>
    <w:rsid w:val="00E76332"/>
    <w:rsid w:val="00E763A6"/>
    <w:rsid w:val="00E763AE"/>
    <w:rsid w:val="00E763C6"/>
    <w:rsid w:val="00E763F0"/>
    <w:rsid w:val="00E7640A"/>
    <w:rsid w:val="00E76417"/>
    <w:rsid w:val="00E76473"/>
    <w:rsid w:val="00E7649A"/>
    <w:rsid w:val="00E764BB"/>
    <w:rsid w:val="00E765B3"/>
    <w:rsid w:val="00E76659"/>
    <w:rsid w:val="00E767B5"/>
    <w:rsid w:val="00E768CC"/>
    <w:rsid w:val="00E768E7"/>
    <w:rsid w:val="00E76924"/>
    <w:rsid w:val="00E7692F"/>
    <w:rsid w:val="00E76957"/>
    <w:rsid w:val="00E769C0"/>
    <w:rsid w:val="00E76A4E"/>
    <w:rsid w:val="00E76C3A"/>
    <w:rsid w:val="00E76C44"/>
    <w:rsid w:val="00E76C79"/>
    <w:rsid w:val="00E76D89"/>
    <w:rsid w:val="00E76E3A"/>
    <w:rsid w:val="00E76EA6"/>
    <w:rsid w:val="00E76EF7"/>
    <w:rsid w:val="00E76F1C"/>
    <w:rsid w:val="00E76F92"/>
    <w:rsid w:val="00E77067"/>
    <w:rsid w:val="00E7706A"/>
    <w:rsid w:val="00E770C6"/>
    <w:rsid w:val="00E77123"/>
    <w:rsid w:val="00E7712F"/>
    <w:rsid w:val="00E77165"/>
    <w:rsid w:val="00E7717A"/>
    <w:rsid w:val="00E7722F"/>
    <w:rsid w:val="00E77247"/>
    <w:rsid w:val="00E772D1"/>
    <w:rsid w:val="00E77300"/>
    <w:rsid w:val="00E7730A"/>
    <w:rsid w:val="00E7739A"/>
    <w:rsid w:val="00E773BC"/>
    <w:rsid w:val="00E77480"/>
    <w:rsid w:val="00E774C4"/>
    <w:rsid w:val="00E77540"/>
    <w:rsid w:val="00E7758F"/>
    <w:rsid w:val="00E7760D"/>
    <w:rsid w:val="00E7771A"/>
    <w:rsid w:val="00E77770"/>
    <w:rsid w:val="00E7778F"/>
    <w:rsid w:val="00E77803"/>
    <w:rsid w:val="00E7785B"/>
    <w:rsid w:val="00E77901"/>
    <w:rsid w:val="00E7793A"/>
    <w:rsid w:val="00E7796F"/>
    <w:rsid w:val="00E77AED"/>
    <w:rsid w:val="00E77B06"/>
    <w:rsid w:val="00E77C18"/>
    <w:rsid w:val="00E77C4E"/>
    <w:rsid w:val="00E77CB3"/>
    <w:rsid w:val="00E77CF1"/>
    <w:rsid w:val="00E77D4A"/>
    <w:rsid w:val="00E77D56"/>
    <w:rsid w:val="00E77DDB"/>
    <w:rsid w:val="00E77EC3"/>
    <w:rsid w:val="00E77EE1"/>
    <w:rsid w:val="00E77EED"/>
    <w:rsid w:val="00E77F62"/>
    <w:rsid w:val="00E77F76"/>
    <w:rsid w:val="00E77FCD"/>
    <w:rsid w:val="00E77FD3"/>
    <w:rsid w:val="00E7B215"/>
    <w:rsid w:val="00E80023"/>
    <w:rsid w:val="00E8012D"/>
    <w:rsid w:val="00E80136"/>
    <w:rsid w:val="00E80169"/>
    <w:rsid w:val="00E80253"/>
    <w:rsid w:val="00E802AC"/>
    <w:rsid w:val="00E8031B"/>
    <w:rsid w:val="00E803DF"/>
    <w:rsid w:val="00E803FC"/>
    <w:rsid w:val="00E80465"/>
    <w:rsid w:val="00E804EC"/>
    <w:rsid w:val="00E804F4"/>
    <w:rsid w:val="00E804F5"/>
    <w:rsid w:val="00E80503"/>
    <w:rsid w:val="00E8050D"/>
    <w:rsid w:val="00E8051B"/>
    <w:rsid w:val="00E8057D"/>
    <w:rsid w:val="00E80592"/>
    <w:rsid w:val="00E80710"/>
    <w:rsid w:val="00E80742"/>
    <w:rsid w:val="00E808F5"/>
    <w:rsid w:val="00E80944"/>
    <w:rsid w:val="00E80953"/>
    <w:rsid w:val="00E809B6"/>
    <w:rsid w:val="00E80A1A"/>
    <w:rsid w:val="00E80A7C"/>
    <w:rsid w:val="00E80A8D"/>
    <w:rsid w:val="00E80AA6"/>
    <w:rsid w:val="00E80ACA"/>
    <w:rsid w:val="00E80B68"/>
    <w:rsid w:val="00E80BA3"/>
    <w:rsid w:val="00E80BA9"/>
    <w:rsid w:val="00E80C5E"/>
    <w:rsid w:val="00E80C85"/>
    <w:rsid w:val="00E80CB0"/>
    <w:rsid w:val="00E80CFB"/>
    <w:rsid w:val="00E80DAB"/>
    <w:rsid w:val="00E80DF3"/>
    <w:rsid w:val="00E80EFB"/>
    <w:rsid w:val="00E80F09"/>
    <w:rsid w:val="00E80F56"/>
    <w:rsid w:val="00E81055"/>
    <w:rsid w:val="00E81165"/>
    <w:rsid w:val="00E8118E"/>
    <w:rsid w:val="00E81194"/>
    <w:rsid w:val="00E81265"/>
    <w:rsid w:val="00E8126B"/>
    <w:rsid w:val="00E8132C"/>
    <w:rsid w:val="00E8145C"/>
    <w:rsid w:val="00E81463"/>
    <w:rsid w:val="00E814DA"/>
    <w:rsid w:val="00E81516"/>
    <w:rsid w:val="00E8151A"/>
    <w:rsid w:val="00E81561"/>
    <w:rsid w:val="00E81597"/>
    <w:rsid w:val="00E815C6"/>
    <w:rsid w:val="00E815D1"/>
    <w:rsid w:val="00E815E9"/>
    <w:rsid w:val="00E81656"/>
    <w:rsid w:val="00E816A2"/>
    <w:rsid w:val="00E816D3"/>
    <w:rsid w:val="00E816F9"/>
    <w:rsid w:val="00E8183B"/>
    <w:rsid w:val="00E81862"/>
    <w:rsid w:val="00E81893"/>
    <w:rsid w:val="00E819D9"/>
    <w:rsid w:val="00E819F8"/>
    <w:rsid w:val="00E81A0B"/>
    <w:rsid w:val="00E81A28"/>
    <w:rsid w:val="00E81A3C"/>
    <w:rsid w:val="00E81B22"/>
    <w:rsid w:val="00E81B36"/>
    <w:rsid w:val="00E81C09"/>
    <w:rsid w:val="00E81C0C"/>
    <w:rsid w:val="00E81C2B"/>
    <w:rsid w:val="00E81CD3"/>
    <w:rsid w:val="00E81E57"/>
    <w:rsid w:val="00E81E72"/>
    <w:rsid w:val="00E81F22"/>
    <w:rsid w:val="00E81F8C"/>
    <w:rsid w:val="00E81FC2"/>
    <w:rsid w:val="00E82006"/>
    <w:rsid w:val="00E82026"/>
    <w:rsid w:val="00E8203A"/>
    <w:rsid w:val="00E8208C"/>
    <w:rsid w:val="00E821A3"/>
    <w:rsid w:val="00E82359"/>
    <w:rsid w:val="00E82397"/>
    <w:rsid w:val="00E823CB"/>
    <w:rsid w:val="00E823CC"/>
    <w:rsid w:val="00E82407"/>
    <w:rsid w:val="00E8248E"/>
    <w:rsid w:val="00E824EA"/>
    <w:rsid w:val="00E825F8"/>
    <w:rsid w:val="00E8268A"/>
    <w:rsid w:val="00E826BD"/>
    <w:rsid w:val="00E82726"/>
    <w:rsid w:val="00E827B8"/>
    <w:rsid w:val="00E827C7"/>
    <w:rsid w:val="00E827F9"/>
    <w:rsid w:val="00E82869"/>
    <w:rsid w:val="00E82927"/>
    <w:rsid w:val="00E829E5"/>
    <w:rsid w:val="00E82A43"/>
    <w:rsid w:val="00E82A59"/>
    <w:rsid w:val="00E82A97"/>
    <w:rsid w:val="00E82B8C"/>
    <w:rsid w:val="00E82D1D"/>
    <w:rsid w:val="00E82D52"/>
    <w:rsid w:val="00E82DEB"/>
    <w:rsid w:val="00E82E0A"/>
    <w:rsid w:val="00E82E6B"/>
    <w:rsid w:val="00E82F65"/>
    <w:rsid w:val="00E82F67"/>
    <w:rsid w:val="00E82FD8"/>
    <w:rsid w:val="00E830DB"/>
    <w:rsid w:val="00E830FF"/>
    <w:rsid w:val="00E83102"/>
    <w:rsid w:val="00E831FA"/>
    <w:rsid w:val="00E8324C"/>
    <w:rsid w:val="00E8326E"/>
    <w:rsid w:val="00E833CF"/>
    <w:rsid w:val="00E833E4"/>
    <w:rsid w:val="00E83573"/>
    <w:rsid w:val="00E835E2"/>
    <w:rsid w:val="00E836CB"/>
    <w:rsid w:val="00E836D3"/>
    <w:rsid w:val="00E836F4"/>
    <w:rsid w:val="00E83716"/>
    <w:rsid w:val="00E83744"/>
    <w:rsid w:val="00E8377A"/>
    <w:rsid w:val="00E837A0"/>
    <w:rsid w:val="00E837CE"/>
    <w:rsid w:val="00E8380A"/>
    <w:rsid w:val="00E83872"/>
    <w:rsid w:val="00E83922"/>
    <w:rsid w:val="00E83A75"/>
    <w:rsid w:val="00E83A7A"/>
    <w:rsid w:val="00E83AAE"/>
    <w:rsid w:val="00E83ADA"/>
    <w:rsid w:val="00E83AF8"/>
    <w:rsid w:val="00E83B6D"/>
    <w:rsid w:val="00E83C42"/>
    <w:rsid w:val="00E83C4A"/>
    <w:rsid w:val="00E83C4B"/>
    <w:rsid w:val="00E83CDC"/>
    <w:rsid w:val="00E83CE6"/>
    <w:rsid w:val="00E83D2D"/>
    <w:rsid w:val="00E83E34"/>
    <w:rsid w:val="00E83EDC"/>
    <w:rsid w:val="00E83F10"/>
    <w:rsid w:val="00E83F29"/>
    <w:rsid w:val="00E83F82"/>
    <w:rsid w:val="00E83FC4"/>
    <w:rsid w:val="00E84015"/>
    <w:rsid w:val="00E84040"/>
    <w:rsid w:val="00E8409E"/>
    <w:rsid w:val="00E840D7"/>
    <w:rsid w:val="00E84236"/>
    <w:rsid w:val="00E84263"/>
    <w:rsid w:val="00E842D6"/>
    <w:rsid w:val="00E842F1"/>
    <w:rsid w:val="00E842F6"/>
    <w:rsid w:val="00E84388"/>
    <w:rsid w:val="00E843F4"/>
    <w:rsid w:val="00E84404"/>
    <w:rsid w:val="00E844B6"/>
    <w:rsid w:val="00E8454C"/>
    <w:rsid w:val="00E845A2"/>
    <w:rsid w:val="00E845CA"/>
    <w:rsid w:val="00E846D3"/>
    <w:rsid w:val="00E846F2"/>
    <w:rsid w:val="00E84808"/>
    <w:rsid w:val="00E848C2"/>
    <w:rsid w:val="00E84965"/>
    <w:rsid w:val="00E84969"/>
    <w:rsid w:val="00E8496D"/>
    <w:rsid w:val="00E849DD"/>
    <w:rsid w:val="00E849E3"/>
    <w:rsid w:val="00E84A5E"/>
    <w:rsid w:val="00E84AD3"/>
    <w:rsid w:val="00E84B44"/>
    <w:rsid w:val="00E84BCA"/>
    <w:rsid w:val="00E84C03"/>
    <w:rsid w:val="00E84C05"/>
    <w:rsid w:val="00E84C96"/>
    <w:rsid w:val="00E84D1E"/>
    <w:rsid w:val="00E84D23"/>
    <w:rsid w:val="00E84E6B"/>
    <w:rsid w:val="00E84FF5"/>
    <w:rsid w:val="00E84FFA"/>
    <w:rsid w:val="00E85117"/>
    <w:rsid w:val="00E85163"/>
    <w:rsid w:val="00E851A0"/>
    <w:rsid w:val="00E851AB"/>
    <w:rsid w:val="00E8520D"/>
    <w:rsid w:val="00E85294"/>
    <w:rsid w:val="00E852A1"/>
    <w:rsid w:val="00E853C7"/>
    <w:rsid w:val="00E85420"/>
    <w:rsid w:val="00E854E4"/>
    <w:rsid w:val="00E8553E"/>
    <w:rsid w:val="00E85588"/>
    <w:rsid w:val="00E85598"/>
    <w:rsid w:val="00E855D8"/>
    <w:rsid w:val="00E8564F"/>
    <w:rsid w:val="00E856F2"/>
    <w:rsid w:val="00E856F6"/>
    <w:rsid w:val="00E857B0"/>
    <w:rsid w:val="00E857E4"/>
    <w:rsid w:val="00E85800"/>
    <w:rsid w:val="00E85817"/>
    <w:rsid w:val="00E8583B"/>
    <w:rsid w:val="00E85891"/>
    <w:rsid w:val="00E858BD"/>
    <w:rsid w:val="00E85A8A"/>
    <w:rsid w:val="00E85AAE"/>
    <w:rsid w:val="00E85B7D"/>
    <w:rsid w:val="00E85BE2"/>
    <w:rsid w:val="00E85CA6"/>
    <w:rsid w:val="00E85CB3"/>
    <w:rsid w:val="00E85D13"/>
    <w:rsid w:val="00E85D30"/>
    <w:rsid w:val="00E85DA3"/>
    <w:rsid w:val="00E85DBB"/>
    <w:rsid w:val="00E85E9F"/>
    <w:rsid w:val="00E85F2D"/>
    <w:rsid w:val="00E85FF3"/>
    <w:rsid w:val="00E86100"/>
    <w:rsid w:val="00E861F5"/>
    <w:rsid w:val="00E861FA"/>
    <w:rsid w:val="00E86228"/>
    <w:rsid w:val="00E8627C"/>
    <w:rsid w:val="00E86281"/>
    <w:rsid w:val="00E86307"/>
    <w:rsid w:val="00E86402"/>
    <w:rsid w:val="00E86452"/>
    <w:rsid w:val="00E864DA"/>
    <w:rsid w:val="00E864E3"/>
    <w:rsid w:val="00E86573"/>
    <w:rsid w:val="00E865A6"/>
    <w:rsid w:val="00E865B5"/>
    <w:rsid w:val="00E8660F"/>
    <w:rsid w:val="00E86615"/>
    <w:rsid w:val="00E86631"/>
    <w:rsid w:val="00E86649"/>
    <w:rsid w:val="00E866C3"/>
    <w:rsid w:val="00E866EC"/>
    <w:rsid w:val="00E867F5"/>
    <w:rsid w:val="00E86829"/>
    <w:rsid w:val="00E86836"/>
    <w:rsid w:val="00E868C7"/>
    <w:rsid w:val="00E86916"/>
    <w:rsid w:val="00E86924"/>
    <w:rsid w:val="00E86A10"/>
    <w:rsid w:val="00E86B4D"/>
    <w:rsid w:val="00E86BF0"/>
    <w:rsid w:val="00E86BFE"/>
    <w:rsid w:val="00E86C11"/>
    <w:rsid w:val="00E86C13"/>
    <w:rsid w:val="00E86CC1"/>
    <w:rsid w:val="00E86E24"/>
    <w:rsid w:val="00E86EC9"/>
    <w:rsid w:val="00E86EE6"/>
    <w:rsid w:val="00E86FA4"/>
    <w:rsid w:val="00E87028"/>
    <w:rsid w:val="00E87064"/>
    <w:rsid w:val="00E87081"/>
    <w:rsid w:val="00E8709A"/>
    <w:rsid w:val="00E870AE"/>
    <w:rsid w:val="00E870D6"/>
    <w:rsid w:val="00E870F2"/>
    <w:rsid w:val="00E870F5"/>
    <w:rsid w:val="00E8720B"/>
    <w:rsid w:val="00E873B5"/>
    <w:rsid w:val="00E873F8"/>
    <w:rsid w:val="00E874B3"/>
    <w:rsid w:val="00E87757"/>
    <w:rsid w:val="00E877A0"/>
    <w:rsid w:val="00E8790C"/>
    <w:rsid w:val="00E8792D"/>
    <w:rsid w:val="00E87962"/>
    <w:rsid w:val="00E879C2"/>
    <w:rsid w:val="00E879C7"/>
    <w:rsid w:val="00E87A0B"/>
    <w:rsid w:val="00E87A69"/>
    <w:rsid w:val="00E87A99"/>
    <w:rsid w:val="00E87ACC"/>
    <w:rsid w:val="00E87AD3"/>
    <w:rsid w:val="00E87C19"/>
    <w:rsid w:val="00E87C1B"/>
    <w:rsid w:val="00E87C8F"/>
    <w:rsid w:val="00E87D4B"/>
    <w:rsid w:val="00E87E42"/>
    <w:rsid w:val="00E87E70"/>
    <w:rsid w:val="00E87EE3"/>
    <w:rsid w:val="00E87F38"/>
    <w:rsid w:val="00E87FD9"/>
    <w:rsid w:val="00E87FED"/>
    <w:rsid w:val="00E8938D"/>
    <w:rsid w:val="00E90025"/>
    <w:rsid w:val="00E900AB"/>
    <w:rsid w:val="00E900E9"/>
    <w:rsid w:val="00E9016D"/>
    <w:rsid w:val="00E901F6"/>
    <w:rsid w:val="00E9020F"/>
    <w:rsid w:val="00E9021F"/>
    <w:rsid w:val="00E9029E"/>
    <w:rsid w:val="00E9032B"/>
    <w:rsid w:val="00E9034C"/>
    <w:rsid w:val="00E9037B"/>
    <w:rsid w:val="00E90398"/>
    <w:rsid w:val="00E90414"/>
    <w:rsid w:val="00E9049E"/>
    <w:rsid w:val="00E90565"/>
    <w:rsid w:val="00E90651"/>
    <w:rsid w:val="00E90719"/>
    <w:rsid w:val="00E90895"/>
    <w:rsid w:val="00E908C7"/>
    <w:rsid w:val="00E908D4"/>
    <w:rsid w:val="00E90921"/>
    <w:rsid w:val="00E9093A"/>
    <w:rsid w:val="00E909C9"/>
    <w:rsid w:val="00E909D0"/>
    <w:rsid w:val="00E90A03"/>
    <w:rsid w:val="00E90A15"/>
    <w:rsid w:val="00E90A80"/>
    <w:rsid w:val="00E90A94"/>
    <w:rsid w:val="00E90ADE"/>
    <w:rsid w:val="00E90BDE"/>
    <w:rsid w:val="00E90C0A"/>
    <w:rsid w:val="00E90C12"/>
    <w:rsid w:val="00E90C40"/>
    <w:rsid w:val="00E90C64"/>
    <w:rsid w:val="00E90CDB"/>
    <w:rsid w:val="00E90D70"/>
    <w:rsid w:val="00E90D7B"/>
    <w:rsid w:val="00E90D9A"/>
    <w:rsid w:val="00E90DB0"/>
    <w:rsid w:val="00E90E08"/>
    <w:rsid w:val="00E90E1E"/>
    <w:rsid w:val="00E90E47"/>
    <w:rsid w:val="00E90E5B"/>
    <w:rsid w:val="00E90E67"/>
    <w:rsid w:val="00E90E95"/>
    <w:rsid w:val="00E90ECD"/>
    <w:rsid w:val="00E90ED0"/>
    <w:rsid w:val="00E90EF0"/>
    <w:rsid w:val="00E90EF6"/>
    <w:rsid w:val="00E90FCD"/>
    <w:rsid w:val="00E91078"/>
    <w:rsid w:val="00E91083"/>
    <w:rsid w:val="00E910A7"/>
    <w:rsid w:val="00E910DE"/>
    <w:rsid w:val="00E9120A"/>
    <w:rsid w:val="00E91236"/>
    <w:rsid w:val="00E91245"/>
    <w:rsid w:val="00E912C4"/>
    <w:rsid w:val="00E91323"/>
    <w:rsid w:val="00E9133B"/>
    <w:rsid w:val="00E91366"/>
    <w:rsid w:val="00E913CA"/>
    <w:rsid w:val="00E91416"/>
    <w:rsid w:val="00E91489"/>
    <w:rsid w:val="00E9148D"/>
    <w:rsid w:val="00E9150B"/>
    <w:rsid w:val="00E9153A"/>
    <w:rsid w:val="00E91563"/>
    <w:rsid w:val="00E915C9"/>
    <w:rsid w:val="00E915FD"/>
    <w:rsid w:val="00E91649"/>
    <w:rsid w:val="00E91671"/>
    <w:rsid w:val="00E916D0"/>
    <w:rsid w:val="00E916E0"/>
    <w:rsid w:val="00E91776"/>
    <w:rsid w:val="00E9177B"/>
    <w:rsid w:val="00E917B1"/>
    <w:rsid w:val="00E917C3"/>
    <w:rsid w:val="00E9187D"/>
    <w:rsid w:val="00E918B8"/>
    <w:rsid w:val="00E918F9"/>
    <w:rsid w:val="00E91972"/>
    <w:rsid w:val="00E919A2"/>
    <w:rsid w:val="00E919C3"/>
    <w:rsid w:val="00E91A95"/>
    <w:rsid w:val="00E91AAA"/>
    <w:rsid w:val="00E91AB5"/>
    <w:rsid w:val="00E91AEF"/>
    <w:rsid w:val="00E91C76"/>
    <w:rsid w:val="00E91CA5"/>
    <w:rsid w:val="00E91D15"/>
    <w:rsid w:val="00E91D69"/>
    <w:rsid w:val="00E91E45"/>
    <w:rsid w:val="00E91EB3"/>
    <w:rsid w:val="00E91EE6"/>
    <w:rsid w:val="00E91FD7"/>
    <w:rsid w:val="00E91FD8"/>
    <w:rsid w:val="00E91FE6"/>
    <w:rsid w:val="00E92117"/>
    <w:rsid w:val="00E92158"/>
    <w:rsid w:val="00E9218C"/>
    <w:rsid w:val="00E92197"/>
    <w:rsid w:val="00E921BD"/>
    <w:rsid w:val="00E9221F"/>
    <w:rsid w:val="00E9226D"/>
    <w:rsid w:val="00E9228A"/>
    <w:rsid w:val="00E922AD"/>
    <w:rsid w:val="00E922BF"/>
    <w:rsid w:val="00E922D2"/>
    <w:rsid w:val="00E92316"/>
    <w:rsid w:val="00E92326"/>
    <w:rsid w:val="00E923D0"/>
    <w:rsid w:val="00E924E2"/>
    <w:rsid w:val="00E92584"/>
    <w:rsid w:val="00E925BA"/>
    <w:rsid w:val="00E925D2"/>
    <w:rsid w:val="00E92612"/>
    <w:rsid w:val="00E92647"/>
    <w:rsid w:val="00E92678"/>
    <w:rsid w:val="00E92682"/>
    <w:rsid w:val="00E92706"/>
    <w:rsid w:val="00E92730"/>
    <w:rsid w:val="00E927D6"/>
    <w:rsid w:val="00E927D7"/>
    <w:rsid w:val="00E92810"/>
    <w:rsid w:val="00E92831"/>
    <w:rsid w:val="00E92851"/>
    <w:rsid w:val="00E92888"/>
    <w:rsid w:val="00E928C1"/>
    <w:rsid w:val="00E92922"/>
    <w:rsid w:val="00E9293F"/>
    <w:rsid w:val="00E92976"/>
    <w:rsid w:val="00E9299D"/>
    <w:rsid w:val="00E92A3A"/>
    <w:rsid w:val="00E92ADA"/>
    <w:rsid w:val="00E92B54"/>
    <w:rsid w:val="00E92BD8"/>
    <w:rsid w:val="00E92C01"/>
    <w:rsid w:val="00E92C63"/>
    <w:rsid w:val="00E92CD6"/>
    <w:rsid w:val="00E92CE4"/>
    <w:rsid w:val="00E92D0A"/>
    <w:rsid w:val="00E92D16"/>
    <w:rsid w:val="00E92D73"/>
    <w:rsid w:val="00E92D77"/>
    <w:rsid w:val="00E92D87"/>
    <w:rsid w:val="00E92DEE"/>
    <w:rsid w:val="00E92DF8"/>
    <w:rsid w:val="00E92E87"/>
    <w:rsid w:val="00E92E94"/>
    <w:rsid w:val="00E92F15"/>
    <w:rsid w:val="00E92F7A"/>
    <w:rsid w:val="00E93049"/>
    <w:rsid w:val="00E93050"/>
    <w:rsid w:val="00E930A4"/>
    <w:rsid w:val="00E930C3"/>
    <w:rsid w:val="00E9310D"/>
    <w:rsid w:val="00E931E2"/>
    <w:rsid w:val="00E9323E"/>
    <w:rsid w:val="00E93261"/>
    <w:rsid w:val="00E932FF"/>
    <w:rsid w:val="00E9330F"/>
    <w:rsid w:val="00E93323"/>
    <w:rsid w:val="00E93330"/>
    <w:rsid w:val="00E93352"/>
    <w:rsid w:val="00E93385"/>
    <w:rsid w:val="00E93397"/>
    <w:rsid w:val="00E93446"/>
    <w:rsid w:val="00E934CE"/>
    <w:rsid w:val="00E934E0"/>
    <w:rsid w:val="00E93559"/>
    <w:rsid w:val="00E93630"/>
    <w:rsid w:val="00E93688"/>
    <w:rsid w:val="00E936C7"/>
    <w:rsid w:val="00E936CF"/>
    <w:rsid w:val="00E93744"/>
    <w:rsid w:val="00E9374C"/>
    <w:rsid w:val="00E9376F"/>
    <w:rsid w:val="00E937ED"/>
    <w:rsid w:val="00E93827"/>
    <w:rsid w:val="00E93882"/>
    <w:rsid w:val="00E93885"/>
    <w:rsid w:val="00E938DF"/>
    <w:rsid w:val="00E938EB"/>
    <w:rsid w:val="00E93902"/>
    <w:rsid w:val="00E93904"/>
    <w:rsid w:val="00E93910"/>
    <w:rsid w:val="00E93940"/>
    <w:rsid w:val="00E9397F"/>
    <w:rsid w:val="00E939AB"/>
    <w:rsid w:val="00E93A93"/>
    <w:rsid w:val="00E93B53"/>
    <w:rsid w:val="00E93C13"/>
    <w:rsid w:val="00E93C73"/>
    <w:rsid w:val="00E93C77"/>
    <w:rsid w:val="00E93D15"/>
    <w:rsid w:val="00E93D19"/>
    <w:rsid w:val="00E93E15"/>
    <w:rsid w:val="00E93E37"/>
    <w:rsid w:val="00E93E7D"/>
    <w:rsid w:val="00E93E81"/>
    <w:rsid w:val="00E93EE9"/>
    <w:rsid w:val="00E93F07"/>
    <w:rsid w:val="00E93F46"/>
    <w:rsid w:val="00E93F49"/>
    <w:rsid w:val="00E93F4B"/>
    <w:rsid w:val="00E93FDE"/>
    <w:rsid w:val="00E940BA"/>
    <w:rsid w:val="00E94179"/>
    <w:rsid w:val="00E9417D"/>
    <w:rsid w:val="00E941AB"/>
    <w:rsid w:val="00E94215"/>
    <w:rsid w:val="00E94268"/>
    <w:rsid w:val="00E94292"/>
    <w:rsid w:val="00E942A2"/>
    <w:rsid w:val="00E94336"/>
    <w:rsid w:val="00E9433A"/>
    <w:rsid w:val="00E94344"/>
    <w:rsid w:val="00E9434A"/>
    <w:rsid w:val="00E9436D"/>
    <w:rsid w:val="00E9440E"/>
    <w:rsid w:val="00E94435"/>
    <w:rsid w:val="00E94445"/>
    <w:rsid w:val="00E94546"/>
    <w:rsid w:val="00E94598"/>
    <w:rsid w:val="00E945D9"/>
    <w:rsid w:val="00E9469F"/>
    <w:rsid w:val="00E946CF"/>
    <w:rsid w:val="00E946D1"/>
    <w:rsid w:val="00E947A5"/>
    <w:rsid w:val="00E94842"/>
    <w:rsid w:val="00E94985"/>
    <w:rsid w:val="00E949D4"/>
    <w:rsid w:val="00E94A68"/>
    <w:rsid w:val="00E94A86"/>
    <w:rsid w:val="00E94BB9"/>
    <w:rsid w:val="00E94BBA"/>
    <w:rsid w:val="00E94C0D"/>
    <w:rsid w:val="00E94C31"/>
    <w:rsid w:val="00E94C5E"/>
    <w:rsid w:val="00E94CC5"/>
    <w:rsid w:val="00E94CF2"/>
    <w:rsid w:val="00E94ECD"/>
    <w:rsid w:val="00E94F06"/>
    <w:rsid w:val="00E94F10"/>
    <w:rsid w:val="00E94FC1"/>
    <w:rsid w:val="00E95015"/>
    <w:rsid w:val="00E9529A"/>
    <w:rsid w:val="00E952A9"/>
    <w:rsid w:val="00E952D4"/>
    <w:rsid w:val="00E952EA"/>
    <w:rsid w:val="00E9535F"/>
    <w:rsid w:val="00E95367"/>
    <w:rsid w:val="00E95451"/>
    <w:rsid w:val="00E954A9"/>
    <w:rsid w:val="00E954BD"/>
    <w:rsid w:val="00E954F4"/>
    <w:rsid w:val="00E95518"/>
    <w:rsid w:val="00E9554B"/>
    <w:rsid w:val="00E9564A"/>
    <w:rsid w:val="00E9568F"/>
    <w:rsid w:val="00E95720"/>
    <w:rsid w:val="00E9573A"/>
    <w:rsid w:val="00E957C4"/>
    <w:rsid w:val="00E957EC"/>
    <w:rsid w:val="00E95882"/>
    <w:rsid w:val="00E958D1"/>
    <w:rsid w:val="00E958DD"/>
    <w:rsid w:val="00E958E2"/>
    <w:rsid w:val="00E95962"/>
    <w:rsid w:val="00E959B6"/>
    <w:rsid w:val="00E959CE"/>
    <w:rsid w:val="00E95A77"/>
    <w:rsid w:val="00E95B16"/>
    <w:rsid w:val="00E95B43"/>
    <w:rsid w:val="00E95B48"/>
    <w:rsid w:val="00E95BB6"/>
    <w:rsid w:val="00E95BD1"/>
    <w:rsid w:val="00E95BD7"/>
    <w:rsid w:val="00E95C39"/>
    <w:rsid w:val="00E95CA4"/>
    <w:rsid w:val="00E95CA5"/>
    <w:rsid w:val="00E95CBC"/>
    <w:rsid w:val="00E95CF9"/>
    <w:rsid w:val="00E95CFE"/>
    <w:rsid w:val="00E95D0D"/>
    <w:rsid w:val="00E95D84"/>
    <w:rsid w:val="00E95DA5"/>
    <w:rsid w:val="00E95E53"/>
    <w:rsid w:val="00E95E56"/>
    <w:rsid w:val="00E95F8A"/>
    <w:rsid w:val="00E96089"/>
    <w:rsid w:val="00E960AB"/>
    <w:rsid w:val="00E9613C"/>
    <w:rsid w:val="00E96157"/>
    <w:rsid w:val="00E96170"/>
    <w:rsid w:val="00E9617F"/>
    <w:rsid w:val="00E96355"/>
    <w:rsid w:val="00E9638D"/>
    <w:rsid w:val="00E963BA"/>
    <w:rsid w:val="00E96433"/>
    <w:rsid w:val="00E9647D"/>
    <w:rsid w:val="00E96516"/>
    <w:rsid w:val="00E9655D"/>
    <w:rsid w:val="00E96713"/>
    <w:rsid w:val="00E96716"/>
    <w:rsid w:val="00E96720"/>
    <w:rsid w:val="00E96780"/>
    <w:rsid w:val="00E96782"/>
    <w:rsid w:val="00E967C5"/>
    <w:rsid w:val="00E967ED"/>
    <w:rsid w:val="00E9684F"/>
    <w:rsid w:val="00E96871"/>
    <w:rsid w:val="00E968A9"/>
    <w:rsid w:val="00E968F3"/>
    <w:rsid w:val="00E96956"/>
    <w:rsid w:val="00E969AA"/>
    <w:rsid w:val="00E96A0B"/>
    <w:rsid w:val="00E96A3F"/>
    <w:rsid w:val="00E96AD2"/>
    <w:rsid w:val="00E96B38"/>
    <w:rsid w:val="00E96D2E"/>
    <w:rsid w:val="00E96D7B"/>
    <w:rsid w:val="00E96E15"/>
    <w:rsid w:val="00E96E3E"/>
    <w:rsid w:val="00E96E50"/>
    <w:rsid w:val="00E96EAB"/>
    <w:rsid w:val="00E96ECB"/>
    <w:rsid w:val="00E96ED7"/>
    <w:rsid w:val="00E96F80"/>
    <w:rsid w:val="00E96FA5"/>
    <w:rsid w:val="00E97043"/>
    <w:rsid w:val="00E97190"/>
    <w:rsid w:val="00E971AA"/>
    <w:rsid w:val="00E971FE"/>
    <w:rsid w:val="00E97228"/>
    <w:rsid w:val="00E97257"/>
    <w:rsid w:val="00E97265"/>
    <w:rsid w:val="00E972C5"/>
    <w:rsid w:val="00E972FF"/>
    <w:rsid w:val="00E97405"/>
    <w:rsid w:val="00E97432"/>
    <w:rsid w:val="00E97436"/>
    <w:rsid w:val="00E974B0"/>
    <w:rsid w:val="00E974C2"/>
    <w:rsid w:val="00E974F8"/>
    <w:rsid w:val="00E97656"/>
    <w:rsid w:val="00E976F5"/>
    <w:rsid w:val="00E9773D"/>
    <w:rsid w:val="00E978C2"/>
    <w:rsid w:val="00E978CA"/>
    <w:rsid w:val="00E97919"/>
    <w:rsid w:val="00E97929"/>
    <w:rsid w:val="00E97982"/>
    <w:rsid w:val="00E979D1"/>
    <w:rsid w:val="00E97A4F"/>
    <w:rsid w:val="00E97AE6"/>
    <w:rsid w:val="00E97B4B"/>
    <w:rsid w:val="00E97BF2"/>
    <w:rsid w:val="00E97C77"/>
    <w:rsid w:val="00E97CA4"/>
    <w:rsid w:val="00E97CD3"/>
    <w:rsid w:val="00E97CEB"/>
    <w:rsid w:val="00E97D3E"/>
    <w:rsid w:val="00E97D4E"/>
    <w:rsid w:val="00E97D93"/>
    <w:rsid w:val="00E97E15"/>
    <w:rsid w:val="00E97ECF"/>
    <w:rsid w:val="00E97F9E"/>
    <w:rsid w:val="00E97FCC"/>
    <w:rsid w:val="00EA0018"/>
    <w:rsid w:val="00EA008B"/>
    <w:rsid w:val="00EA01F4"/>
    <w:rsid w:val="00EA0209"/>
    <w:rsid w:val="00EA026C"/>
    <w:rsid w:val="00EA02F9"/>
    <w:rsid w:val="00EA0367"/>
    <w:rsid w:val="00EA0396"/>
    <w:rsid w:val="00EA03EB"/>
    <w:rsid w:val="00EA04BF"/>
    <w:rsid w:val="00EA04C8"/>
    <w:rsid w:val="00EA0560"/>
    <w:rsid w:val="00EA0577"/>
    <w:rsid w:val="00EA058E"/>
    <w:rsid w:val="00EA05D6"/>
    <w:rsid w:val="00EA05EC"/>
    <w:rsid w:val="00EA05F6"/>
    <w:rsid w:val="00EA063B"/>
    <w:rsid w:val="00EA06AA"/>
    <w:rsid w:val="00EA06B6"/>
    <w:rsid w:val="00EA06EB"/>
    <w:rsid w:val="00EA0795"/>
    <w:rsid w:val="00EA086E"/>
    <w:rsid w:val="00EA0927"/>
    <w:rsid w:val="00EA0942"/>
    <w:rsid w:val="00EA096D"/>
    <w:rsid w:val="00EA0976"/>
    <w:rsid w:val="00EA09DF"/>
    <w:rsid w:val="00EA0B14"/>
    <w:rsid w:val="00EA0B2E"/>
    <w:rsid w:val="00EA0B9E"/>
    <w:rsid w:val="00EA0C34"/>
    <w:rsid w:val="00EA0C4B"/>
    <w:rsid w:val="00EA0C84"/>
    <w:rsid w:val="00EA0CE3"/>
    <w:rsid w:val="00EA0D4C"/>
    <w:rsid w:val="00EA0D62"/>
    <w:rsid w:val="00EA0D70"/>
    <w:rsid w:val="00EA0DCE"/>
    <w:rsid w:val="00EA0E16"/>
    <w:rsid w:val="00EA0EDF"/>
    <w:rsid w:val="00EA1036"/>
    <w:rsid w:val="00EA1040"/>
    <w:rsid w:val="00EA10CB"/>
    <w:rsid w:val="00EA1105"/>
    <w:rsid w:val="00EA11A5"/>
    <w:rsid w:val="00EA11C7"/>
    <w:rsid w:val="00EA11D6"/>
    <w:rsid w:val="00EA11EB"/>
    <w:rsid w:val="00EA129F"/>
    <w:rsid w:val="00EA1354"/>
    <w:rsid w:val="00EA13BF"/>
    <w:rsid w:val="00EA13CC"/>
    <w:rsid w:val="00EA13E0"/>
    <w:rsid w:val="00EA1441"/>
    <w:rsid w:val="00EA1447"/>
    <w:rsid w:val="00EA15EB"/>
    <w:rsid w:val="00EA1626"/>
    <w:rsid w:val="00EA1664"/>
    <w:rsid w:val="00EA168D"/>
    <w:rsid w:val="00EA1795"/>
    <w:rsid w:val="00EA181D"/>
    <w:rsid w:val="00EA188C"/>
    <w:rsid w:val="00EA189E"/>
    <w:rsid w:val="00EA192D"/>
    <w:rsid w:val="00EA19A1"/>
    <w:rsid w:val="00EA1A1E"/>
    <w:rsid w:val="00EA1A37"/>
    <w:rsid w:val="00EA1A61"/>
    <w:rsid w:val="00EA1A81"/>
    <w:rsid w:val="00EA1AE9"/>
    <w:rsid w:val="00EA1AF5"/>
    <w:rsid w:val="00EA1BB2"/>
    <w:rsid w:val="00EA1BFB"/>
    <w:rsid w:val="00EA1C06"/>
    <w:rsid w:val="00EA1C09"/>
    <w:rsid w:val="00EA1C4E"/>
    <w:rsid w:val="00EA1CAC"/>
    <w:rsid w:val="00EA1CC5"/>
    <w:rsid w:val="00EA1E30"/>
    <w:rsid w:val="00EA1EC2"/>
    <w:rsid w:val="00EA1F82"/>
    <w:rsid w:val="00EA2099"/>
    <w:rsid w:val="00EA209D"/>
    <w:rsid w:val="00EA21B6"/>
    <w:rsid w:val="00EA2290"/>
    <w:rsid w:val="00EA22A0"/>
    <w:rsid w:val="00EA22CA"/>
    <w:rsid w:val="00EA231F"/>
    <w:rsid w:val="00EA2320"/>
    <w:rsid w:val="00EA237C"/>
    <w:rsid w:val="00EA23A9"/>
    <w:rsid w:val="00EA23F3"/>
    <w:rsid w:val="00EA2466"/>
    <w:rsid w:val="00EA24E2"/>
    <w:rsid w:val="00EA24E5"/>
    <w:rsid w:val="00EA2500"/>
    <w:rsid w:val="00EA258F"/>
    <w:rsid w:val="00EA25C6"/>
    <w:rsid w:val="00EA25D5"/>
    <w:rsid w:val="00EA2620"/>
    <w:rsid w:val="00EA2649"/>
    <w:rsid w:val="00EA26D4"/>
    <w:rsid w:val="00EA272D"/>
    <w:rsid w:val="00EA2738"/>
    <w:rsid w:val="00EA27A0"/>
    <w:rsid w:val="00EA27AD"/>
    <w:rsid w:val="00EA27F5"/>
    <w:rsid w:val="00EA2813"/>
    <w:rsid w:val="00EA289D"/>
    <w:rsid w:val="00EA2917"/>
    <w:rsid w:val="00EA2979"/>
    <w:rsid w:val="00EA298B"/>
    <w:rsid w:val="00EA2A6C"/>
    <w:rsid w:val="00EA2B41"/>
    <w:rsid w:val="00EA2B42"/>
    <w:rsid w:val="00EA2BC4"/>
    <w:rsid w:val="00EA2BCC"/>
    <w:rsid w:val="00EA2BFF"/>
    <w:rsid w:val="00EA2C06"/>
    <w:rsid w:val="00EA2C81"/>
    <w:rsid w:val="00EA2CDE"/>
    <w:rsid w:val="00EA2D9B"/>
    <w:rsid w:val="00EA2DAD"/>
    <w:rsid w:val="00EA2E93"/>
    <w:rsid w:val="00EA2FB1"/>
    <w:rsid w:val="00EA3007"/>
    <w:rsid w:val="00EA301A"/>
    <w:rsid w:val="00EA30FB"/>
    <w:rsid w:val="00EA3114"/>
    <w:rsid w:val="00EA3118"/>
    <w:rsid w:val="00EA3189"/>
    <w:rsid w:val="00EA31A8"/>
    <w:rsid w:val="00EA31C0"/>
    <w:rsid w:val="00EA324B"/>
    <w:rsid w:val="00EA32D0"/>
    <w:rsid w:val="00EA332C"/>
    <w:rsid w:val="00EA3353"/>
    <w:rsid w:val="00EA3401"/>
    <w:rsid w:val="00EA3429"/>
    <w:rsid w:val="00EA349E"/>
    <w:rsid w:val="00EA35B3"/>
    <w:rsid w:val="00EA360A"/>
    <w:rsid w:val="00EA3619"/>
    <w:rsid w:val="00EA3670"/>
    <w:rsid w:val="00EA36B5"/>
    <w:rsid w:val="00EA36BB"/>
    <w:rsid w:val="00EA36BF"/>
    <w:rsid w:val="00EA36CA"/>
    <w:rsid w:val="00EA3704"/>
    <w:rsid w:val="00EA37BC"/>
    <w:rsid w:val="00EA3812"/>
    <w:rsid w:val="00EA38A6"/>
    <w:rsid w:val="00EA38AA"/>
    <w:rsid w:val="00EA39CF"/>
    <w:rsid w:val="00EA3A89"/>
    <w:rsid w:val="00EA3AC2"/>
    <w:rsid w:val="00EA3B11"/>
    <w:rsid w:val="00EA3B35"/>
    <w:rsid w:val="00EA3B39"/>
    <w:rsid w:val="00EA3B4F"/>
    <w:rsid w:val="00EA3BA6"/>
    <w:rsid w:val="00EA3C2B"/>
    <w:rsid w:val="00EA3C63"/>
    <w:rsid w:val="00EA3C87"/>
    <w:rsid w:val="00EA3D97"/>
    <w:rsid w:val="00EA3D9B"/>
    <w:rsid w:val="00EA3DC3"/>
    <w:rsid w:val="00EA3DE0"/>
    <w:rsid w:val="00EA3DE4"/>
    <w:rsid w:val="00EA3E0B"/>
    <w:rsid w:val="00EA3EEC"/>
    <w:rsid w:val="00EA4051"/>
    <w:rsid w:val="00EA4061"/>
    <w:rsid w:val="00EA40CB"/>
    <w:rsid w:val="00EA4146"/>
    <w:rsid w:val="00EA4172"/>
    <w:rsid w:val="00EA41B7"/>
    <w:rsid w:val="00EA4227"/>
    <w:rsid w:val="00EA43E6"/>
    <w:rsid w:val="00EA4418"/>
    <w:rsid w:val="00EA444A"/>
    <w:rsid w:val="00EA4513"/>
    <w:rsid w:val="00EA45E0"/>
    <w:rsid w:val="00EA45EE"/>
    <w:rsid w:val="00EA4619"/>
    <w:rsid w:val="00EA4620"/>
    <w:rsid w:val="00EA4635"/>
    <w:rsid w:val="00EA46F2"/>
    <w:rsid w:val="00EA470C"/>
    <w:rsid w:val="00EA4764"/>
    <w:rsid w:val="00EA4798"/>
    <w:rsid w:val="00EA47A3"/>
    <w:rsid w:val="00EA480B"/>
    <w:rsid w:val="00EA487D"/>
    <w:rsid w:val="00EA4890"/>
    <w:rsid w:val="00EA4915"/>
    <w:rsid w:val="00EA4994"/>
    <w:rsid w:val="00EA49A6"/>
    <w:rsid w:val="00EA49F8"/>
    <w:rsid w:val="00EA4A12"/>
    <w:rsid w:val="00EA4A39"/>
    <w:rsid w:val="00EA4A3E"/>
    <w:rsid w:val="00EA4A70"/>
    <w:rsid w:val="00EA4A99"/>
    <w:rsid w:val="00EA4A9C"/>
    <w:rsid w:val="00EA4BCB"/>
    <w:rsid w:val="00EA4BE2"/>
    <w:rsid w:val="00EA4BFC"/>
    <w:rsid w:val="00EA4C16"/>
    <w:rsid w:val="00EA4C46"/>
    <w:rsid w:val="00EA4C4A"/>
    <w:rsid w:val="00EA4C69"/>
    <w:rsid w:val="00EA4C75"/>
    <w:rsid w:val="00EA4CDD"/>
    <w:rsid w:val="00EA4D25"/>
    <w:rsid w:val="00EA4D8D"/>
    <w:rsid w:val="00EA4DAF"/>
    <w:rsid w:val="00EA4DB6"/>
    <w:rsid w:val="00EA4E0D"/>
    <w:rsid w:val="00EA4E20"/>
    <w:rsid w:val="00EA4EB5"/>
    <w:rsid w:val="00EA4F76"/>
    <w:rsid w:val="00EA4F84"/>
    <w:rsid w:val="00EA4FAF"/>
    <w:rsid w:val="00EA4FC7"/>
    <w:rsid w:val="00EA5074"/>
    <w:rsid w:val="00EA508E"/>
    <w:rsid w:val="00EA509B"/>
    <w:rsid w:val="00EA50AE"/>
    <w:rsid w:val="00EA5178"/>
    <w:rsid w:val="00EA5200"/>
    <w:rsid w:val="00EA5206"/>
    <w:rsid w:val="00EA522B"/>
    <w:rsid w:val="00EA5313"/>
    <w:rsid w:val="00EA537A"/>
    <w:rsid w:val="00EA53D8"/>
    <w:rsid w:val="00EA5420"/>
    <w:rsid w:val="00EA54A1"/>
    <w:rsid w:val="00EA54EB"/>
    <w:rsid w:val="00EA550A"/>
    <w:rsid w:val="00EA5621"/>
    <w:rsid w:val="00EA567B"/>
    <w:rsid w:val="00EA5688"/>
    <w:rsid w:val="00EA56B9"/>
    <w:rsid w:val="00EA56D8"/>
    <w:rsid w:val="00EA5755"/>
    <w:rsid w:val="00EA57F0"/>
    <w:rsid w:val="00EA583C"/>
    <w:rsid w:val="00EA5854"/>
    <w:rsid w:val="00EA586F"/>
    <w:rsid w:val="00EA5943"/>
    <w:rsid w:val="00EA59C7"/>
    <w:rsid w:val="00EA59EE"/>
    <w:rsid w:val="00EA5A8F"/>
    <w:rsid w:val="00EA5B09"/>
    <w:rsid w:val="00EA5B0F"/>
    <w:rsid w:val="00EA5B37"/>
    <w:rsid w:val="00EA5B46"/>
    <w:rsid w:val="00EA5C4B"/>
    <w:rsid w:val="00EA5CEA"/>
    <w:rsid w:val="00EA5D95"/>
    <w:rsid w:val="00EA5DEA"/>
    <w:rsid w:val="00EA5E2D"/>
    <w:rsid w:val="00EA5E30"/>
    <w:rsid w:val="00EA5F17"/>
    <w:rsid w:val="00EA5F7C"/>
    <w:rsid w:val="00EA5F95"/>
    <w:rsid w:val="00EA5FCC"/>
    <w:rsid w:val="00EA60A9"/>
    <w:rsid w:val="00EA60DC"/>
    <w:rsid w:val="00EA6128"/>
    <w:rsid w:val="00EA6175"/>
    <w:rsid w:val="00EA6179"/>
    <w:rsid w:val="00EA61CE"/>
    <w:rsid w:val="00EA62C4"/>
    <w:rsid w:val="00EA62C7"/>
    <w:rsid w:val="00EA62D8"/>
    <w:rsid w:val="00EA634A"/>
    <w:rsid w:val="00EA6573"/>
    <w:rsid w:val="00EA66B3"/>
    <w:rsid w:val="00EA66FC"/>
    <w:rsid w:val="00EA6717"/>
    <w:rsid w:val="00EA6754"/>
    <w:rsid w:val="00EA6777"/>
    <w:rsid w:val="00EA683D"/>
    <w:rsid w:val="00EA6864"/>
    <w:rsid w:val="00EA68C4"/>
    <w:rsid w:val="00EA69C7"/>
    <w:rsid w:val="00EA69CC"/>
    <w:rsid w:val="00EA6AA6"/>
    <w:rsid w:val="00EA6B11"/>
    <w:rsid w:val="00EA6C52"/>
    <w:rsid w:val="00EA6CAE"/>
    <w:rsid w:val="00EA6CCA"/>
    <w:rsid w:val="00EA6CD3"/>
    <w:rsid w:val="00EA6D3B"/>
    <w:rsid w:val="00EA6D85"/>
    <w:rsid w:val="00EA6DB3"/>
    <w:rsid w:val="00EA6EDA"/>
    <w:rsid w:val="00EA6F8A"/>
    <w:rsid w:val="00EA6FAA"/>
    <w:rsid w:val="00EA6FDC"/>
    <w:rsid w:val="00EA6FF3"/>
    <w:rsid w:val="00EA702F"/>
    <w:rsid w:val="00EA70B8"/>
    <w:rsid w:val="00EA70BA"/>
    <w:rsid w:val="00EA70E5"/>
    <w:rsid w:val="00EA7133"/>
    <w:rsid w:val="00EA7203"/>
    <w:rsid w:val="00EA7231"/>
    <w:rsid w:val="00EA7250"/>
    <w:rsid w:val="00EA72A2"/>
    <w:rsid w:val="00EA72EB"/>
    <w:rsid w:val="00EA7304"/>
    <w:rsid w:val="00EA732E"/>
    <w:rsid w:val="00EA73F0"/>
    <w:rsid w:val="00EA743E"/>
    <w:rsid w:val="00EA74A0"/>
    <w:rsid w:val="00EA750A"/>
    <w:rsid w:val="00EA7561"/>
    <w:rsid w:val="00EA75CA"/>
    <w:rsid w:val="00EA7600"/>
    <w:rsid w:val="00EA762F"/>
    <w:rsid w:val="00EA7687"/>
    <w:rsid w:val="00EA76FC"/>
    <w:rsid w:val="00EA7703"/>
    <w:rsid w:val="00EA7904"/>
    <w:rsid w:val="00EA7929"/>
    <w:rsid w:val="00EA79DE"/>
    <w:rsid w:val="00EA7A12"/>
    <w:rsid w:val="00EA7AEB"/>
    <w:rsid w:val="00EA7B09"/>
    <w:rsid w:val="00EA7B26"/>
    <w:rsid w:val="00EA7BF7"/>
    <w:rsid w:val="00EA7C0C"/>
    <w:rsid w:val="00EA7C93"/>
    <w:rsid w:val="00EA7CC2"/>
    <w:rsid w:val="00EA7CF3"/>
    <w:rsid w:val="00EA7D98"/>
    <w:rsid w:val="00EA7DA4"/>
    <w:rsid w:val="00EA7E79"/>
    <w:rsid w:val="00EA7EC1"/>
    <w:rsid w:val="00EA7EE6"/>
    <w:rsid w:val="00EA7EFB"/>
    <w:rsid w:val="00EA7F4F"/>
    <w:rsid w:val="00EA7F72"/>
    <w:rsid w:val="00EA7FB9"/>
    <w:rsid w:val="00EB00C9"/>
    <w:rsid w:val="00EB0180"/>
    <w:rsid w:val="00EB0305"/>
    <w:rsid w:val="00EB0354"/>
    <w:rsid w:val="00EB042B"/>
    <w:rsid w:val="00EB0531"/>
    <w:rsid w:val="00EB055F"/>
    <w:rsid w:val="00EB057F"/>
    <w:rsid w:val="00EB05E9"/>
    <w:rsid w:val="00EB06F9"/>
    <w:rsid w:val="00EB080C"/>
    <w:rsid w:val="00EB0853"/>
    <w:rsid w:val="00EB099D"/>
    <w:rsid w:val="00EB09EE"/>
    <w:rsid w:val="00EB0A13"/>
    <w:rsid w:val="00EB0A56"/>
    <w:rsid w:val="00EB0AF8"/>
    <w:rsid w:val="00EB0B33"/>
    <w:rsid w:val="00EB0D02"/>
    <w:rsid w:val="00EB0D05"/>
    <w:rsid w:val="00EB0D13"/>
    <w:rsid w:val="00EB0DC9"/>
    <w:rsid w:val="00EB0E75"/>
    <w:rsid w:val="00EB0F79"/>
    <w:rsid w:val="00EB1036"/>
    <w:rsid w:val="00EB1045"/>
    <w:rsid w:val="00EB1051"/>
    <w:rsid w:val="00EB1076"/>
    <w:rsid w:val="00EB110E"/>
    <w:rsid w:val="00EB1110"/>
    <w:rsid w:val="00EB111C"/>
    <w:rsid w:val="00EB117E"/>
    <w:rsid w:val="00EB1197"/>
    <w:rsid w:val="00EB11CE"/>
    <w:rsid w:val="00EB11D7"/>
    <w:rsid w:val="00EB11FB"/>
    <w:rsid w:val="00EB1201"/>
    <w:rsid w:val="00EB120D"/>
    <w:rsid w:val="00EB1220"/>
    <w:rsid w:val="00EB12AD"/>
    <w:rsid w:val="00EB12C5"/>
    <w:rsid w:val="00EB12E3"/>
    <w:rsid w:val="00EB12F6"/>
    <w:rsid w:val="00EB1384"/>
    <w:rsid w:val="00EB140F"/>
    <w:rsid w:val="00EB145C"/>
    <w:rsid w:val="00EB1469"/>
    <w:rsid w:val="00EB149E"/>
    <w:rsid w:val="00EB14F3"/>
    <w:rsid w:val="00EB15A9"/>
    <w:rsid w:val="00EB15D7"/>
    <w:rsid w:val="00EB17AA"/>
    <w:rsid w:val="00EB17AD"/>
    <w:rsid w:val="00EB1836"/>
    <w:rsid w:val="00EB18BF"/>
    <w:rsid w:val="00EB190C"/>
    <w:rsid w:val="00EB197F"/>
    <w:rsid w:val="00EB19BE"/>
    <w:rsid w:val="00EB1A2F"/>
    <w:rsid w:val="00EB1AAF"/>
    <w:rsid w:val="00EB1B6C"/>
    <w:rsid w:val="00EB1B8D"/>
    <w:rsid w:val="00EB1BCC"/>
    <w:rsid w:val="00EB1C01"/>
    <w:rsid w:val="00EB1C15"/>
    <w:rsid w:val="00EB1C7D"/>
    <w:rsid w:val="00EB1C9F"/>
    <w:rsid w:val="00EB1CC7"/>
    <w:rsid w:val="00EB1CC8"/>
    <w:rsid w:val="00EB1CDB"/>
    <w:rsid w:val="00EB1D0E"/>
    <w:rsid w:val="00EB1E93"/>
    <w:rsid w:val="00EB1F7C"/>
    <w:rsid w:val="00EB1FE7"/>
    <w:rsid w:val="00EB2012"/>
    <w:rsid w:val="00EB202F"/>
    <w:rsid w:val="00EB2057"/>
    <w:rsid w:val="00EB20A1"/>
    <w:rsid w:val="00EB20EA"/>
    <w:rsid w:val="00EB2116"/>
    <w:rsid w:val="00EB2198"/>
    <w:rsid w:val="00EB21AD"/>
    <w:rsid w:val="00EB21D2"/>
    <w:rsid w:val="00EB2358"/>
    <w:rsid w:val="00EB23D1"/>
    <w:rsid w:val="00EB24BD"/>
    <w:rsid w:val="00EB2693"/>
    <w:rsid w:val="00EB271C"/>
    <w:rsid w:val="00EB271D"/>
    <w:rsid w:val="00EB2779"/>
    <w:rsid w:val="00EB277D"/>
    <w:rsid w:val="00EB2783"/>
    <w:rsid w:val="00EB27FD"/>
    <w:rsid w:val="00EB283A"/>
    <w:rsid w:val="00EB28A2"/>
    <w:rsid w:val="00EB28B1"/>
    <w:rsid w:val="00EB28D1"/>
    <w:rsid w:val="00EB2977"/>
    <w:rsid w:val="00EB29B6"/>
    <w:rsid w:val="00EB2A4B"/>
    <w:rsid w:val="00EB2AC9"/>
    <w:rsid w:val="00EB2AFD"/>
    <w:rsid w:val="00EB2B5A"/>
    <w:rsid w:val="00EB2B96"/>
    <w:rsid w:val="00EB2C14"/>
    <w:rsid w:val="00EB2C75"/>
    <w:rsid w:val="00EB2D1B"/>
    <w:rsid w:val="00EB2DAD"/>
    <w:rsid w:val="00EB2DB9"/>
    <w:rsid w:val="00EB2DCC"/>
    <w:rsid w:val="00EB2DFC"/>
    <w:rsid w:val="00EB2E01"/>
    <w:rsid w:val="00EB2E31"/>
    <w:rsid w:val="00EB2E3E"/>
    <w:rsid w:val="00EB2E74"/>
    <w:rsid w:val="00EB2EEC"/>
    <w:rsid w:val="00EB30EB"/>
    <w:rsid w:val="00EB312E"/>
    <w:rsid w:val="00EB329C"/>
    <w:rsid w:val="00EB338C"/>
    <w:rsid w:val="00EB34BA"/>
    <w:rsid w:val="00EB34C5"/>
    <w:rsid w:val="00EB3521"/>
    <w:rsid w:val="00EB3574"/>
    <w:rsid w:val="00EB357F"/>
    <w:rsid w:val="00EB3586"/>
    <w:rsid w:val="00EB36C8"/>
    <w:rsid w:val="00EB37BB"/>
    <w:rsid w:val="00EB38E3"/>
    <w:rsid w:val="00EB38F8"/>
    <w:rsid w:val="00EB3914"/>
    <w:rsid w:val="00EB3A4C"/>
    <w:rsid w:val="00EB3A74"/>
    <w:rsid w:val="00EB3AB9"/>
    <w:rsid w:val="00EB3AE3"/>
    <w:rsid w:val="00EB3AE5"/>
    <w:rsid w:val="00EB3AFA"/>
    <w:rsid w:val="00EB3B10"/>
    <w:rsid w:val="00EB3B96"/>
    <w:rsid w:val="00EB3C11"/>
    <w:rsid w:val="00EB3C1C"/>
    <w:rsid w:val="00EB3C93"/>
    <w:rsid w:val="00EB3CEB"/>
    <w:rsid w:val="00EB3DED"/>
    <w:rsid w:val="00EB3E09"/>
    <w:rsid w:val="00EB3E8D"/>
    <w:rsid w:val="00EB3ED6"/>
    <w:rsid w:val="00EB3F1F"/>
    <w:rsid w:val="00EB4061"/>
    <w:rsid w:val="00EB40C9"/>
    <w:rsid w:val="00EB40D1"/>
    <w:rsid w:val="00EB410F"/>
    <w:rsid w:val="00EB414A"/>
    <w:rsid w:val="00EB414E"/>
    <w:rsid w:val="00EB4151"/>
    <w:rsid w:val="00EB416F"/>
    <w:rsid w:val="00EB41A6"/>
    <w:rsid w:val="00EB41F3"/>
    <w:rsid w:val="00EB4209"/>
    <w:rsid w:val="00EB421E"/>
    <w:rsid w:val="00EB42A0"/>
    <w:rsid w:val="00EB42F7"/>
    <w:rsid w:val="00EB436B"/>
    <w:rsid w:val="00EB4370"/>
    <w:rsid w:val="00EB43D4"/>
    <w:rsid w:val="00EB441B"/>
    <w:rsid w:val="00EB4553"/>
    <w:rsid w:val="00EB4567"/>
    <w:rsid w:val="00EB4599"/>
    <w:rsid w:val="00EB45C3"/>
    <w:rsid w:val="00EB463F"/>
    <w:rsid w:val="00EB46B5"/>
    <w:rsid w:val="00EB472C"/>
    <w:rsid w:val="00EB472E"/>
    <w:rsid w:val="00EB4750"/>
    <w:rsid w:val="00EB48C6"/>
    <w:rsid w:val="00EB492B"/>
    <w:rsid w:val="00EB49C4"/>
    <w:rsid w:val="00EB49FF"/>
    <w:rsid w:val="00EB4A31"/>
    <w:rsid w:val="00EB4AA3"/>
    <w:rsid w:val="00EB4B7C"/>
    <w:rsid w:val="00EB4C1B"/>
    <w:rsid w:val="00EB4C1F"/>
    <w:rsid w:val="00EB4C37"/>
    <w:rsid w:val="00EB4C7F"/>
    <w:rsid w:val="00EB4C88"/>
    <w:rsid w:val="00EB4D02"/>
    <w:rsid w:val="00EB4D8A"/>
    <w:rsid w:val="00EB4EA7"/>
    <w:rsid w:val="00EB4EED"/>
    <w:rsid w:val="00EB4F45"/>
    <w:rsid w:val="00EB4FBE"/>
    <w:rsid w:val="00EB4FD7"/>
    <w:rsid w:val="00EB5048"/>
    <w:rsid w:val="00EB5067"/>
    <w:rsid w:val="00EB5225"/>
    <w:rsid w:val="00EB5290"/>
    <w:rsid w:val="00EB52E8"/>
    <w:rsid w:val="00EB5340"/>
    <w:rsid w:val="00EB53A7"/>
    <w:rsid w:val="00EB5400"/>
    <w:rsid w:val="00EB5453"/>
    <w:rsid w:val="00EB5456"/>
    <w:rsid w:val="00EB54A0"/>
    <w:rsid w:val="00EB54EE"/>
    <w:rsid w:val="00EB54EF"/>
    <w:rsid w:val="00EB555C"/>
    <w:rsid w:val="00EB55B9"/>
    <w:rsid w:val="00EB565A"/>
    <w:rsid w:val="00EB5661"/>
    <w:rsid w:val="00EB56E2"/>
    <w:rsid w:val="00EB5759"/>
    <w:rsid w:val="00EB575A"/>
    <w:rsid w:val="00EB57E6"/>
    <w:rsid w:val="00EB57EE"/>
    <w:rsid w:val="00EB585D"/>
    <w:rsid w:val="00EB59C8"/>
    <w:rsid w:val="00EB59FE"/>
    <w:rsid w:val="00EB5A9D"/>
    <w:rsid w:val="00EB5B23"/>
    <w:rsid w:val="00EB5B40"/>
    <w:rsid w:val="00EB5B85"/>
    <w:rsid w:val="00EB5D6A"/>
    <w:rsid w:val="00EB5D7D"/>
    <w:rsid w:val="00EB5DAE"/>
    <w:rsid w:val="00EB5E31"/>
    <w:rsid w:val="00EB5EB6"/>
    <w:rsid w:val="00EB5ED7"/>
    <w:rsid w:val="00EB5F8B"/>
    <w:rsid w:val="00EB6135"/>
    <w:rsid w:val="00EB615D"/>
    <w:rsid w:val="00EB616F"/>
    <w:rsid w:val="00EB61C3"/>
    <w:rsid w:val="00EB6319"/>
    <w:rsid w:val="00EB6352"/>
    <w:rsid w:val="00EB63B2"/>
    <w:rsid w:val="00EB63DC"/>
    <w:rsid w:val="00EB63E3"/>
    <w:rsid w:val="00EB642F"/>
    <w:rsid w:val="00EB654B"/>
    <w:rsid w:val="00EB65C9"/>
    <w:rsid w:val="00EB65EA"/>
    <w:rsid w:val="00EB65F5"/>
    <w:rsid w:val="00EB6649"/>
    <w:rsid w:val="00EB6694"/>
    <w:rsid w:val="00EB672B"/>
    <w:rsid w:val="00EB67CD"/>
    <w:rsid w:val="00EB6813"/>
    <w:rsid w:val="00EB6838"/>
    <w:rsid w:val="00EB6884"/>
    <w:rsid w:val="00EB68C4"/>
    <w:rsid w:val="00EB694D"/>
    <w:rsid w:val="00EB6967"/>
    <w:rsid w:val="00EB6981"/>
    <w:rsid w:val="00EB69AF"/>
    <w:rsid w:val="00EB69E9"/>
    <w:rsid w:val="00EB6A26"/>
    <w:rsid w:val="00EB6A63"/>
    <w:rsid w:val="00EB6A8F"/>
    <w:rsid w:val="00EB6AB4"/>
    <w:rsid w:val="00EB6B1B"/>
    <w:rsid w:val="00EB6B40"/>
    <w:rsid w:val="00EB6B4C"/>
    <w:rsid w:val="00EB6B59"/>
    <w:rsid w:val="00EB6B8B"/>
    <w:rsid w:val="00EB6BBE"/>
    <w:rsid w:val="00EB6BE6"/>
    <w:rsid w:val="00EB6BF5"/>
    <w:rsid w:val="00EB6C0B"/>
    <w:rsid w:val="00EB6C4D"/>
    <w:rsid w:val="00EB6C98"/>
    <w:rsid w:val="00EB6CA3"/>
    <w:rsid w:val="00EB6CCA"/>
    <w:rsid w:val="00EB6D5A"/>
    <w:rsid w:val="00EB6E4F"/>
    <w:rsid w:val="00EB6ED5"/>
    <w:rsid w:val="00EB6ED6"/>
    <w:rsid w:val="00EB6EE7"/>
    <w:rsid w:val="00EB6EFB"/>
    <w:rsid w:val="00EB6F94"/>
    <w:rsid w:val="00EB6FB4"/>
    <w:rsid w:val="00EB6FF8"/>
    <w:rsid w:val="00EB703E"/>
    <w:rsid w:val="00EB7060"/>
    <w:rsid w:val="00EB70A2"/>
    <w:rsid w:val="00EB712E"/>
    <w:rsid w:val="00EB72B6"/>
    <w:rsid w:val="00EB72DE"/>
    <w:rsid w:val="00EB72E8"/>
    <w:rsid w:val="00EB73D0"/>
    <w:rsid w:val="00EB7465"/>
    <w:rsid w:val="00EB74CC"/>
    <w:rsid w:val="00EB756E"/>
    <w:rsid w:val="00EB7588"/>
    <w:rsid w:val="00EB7665"/>
    <w:rsid w:val="00EB76A7"/>
    <w:rsid w:val="00EB778B"/>
    <w:rsid w:val="00EB77F8"/>
    <w:rsid w:val="00EB782C"/>
    <w:rsid w:val="00EB78E9"/>
    <w:rsid w:val="00EB7954"/>
    <w:rsid w:val="00EB7998"/>
    <w:rsid w:val="00EB79DB"/>
    <w:rsid w:val="00EB7A95"/>
    <w:rsid w:val="00EB7ACC"/>
    <w:rsid w:val="00EB7B65"/>
    <w:rsid w:val="00EB7B74"/>
    <w:rsid w:val="00EB7C31"/>
    <w:rsid w:val="00EB7C41"/>
    <w:rsid w:val="00EB7C7B"/>
    <w:rsid w:val="00EB7D87"/>
    <w:rsid w:val="00EB7E6C"/>
    <w:rsid w:val="00EB7ED5"/>
    <w:rsid w:val="00EB7FAE"/>
    <w:rsid w:val="00EC00C7"/>
    <w:rsid w:val="00EC010D"/>
    <w:rsid w:val="00EC0118"/>
    <w:rsid w:val="00EC0145"/>
    <w:rsid w:val="00EC0150"/>
    <w:rsid w:val="00EC0164"/>
    <w:rsid w:val="00EC034C"/>
    <w:rsid w:val="00EC03E7"/>
    <w:rsid w:val="00EC051E"/>
    <w:rsid w:val="00EC05AD"/>
    <w:rsid w:val="00EC05CE"/>
    <w:rsid w:val="00EC06ED"/>
    <w:rsid w:val="00EC07D7"/>
    <w:rsid w:val="00EC081E"/>
    <w:rsid w:val="00EC0844"/>
    <w:rsid w:val="00EC08C5"/>
    <w:rsid w:val="00EC08DB"/>
    <w:rsid w:val="00EC094F"/>
    <w:rsid w:val="00EC0961"/>
    <w:rsid w:val="00EC09BA"/>
    <w:rsid w:val="00EC09CE"/>
    <w:rsid w:val="00EC09DC"/>
    <w:rsid w:val="00EC0A50"/>
    <w:rsid w:val="00EC0A79"/>
    <w:rsid w:val="00EC0A97"/>
    <w:rsid w:val="00EC0A9F"/>
    <w:rsid w:val="00EC0B03"/>
    <w:rsid w:val="00EC0B6C"/>
    <w:rsid w:val="00EC0C13"/>
    <w:rsid w:val="00EC0C38"/>
    <w:rsid w:val="00EC0CE0"/>
    <w:rsid w:val="00EC0D3D"/>
    <w:rsid w:val="00EC0D9D"/>
    <w:rsid w:val="00EC0E05"/>
    <w:rsid w:val="00EC0E92"/>
    <w:rsid w:val="00EC0E93"/>
    <w:rsid w:val="00EC0F32"/>
    <w:rsid w:val="00EC0F37"/>
    <w:rsid w:val="00EC0FC9"/>
    <w:rsid w:val="00EC1011"/>
    <w:rsid w:val="00EC1225"/>
    <w:rsid w:val="00EC12A2"/>
    <w:rsid w:val="00EC1321"/>
    <w:rsid w:val="00EC1333"/>
    <w:rsid w:val="00EC1374"/>
    <w:rsid w:val="00EC1431"/>
    <w:rsid w:val="00EC1458"/>
    <w:rsid w:val="00EC14A5"/>
    <w:rsid w:val="00EC14B3"/>
    <w:rsid w:val="00EC14DB"/>
    <w:rsid w:val="00EC152C"/>
    <w:rsid w:val="00EC1625"/>
    <w:rsid w:val="00EC1664"/>
    <w:rsid w:val="00EC170C"/>
    <w:rsid w:val="00EC1772"/>
    <w:rsid w:val="00EC1775"/>
    <w:rsid w:val="00EC17CB"/>
    <w:rsid w:val="00EC183F"/>
    <w:rsid w:val="00EC1845"/>
    <w:rsid w:val="00EC18D2"/>
    <w:rsid w:val="00EC1906"/>
    <w:rsid w:val="00EC19D0"/>
    <w:rsid w:val="00EC1A44"/>
    <w:rsid w:val="00EC1A73"/>
    <w:rsid w:val="00EC1CC9"/>
    <w:rsid w:val="00EC1CF6"/>
    <w:rsid w:val="00EC1D1D"/>
    <w:rsid w:val="00EC1DF9"/>
    <w:rsid w:val="00EC1E28"/>
    <w:rsid w:val="00EC1EEA"/>
    <w:rsid w:val="00EC1EF6"/>
    <w:rsid w:val="00EC1F91"/>
    <w:rsid w:val="00EC1FBF"/>
    <w:rsid w:val="00EC2081"/>
    <w:rsid w:val="00EC2087"/>
    <w:rsid w:val="00EC20E9"/>
    <w:rsid w:val="00EC213A"/>
    <w:rsid w:val="00EC2194"/>
    <w:rsid w:val="00EC21EF"/>
    <w:rsid w:val="00EC21FC"/>
    <w:rsid w:val="00EC2200"/>
    <w:rsid w:val="00EC226C"/>
    <w:rsid w:val="00EC22CC"/>
    <w:rsid w:val="00EC22F3"/>
    <w:rsid w:val="00EC2325"/>
    <w:rsid w:val="00EC2369"/>
    <w:rsid w:val="00EC2387"/>
    <w:rsid w:val="00EC23A2"/>
    <w:rsid w:val="00EC23E6"/>
    <w:rsid w:val="00EC23EF"/>
    <w:rsid w:val="00EC242C"/>
    <w:rsid w:val="00EC24BD"/>
    <w:rsid w:val="00EC2547"/>
    <w:rsid w:val="00EC2600"/>
    <w:rsid w:val="00EC269F"/>
    <w:rsid w:val="00EC26A4"/>
    <w:rsid w:val="00EC26D1"/>
    <w:rsid w:val="00EC26F4"/>
    <w:rsid w:val="00EC27D5"/>
    <w:rsid w:val="00EC27EF"/>
    <w:rsid w:val="00EC27FF"/>
    <w:rsid w:val="00EC28E3"/>
    <w:rsid w:val="00EC28E5"/>
    <w:rsid w:val="00EC2A3B"/>
    <w:rsid w:val="00EC2AE2"/>
    <w:rsid w:val="00EC2B4C"/>
    <w:rsid w:val="00EC2BBD"/>
    <w:rsid w:val="00EC2C12"/>
    <w:rsid w:val="00EC2C1C"/>
    <w:rsid w:val="00EC2C87"/>
    <w:rsid w:val="00EC2CE0"/>
    <w:rsid w:val="00EC2D0D"/>
    <w:rsid w:val="00EC2DBE"/>
    <w:rsid w:val="00EC2DED"/>
    <w:rsid w:val="00EC2E79"/>
    <w:rsid w:val="00EC2E96"/>
    <w:rsid w:val="00EC2EEE"/>
    <w:rsid w:val="00EC2F7A"/>
    <w:rsid w:val="00EC2F9A"/>
    <w:rsid w:val="00EC2FA3"/>
    <w:rsid w:val="00EC2FB0"/>
    <w:rsid w:val="00EC2FD2"/>
    <w:rsid w:val="00EC3010"/>
    <w:rsid w:val="00EC3065"/>
    <w:rsid w:val="00EC3070"/>
    <w:rsid w:val="00EC3090"/>
    <w:rsid w:val="00EC30B9"/>
    <w:rsid w:val="00EC319D"/>
    <w:rsid w:val="00EC31CC"/>
    <w:rsid w:val="00EC31D7"/>
    <w:rsid w:val="00EC3290"/>
    <w:rsid w:val="00EC32AF"/>
    <w:rsid w:val="00EC32D2"/>
    <w:rsid w:val="00EC32F9"/>
    <w:rsid w:val="00EC3321"/>
    <w:rsid w:val="00EC33BA"/>
    <w:rsid w:val="00EC3497"/>
    <w:rsid w:val="00EC3592"/>
    <w:rsid w:val="00EC35E0"/>
    <w:rsid w:val="00EC3623"/>
    <w:rsid w:val="00EC3626"/>
    <w:rsid w:val="00EC36FE"/>
    <w:rsid w:val="00EC37F0"/>
    <w:rsid w:val="00EC38A4"/>
    <w:rsid w:val="00EC3AA8"/>
    <w:rsid w:val="00EC3AF0"/>
    <w:rsid w:val="00EC3B0A"/>
    <w:rsid w:val="00EC3B45"/>
    <w:rsid w:val="00EC3B86"/>
    <w:rsid w:val="00EC3BEA"/>
    <w:rsid w:val="00EC3C2E"/>
    <w:rsid w:val="00EC3CAA"/>
    <w:rsid w:val="00EC3D0F"/>
    <w:rsid w:val="00EC3D69"/>
    <w:rsid w:val="00EC3E1C"/>
    <w:rsid w:val="00EC3FE9"/>
    <w:rsid w:val="00EC408D"/>
    <w:rsid w:val="00EC40F8"/>
    <w:rsid w:val="00EC41A7"/>
    <w:rsid w:val="00EC4252"/>
    <w:rsid w:val="00EC425A"/>
    <w:rsid w:val="00EC42AA"/>
    <w:rsid w:val="00EC432B"/>
    <w:rsid w:val="00EC434B"/>
    <w:rsid w:val="00EC4396"/>
    <w:rsid w:val="00EC43DE"/>
    <w:rsid w:val="00EC43E5"/>
    <w:rsid w:val="00EC43EB"/>
    <w:rsid w:val="00EC4412"/>
    <w:rsid w:val="00EC445A"/>
    <w:rsid w:val="00EC452E"/>
    <w:rsid w:val="00EC4658"/>
    <w:rsid w:val="00EC466F"/>
    <w:rsid w:val="00EC46EE"/>
    <w:rsid w:val="00EC46F5"/>
    <w:rsid w:val="00EC4844"/>
    <w:rsid w:val="00EC484E"/>
    <w:rsid w:val="00EC4873"/>
    <w:rsid w:val="00EC48C7"/>
    <w:rsid w:val="00EC48D1"/>
    <w:rsid w:val="00EC48FE"/>
    <w:rsid w:val="00EC49A0"/>
    <w:rsid w:val="00EC4A3C"/>
    <w:rsid w:val="00EC4A7F"/>
    <w:rsid w:val="00EC4B66"/>
    <w:rsid w:val="00EC4C35"/>
    <w:rsid w:val="00EC4C43"/>
    <w:rsid w:val="00EC4C63"/>
    <w:rsid w:val="00EC4CDB"/>
    <w:rsid w:val="00EC4D8B"/>
    <w:rsid w:val="00EC4DB5"/>
    <w:rsid w:val="00EC4DEF"/>
    <w:rsid w:val="00EC4E4D"/>
    <w:rsid w:val="00EC4E7C"/>
    <w:rsid w:val="00EC4E7F"/>
    <w:rsid w:val="00EC4F53"/>
    <w:rsid w:val="00EC4F5E"/>
    <w:rsid w:val="00EC4F7B"/>
    <w:rsid w:val="00EC4F88"/>
    <w:rsid w:val="00EC4FC5"/>
    <w:rsid w:val="00EC5045"/>
    <w:rsid w:val="00EC504A"/>
    <w:rsid w:val="00EC507A"/>
    <w:rsid w:val="00EC50A8"/>
    <w:rsid w:val="00EC50BB"/>
    <w:rsid w:val="00EC5171"/>
    <w:rsid w:val="00EC51A8"/>
    <w:rsid w:val="00EC52E7"/>
    <w:rsid w:val="00EC533E"/>
    <w:rsid w:val="00EC535F"/>
    <w:rsid w:val="00EC53D2"/>
    <w:rsid w:val="00EC5479"/>
    <w:rsid w:val="00EC5494"/>
    <w:rsid w:val="00EC556B"/>
    <w:rsid w:val="00EC55B1"/>
    <w:rsid w:val="00EC56E0"/>
    <w:rsid w:val="00EC575B"/>
    <w:rsid w:val="00EC5781"/>
    <w:rsid w:val="00EC57E4"/>
    <w:rsid w:val="00EC57F3"/>
    <w:rsid w:val="00EC5837"/>
    <w:rsid w:val="00EC591C"/>
    <w:rsid w:val="00EC592A"/>
    <w:rsid w:val="00EC592F"/>
    <w:rsid w:val="00EC5CD0"/>
    <w:rsid w:val="00EC5E14"/>
    <w:rsid w:val="00EC5EAF"/>
    <w:rsid w:val="00EC5EC5"/>
    <w:rsid w:val="00EC5ECC"/>
    <w:rsid w:val="00EC5EDF"/>
    <w:rsid w:val="00EC5EE7"/>
    <w:rsid w:val="00EC5F2F"/>
    <w:rsid w:val="00EC6026"/>
    <w:rsid w:val="00EC60D9"/>
    <w:rsid w:val="00EC60E9"/>
    <w:rsid w:val="00EC6134"/>
    <w:rsid w:val="00EC6161"/>
    <w:rsid w:val="00EC617E"/>
    <w:rsid w:val="00EC6213"/>
    <w:rsid w:val="00EC623B"/>
    <w:rsid w:val="00EC627F"/>
    <w:rsid w:val="00EC629D"/>
    <w:rsid w:val="00EC630F"/>
    <w:rsid w:val="00EC6362"/>
    <w:rsid w:val="00EC63A5"/>
    <w:rsid w:val="00EC63EE"/>
    <w:rsid w:val="00EC6430"/>
    <w:rsid w:val="00EC6447"/>
    <w:rsid w:val="00EC647D"/>
    <w:rsid w:val="00EC64BE"/>
    <w:rsid w:val="00EC6526"/>
    <w:rsid w:val="00EC65B5"/>
    <w:rsid w:val="00EC65CA"/>
    <w:rsid w:val="00EC65E5"/>
    <w:rsid w:val="00EC65E9"/>
    <w:rsid w:val="00EC6632"/>
    <w:rsid w:val="00EC6645"/>
    <w:rsid w:val="00EC6646"/>
    <w:rsid w:val="00EC6775"/>
    <w:rsid w:val="00EC678D"/>
    <w:rsid w:val="00EC6827"/>
    <w:rsid w:val="00EC6850"/>
    <w:rsid w:val="00EC6854"/>
    <w:rsid w:val="00EC68EA"/>
    <w:rsid w:val="00EC6929"/>
    <w:rsid w:val="00EC698C"/>
    <w:rsid w:val="00EC69AB"/>
    <w:rsid w:val="00EC6AC6"/>
    <w:rsid w:val="00EC6B42"/>
    <w:rsid w:val="00EC6B9A"/>
    <w:rsid w:val="00EC6BBB"/>
    <w:rsid w:val="00EC6BEE"/>
    <w:rsid w:val="00EC6C05"/>
    <w:rsid w:val="00EC6C29"/>
    <w:rsid w:val="00EC6C2F"/>
    <w:rsid w:val="00EC6C33"/>
    <w:rsid w:val="00EC6C3A"/>
    <w:rsid w:val="00EC6C5A"/>
    <w:rsid w:val="00EC6CA4"/>
    <w:rsid w:val="00EC6CF1"/>
    <w:rsid w:val="00EC6D90"/>
    <w:rsid w:val="00EC6DD2"/>
    <w:rsid w:val="00EC6E00"/>
    <w:rsid w:val="00EC6E6E"/>
    <w:rsid w:val="00EC6E85"/>
    <w:rsid w:val="00EC6EDC"/>
    <w:rsid w:val="00EC6EF3"/>
    <w:rsid w:val="00EC6FB5"/>
    <w:rsid w:val="00EC6FD5"/>
    <w:rsid w:val="00EC7017"/>
    <w:rsid w:val="00EC70C9"/>
    <w:rsid w:val="00EC70F5"/>
    <w:rsid w:val="00EC70F6"/>
    <w:rsid w:val="00EC712D"/>
    <w:rsid w:val="00EC725D"/>
    <w:rsid w:val="00EC731A"/>
    <w:rsid w:val="00EC731D"/>
    <w:rsid w:val="00EC7336"/>
    <w:rsid w:val="00EC7355"/>
    <w:rsid w:val="00EC73AE"/>
    <w:rsid w:val="00EC73CF"/>
    <w:rsid w:val="00EC7404"/>
    <w:rsid w:val="00EC740C"/>
    <w:rsid w:val="00EC7463"/>
    <w:rsid w:val="00EC7468"/>
    <w:rsid w:val="00EC7476"/>
    <w:rsid w:val="00EC752D"/>
    <w:rsid w:val="00EC754E"/>
    <w:rsid w:val="00EC75BC"/>
    <w:rsid w:val="00EC7691"/>
    <w:rsid w:val="00EC76FD"/>
    <w:rsid w:val="00EC7749"/>
    <w:rsid w:val="00EC774A"/>
    <w:rsid w:val="00EC7799"/>
    <w:rsid w:val="00EC781D"/>
    <w:rsid w:val="00EC7891"/>
    <w:rsid w:val="00EC7895"/>
    <w:rsid w:val="00EC78A3"/>
    <w:rsid w:val="00EC78BB"/>
    <w:rsid w:val="00EC7968"/>
    <w:rsid w:val="00EC7A20"/>
    <w:rsid w:val="00EC7A89"/>
    <w:rsid w:val="00EC7AF2"/>
    <w:rsid w:val="00EC7B64"/>
    <w:rsid w:val="00EC7BE3"/>
    <w:rsid w:val="00EC7BF7"/>
    <w:rsid w:val="00EC7C16"/>
    <w:rsid w:val="00EC7C20"/>
    <w:rsid w:val="00EC7DBA"/>
    <w:rsid w:val="00EC7E8C"/>
    <w:rsid w:val="00EC7EC9"/>
    <w:rsid w:val="00EC7ECF"/>
    <w:rsid w:val="00EC7EE8"/>
    <w:rsid w:val="00EC7FAE"/>
    <w:rsid w:val="00ED0095"/>
    <w:rsid w:val="00ED00CB"/>
    <w:rsid w:val="00ED0132"/>
    <w:rsid w:val="00ED015D"/>
    <w:rsid w:val="00ED0232"/>
    <w:rsid w:val="00ED028F"/>
    <w:rsid w:val="00ED02CF"/>
    <w:rsid w:val="00ED02DE"/>
    <w:rsid w:val="00ED031D"/>
    <w:rsid w:val="00ED0452"/>
    <w:rsid w:val="00ED0470"/>
    <w:rsid w:val="00ED0494"/>
    <w:rsid w:val="00ED04D0"/>
    <w:rsid w:val="00ED0656"/>
    <w:rsid w:val="00ED0764"/>
    <w:rsid w:val="00ED07C7"/>
    <w:rsid w:val="00ED07E1"/>
    <w:rsid w:val="00ED07FD"/>
    <w:rsid w:val="00ED0836"/>
    <w:rsid w:val="00ED0890"/>
    <w:rsid w:val="00ED08CA"/>
    <w:rsid w:val="00ED0952"/>
    <w:rsid w:val="00ED0975"/>
    <w:rsid w:val="00ED09EC"/>
    <w:rsid w:val="00ED0AB2"/>
    <w:rsid w:val="00ED0AD6"/>
    <w:rsid w:val="00ED0B1C"/>
    <w:rsid w:val="00ED0B43"/>
    <w:rsid w:val="00ED0B9B"/>
    <w:rsid w:val="00ED0CA9"/>
    <w:rsid w:val="00ED0CD2"/>
    <w:rsid w:val="00ED0D1F"/>
    <w:rsid w:val="00ED0D49"/>
    <w:rsid w:val="00ED0E45"/>
    <w:rsid w:val="00ED0E7D"/>
    <w:rsid w:val="00ED0E7F"/>
    <w:rsid w:val="00ED0EEA"/>
    <w:rsid w:val="00ED0F6A"/>
    <w:rsid w:val="00ED0FD9"/>
    <w:rsid w:val="00ED1128"/>
    <w:rsid w:val="00ED11D3"/>
    <w:rsid w:val="00ED11F7"/>
    <w:rsid w:val="00ED1213"/>
    <w:rsid w:val="00ED122E"/>
    <w:rsid w:val="00ED124D"/>
    <w:rsid w:val="00ED1270"/>
    <w:rsid w:val="00ED13D3"/>
    <w:rsid w:val="00ED14BC"/>
    <w:rsid w:val="00ED14E5"/>
    <w:rsid w:val="00ED14F9"/>
    <w:rsid w:val="00ED1580"/>
    <w:rsid w:val="00ED15DA"/>
    <w:rsid w:val="00ED15F7"/>
    <w:rsid w:val="00ED16B0"/>
    <w:rsid w:val="00ED172F"/>
    <w:rsid w:val="00ED17AC"/>
    <w:rsid w:val="00ED17F7"/>
    <w:rsid w:val="00ED1852"/>
    <w:rsid w:val="00ED18D4"/>
    <w:rsid w:val="00ED199D"/>
    <w:rsid w:val="00ED1A47"/>
    <w:rsid w:val="00ED1A6B"/>
    <w:rsid w:val="00ED1AF1"/>
    <w:rsid w:val="00ED1B38"/>
    <w:rsid w:val="00ED1B46"/>
    <w:rsid w:val="00ED1B47"/>
    <w:rsid w:val="00ED1BDD"/>
    <w:rsid w:val="00ED1C7A"/>
    <w:rsid w:val="00ED1C92"/>
    <w:rsid w:val="00ED1D59"/>
    <w:rsid w:val="00ED1D87"/>
    <w:rsid w:val="00ED1D91"/>
    <w:rsid w:val="00ED1DEB"/>
    <w:rsid w:val="00ED1E66"/>
    <w:rsid w:val="00ED1EC4"/>
    <w:rsid w:val="00ED2062"/>
    <w:rsid w:val="00ED20E5"/>
    <w:rsid w:val="00ED212C"/>
    <w:rsid w:val="00ED2144"/>
    <w:rsid w:val="00ED21CA"/>
    <w:rsid w:val="00ED2255"/>
    <w:rsid w:val="00ED226E"/>
    <w:rsid w:val="00ED229A"/>
    <w:rsid w:val="00ED22D8"/>
    <w:rsid w:val="00ED22DC"/>
    <w:rsid w:val="00ED22F6"/>
    <w:rsid w:val="00ED23A6"/>
    <w:rsid w:val="00ED240F"/>
    <w:rsid w:val="00ED25A7"/>
    <w:rsid w:val="00ED25CE"/>
    <w:rsid w:val="00ED261F"/>
    <w:rsid w:val="00ED26A3"/>
    <w:rsid w:val="00ED26A8"/>
    <w:rsid w:val="00ED2806"/>
    <w:rsid w:val="00ED2815"/>
    <w:rsid w:val="00ED2835"/>
    <w:rsid w:val="00ED28B8"/>
    <w:rsid w:val="00ED2915"/>
    <w:rsid w:val="00ED29B3"/>
    <w:rsid w:val="00ED29C7"/>
    <w:rsid w:val="00ED29E4"/>
    <w:rsid w:val="00ED2A33"/>
    <w:rsid w:val="00ED2ADB"/>
    <w:rsid w:val="00ED2B08"/>
    <w:rsid w:val="00ED2B8F"/>
    <w:rsid w:val="00ED2BBE"/>
    <w:rsid w:val="00ED2BC7"/>
    <w:rsid w:val="00ED2C93"/>
    <w:rsid w:val="00ED2CA6"/>
    <w:rsid w:val="00ED2CE6"/>
    <w:rsid w:val="00ED2D73"/>
    <w:rsid w:val="00ED2DA6"/>
    <w:rsid w:val="00ED2DC6"/>
    <w:rsid w:val="00ED2F3B"/>
    <w:rsid w:val="00ED2FD2"/>
    <w:rsid w:val="00ED2FF0"/>
    <w:rsid w:val="00ED30C6"/>
    <w:rsid w:val="00ED3100"/>
    <w:rsid w:val="00ED3139"/>
    <w:rsid w:val="00ED314C"/>
    <w:rsid w:val="00ED3265"/>
    <w:rsid w:val="00ED32AE"/>
    <w:rsid w:val="00ED32B3"/>
    <w:rsid w:val="00ED3328"/>
    <w:rsid w:val="00ED3333"/>
    <w:rsid w:val="00ED3355"/>
    <w:rsid w:val="00ED33A1"/>
    <w:rsid w:val="00ED3418"/>
    <w:rsid w:val="00ED34EB"/>
    <w:rsid w:val="00ED350D"/>
    <w:rsid w:val="00ED35B0"/>
    <w:rsid w:val="00ED362B"/>
    <w:rsid w:val="00ED3689"/>
    <w:rsid w:val="00ED3698"/>
    <w:rsid w:val="00ED36BF"/>
    <w:rsid w:val="00ED36DD"/>
    <w:rsid w:val="00ED36F7"/>
    <w:rsid w:val="00ED374C"/>
    <w:rsid w:val="00ED374F"/>
    <w:rsid w:val="00ED3755"/>
    <w:rsid w:val="00ED3771"/>
    <w:rsid w:val="00ED377D"/>
    <w:rsid w:val="00ED37DC"/>
    <w:rsid w:val="00ED390E"/>
    <w:rsid w:val="00ED3920"/>
    <w:rsid w:val="00ED39C1"/>
    <w:rsid w:val="00ED3A23"/>
    <w:rsid w:val="00ED3A58"/>
    <w:rsid w:val="00ED3ABE"/>
    <w:rsid w:val="00ED3B0F"/>
    <w:rsid w:val="00ED3B5C"/>
    <w:rsid w:val="00ED3B65"/>
    <w:rsid w:val="00ED3BA9"/>
    <w:rsid w:val="00ED3BC0"/>
    <w:rsid w:val="00ED3BDA"/>
    <w:rsid w:val="00ED3BDC"/>
    <w:rsid w:val="00ED3C40"/>
    <w:rsid w:val="00ED3CA4"/>
    <w:rsid w:val="00ED3CB9"/>
    <w:rsid w:val="00ED3CCE"/>
    <w:rsid w:val="00ED3D3A"/>
    <w:rsid w:val="00ED3D72"/>
    <w:rsid w:val="00ED3DC3"/>
    <w:rsid w:val="00ED3DD6"/>
    <w:rsid w:val="00ED3E1E"/>
    <w:rsid w:val="00ED3F37"/>
    <w:rsid w:val="00ED3FB0"/>
    <w:rsid w:val="00ED3FF4"/>
    <w:rsid w:val="00ED4013"/>
    <w:rsid w:val="00ED40F2"/>
    <w:rsid w:val="00ED4140"/>
    <w:rsid w:val="00ED416C"/>
    <w:rsid w:val="00ED41B5"/>
    <w:rsid w:val="00ED42A3"/>
    <w:rsid w:val="00ED437E"/>
    <w:rsid w:val="00ED4478"/>
    <w:rsid w:val="00ED4524"/>
    <w:rsid w:val="00ED4555"/>
    <w:rsid w:val="00ED45E7"/>
    <w:rsid w:val="00ED4665"/>
    <w:rsid w:val="00ED473D"/>
    <w:rsid w:val="00ED4779"/>
    <w:rsid w:val="00ED47A0"/>
    <w:rsid w:val="00ED47E6"/>
    <w:rsid w:val="00ED47E9"/>
    <w:rsid w:val="00ED481C"/>
    <w:rsid w:val="00ED48DA"/>
    <w:rsid w:val="00ED491A"/>
    <w:rsid w:val="00ED492E"/>
    <w:rsid w:val="00ED49CF"/>
    <w:rsid w:val="00ED4A1C"/>
    <w:rsid w:val="00ED4A59"/>
    <w:rsid w:val="00ED4AB1"/>
    <w:rsid w:val="00ED4ABF"/>
    <w:rsid w:val="00ED4B7E"/>
    <w:rsid w:val="00ED4B98"/>
    <w:rsid w:val="00ED4BAC"/>
    <w:rsid w:val="00ED4C10"/>
    <w:rsid w:val="00ED4C26"/>
    <w:rsid w:val="00ED4C45"/>
    <w:rsid w:val="00ED4CC0"/>
    <w:rsid w:val="00ED4CC4"/>
    <w:rsid w:val="00ED4DC2"/>
    <w:rsid w:val="00ED4E0C"/>
    <w:rsid w:val="00ED4F24"/>
    <w:rsid w:val="00ED4F7B"/>
    <w:rsid w:val="00ED4FE0"/>
    <w:rsid w:val="00ED4FFD"/>
    <w:rsid w:val="00ED50A9"/>
    <w:rsid w:val="00ED5198"/>
    <w:rsid w:val="00ED519B"/>
    <w:rsid w:val="00ED51D6"/>
    <w:rsid w:val="00ED51D8"/>
    <w:rsid w:val="00ED5271"/>
    <w:rsid w:val="00ED52AD"/>
    <w:rsid w:val="00ED538A"/>
    <w:rsid w:val="00ED53D3"/>
    <w:rsid w:val="00ED5536"/>
    <w:rsid w:val="00ED55C2"/>
    <w:rsid w:val="00ED55C4"/>
    <w:rsid w:val="00ED55D5"/>
    <w:rsid w:val="00ED55E9"/>
    <w:rsid w:val="00ED561F"/>
    <w:rsid w:val="00ED5694"/>
    <w:rsid w:val="00ED5697"/>
    <w:rsid w:val="00ED56F9"/>
    <w:rsid w:val="00ED5724"/>
    <w:rsid w:val="00ED57CB"/>
    <w:rsid w:val="00ED57E3"/>
    <w:rsid w:val="00ED5871"/>
    <w:rsid w:val="00ED58C9"/>
    <w:rsid w:val="00ED58F4"/>
    <w:rsid w:val="00ED5932"/>
    <w:rsid w:val="00ED59D7"/>
    <w:rsid w:val="00ED5A4C"/>
    <w:rsid w:val="00ED5B10"/>
    <w:rsid w:val="00ED5BE0"/>
    <w:rsid w:val="00ED5C71"/>
    <w:rsid w:val="00ED5D4E"/>
    <w:rsid w:val="00ED5D63"/>
    <w:rsid w:val="00ED5D7F"/>
    <w:rsid w:val="00ED5E1F"/>
    <w:rsid w:val="00ED5ED7"/>
    <w:rsid w:val="00ED5F56"/>
    <w:rsid w:val="00ED5F70"/>
    <w:rsid w:val="00ED5FD7"/>
    <w:rsid w:val="00ED6003"/>
    <w:rsid w:val="00ED60E9"/>
    <w:rsid w:val="00ED6104"/>
    <w:rsid w:val="00ED6115"/>
    <w:rsid w:val="00ED61F8"/>
    <w:rsid w:val="00ED621B"/>
    <w:rsid w:val="00ED6222"/>
    <w:rsid w:val="00ED639D"/>
    <w:rsid w:val="00ED6408"/>
    <w:rsid w:val="00ED6471"/>
    <w:rsid w:val="00ED6492"/>
    <w:rsid w:val="00ED660A"/>
    <w:rsid w:val="00ED663E"/>
    <w:rsid w:val="00ED664C"/>
    <w:rsid w:val="00ED66B8"/>
    <w:rsid w:val="00ED672A"/>
    <w:rsid w:val="00ED6784"/>
    <w:rsid w:val="00ED678C"/>
    <w:rsid w:val="00ED67A9"/>
    <w:rsid w:val="00ED689A"/>
    <w:rsid w:val="00ED6900"/>
    <w:rsid w:val="00ED6921"/>
    <w:rsid w:val="00ED6938"/>
    <w:rsid w:val="00ED6998"/>
    <w:rsid w:val="00ED699F"/>
    <w:rsid w:val="00ED69B1"/>
    <w:rsid w:val="00ED6AE2"/>
    <w:rsid w:val="00ED6BF7"/>
    <w:rsid w:val="00ED6C03"/>
    <w:rsid w:val="00ED6C62"/>
    <w:rsid w:val="00ED6CE1"/>
    <w:rsid w:val="00ED6D3D"/>
    <w:rsid w:val="00ED6D76"/>
    <w:rsid w:val="00ED6E65"/>
    <w:rsid w:val="00ED6EAE"/>
    <w:rsid w:val="00ED6ECD"/>
    <w:rsid w:val="00ED6EE5"/>
    <w:rsid w:val="00ED6F2A"/>
    <w:rsid w:val="00ED6FFE"/>
    <w:rsid w:val="00ED70E0"/>
    <w:rsid w:val="00ED715B"/>
    <w:rsid w:val="00ED71CA"/>
    <w:rsid w:val="00ED725B"/>
    <w:rsid w:val="00ED725C"/>
    <w:rsid w:val="00ED72A4"/>
    <w:rsid w:val="00ED72C5"/>
    <w:rsid w:val="00ED72E8"/>
    <w:rsid w:val="00ED730D"/>
    <w:rsid w:val="00ED736C"/>
    <w:rsid w:val="00ED7415"/>
    <w:rsid w:val="00ED7424"/>
    <w:rsid w:val="00ED74C9"/>
    <w:rsid w:val="00ED75F4"/>
    <w:rsid w:val="00ED7616"/>
    <w:rsid w:val="00ED7617"/>
    <w:rsid w:val="00ED7620"/>
    <w:rsid w:val="00ED763C"/>
    <w:rsid w:val="00ED7665"/>
    <w:rsid w:val="00ED7715"/>
    <w:rsid w:val="00ED7726"/>
    <w:rsid w:val="00ED7805"/>
    <w:rsid w:val="00ED787D"/>
    <w:rsid w:val="00ED788C"/>
    <w:rsid w:val="00ED792C"/>
    <w:rsid w:val="00ED792E"/>
    <w:rsid w:val="00ED7953"/>
    <w:rsid w:val="00ED7ACD"/>
    <w:rsid w:val="00ED7AFC"/>
    <w:rsid w:val="00ED7AFD"/>
    <w:rsid w:val="00ED7B55"/>
    <w:rsid w:val="00ED7B5C"/>
    <w:rsid w:val="00ED7C7D"/>
    <w:rsid w:val="00ED7CBC"/>
    <w:rsid w:val="00ED7D1E"/>
    <w:rsid w:val="00ED7E03"/>
    <w:rsid w:val="00ED7ECD"/>
    <w:rsid w:val="00ED7F3E"/>
    <w:rsid w:val="00ED7F5B"/>
    <w:rsid w:val="00ED7F9A"/>
    <w:rsid w:val="00ED7FFE"/>
    <w:rsid w:val="00EE0040"/>
    <w:rsid w:val="00EE00E8"/>
    <w:rsid w:val="00EE0191"/>
    <w:rsid w:val="00EE0263"/>
    <w:rsid w:val="00EE02DB"/>
    <w:rsid w:val="00EE0378"/>
    <w:rsid w:val="00EE03E6"/>
    <w:rsid w:val="00EE0417"/>
    <w:rsid w:val="00EE047F"/>
    <w:rsid w:val="00EE048C"/>
    <w:rsid w:val="00EE0571"/>
    <w:rsid w:val="00EE05C5"/>
    <w:rsid w:val="00EE0601"/>
    <w:rsid w:val="00EE0794"/>
    <w:rsid w:val="00EE07A7"/>
    <w:rsid w:val="00EE07A8"/>
    <w:rsid w:val="00EE07C1"/>
    <w:rsid w:val="00EE0800"/>
    <w:rsid w:val="00EE0822"/>
    <w:rsid w:val="00EE08A8"/>
    <w:rsid w:val="00EE08EA"/>
    <w:rsid w:val="00EE0939"/>
    <w:rsid w:val="00EE0994"/>
    <w:rsid w:val="00EE09A5"/>
    <w:rsid w:val="00EE0B28"/>
    <w:rsid w:val="00EE0C33"/>
    <w:rsid w:val="00EE0C34"/>
    <w:rsid w:val="00EE0C6F"/>
    <w:rsid w:val="00EE0CD7"/>
    <w:rsid w:val="00EE0CEA"/>
    <w:rsid w:val="00EE0D0B"/>
    <w:rsid w:val="00EE0D3C"/>
    <w:rsid w:val="00EE0D46"/>
    <w:rsid w:val="00EE0E59"/>
    <w:rsid w:val="00EE0EDB"/>
    <w:rsid w:val="00EE0EF4"/>
    <w:rsid w:val="00EE0F19"/>
    <w:rsid w:val="00EE0F99"/>
    <w:rsid w:val="00EE0FEB"/>
    <w:rsid w:val="00EE101D"/>
    <w:rsid w:val="00EE1074"/>
    <w:rsid w:val="00EE10F2"/>
    <w:rsid w:val="00EE10FC"/>
    <w:rsid w:val="00EE1164"/>
    <w:rsid w:val="00EE117C"/>
    <w:rsid w:val="00EE11B7"/>
    <w:rsid w:val="00EE1214"/>
    <w:rsid w:val="00EE1263"/>
    <w:rsid w:val="00EE12FD"/>
    <w:rsid w:val="00EE1357"/>
    <w:rsid w:val="00EE13B9"/>
    <w:rsid w:val="00EE13FD"/>
    <w:rsid w:val="00EE152B"/>
    <w:rsid w:val="00EE152E"/>
    <w:rsid w:val="00EE15EB"/>
    <w:rsid w:val="00EE163E"/>
    <w:rsid w:val="00EE1676"/>
    <w:rsid w:val="00EE16EB"/>
    <w:rsid w:val="00EE16FA"/>
    <w:rsid w:val="00EE1705"/>
    <w:rsid w:val="00EE179C"/>
    <w:rsid w:val="00EE17B8"/>
    <w:rsid w:val="00EE1834"/>
    <w:rsid w:val="00EE183B"/>
    <w:rsid w:val="00EE183C"/>
    <w:rsid w:val="00EE184A"/>
    <w:rsid w:val="00EE1923"/>
    <w:rsid w:val="00EE1991"/>
    <w:rsid w:val="00EE1A3C"/>
    <w:rsid w:val="00EE1A9B"/>
    <w:rsid w:val="00EE1AB4"/>
    <w:rsid w:val="00EE1B3C"/>
    <w:rsid w:val="00EE1BB4"/>
    <w:rsid w:val="00EE1C3B"/>
    <w:rsid w:val="00EE1C4D"/>
    <w:rsid w:val="00EE1C79"/>
    <w:rsid w:val="00EE1C99"/>
    <w:rsid w:val="00EE1CD8"/>
    <w:rsid w:val="00EE1DA7"/>
    <w:rsid w:val="00EE1DE3"/>
    <w:rsid w:val="00EE1F40"/>
    <w:rsid w:val="00EE1F47"/>
    <w:rsid w:val="00EE1FD7"/>
    <w:rsid w:val="00EE2020"/>
    <w:rsid w:val="00EE202F"/>
    <w:rsid w:val="00EE207D"/>
    <w:rsid w:val="00EE20AE"/>
    <w:rsid w:val="00EE20EC"/>
    <w:rsid w:val="00EE20ED"/>
    <w:rsid w:val="00EE2118"/>
    <w:rsid w:val="00EE2225"/>
    <w:rsid w:val="00EE22BC"/>
    <w:rsid w:val="00EE22F1"/>
    <w:rsid w:val="00EE23D2"/>
    <w:rsid w:val="00EE23EB"/>
    <w:rsid w:val="00EE2534"/>
    <w:rsid w:val="00EE2545"/>
    <w:rsid w:val="00EE257A"/>
    <w:rsid w:val="00EE25B0"/>
    <w:rsid w:val="00EE25CA"/>
    <w:rsid w:val="00EE263A"/>
    <w:rsid w:val="00EE26E9"/>
    <w:rsid w:val="00EE2707"/>
    <w:rsid w:val="00EE2788"/>
    <w:rsid w:val="00EE27FC"/>
    <w:rsid w:val="00EE2834"/>
    <w:rsid w:val="00EE2844"/>
    <w:rsid w:val="00EE290F"/>
    <w:rsid w:val="00EE2936"/>
    <w:rsid w:val="00EE29A7"/>
    <w:rsid w:val="00EE2AE9"/>
    <w:rsid w:val="00EE2AFA"/>
    <w:rsid w:val="00EE2BF3"/>
    <w:rsid w:val="00EE2BFC"/>
    <w:rsid w:val="00EE2C09"/>
    <w:rsid w:val="00EE2CC1"/>
    <w:rsid w:val="00EE2D31"/>
    <w:rsid w:val="00EE2E47"/>
    <w:rsid w:val="00EE2E5A"/>
    <w:rsid w:val="00EE2E5D"/>
    <w:rsid w:val="00EE2E80"/>
    <w:rsid w:val="00EE2E86"/>
    <w:rsid w:val="00EE2EF2"/>
    <w:rsid w:val="00EE2FAA"/>
    <w:rsid w:val="00EE2FFA"/>
    <w:rsid w:val="00EE2FFF"/>
    <w:rsid w:val="00EE3029"/>
    <w:rsid w:val="00EE3041"/>
    <w:rsid w:val="00EE318B"/>
    <w:rsid w:val="00EE32A3"/>
    <w:rsid w:val="00EE32CF"/>
    <w:rsid w:val="00EE335A"/>
    <w:rsid w:val="00EE3368"/>
    <w:rsid w:val="00EE33FA"/>
    <w:rsid w:val="00EE3448"/>
    <w:rsid w:val="00EE3485"/>
    <w:rsid w:val="00EE359E"/>
    <w:rsid w:val="00EE3614"/>
    <w:rsid w:val="00EE367F"/>
    <w:rsid w:val="00EE369C"/>
    <w:rsid w:val="00EE36DC"/>
    <w:rsid w:val="00EE3746"/>
    <w:rsid w:val="00EE3780"/>
    <w:rsid w:val="00EE37F6"/>
    <w:rsid w:val="00EE3876"/>
    <w:rsid w:val="00EE389A"/>
    <w:rsid w:val="00EE38FA"/>
    <w:rsid w:val="00EE395B"/>
    <w:rsid w:val="00EE3964"/>
    <w:rsid w:val="00EE39EE"/>
    <w:rsid w:val="00EE3A7F"/>
    <w:rsid w:val="00EE3AB3"/>
    <w:rsid w:val="00EE3ADE"/>
    <w:rsid w:val="00EE3B5C"/>
    <w:rsid w:val="00EE3BEB"/>
    <w:rsid w:val="00EE3BF9"/>
    <w:rsid w:val="00EE3C76"/>
    <w:rsid w:val="00EE3CBA"/>
    <w:rsid w:val="00EE3CBD"/>
    <w:rsid w:val="00EE3CC3"/>
    <w:rsid w:val="00EE3CE1"/>
    <w:rsid w:val="00EE3D22"/>
    <w:rsid w:val="00EE3E71"/>
    <w:rsid w:val="00EE3EFA"/>
    <w:rsid w:val="00EE3F27"/>
    <w:rsid w:val="00EE3F95"/>
    <w:rsid w:val="00EE4040"/>
    <w:rsid w:val="00EE407B"/>
    <w:rsid w:val="00EE4094"/>
    <w:rsid w:val="00EE4150"/>
    <w:rsid w:val="00EE41F5"/>
    <w:rsid w:val="00EE4263"/>
    <w:rsid w:val="00EE4314"/>
    <w:rsid w:val="00EE43D5"/>
    <w:rsid w:val="00EE4446"/>
    <w:rsid w:val="00EE4483"/>
    <w:rsid w:val="00EE44D3"/>
    <w:rsid w:val="00EE46B6"/>
    <w:rsid w:val="00EE4777"/>
    <w:rsid w:val="00EE47B5"/>
    <w:rsid w:val="00EE47BC"/>
    <w:rsid w:val="00EE4822"/>
    <w:rsid w:val="00EE4824"/>
    <w:rsid w:val="00EE48A8"/>
    <w:rsid w:val="00EE4960"/>
    <w:rsid w:val="00EE4987"/>
    <w:rsid w:val="00EE4A1A"/>
    <w:rsid w:val="00EE4A20"/>
    <w:rsid w:val="00EE4A62"/>
    <w:rsid w:val="00EE4A97"/>
    <w:rsid w:val="00EE4B9A"/>
    <w:rsid w:val="00EE4C41"/>
    <w:rsid w:val="00EE4E38"/>
    <w:rsid w:val="00EE4EA0"/>
    <w:rsid w:val="00EE4EDA"/>
    <w:rsid w:val="00EE4EF0"/>
    <w:rsid w:val="00EE50DD"/>
    <w:rsid w:val="00EE5125"/>
    <w:rsid w:val="00EE5196"/>
    <w:rsid w:val="00EE5198"/>
    <w:rsid w:val="00EE51C8"/>
    <w:rsid w:val="00EE525D"/>
    <w:rsid w:val="00EE52EC"/>
    <w:rsid w:val="00EE53B4"/>
    <w:rsid w:val="00EE53B8"/>
    <w:rsid w:val="00EE541F"/>
    <w:rsid w:val="00EE54AC"/>
    <w:rsid w:val="00EE54EB"/>
    <w:rsid w:val="00EE5558"/>
    <w:rsid w:val="00EE55CA"/>
    <w:rsid w:val="00EE5604"/>
    <w:rsid w:val="00EE5653"/>
    <w:rsid w:val="00EE57A1"/>
    <w:rsid w:val="00EE5804"/>
    <w:rsid w:val="00EE5890"/>
    <w:rsid w:val="00EE58A7"/>
    <w:rsid w:val="00EE58F8"/>
    <w:rsid w:val="00EE58FF"/>
    <w:rsid w:val="00EE593D"/>
    <w:rsid w:val="00EE593F"/>
    <w:rsid w:val="00EE5960"/>
    <w:rsid w:val="00EE5A5D"/>
    <w:rsid w:val="00EE5B2A"/>
    <w:rsid w:val="00EE5B97"/>
    <w:rsid w:val="00EE5BC4"/>
    <w:rsid w:val="00EE5C59"/>
    <w:rsid w:val="00EE5C64"/>
    <w:rsid w:val="00EE5C6E"/>
    <w:rsid w:val="00EE5C77"/>
    <w:rsid w:val="00EE5C80"/>
    <w:rsid w:val="00EE5DB1"/>
    <w:rsid w:val="00EE5E26"/>
    <w:rsid w:val="00EE5F1D"/>
    <w:rsid w:val="00EE5F7D"/>
    <w:rsid w:val="00EE5F82"/>
    <w:rsid w:val="00EE5FA6"/>
    <w:rsid w:val="00EE5FCC"/>
    <w:rsid w:val="00EE6102"/>
    <w:rsid w:val="00EE614C"/>
    <w:rsid w:val="00EE6199"/>
    <w:rsid w:val="00EE6235"/>
    <w:rsid w:val="00EE62C7"/>
    <w:rsid w:val="00EE6305"/>
    <w:rsid w:val="00EE6371"/>
    <w:rsid w:val="00EE6412"/>
    <w:rsid w:val="00EE6415"/>
    <w:rsid w:val="00EE647E"/>
    <w:rsid w:val="00EE65B4"/>
    <w:rsid w:val="00EE66B7"/>
    <w:rsid w:val="00EE677B"/>
    <w:rsid w:val="00EE6788"/>
    <w:rsid w:val="00EE67BA"/>
    <w:rsid w:val="00EE68A2"/>
    <w:rsid w:val="00EE68FF"/>
    <w:rsid w:val="00EE690F"/>
    <w:rsid w:val="00EE6B0E"/>
    <w:rsid w:val="00EE6B3C"/>
    <w:rsid w:val="00EE6B42"/>
    <w:rsid w:val="00EE6BB8"/>
    <w:rsid w:val="00EE6BD9"/>
    <w:rsid w:val="00EE6C2E"/>
    <w:rsid w:val="00EE6C4B"/>
    <w:rsid w:val="00EE6CF1"/>
    <w:rsid w:val="00EE6D04"/>
    <w:rsid w:val="00EE6D80"/>
    <w:rsid w:val="00EE6DF6"/>
    <w:rsid w:val="00EE6DFA"/>
    <w:rsid w:val="00EE6F02"/>
    <w:rsid w:val="00EE6F51"/>
    <w:rsid w:val="00EE6F5C"/>
    <w:rsid w:val="00EE6F74"/>
    <w:rsid w:val="00EE7010"/>
    <w:rsid w:val="00EE7219"/>
    <w:rsid w:val="00EE7262"/>
    <w:rsid w:val="00EE7277"/>
    <w:rsid w:val="00EE7289"/>
    <w:rsid w:val="00EE72F2"/>
    <w:rsid w:val="00EE7352"/>
    <w:rsid w:val="00EE7358"/>
    <w:rsid w:val="00EE7533"/>
    <w:rsid w:val="00EE754C"/>
    <w:rsid w:val="00EE75A6"/>
    <w:rsid w:val="00EE763C"/>
    <w:rsid w:val="00EE765C"/>
    <w:rsid w:val="00EE7677"/>
    <w:rsid w:val="00EE7682"/>
    <w:rsid w:val="00EE781D"/>
    <w:rsid w:val="00EE78F8"/>
    <w:rsid w:val="00EE78FE"/>
    <w:rsid w:val="00EE793F"/>
    <w:rsid w:val="00EE79BB"/>
    <w:rsid w:val="00EE79D5"/>
    <w:rsid w:val="00EE7AD6"/>
    <w:rsid w:val="00EE7ADE"/>
    <w:rsid w:val="00EE7AE1"/>
    <w:rsid w:val="00EE7BAE"/>
    <w:rsid w:val="00EE7C33"/>
    <w:rsid w:val="00EE7C94"/>
    <w:rsid w:val="00EE7CE9"/>
    <w:rsid w:val="00EE7D19"/>
    <w:rsid w:val="00EE7D22"/>
    <w:rsid w:val="00EE7DCD"/>
    <w:rsid w:val="00EE7DE1"/>
    <w:rsid w:val="00EE7E17"/>
    <w:rsid w:val="00EE7E1A"/>
    <w:rsid w:val="00EE7EE1"/>
    <w:rsid w:val="00EE7F1D"/>
    <w:rsid w:val="00EE7F3E"/>
    <w:rsid w:val="00EE7F7F"/>
    <w:rsid w:val="00EF002F"/>
    <w:rsid w:val="00EF0094"/>
    <w:rsid w:val="00EF009D"/>
    <w:rsid w:val="00EF00A1"/>
    <w:rsid w:val="00EF00D5"/>
    <w:rsid w:val="00EF012B"/>
    <w:rsid w:val="00EF01E6"/>
    <w:rsid w:val="00EF0231"/>
    <w:rsid w:val="00EF0252"/>
    <w:rsid w:val="00EF0281"/>
    <w:rsid w:val="00EF028E"/>
    <w:rsid w:val="00EF038D"/>
    <w:rsid w:val="00EF0398"/>
    <w:rsid w:val="00EF03D1"/>
    <w:rsid w:val="00EF03F0"/>
    <w:rsid w:val="00EF03F8"/>
    <w:rsid w:val="00EF0451"/>
    <w:rsid w:val="00EF046C"/>
    <w:rsid w:val="00EF04DD"/>
    <w:rsid w:val="00EF052C"/>
    <w:rsid w:val="00EF0536"/>
    <w:rsid w:val="00EF063E"/>
    <w:rsid w:val="00EF06AD"/>
    <w:rsid w:val="00EF06E0"/>
    <w:rsid w:val="00EF06F4"/>
    <w:rsid w:val="00EF0731"/>
    <w:rsid w:val="00EF07BD"/>
    <w:rsid w:val="00EF086B"/>
    <w:rsid w:val="00EF0887"/>
    <w:rsid w:val="00EF089D"/>
    <w:rsid w:val="00EF08F6"/>
    <w:rsid w:val="00EF0952"/>
    <w:rsid w:val="00EF0997"/>
    <w:rsid w:val="00EF09F0"/>
    <w:rsid w:val="00EF0A02"/>
    <w:rsid w:val="00EF0A5E"/>
    <w:rsid w:val="00EF0BE2"/>
    <w:rsid w:val="00EF0BF2"/>
    <w:rsid w:val="00EF0C26"/>
    <w:rsid w:val="00EF0C27"/>
    <w:rsid w:val="00EF0CE6"/>
    <w:rsid w:val="00EF0CF1"/>
    <w:rsid w:val="00EF0D19"/>
    <w:rsid w:val="00EF0D2B"/>
    <w:rsid w:val="00EF0D59"/>
    <w:rsid w:val="00EF0DFF"/>
    <w:rsid w:val="00EF0E6D"/>
    <w:rsid w:val="00EF0EE7"/>
    <w:rsid w:val="00EF10B0"/>
    <w:rsid w:val="00EF111C"/>
    <w:rsid w:val="00EF11AD"/>
    <w:rsid w:val="00EF1210"/>
    <w:rsid w:val="00EF1247"/>
    <w:rsid w:val="00EF126B"/>
    <w:rsid w:val="00EF1337"/>
    <w:rsid w:val="00EF1380"/>
    <w:rsid w:val="00EF1496"/>
    <w:rsid w:val="00EF14C2"/>
    <w:rsid w:val="00EF1563"/>
    <w:rsid w:val="00EF15B1"/>
    <w:rsid w:val="00EF1695"/>
    <w:rsid w:val="00EF1716"/>
    <w:rsid w:val="00EF1760"/>
    <w:rsid w:val="00EF1770"/>
    <w:rsid w:val="00EF17AE"/>
    <w:rsid w:val="00EF17C7"/>
    <w:rsid w:val="00EF17E8"/>
    <w:rsid w:val="00EF1844"/>
    <w:rsid w:val="00EF1883"/>
    <w:rsid w:val="00EF188F"/>
    <w:rsid w:val="00EF1894"/>
    <w:rsid w:val="00EF192A"/>
    <w:rsid w:val="00EF194A"/>
    <w:rsid w:val="00EF195D"/>
    <w:rsid w:val="00EF1980"/>
    <w:rsid w:val="00EF1A4D"/>
    <w:rsid w:val="00EF1A7A"/>
    <w:rsid w:val="00EF1AE3"/>
    <w:rsid w:val="00EF1B23"/>
    <w:rsid w:val="00EF1B58"/>
    <w:rsid w:val="00EF1C3E"/>
    <w:rsid w:val="00EF1C6B"/>
    <w:rsid w:val="00EF1CA9"/>
    <w:rsid w:val="00EF1DF2"/>
    <w:rsid w:val="00EF1E00"/>
    <w:rsid w:val="00EF1E22"/>
    <w:rsid w:val="00EF1E81"/>
    <w:rsid w:val="00EF1ED1"/>
    <w:rsid w:val="00EF1F55"/>
    <w:rsid w:val="00EF1F64"/>
    <w:rsid w:val="00EF1F86"/>
    <w:rsid w:val="00EF1FE0"/>
    <w:rsid w:val="00EF2005"/>
    <w:rsid w:val="00EF207C"/>
    <w:rsid w:val="00EF2301"/>
    <w:rsid w:val="00EF23A9"/>
    <w:rsid w:val="00EF23C8"/>
    <w:rsid w:val="00EF23D3"/>
    <w:rsid w:val="00EF258C"/>
    <w:rsid w:val="00EF26F0"/>
    <w:rsid w:val="00EF27BE"/>
    <w:rsid w:val="00EF27DB"/>
    <w:rsid w:val="00EF282B"/>
    <w:rsid w:val="00EF284E"/>
    <w:rsid w:val="00EF28A8"/>
    <w:rsid w:val="00EF28B7"/>
    <w:rsid w:val="00EF28CB"/>
    <w:rsid w:val="00EF290C"/>
    <w:rsid w:val="00EF2951"/>
    <w:rsid w:val="00EF2976"/>
    <w:rsid w:val="00EF2A09"/>
    <w:rsid w:val="00EF2AF1"/>
    <w:rsid w:val="00EF2B0A"/>
    <w:rsid w:val="00EF2B20"/>
    <w:rsid w:val="00EF2B64"/>
    <w:rsid w:val="00EF2B69"/>
    <w:rsid w:val="00EF2C80"/>
    <w:rsid w:val="00EF2CFF"/>
    <w:rsid w:val="00EF2D7C"/>
    <w:rsid w:val="00EF2D87"/>
    <w:rsid w:val="00EF2DB8"/>
    <w:rsid w:val="00EF2DD4"/>
    <w:rsid w:val="00EF2E1A"/>
    <w:rsid w:val="00EF2EEA"/>
    <w:rsid w:val="00EF2F07"/>
    <w:rsid w:val="00EF2F2C"/>
    <w:rsid w:val="00EF2FC3"/>
    <w:rsid w:val="00EF2FEB"/>
    <w:rsid w:val="00EF303D"/>
    <w:rsid w:val="00EF307E"/>
    <w:rsid w:val="00EF30B4"/>
    <w:rsid w:val="00EF30E3"/>
    <w:rsid w:val="00EF3126"/>
    <w:rsid w:val="00EF32E6"/>
    <w:rsid w:val="00EF32F5"/>
    <w:rsid w:val="00EF33B1"/>
    <w:rsid w:val="00EF33BB"/>
    <w:rsid w:val="00EF33E5"/>
    <w:rsid w:val="00EF33FC"/>
    <w:rsid w:val="00EF349B"/>
    <w:rsid w:val="00EF3524"/>
    <w:rsid w:val="00EF3557"/>
    <w:rsid w:val="00EF356A"/>
    <w:rsid w:val="00EF3586"/>
    <w:rsid w:val="00EF35E4"/>
    <w:rsid w:val="00EF35FF"/>
    <w:rsid w:val="00EF3662"/>
    <w:rsid w:val="00EF36A9"/>
    <w:rsid w:val="00EF36CD"/>
    <w:rsid w:val="00EF36E1"/>
    <w:rsid w:val="00EF36F2"/>
    <w:rsid w:val="00EF384C"/>
    <w:rsid w:val="00EF3857"/>
    <w:rsid w:val="00EF388C"/>
    <w:rsid w:val="00EF393E"/>
    <w:rsid w:val="00EF3993"/>
    <w:rsid w:val="00EF39A4"/>
    <w:rsid w:val="00EF3A60"/>
    <w:rsid w:val="00EF3B12"/>
    <w:rsid w:val="00EF3B63"/>
    <w:rsid w:val="00EF3BE3"/>
    <w:rsid w:val="00EF3C97"/>
    <w:rsid w:val="00EF3CA9"/>
    <w:rsid w:val="00EF3D47"/>
    <w:rsid w:val="00EF3D48"/>
    <w:rsid w:val="00EF3D4A"/>
    <w:rsid w:val="00EF3DD3"/>
    <w:rsid w:val="00EF3E14"/>
    <w:rsid w:val="00EF3E3A"/>
    <w:rsid w:val="00EF3E9A"/>
    <w:rsid w:val="00EF3EC9"/>
    <w:rsid w:val="00EF3F36"/>
    <w:rsid w:val="00EF3F7F"/>
    <w:rsid w:val="00EF3FEA"/>
    <w:rsid w:val="00EF401F"/>
    <w:rsid w:val="00EF402E"/>
    <w:rsid w:val="00EF405C"/>
    <w:rsid w:val="00EF40E1"/>
    <w:rsid w:val="00EF4155"/>
    <w:rsid w:val="00EF4165"/>
    <w:rsid w:val="00EF4167"/>
    <w:rsid w:val="00EF41A9"/>
    <w:rsid w:val="00EF4216"/>
    <w:rsid w:val="00EF4252"/>
    <w:rsid w:val="00EF4255"/>
    <w:rsid w:val="00EF42B3"/>
    <w:rsid w:val="00EF431E"/>
    <w:rsid w:val="00EF4334"/>
    <w:rsid w:val="00EF4370"/>
    <w:rsid w:val="00EF438B"/>
    <w:rsid w:val="00EF439A"/>
    <w:rsid w:val="00EF43F7"/>
    <w:rsid w:val="00EF445B"/>
    <w:rsid w:val="00EF4463"/>
    <w:rsid w:val="00EF4476"/>
    <w:rsid w:val="00EF44FD"/>
    <w:rsid w:val="00EF45D4"/>
    <w:rsid w:val="00EF469D"/>
    <w:rsid w:val="00EF47B8"/>
    <w:rsid w:val="00EF4864"/>
    <w:rsid w:val="00EF48DE"/>
    <w:rsid w:val="00EF48EC"/>
    <w:rsid w:val="00EF491E"/>
    <w:rsid w:val="00EF4A28"/>
    <w:rsid w:val="00EF4A63"/>
    <w:rsid w:val="00EF4A85"/>
    <w:rsid w:val="00EF4AC7"/>
    <w:rsid w:val="00EF4AF8"/>
    <w:rsid w:val="00EF4AFE"/>
    <w:rsid w:val="00EF4B6A"/>
    <w:rsid w:val="00EF4B78"/>
    <w:rsid w:val="00EF4B9B"/>
    <w:rsid w:val="00EF4BCE"/>
    <w:rsid w:val="00EF4BF6"/>
    <w:rsid w:val="00EF4C31"/>
    <w:rsid w:val="00EF4D65"/>
    <w:rsid w:val="00EF4D7A"/>
    <w:rsid w:val="00EF4F02"/>
    <w:rsid w:val="00EF4F22"/>
    <w:rsid w:val="00EF4F9E"/>
    <w:rsid w:val="00EF4FC0"/>
    <w:rsid w:val="00EF4FC2"/>
    <w:rsid w:val="00EF5052"/>
    <w:rsid w:val="00EF52A4"/>
    <w:rsid w:val="00EF534A"/>
    <w:rsid w:val="00EF53DD"/>
    <w:rsid w:val="00EF54B0"/>
    <w:rsid w:val="00EF5534"/>
    <w:rsid w:val="00EF554C"/>
    <w:rsid w:val="00EF55A6"/>
    <w:rsid w:val="00EF5608"/>
    <w:rsid w:val="00EF5647"/>
    <w:rsid w:val="00EF569D"/>
    <w:rsid w:val="00EF5713"/>
    <w:rsid w:val="00EF5721"/>
    <w:rsid w:val="00EF57F7"/>
    <w:rsid w:val="00EF57F9"/>
    <w:rsid w:val="00EF5854"/>
    <w:rsid w:val="00EF5898"/>
    <w:rsid w:val="00EF58A6"/>
    <w:rsid w:val="00EF58B1"/>
    <w:rsid w:val="00EF594D"/>
    <w:rsid w:val="00EF5987"/>
    <w:rsid w:val="00EF59AE"/>
    <w:rsid w:val="00EF5A48"/>
    <w:rsid w:val="00EF5A6E"/>
    <w:rsid w:val="00EF5B7C"/>
    <w:rsid w:val="00EF5BA7"/>
    <w:rsid w:val="00EF5C5C"/>
    <w:rsid w:val="00EF5C6F"/>
    <w:rsid w:val="00EF5CE3"/>
    <w:rsid w:val="00EF5DD2"/>
    <w:rsid w:val="00EF5DD3"/>
    <w:rsid w:val="00EF5E94"/>
    <w:rsid w:val="00EF5EF2"/>
    <w:rsid w:val="00EF5F05"/>
    <w:rsid w:val="00EF5F73"/>
    <w:rsid w:val="00EF6104"/>
    <w:rsid w:val="00EF6265"/>
    <w:rsid w:val="00EF627D"/>
    <w:rsid w:val="00EF6293"/>
    <w:rsid w:val="00EF62C5"/>
    <w:rsid w:val="00EF62CD"/>
    <w:rsid w:val="00EF63EF"/>
    <w:rsid w:val="00EF63FE"/>
    <w:rsid w:val="00EF64CA"/>
    <w:rsid w:val="00EF658B"/>
    <w:rsid w:val="00EF65A0"/>
    <w:rsid w:val="00EF65B5"/>
    <w:rsid w:val="00EF6748"/>
    <w:rsid w:val="00EF675E"/>
    <w:rsid w:val="00EF6775"/>
    <w:rsid w:val="00EF685B"/>
    <w:rsid w:val="00EF6864"/>
    <w:rsid w:val="00EF68C5"/>
    <w:rsid w:val="00EF6904"/>
    <w:rsid w:val="00EF693A"/>
    <w:rsid w:val="00EF6985"/>
    <w:rsid w:val="00EF69DA"/>
    <w:rsid w:val="00EF6A78"/>
    <w:rsid w:val="00EF6C21"/>
    <w:rsid w:val="00EF6CE5"/>
    <w:rsid w:val="00EF6CFD"/>
    <w:rsid w:val="00EF6D51"/>
    <w:rsid w:val="00EF6E69"/>
    <w:rsid w:val="00EF6ED3"/>
    <w:rsid w:val="00EF6EDA"/>
    <w:rsid w:val="00EF6FED"/>
    <w:rsid w:val="00EF701C"/>
    <w:rsid w:val="00EF7024"/>
    <w:rsid w:val="00EF7027"/>
    <w:rsid w:val="00EF70CF"/>
    <w:rsid w:val="00EF714A"/>
    <w:rsid w:val="00EF716A"/>
    <w:rsid w:val="00EF71A5"/>
    <w:rsid w:val="00EF71CA"/>
    <w:rsid w:val="00EF729D"/>
    <w:rsid w:val="00EF7435"/>
    <w:rsid w:val="00EF7468"/>
    <w:rsid w:val="00EF7470"/>
    <w:rsid w:val="00EF752A"/>
    <w:rsid w:val="00EF7632"/>
    <w:rsid w:val="00EF764E"/>
    <w:rsid w:val="00EF7681"/>
    <w:rsid w:val="00EF7711"/>
    <w:rsid w:val="00EF7749"/>
    <w:rsid w:val="00EF774C"/>
    <w:rsid w:val="00EF7753"/>
    <w:rsid w:val="00EF7804"/>
    <w:rsid w:val="00EF792B"/>
    <w:rsid w:val="00EF79A1"/>
    <w:rsid w:val="00EF79A6"/>
    <w:rsid w:val="00EF79F8"/>
    <w:rsid w:val="00EF7A4C"/>
    <w:rsid w:val="00EF7A6A"/>
    <w:rsid w:val="00EF7A86"/>
    <w:rsid w:val="00EF7B06"/>
    <w:rsid w:val="00EF7B6E"/>
    <w:rsid w:val="00EF7C1F"/>
    <w:rsid w:val="00EF7CAD"/>
    <w:rsid w:val="00EF7CCC"/>
    <w:rsid w:val="00EF7D04"/>
    <w:rsid w:val="00EF7E3E"/>
    <w:rsid w:val="00EF7E98"/>
    <w:rsid w:val="00EF7EC0"/>
    <w:rsid w:val="00EF7F1E"/>
    <w:rsid w:val="00F00065"/>
    <w:rsid w:val="00F00111"/>
    <w:rsid w:val="00F0013A"/>
    <w:rsid w:val="00F00171"/>
    <w:rsid w:val="00F0018F"/>
    <w:rsid w:val="00F001D7"/>
    <w:rsid w:val="00F0026D"/>
    <w:rsid w:val="00F00291"/>
    <w:rsid w:val="00F002EE"/>
    <w:rsid w:val="00F00311"/>
    <w:rsid w:val="00F00386"/>
    <w:rsid w:val="00F00393"/>
    <w:rsid w:val="00F0039A"/>
    <w:rsid w:val="00F00457"/>
    <w:rsid w:val="00F00497"/>
    <w:rsid w:val="00F004DA"/>
    <w:rsid w:val="00F00508"/>
    <w:rsid w:val="00F00542"/>
    <w:rsid w:val="00F00576"/>
    <w:rsid w:val="00F0058C"/>
    <w:rsid w:val="00F005C9"/>
    <w:rsid w:val="00F005D6"/>
    <w:rsid w:val="00F00931"/>
    <w:rsid w:val="00F0098B"/>
    <w:rsid w:val="00F009D6"/>
    <w:rsid w:val="00F00A4B"/>
    <w:rsid w:val="00F00B4D"/>
    <w:rsid w:val="00F00BF2"/>
    <w:rsid w:val="00F00C2B"/>
    <w:rsid w:val="00F00C55"/>
    <w:rsid w:val="00F00C5F"/>
    <w:rsid w:val="00F00C78"/>
    <w:rsid w:val="00F00C8F"/>
    <w:rsid w:val="00F00C9E"/>
    <w:rsid w:val="00F00CF4"/>
    <w:rsid w:val="00F00D7E"/>
    <w:rsid w:val="00F00DDE"/>
    <w:rsid w:val="00F00DEA"/>
    <w:rsid w:val="00F00ED6"/>
    <w:rsid w:val="00F00F03"/>
    <w:rsid w:val="00F00F55"/>
    <w:rsid w:val="00F00FB0"/>
    <w:rsid w:val="00F01025"/>
    <w:rsid w:val="00F010D3"/>
    <w:rsid w:val="00F01104"/>
    <w:rsid w:val="00F01105"/>
    <w:rsid w:val="00F01119"/>
    <w:rsid w:val="00F011AD"/>
    <w:rsid w:val="00F0120A"/>
    <w:rsid w:val="00F0120F"/>
    <w:rsid w:val="00F01247"/>
    <w:rsid w:val="00F012DB"/>
    <w:rsid w:val="00F012F7"/>
    <w:rsid w:val="00F01331"/>
    <w:rsid w:val="00F0133F"/>
    <w:rsid w:val="00F01345"/>
    <w:rsid w:val="00F01388"/>
    <w:rsid w:val="00F0139B"/>
    <w:rsid w:val="00F013CB"/>
    <w:rsid w:val="00F014E7"/>
    <w:rsid w:val="00F015E4"/>
    <w:rsid w:val="00F015EF"/>
    <w:rsid w:val="00F015F8"/>
    <w:rsid w:val="00F0161F"/>
    <w:rsid w:val="00F01625"/>
    <w:rsid w:val="00F016CB"/>
    <w:rsid w:val="00F016DA"/>
    <w:rsid w:val="00F016F7"/>
    <w:rsid w:val="00F01700"/>
    <w:rsid w:val="00F01709"/>
    <w:rsid w:val="00F017BA"/>
    <w:rsid w:val="00F017CF"/>
    <w:rsid w:val="00F01845"/>
    <w:rsid w:val="00F01858"/>
    <w:rsid w:val="00F018C8"/>
    <w:rsid w:val="00F01963"/>
    <w:rsid w:val="00F01A24"/>
    <w:rsid w:val="00F01AB5"/>
    <w:rsid w:val="00F01C4C"/>
    <w:rsid w:val="00F01C8A"/>
    <w:rsid w:val="00F01CB3"/>
    <w:rsid w:val="00F01D40"/>
    <w:rsid w:val="00F01D4A"/>
    <w:rsid w:val="00F01D7F"/>
    <w:rsid w:val="00F01DA0"/>
    <w:rsid w:val="00F01DC2"/>
    <w:rsid w:val="00F01DF5"/>
    <w:rsid w:val="00F01E42"/>
    <w:rsid w:val="00F01E78"/>
    <w:rsid w:val="00F01F0C"/>
    <w:rsid w:val="00F01F34"/>
    <w:rsid w:val="00F021BB"/>
    <w:rsid w:val="00F0221D"/>
    <w:rsid w:val="00F0231E"/>
    <w:rsid w:val="00F0234A"/>
    <w:rsid w:val="00F0235C"/>
    <w:rsid w:val="00F0235D"/>
    <w:rsid w:val="00F02466"/>
    <w:rsid w:val="00F024C1"/>
    <w:rsid w:val="00F025EB"/>
    <w:rsid w:val="00F026D5"/>
    <w:rsid w:val="00F026D6"/>
    <w:rsid w:val="00F0278B"/>
    <w:rsid w:val="00F027B9"/>
    <w:rsid w:val="00F027F4"/>
    <w:rsid w:val="00F02850"/>
    <w:rsid w:val="00F028EE"/>
    <w:rsid w:val="00F0293C"/>
    <w:rsid w:val="00F0297F"/>
    <w:rsid w:val="00F02A0F"/>
    <w:rsid w:val="00F02AA5"/>
    <w:rsid w:val="00F02AF6"/>
    <w:rsid w:val="00F02BA1"/>
    <w:rsid w:val="00F02BC5"/>
    <w:rsid w:val="00F02BD4"/>
    <w:rsid w:val="00F02BDD"/>
    <w:rsid w:val="00F02C65"/>
    <w:rsid w:val="00F02C69"/>
    <w:rsid w:val="00F02C8F"/>
    <w:rsid w:val="00F02CA3"/>
    <w:rsid w:val="00F02D96"/>
    <w:rsid w:val="00F02E24"/>
    <w:rsid w:val="00F02E45"/>
    <w:rsid w:val="00F02F38"/>
    <w:rsid w:val="00F02FEE"/>
    <w:rsid w:val="00F03029"/>
    <w:rsid w:val="00F0305B"/>
    <w:rsid w:val="00F03212"/>
    <w:rsid w:val="00F03262"/>
    <w:rsid w:val="00F032C0"/>
    <w:rsid w:val="00F03350"/>
    <w:rsid w:val="00F03573"/>
    <w:rsid w:val="00F035AB"/>
    <w:rsid w:val="00F03643"/>
    <w:rsid w:val="00F036B1"/>
    <w:rsid w:val="00F039CC"/>
    <w:rsid w:val="00F03A28"/>
    <w:rsid w:val="00F03B5A"/>
    <w:rsid w:val="00F03BF7"/>
    <w:rsid w:val="00F03C18"/>
    <w:rsid w:val="00F03C2A"/>
    <w:rsid w:val="00F03C8F"/>
    <w:rsid w:val="00F03C9D"/>
    <w:rsid w:val="00F03CB5"/>
    <w:rsid w:val="00F03CCE"/>
    <w:rsid w:val="00F03D0A"/>
    <w:rsid w:val="00F03D45"/>
    <w:rsid w:val="00F03F30"/>
    <w:rsid w:val="00F03F83"/>
    <w:rsid w:val="00F03FBE"/>
    <w:rsid w:val="00F04069"/>
    <w:rsid w:val="00F04086"/>
    <w:rsid w:val="00F040AB"/>
    <w:rsid w:val="00F0417F"/>
    <w:rsid w:val="00F04194"/>
    <w:rsid w:val="00F041A4"/>
    <w:rsid w:val="00F041D4"/>
    <w:rsid w:val="00F04202"/>
    <w:rsid w:val="00F04251"/>
    <w:rsid w:val="00F0428B"/>
    <w:rsid w:val="00F0432B"/>
    <w:rsid w:val="00F0438F"/>
    <w:rsid w:val="00F043B2"/>
    <w:rsid w:val="00F044F8"/>
    <w:rsid w:val="00F0455C"/>
    <w:rsid w:val="00F04588"/>
    <w:rsid w:val="00F0461F"/>
    <w:rsid w:val="00F0476D"/>
    <w:rsid w:val="00F0478F"/>
    <w:rsid w:val="00F048B2"/>
    <w:rsid w:val="00F048B4"/>
    <w:rsid w:val="00F04A4B"/>
    <w:rsid w:val="00F04A79"/>
    <w:rsid w:val="00F04B65"/>
    <w:rsid w:val="00F04B6E"/>
    <w:rsid w:val="00F04C9D"/>
    <w:rsid w:val="00F04CB7"/>
    <w:rsid w:val="00F04D53"/>
    <w:rsid w:val="00F04DA4"/>
    <w:rsid w:val="00F04DB5"/>
    <w:rsid w:val="00F04E27"/>
    <w:rsid w:val="00F04E74"/>
    <w:rsid w:val="00F04E7D"/>
    <w:rsid w:val="00F04EEE"/>
    <w:rsid w:val="00F04FA6"/>
    <w:rsid w:val="00F05017"/>
    <w:rsid w:val="00F05081"/>
    <w:rsid w:val="00F05085"/>
    <w:rsid w:val="00F0509D"/>
    <w:rsid w:val="00F050A7"/>
    <w:rsid w:val="00F050E7"/>
    <w:rsid w:val="00F05151"/>
    <w:rsid w:val="00F051DB"/>
    <w:rsid w:val="00F05204"/>
    <w:rsid w:val="00F05264"/>
    <w:rsid w:val="00F05296"/>
    <w:rsid w:val="00F052F4"/>
    <w:rsid w:val="00F0534E"/>
    <w:rsid w:val="00F053EC"/>
    <w:rsid w:val="00F053ED"/>
    <w:rsid w:val="00F054FF"/>
    <w:rsid w:val="00F05662"/>
    <w:rsid w:val="00F05672"/>
    <w:rsid w:val="00F056AF"/>
    <w:rsid w:val="00F05761"/>
    <w:rsid w:val="00F0581F"/>
    <w:rsid w:val="00F05825"/>
    <w:rsid w:val="00F05866"/>
    <w:rsid w:val="00F058E7"/>
    <w:rsid w:val="00F05905"/>
    <w:rsid w:val="00F0590B"/>
    <w:rsid w:val="00F05914"/>
    <w:rsid w:val="00F05928"/>
    <w:rsid w:val="00F05938"/>
    <w:rsid w:val="00F0594F"/>
    <w:rsid w:val="00F059AA"/>
    <w:rsid w:val="00F05A19"/>
    <w:rsid w:val="00F05A43"/>
    <w:rsid w:val="00F05B4F"/>
    <w:rsid w:val="00F05B64"/>
    <w:rsid w:val="00F05B80"/>
    <w:rsid w:val="00F05BC2"/>
    <w:rsid w:val="00F05CA9"/>
    <w:rsid w:val="00F05D4C"/>
    <w:rsid w:val="00F05E2A"/>
    <w:rsid w:val="00F05EE7"/>
    <w:rsid w:val="00F05F20"/>
    <w:rsid w:val="00F05FE0"/>
    <w:rsid w:val="00F06052"/>
    <w:rsid w:val="00F06125"/>
    <w:rsid w:val="00F0616F"/>
    <w:rsid w:val="00F061CF"/>
    <w:rsid w:val="00F06201"/>
    <w:rsid w:val="00F0622B"/>
    <w:rsid w:val="00F06236"/>
    <w:rsid w:val="00F06258"/>
    <w:rsid w:val="00F06293"/>
    <w:rsid w:val="00F063AC"/>
    <w:rsid w:val="00F06420"/>
    <w:rsid w:val="00F06488"/>
    <w:rsid w:val="00F064E6"/>
    <w:rsid w:val="00F064FE"/>
    <w:rsid w:val="00F065AF"/>
    <w:rsid w:val="00F065F8"/>
    <w:rsid w:val="00F0661A"/>
    <w:rsid w:val="00F06645"/>
    <w:rsid w:val="00F0675C"/>
    <w:rsid w:val="00F06842"/>
    <w:rsid w:val="00F068AF"/>
    <w:rsid w:val="00F069C3"/>
    <w:rsid w:val="00F069F2"/>
    <w:rsid w:val="00F06B3A"/>
    <w:rsid w:val="00F06B86"/>
    <w:rsid w:val="00F06BF0"/>
    <w:rsid w:val="00F06C2F"/>
    <w:rsid w:val="00F06C32"/>
    <w:rsid w:val="00F06C4C"/>
    <w:rsid w:val="00F06D23"/>
    <w:rsid w:val="00F06D31"/>
    <w:rsid w:val="00F06E19"/>
    <w:rsid w:val="00F06ED6"/>
    <w:rsid w:val="00F06EDC"/>
    <w:rsid w:val="00F06F67"/>
    <w:rsid w:val="00F06FE7"/>
    <w:rsid w:val="00F07019"/>
    <w:rsid w:val="00F070D3"/>
    <w:rsid w:val="00F07110"/>
    <w:rsid w:val="00F07131"/>
    <w:rsid w:val="00F07174"/>
    <w:rsid w:val="00F071AE"/>
    <w:rsid w:val="00F071BC"/>
    <w:rsid w:val="00F072C8"/>
    <w:rsid w:val="00F072D8"/>
    <w:rsid w:val="00F073D7"/>
    <w:rsid w:val="00F074BE"/>
    <w:rsid w:val="00F07550"/>
    <w:rsid w:val="00F07571"/>
    <w:rsid w:val="00F075FC"/>
    <w:rsid w:val="00F07672"/>
    <w:rsid w:val="00F076A2"/>
    <w:rsid w:val="00F07782"/>
    <w:rsid w:val="00F077DA"/>
    <w:rsid w:val="00F07946"/>
    <w:rsid w:val="00F07A4C"/>
    <w:rsid w:val="00F07A63"/>
    <w:rsid w:val="00F07A6B"/>
    <w:rsid w:val="00F07AA7"/>
    <w:rsid w:val="00F07ADC"/>
    <w:rsid w:val="00F07B3F"/>
    <w:rsid w:val="00F07B47"/>
    <w:rsid w:val="00F07B57"/>
    <w:rsid w:val="00F07B80"/>
    <w:rsid w:val="00F07BD4"/>
    <w:rsid w:val="00F07C1C"/>
    <w:rsid w:val="00F07C66"/>
    <w:rsid w:val="00F07D3A"/>
    <w:rsid w:val="00F07D7E"/>
    <w:rsid w:val="00F07D8C"/>
    <w:rsid w:val="00F07E3E"/>
    <w:rsid w:val="00F07E99"/>
    <w:rsid w:val="00F07ED6"/>
    <w:rsid w:val="00F07F30"/>
    <w:rsid w:val="00F07F9C"/>
    <w:rsid w:val="00F1002D"/>
    <w:rsid w:val="00F10044"/>
    <w:rsid w:val="00F100B2"/>
    <w:rsid w:val="00F1018C"/>
    <w:rsid w:val="00F101EA"/>
    <w:rsid w:val="00F1028F"/>
    <w:rsid w:val="00F102D7"/>
    <w:rsid w:val="00F10303"/>
    <w:rsid w:val="00F10313"/>
    <w:rsid w:val="00F1040E"/>
    <w:rsid w:val="00F10468"/>
    <w:rsid w:val="00F10603"/>
    <w:rsid w:val="00F10606"/>
    <w:rsid w:val="00F1063A"/>
    <w:rsid w:val="00F1066B"/>
    <w:rsid w:val="00F10684"/>
    <w:rsid w:val="00F10691"/>
    <w:rsid w:val="00F106A7"/>
    <w:rsid w:val="00F106B4"/>
    <w:rsid w:val="00F106BB"/>
    <w:rsid w:val="00F106E3"/>
    <w:rsid w:val="00F1074A"/>
    <w:rsid w:val="00F10751"/>
    <w:rsid w:val="00F1076E"/>
    <w:rsid w:val="00F107C7"/>
    <w:rsid w:val="00F1083F"/>
    <w:rsid w:val="00F1084F"/>
    <w:rsid w:val="00F10890"/>
    <w:rsid w:val="00F108EE"/>
    <w:rsid w:val="00F1090A"/>
    <w:rsid w:val="00F10917"/>
    <w:rsid w:val="00F10927"/>
    <w:rsid w:val="00F109A5"/>
    <w:rsid w:val="00F109DA"/>
    <w:rsid w:val="00F10A1C"/>
    <w:rsid w:val="00F10ABE"/>
    <w:rsid w:val="00F10AC0"/>
    <w:rsid w:val="00F10B23"/>
    <w:rsid w:val="00F10B3B"/>
    <w:rsid w:val="00F10B76"/>
    <w:rsid w:val="00F10BB8"/>
    <w:rsid w:val="00F10BEE"/>
    <w:rsid w:val="00F10CA2"/>
    <w:rsid w:val="00F10DC7"/>
    <w:rsid w:val="00F10E63"/>
    <w:rsid w:val="00F10E74"/>
    <w:rsid w:val="00F10E90"/>
    <w:rsid w:val="00F10EA6"/>
    <w:rsid w:val="00F10EA9"/>
    <w:rsid w:val="00F10EC1"/>
    <w:rsid w:val="00F10ED9"/>
    <w:rsid w:val="00F10EDD"/>
    <w:rsid w:val="00F10F4F"/>
    <w:rsid w:val="00F10F75"/>
    <w:rsid w:val="00F10FD5"/>
    <w:rsid w:val="00F10FF9"/>
    <w:rsid w:val="00F1116C"/>
    <w:rsid w:val="00F112C4"/>
    <w:rsid w:val="00F11438"/>
    <w:rsid w:val="00F114AE"/>
    <w:rsid w:val="00F1157B"/>
    <w:rsid w:val="00F115CC"/>
    <w:rsid w:val="00F115D5"/>
    <w:rsid w:val="00F1160D"/>
    <w:rsid w:val="00F11623"/>
    <w:rsid w:val="00F1165B"/>
    <w:rsid w:val="00F11690"/>
    <w:rsid w:val="00F117AB"/>
    <w:rsid w:val="00F117D1"/>
    <w:rsid w:val="00F11803"/>
    <w:rsid w:val="00F11814"/>
    <w:rsid w:val="00F11829"/>
    <w:rsid w:val="00F11856"/>
    <w:rsid w:val="00F11860"/>
    <w:rsid w:val="00F1190A"/>
    <w:rsid w:val="00F11945"/>
    <w:rsid w:val="00F119CC"/>
    <w:rsid w:val="00F11A55"/>
    <w:rsid w:val="00F11B21"/>
    <w:rsid w:val="00F11B71"/>
    <w:rsid w:val="00F11BC1"/>
    <w:rsid w:val="00F11BE8"/>
    <w:rsid w:val="00F11C0F"/>
    <w:rsid w:val="00F11C2D"/>
    <w:rsid w:val="00F11CF8"/>
    <w:rsid w:val="00F11D9B"/>
    <w:rsid w:val="00F11DC3"/>
    <w:rsid w:val="00F11E60"/>
    <w:rsid w:val="00F11E76"/>
    <w:rsid w:val="00F11EC1"/>
    <w:rsid w:val="00F11F7D"/>
    <w:rsid w:val="00F12037"/>
    <w:rsid w:val="00F12038"/>
    <w:rsid w:val="00F12065"/>
    <w:rsid w:val="00F120BF"/>
    <w:rsid w:val="00F1215E"/>
    <w:rsid w:val="00F121BE"/>
    <w:rsid w:val="00F121C4"/>
    <w:rsid w:val="00F122B1"/>
    <w:rsid w:val="00F122D1"/>
    <w:rsid w:val="00F122E0"/>
    <w:rsid w:val="00F1230B"/>
    <w:rsid w:val="00F1234C"/>
    <w:rsid w:val="00F1234E"/>
    <w:rsid w:val="00F12389"/>
    <w:rsid w:val="00F123FA"/>
    <w:rsid w:val="00F12541"/>
    <w:rsid w:val="00F125D3"/>
    <w:rsid w:val="00F12638"/>
    <w:rsid w:val="00F12663"/>
    <w:rsid w:val="00F126B9"/>
    <w:rsid w:val="00F12754"/>
    <w:rsid w:val="00F127AD"/>
    <w:rsid w:val="00F12897"/>
    <w:rsid w:val="00F129D6"/>
    <w:rsid w:val="00F12A01"/>
    <w:rsid w:val="00F12A51"/>
    <w:rsid w:val="00F12A60"/>
    <w:rsid w:val="00F12B74"/>
    <w:rsid w:val="00F12BBF"/>
    <w:rsid w:val="00F12CBB"/>
    <w:rsid w:val="00F12D33"/>
    <w:rsid w:val="00F12DD2"/>
    <w:rsid w:val="00F12E2C"/>
    <w:rsid w:val="00F12E5B"/>
    <w:rsid w:val="00F12F20"/>
    <w:rsid w:val="00F12F32"/>
    <w:rsid w:val="00F12FA2"/>
    <w:rsid w:val="00F12FD2"/>
    <w:rsid w:val="00F13004"/>
    <w:rsid w:val="00F131DA"/>
    <w:rsid w:val="00F13253"/>
    <w:rsid w:val="00F134DD"/>
    <w:rsid w:val="00F13562"/>
    <w:rsid w:val="00F135AC"/>
    <w:rsid w:val="00F135FF"/>
    <w:rsid w:val="00F13653"/>
    <w:rsid w:val="00F136F9"/>
    <w:rsid w:val="00F1380A"/>
    <w:rsid w:val="00F138A0"/>
    <w:rsid w:val="00F138C7"/>
    <w:rsid w:val="00F139B8"/>
    <w:rsid w:val="00F139C3"/>
    <w:rsid w:val="00F139CD"/>
    <w:rsid w:val="00F13A00"/>
    <w:rsid w:val="00F13A75"/>
    <w:rsid w:val="00F13B22"/>
    <w:rsid w:val="00F13C14"/>
    <w:rsid w:val="00F13C16"/>
    <w:rsid w:val="00F13C2A"/>
    <w:rsid w:val="00F13C74"/>
    <w:rsid w:val="00F13C83"/>
    <w:rsid w:val="00F13C90"/>
    <w:rsid w:val="00F13C9D"/>
    <w:rsid w:val="00F13CA1"/>
    <w:rsid w:val="00F13D29"/>
    <w:rsid w:val="00F13D4D"/>
    <w:rsid w:val="00F13DA4"/>
    <w:rsid w:val="00F13E0B"/>
    <w:rsid w:val="00F13E21"/>
    <w:rsid w:val="00F13EA7"/>
    <w:rsid w:val="00F13F06"/>
    <w:rsid w:val="00F13F86"/>
    <w:rsid w:val="00F13FCC"/>
    <w:rsid w:val="00F14043"/>
    <w:rsid w:val="00F140C3"/>
    <w:rsid w:val="00F140D4"/>
    <w:rsid w:val="00F14231"/>
    <w:rsid w:val="00F1427E"/>
    <w:rsid w:val="00F142AB"/>
    <w:rsid w:val="00F14398"/>
    <w:rsid w:val="00F143AA"/>
    <w:rsid w:val="00F144AC"/>
    <w:rsid w:val="00F144BF"/>
    <w:rsid w:val="00F1455E"/>
    <w:rsid w:val="00F145C8"/>
    <w:rsid w:val="00F145F9"/>
    <w:rsid w:val="00F14693"/>
    <w:rsid w:val="00F146B5"/>
    <w:rsid w:val="00F14711"/>
    <w:rsid w:val="00F14717"/>
    <w:rsid w:val="00F147AE"/>
    <w:rsid w:val="00F147B2"/>
    <w:rsid w:val="00F147E1"/>
    <w:rsid w:val="00F147ED"/>
    <w:rsid w:val="00F148AC"/>
    <w:rsid w:val="00F148C5"/>
    <w:rsid w:val="00F148FE"/>
    <w:rsid w:val="00F14959"/>
    <w:rsid w:val="00F14997"/>
    <w:rsid w:val="00F149BA"/>
    <w:rsid w:val="00F149C1"/>
    <w:rsid w:val="00F149C7"/>
    <w:rsid w:val="00F14A1D"/>
    <w:rsid w:val="00F14A31"/>
    <w:rsid w:val="00F14AE1"/>
    <w:rsid w:val="00F14BC2"/>
    <w:rsid w:val="00F14C8C"/>
    <w:rsid w:val="00F14CCC"/>
    <w:rsid w:val="00F14DCA"/>
    <w:rsid w:val="00F14E65"/>
    <w:rsid w:val="00F14E78"/>
    <w:rsid w:val="00F14EC5"/>
    <w:rsid w:val="00F14ECF"/>
    <w:rsid w:val="00F14FE0"/>
    <w:rsid w:val="00F14FE7"/>
    <w:rsid w:val="00F15042"/>
    <w:rsid w:val="00F15065"/>
    <w:rsid w:val="00F1512F"/>
    <w:rsid w:val="00F15130"/>
    <w:rsid w:val="00F151A1"/>
    <w:rsid w:val="00F151DB"/>
    <w:rsid w:val="00F1524C"/>
    <w:rsid w:val="00F1527D"/>
    <w:rsid w:val="00F15287"/>
    <w:rsid w:val="00F152C5"/>
    <w:rsid w:val="00F15317"/>
    <w:rsid w:val="00F153AD"/>
    <w:rsid w:val="00F15439"/>
    <w:rsid w:val="00F154B9"/>
    <w:rsid w:val="00F15587"/>
    <w:rsid w:val="00F155B3"/>
    <w:rsid w:val="00F155BB"/>
    <w:rsid w:val="00F15658"/>
    <w:rsid w:val="00F1569D"/>
    <w:rsid w:val="00F156DD"/>
    <w:rsid w:val="00F157AB"/>
    <w:rsid w:val="00F15834"/>
    <w:rsid w:val="00F15875"/>
    <w:rsid w:val="00F158B6"/>
    <w:rsid w:val="00F158FF"/>
    <w:rsid w:val="00F15932"/>
    <w:rsid w:val="00F159B4"/>
    <w:rsid w:val="00F159BA"/>
    <w:rsid w:val="00F15A16"/>
    <w:rsid w:val="00F15A4F"/>
    <w:rsid w:val="00F15A80"/>
    <w:rsid w:val="00F15B05"/>
    <w:rsid w:val="00F15B21"/>
    <w:rsid w:val="00F15B4C"/>
    <w:rsid w:val="00F15BD7"/>
    <w:rsid w:val="00F15C98"/>
    <w:rsid w:val="00F15C9C"/>
    <w:rsid w:val="00F15C9D"/>
    <w:rsid w:val="00F15CEB"/>
    <w:rsid w:val="00F15CF0"/>
    <w:rsid w:val="00F15DD0"/>
    <w:rsid w:val="00F15E5A"/>
    <w:rsid w:val="00F15E95"/>
    <w:rsid w:val="00F15ECF"/>
    <w:rsid w:val="00F15F12"/>
    <w:rsid w:val="00F15F3F"/>
    <w:rsid w:val="00F15FD2"/>
    <w:rsid w:val="00F15FD8"/>
    <w:rsid w:val="00F16015"/>
    <w:rsid w:val="00F16091"/>
    <w:rsid w:val="00F160D0"/>
    <w:rsid w:val="00F160DE"/>
    <w:rsid w:val="00F16180"/>
    <w:rsid w:val="00F161B3"/>
    <w:rsid w:val="00F161DD"/>
    <w:rsid w:val="00F16202"/>
    <w:rsid w:val="00F1626E"/>
    <w:rsid w:val="00F16282"/>
    <w:rsid w:val="00F1634B"/>
    <w:rsid w:val="00F1634E"/>
    <w:rsid w:val="00F16462"/>
    <w:rsid w:val="00F16534"/>
    <w:rsid w:val="00F1658C"/>
    <w:rsid w:val="00F165CE"/>
    <w:rsid w:val="00F165CF"/>
    <w:rsid w:val="00F16602"/>
    <w:rsid w:val="00F16681"/>
    <w:rsid w:val="00F166FF"/>
    <w:rsid w:val="00F16706"/>
    <w:rsid w:val="00F16759"/>
    <w:rsid w:val="00F16787"/>
    <w:rsid w:val="00F167C2"/>
    <w:rsid w:val="00F167DC"/>
    <w:rsid w:val="00F1683A"/>
    <w:rsid w:val="00F16845"/>
    <w:rsid w:val="00F168B3"/>
    <w:rsid w:val="00F168B6"/>
    <w:rsid w:val="00F168C0"/>
    <w:rsid w:val="00F168EC"/>
    <w:rsid w:val="00F1693A"/>
    <w:rsid w:val="00F1693F"/>
    <w:rsid w:val="00F1695D"/>
    <w:rsid w:val="00F169E5"/>
    <w:rsid w:val="00F16A5E"/>
    <w:rsid w:val="00F16A82"/>
    <w:rsid w:val="00F16A84"/>
    <w:rsid w:val="00F16B05"/>
    <w:rsid w:val="00F16C0F"/>
    <w:rsid w:val="00F16C1D"/>
    <w:rsid w:val="00F16C3A"/>
    <w:rsid w:val="00F16C76"/>
    <w:rsid w:val="00F16D70"/>
    <w:rsid w:val="00F16DEE"/>
    <w:rsid w:val="00F16E11"/>
    <w:rsid w:val="00F16E77"/>
    <w:rsid w:val="00F16EA9"/>
    <w:rsid w:val="00F16F42"/>
    <w:rsid w:val="00F16F61"/>
    <w:rsid w:val="00F16FF9"/>
    <w:rsid w:val="00F17005"/>
    <w:rsid w:val="00F1704B"/>
    <w:rsid w:val="00F1707A"/>
    <w:rsid w:val="00F170D0"/>
    <w:rsid w:val="00F170D5"/>
    <w:rsid w:val="00F170E2"/>
    <w:rsid w:val="00F1713F"/>
    <w:rsid w:val="00F1715D"/>
    <w:rsid w:val="00F171D4"/>
    <w:rsid w:val="00F171DF"/>
    <w:rsid w:val="00F17260"/>
    <w:rsid w:val="00F17298"/>
    <w:rsid w:val="00F1729A"/>
    <w:rsid w:val="00F172DF"/>
    <w:rsid w:val="00F17319"/>
    <w:rsid w:val="00F173B2"/>
    <w:rsid w:val="00F17451"/>
    <w:rsid w:val="00F17492"/>
    <w:rsid w:val="00F1749C"/>
    <w:rsid w:val="00F174ED"/>
    <w:rsid w:val="00F17557"/>
    <w:rsid w:val="00F17570"/>
    <w:rsid w:val="00F175DE"/>
    <w:rsid w:val="00F17646"/>
    <w:rsid w:val="00F1786C"/>
    <w:rsid w:val="00F178F4"/>
    <w:rsid w:val="00F17B17"/>
    <w:rsid w:val="00F17B6E"/>
    <w:rsid w:val="00F17B83"/>
    <w:rsid w:val="00F17B99"/>
    <w:rsid w:val="00F17BB7"/>
    <w:rsid w:val="00F17BCF"/>
    <w:rsid w:val="00F17BE0"/>
    <w:rsid w:val="00F17D75"/>
    <w:rsid w:val="00F17DE1"/>
    <w:rsid w:val="00F17DF0"/>
    <w:rsid w:val="00F17EBB"/>
    <w:rsid w:val="00F17EBF"/>
    <w:rsid w:val="00F20045"/>
    <w:rsid w:val="00F20063"/>
    <w:rsid w:val="00F20139"/>
    <w:rsid w:val="00F201D2"/>
    <w:rsid w:val="00F2021B"/>
    <w:rsid w:val="00F2025F"/>
    <w:rsid w:val="00F20309"/>
    <w:rsid w:val="00F20400"/>
    <w:rsid w:val="00F20425"/>
    <w:rsid w:val="00F2048E"/>
    <w:rsid w:val="00F20582"/>
    <w:rsid w:val="00F205B7"/>
    <w:rsid w:val="00F205CE"/>
    <w:rsid w:val="00F205E8"/>
    <w:rsid w:val="00F20603"/>
    <w:rsid w:val="00F20628"/>
    <w:rsid w:val="00F206D1"/>
    <w:rsid w:val="00F20715"/>
    <w:rsid w:val="00F207C9"/>
    <w:rsid w:val="00F20861"/>
    <w:rsid w:val="00F208AE"/>
    <w:rsid w:val="00F208BC"/>
    <w:rsid w:val="00F208C6"/>
    <w:rsid w:val="00F20918"/>
    <w:rsid w:val="00F20919"/>
    <w:rsid w:val="00F2092A"/>
    <w:rsid w:val="00F209C4"/>
    <w:rsid w:val="00F20A01"/>
    <w:rsid w:val="00F20A28"/>
    <w:rsid w:val="00F20BE9"/>
    <w:rsid w:val="00F20C2A"/>
    <w:rsid w:val="00F20C50"/>
    <w:rsid w:val="00F20D09"/>
    <w:rsid w:val="00F20D0D"/>
    <w:rsid w:val="00F20D77"/>
    <w:rsid w:val="00F20E4A"/>
    <w:rsid w:val="00F20E4E"/>
    <w:rsid w:val="00F20E63"/>
    <w:rsid w:val="00F20ECF"/>
    <w:rsid w:val="00F20F1F"/>
    <w:rsid w:val="00F20F24"/>
    <w:rsid w:val="00F2100C"/>
    <w:rsid w:val="00F2103E"/>
    <w:rsid w:val="00F21061"/>
    <w:rsid w:val="00F2110F"/>
    <w:rsid w:val="00F211A9"/>
    <w:rsid w:val="00F212F1"/>
    <w:rsid w:val="00F21342"/>
    <w:rsid w:val="00F21362"/>
    <w:rsid w:val="00F21373"/>
    <w:rsid w:val="00F21386"/>
    <w:rsid w:val="00F2141D"/>
    <w:rsid w:val="00F214D8"/>
    <w:rsid w:val="00F214DE"/>
    <w:rsid w:val="00F21530"/>
    <w:rsid w:val="00F2154D"/>
    <w:rsid w:val="00F216E0"/>
    <w:rsid w:val="00F216E5"/>
    <w:rsid w:val="00F2177E"/>
    <w:rsid w:val="00F21869"/>
    <w:rsid w:val="00F2193B"/>
    <w:rsid w:val="00F21A61"/>
    <w:rsid w:val="00F21B74"/>
    <w:rsid w:val="00F21B9D"/>
    <w:rsid w:val="00F21BA4"/>
    <w:rsid w:val="00F21BAE"/>
    <w:rsid w:val="00F21CE8"/>
    <w:rsid w:val="00F21DFB"/>
    <w:rsid w:val="00F21E2F"/>
    <w:rsid w:val="00F21E30"/>
    <w:rsid w:val="00F21E4D"/>
    <w:rsid w:val="00F21E50"/>
    <w:rsid w:val="00F21E7C"/>
    <w:rsid w:val="00F21EF3"/>
    <w:rsid w:val="00F21F10"/>
    <w:rsid w:val="00F21F6D"/>
    <w:rsid w:val="00F220CB"/>
    <w:rsid w:val="00F220FA"/>
    <w:rsid w:val="00F22112"/>
    <w:rsid w:val="00F2213E"/>
    <w:rsid w:val="00F2216C"/>
    <w:rsid w:val="00F221C7"/>
    <w:rsid w:val="00F22201"/>
    <w:rsid w:val="00F2233A"/>
    <w:rsid w:val="00F223EA"/>
    <w:rsid w:val="00F22458"/>
    <w:rsid w:val="00F22461"/>
    <w:rsid w:val="00F22530"/>
    <w:rsid w:val="00F2262E"/>
    <w:rsid w:val="00F226C1"/>
    <w:rsid w:val="00F22775"/>
    <w:rsid w:val="00F227E4"/>
    <w:rsid w:val="00F22868"/>
    <w:rsid w:val="00F228AE"/>
    <w:rsid w:val="00F2290A"/>
    <w:rsid w:val="00F22947"/>
    <w:rsid w:val="00F22995"/>
    <w:rsid w:val="00F229CF"/>
    <w:rsid w:val="00F22A02"/>
    <w:rsid w:val="00F22A97"/>
    <w:rsid w:val="00F22B19"/>
    <w:rsid w:val="00F22B2C"/>
    <w:rsid w:val="00F22B69"/>
    <w:rsid w:val="00F22B80"/>
    <w:rsid w:val="00F22BC0"/>
    <w:rsid w:val="00F22E69"/>
    <w:rsid w:val="00F22EDE"/>
    <w:rsid w:val="00F22EE3"/>
    <w:rsid w:val="00F22EF2"/>
    <w:rsid w:val="00F22F4D"/>
    <w:rsid w:val="00F22FB4"/>
    <w:rsid w:val="00F23013"/>
    <w:rsid w:val="00F23048"/>
    <w:rsid w:val="00F23057"/>
    <w:rsid w:val="00F23098"/>
    <w:rsid w:val="00F230E7"/>
    <w:rsid w:val="00F23162"/>
    <w:rsid w:val="00F2316D"/>
    <w:rsid w:val="00F232F9"/>
    <w:rsid w:val="00F2343C"/>
    <w:rsid w:val="00F234A5"/>
    <w:rsid w:val="00F234C3"/>
    <w:rsid w:val="00F235BB"/>
    <w:rsid w:val="00F235C7"/>
    <w:rsid w:val="00F236AF"/>
    <w:rsid w:val="00F2374D"/>
    <w:rsid w:val="00F2385E"/>
    <w:rsid w:val="00F238A2"/>
    <w:rsid w:val="00F23961"/>
    <w:rsid w:val="00F239B1"/>
    <w:rsid w:val="00F239D7"/>
    <w:rsid w:val="00F23B31"/>
    <w:rsid w:val="00F23B63"/>
    <w:rsid w:val="00F23BA4"/>
    <w:rsid w:val="00F23C43"/>
    <w:rsid w:val="00F23CD9"/>
    <w:rsid w:val="00F23CE6"/>
    <w:rsid w:val="00F23D17"/>
    <w:rsid w:val="00F23D31"/>
    <w:rsid w:val="00F23D85"/>
    <w:rsid w:val="00F23DE3"/>
    <w:rsid w:val="00F23E0B"/>
    <w:rsid w:val="00F23E5E"/>
    <w:rsid w:val="00F23E67"/>
    <w:rsid w:val="00F23E71"/>
    <w:rsid w:val="00F23E79"/>
    <w:rsid w:val="00F23EE2"/>
    <w:rsid w:val="00F23F17"/>
    <w:rsid w:val="00F23F2B"/>
    <w:rsid w:val="00F23F5A"/>
    <w:rsid w:val="00F23FAA"/>
    <w:rsid w:val="00F23FEE"/>
    <w:rsid w:val="00F240B0"/>
    <w:rsid w:val="00F24106"/>
    <w:rsid w:val="00F24129"/>
    <w:rsid w:val="00F2415A"/>
    <w:rsid w:val="00F24163"/>
    <w:rsid w:val="00F24164"/>
    <w:rsid w:val="00F2417E"/>
    <w:rsid w:val="00F2428B"/>
    <w:rsid w:val="00F2429D"/>
    <w:rsid w:val="00F242CE"/>
    <w:rsid w:val="00F24302"/>
    <w:rsid w:val="00F2430A"/>
    <w:rsid w:val="00F24367"/>
    <w:rsid w:val="00F243D0"/>
    <w:rsid w:val="00F24405"/>
    <w:rsid w:val="00F24415"/>
    <w:rsid w:val="00F244B4"/>
    <w:rsid w:val="00F24558"/>
    <w:rsid w:val="00F245E0"/>
    <w:rsid w:val="00F245FE"/>
    <w:rsid w:val="00F24627"/>
    <w:rsid w:val="00F2466F"/>
    <w:rsid w:val="00F24700"/>
    <w:rsid w:val="00F2479B"/>
    <w:rsid w:val="00F247D5"/>
    <w:rsid w:val="00F24822"/>
    <w:rsid w:val="00F248DE"/>
    <w:rsid w:val="00F248F4"/>
    <w:rsid w:val="00F24920"/>
    <w:rsid w:val="00F249F3"/>
    <w:rsid w:val="00F249F9"/>
    <w:rsid w:val="00F24A6F"/>
    <w:rsid w:val="00F24A86"/>
    <w:rsid w:val="00F24AD7"/>
    <w:rsid w:val="00F24AED"/>
    <w:rsid w:val="00F24B30"/>
    <w:rsid w:val="00F24C28"/>
    <w:rsid w:val="00F24C29"/>
    <w:rsid w:val="00F24D0D"/>
    <w:rsid w:val="00F24DAB"/>
    <w:rsid w:val="00F24E31"/>
    <w:rsid w:val="00F24E3D"/>
    <w:rsid w:val="00F24E7D"/>
    <w:rsid w:val="00F24F7B"/>
    <w:rsid w:val="00F24F9C"/>
    <w:rsid w:val="00F24FAE"/>
    <w:rsid w:val="00F24FD7"/>
    <w:rsid w:val="00F25025"/>
    <w:rsid w:val="00F25034"/>
    <w:rsid w:val="00F2508D"/>
    <w:rsid w:val="00F250C3"/>
    <w:rsid w:val="00F250FF"/>
    <w:rsid w:val="00F25128"/>
    <w:rsid w:val="00F251D2"/>
    <w:rsid w:val="00F251E3"/>
    <w:rsid w:val="00F25219"/>
    <w:rsid w:val="00F2524B"/>
    <w:rsid w:val="00F2529C"/>
    <w:rsid w:val="00F252B0"/>
    <w:rsid w:val="00F252C0"/>
    <w:rsid w:val="00F252D9"/>
    <w:rsid w:val="00F25332"/>
    <w:rsid w:val="00F2542A"/>
    <w:rsid w:val="00F254C2"/>
    <w:rsid w:val="00F2551E"/>
    <w:rsid w:val="00F25570"/>
    <w:rsid w:val="00F255B3"/>
    <w:rsid w:val="00F255C2"/>
    <w:rsid w:val="00F2560B"/>
    <w:rsid w:val="00F25644"/>
    <w:rsid w:val="00F2564B"/>
    <w:rsid w:val="00F256C4"/>
    <w:rsid w:val="00F256DD"/>
    <w:rsid w:val="00F25704"/>
    <w:rsid w:val="00F25755"/>
    <w:rsid w:val="00F25775"/>
    <w:rsid w:val="00F2577D"/>
    <w:rsid w:val="00F25806"/>
    <w:rsid w:val="00F2580E"/>
    <w:rsid w:val="00F25816"/>
    <w:rsid w:val="00F25858"/>
    <w:rsid w:val="00F25936"/>
    <w:rsid w:val="00F2596B"/>
    <w:rsid w:val="00F259A3"/>
    <w:rsid w:val="00F25A97"/>
    <w:rsid w:val="00F25B8D"/>
    <w:rsid w:val="00F25BA3"/>
    <w:rsid w:val="00F25C5A"/>
    <w:rsid w:val="00F25C68"/>
    <w:rsid w:val="00F25D32"/>
    <w:rsid w:val="00F25DD2"/>
    <w:rsid w:val="00F25E0C"/>
    <w:rsid w:val="00F25E1A"/>
    <w:rsid w:val="00F25E3F"/>
    <w:rsid w:val="00F25ECD"/>
    <w:rsid w:val="00F25EF7"/>
    <w:rsid w:val="00F26051"/>
    <w:rsid w:val="00F26054"/>
    <w:rsid w:val="00F26099"/>
    <w:rsid w:val="00F260F2"/>
    <w:rsid w:val="00F26166"/>
    <w:rsid w:val="00F261E0"/>
    <w:rsid w:val="00F262AB"/>
    <w:rsid w:val="00F2631B"/>
    <w:rsid w:val="00F26398"/>
    <w:rsid w:val="00F263A0"/>
    <w:rsid w:val="00F265CB"/>
    <w:rsid w:val="00F265F8"/>
    <w:rsid w:val="00F26677"/>
    <w:rsid w:val="00F266E1"/>
    <w:rsid w:val="00F266E8"/>
    <w:rsid w:val="00F266F5"/>
    <w:rsid w:val="00F26700"/>
    <w:rsid w:val="00F2676E"/>
    <w:rsid w:val="00F2678E"/>
    <w:rsid w:val="00F2681E"/>
    <w:rsid w:val="00F26940"/>
    <w:rsid w:val="00F26961"/>
    <w:rsid w:val="00F269DC"/>
    <w:rsid w:val="00F26A22"/>
    <w:rsid w:val="00F26A9F"/>
    <w:rsid w:val="00F26AB6"/>
    <w:rsid w:val="00F26AC9"/>
    <w:rsid w:val="00F26B0A"/>
    <w:rsid w:val="00F26B2D"/>
    <w:rsid w:val="00F26B51"/>
    <w:rsid w:val="00F26B6E"/>
    <w:rsid w:val="00F26B8D"/>
    <w:rsid w:val="00F26BB6"/>
    <w:rsid w:val="00F26CF8"/>
    <w:rsid w:val="00F26D0A"/>
    <w:rsid w:val="00F26D23"/>
    <w:rsid w:val="00F26D53"/>
    <w:rsid w:val="00F26D71"/>
    <w:rsid w:val="00F26DE7"/>
    <w:rsid w:val="00F26E4B"/>
    <w:rsid w:val="00F26E6B"/>
    <w:rsid w:val="00F26E9F"/>
    <w:rsid w:val="00F26EB3"/>
    <w:rsid w:val="00F26F72"/>
    <w:rsid w:val="00F270B2"/>
    <w:rsid w:val="00F270B4"/>
    <w:rsid w:val="00F271C2"/>
    <w:rsid w:val="00F271E9"/>
    <w:rsid w:val="00F27278"/>
    <w:rsid w:val="00F272C6"/>
    <w:rsid w:val="00F2741E"/>
    <w:rsid w:val="00F27424"/>
    <w:rsid w:val="00F274D7"/>
    <w:rsid w:val="00F27520"/>
    <w:rsid w:val="00F27530"/>
    <w:rsid w:val="00F27595"/>
    <w:rsid w:val="00F27597"/>
    <w:rsid w:val="00F2761C"/>
    <w:rsid w:val="00F27674"/>
    <w:rsid w:val="00F27687"/>
    <w:rsid w:val="00F276C6"/>
    <w:rsid w:val="00F276E8"/>
    <w:rsid w:val="00F27766"/>
    <w:rsid w:val="00F277B8"/>
    <w:rsid w:val="00F277CC"/>
    <w:rsid w:val="00F277DD"/>
    <w:rsid w:val="00F2781C"/>
    <w:rsid w:val="00F278A1"/>
    <w:rsid w:val="00F27962"/>
    <w:rsid w:val="00F279C7"/>
    <w:rsid w:val="00F27A0F"/>
    <w:rsid w:val="00F27A6A"/>
    <w:rsid w:val="00F27A75"/>
    <w:rsid w:val="00F27B27"/>
    <w:rsid w:val="00F27B2A"/>
    <w:rsid w:val="00F27B8A"/>
    <w:rsid w:val="00F27C61"/>
    <w:rsid w:val="00F27C77"/>
    <w:rsid w:val="00F27CFB"/>
    <w:rsid w:val="00F27D2E"/>
    <w:rsid w:val="00F27E23"/>
    <w:rsid w:val="00F27E55"/>
    <w:rsid w:val="00F27ED1"/>
    <w:rsid w:val="00F27EED"/>
    <w:rsid w:val="00F3000A"/>
    <w:rsid w:val="00F30010"/>
    <w:rsid w:val="00F3001C"/>
    <w:rsid w:val="00F30112"/>
    <w:rsid w:val="00F3015F"/>
    <w:rsid w:val="00F302A0"/>
    <w:rsid w:val="00F302CE"/>
    <w:rsid w:val="00F302D8"/>
    <w:rsid w:val="00F303F5"/>
    <w:rsid w:val="00F30483"/>
    <w:rsid w:val="00F304F2"/>
    <w:rsid w:val="00F30511"/>
    <w:rsid w:val="00F3053E"/>
    <w:rsid w:val="00F30667"/>
    <w:rsid w:val="00F306CD"/>
    <w:rsid w:val="00F30794"/>
    <w:rsid w:val="00F307B5"/>
    <w:rsid w:val="00F307F7"/>
    <w:rsid w:val="00F3084F"/>
    <w:rsid w:val="00F30911"/>
    <w:rsid w:val="00F30945"/>
    <w:rsid w:val="00F30988"/>
    <w:rsid w:val="00F309F0"/>
    <w:rsid w:val="00F30AAA"/>
    <w:rsid w:val="00F30B23"/>
    <w:rsid w:val="00F30C1F"/>
    <w:rsid w:val="00F30C3D"/>
    <w:rsid w:val="00F30C89"/>
    <w:rsid w:val="00F30D6D"/>
    <w:rsid w:val="00F30DE9"/>
    <w:rsid w:val="00F30E20"/>
    <w:rsid w:val="00F30E3F"/>
    <w:rsid w:val="00F30EEC"/>
    <w:rsid w:val="00F30F90"/>
    <w:rsid w:val="00F30FA5"/>
    <w:rsid w:val="00F30FF8"/>
    <w:rsid w:val="00F3105B"/>
    <w:rsid w:val="00F310A5"/>
    <w:rsid w:val="00F31134"/>
    <w:rsid w:val="00F31165"/>
    <w:rsid w:val="00F31183"/>
    <w:rsid w:val="00F3120C"/>
    <w:rsid w:val="00F31223"/>
    <w:rsid w:val="00F31238"/>
    <w:rsid w:val="00F312A4"/>
    <w:rsid w:val="00F312CD"/>
    <w:rsid w:val="00F31394"/>
    <w:rsid w:val="00F313FA"/>
    <w:rsid w:val="00F31402"/>
    <w:rsid w:val="00F3144A"/>
    <w:rsid w:val="00F3152A"/>
    <w:rsid w:val="00F31587"/>
    <w:rsid w:val="00F31588"/>
    <w:rsid w:val="00F315B0"/>
    <w:rsid w:val="00F315E7"/>
    <w:rsid w:val="00F31621"/>
    <w:rsid w:val="00F31709"/>
    <w:rsid w:val="00F31839"/>
    <w:rsid w:val="00F3185D"/>
    <w:rsid w:val="00F318C3"/>
    <w:rsid w:val="00F3193E"/>
    <w:rsid w:val="00F31955"/>
    <w:rsid w:val="00F3197B"/>
    <w:rsid w:val="00F31A0D"/>
    <w:rsid w:val="00F31A59"/>
    <w:rsid w:val="00F31A7F"/>
    <w:rsid w:val="00F31A8F"/>
    <w:rsid w:val="00F31A9A"/>
    <w:rsid w:val="00F31B2B"/>
    <w:rsid w:val="00F31C01"/>
    <w:rsid w:val="00F31C52"/>
    <w:rsid w:val="00F31D4B"/>
    <w:rsid w:val="00F31DED"/>
    <w:rsid w:val="00F31E2F"/>
    <w:rsid w:val="00F31E7D"/>
    <w:rsid w:val="00F31E86"/>
    <w:rsid w:val="00F31F59"/>
    <w:rsid w:val="00F320DA"/>
    <w:rsid w:val="00F3219F"/>
    <w:rsid w:val="00F32258"/>
    <w:rsid w:val="00F32296"/>
    <w:rsid w:val="00F322DE"/>
    <w:rsid w:val="00F32459"/>
    <w:rsid w:val="00F32499"/>
    <w:rsid w:val="00F324E2"/>
    <w:rsid w:val="00F325A9"/>
    <w:rsid w:val="00F3260C"/>
    <w:rsid w:val="00F3262E"/>
    <w:rsid w:val="00F3272D"/>
    <w:rsid w:val="00F327EE"/>
    <w:rsid w:val="00F327F2"/>
    <w:rsid w:val="00F32923"/>
    <w:rsid w:val="00F32941"/>
    <w:rsid w:val="00F329A8"/>
    <w:rsid w:val="00F32B2E"/>
    <w:rsid w:val="00F32B6C"/>
    <w:rsid w:val="00F32B7A"/>
    <w:rsid w:val="00F32BAC"/>
    <w:rsid w:val="00F32BBF"/>
    <w:rsid w:val="00F32D8E"/>
    <w:rsid w:val="00F32DB5"/>
    <w:rsid w:val="00F32DD1"/>
    <w:rsid w:val="00F32DEF"/>
    <w:rsid w:val="00F32E07"/>
    <w:rsid w:val="00F32E16"/>
    <w:rsid w:val="00F32E83"/>
    <w:rsid w:val="00F32E8A"/>
    <w:rsid w:val="00F32ECC"/>
    <w:rsid w:val="00F32EF5"/>
    <w:rsid w:val="00F32F11"/>
    <w:rsid w:val="00F32F4C"/>
    <w:rsid w:val="00F32FA0"/>
    <w:rsid w:val="00F32FD5"/>
    <w:rsid w:val="00F33168"/>
    <w:rsid w:val="00F33208"/>
    <w:rsid w:val="00F333B9"/>
    <w:rsid w:val="00F33428"/>
    <w:rsid w:val="00F33465"/>
    <w:rsid w:val="00F33478"/>
    <w:rsid w:val="00F334BF"/>
    <w:rsid w:val="00F33501"/>
    <w:rsid w:val="00F3356C"/>
    <w:rsid w:val="00F33592"/>
    <w:rsid w:val="00F335B6"/>
    <w:rsid w:val="00F335D5"/>
    <w:rsid w:val="00F335D7"/>
    <w:rsid w:val="00F335F2"/>
    <w:rsid w:val="00F33607"/>
    <w:rsid w:val="00F33621"/>
    <w:rsid w:val="00F33632"/>
    <w:rsid w:val="00F33634"/>
    <w:rsid w:val="00F33682"/>
    <w:rsid w:val="00F336D1"/>
    <w:rsid w:val="00F336DE"/>
    <w:rsid w:val="00F336F1"/>
    <w:rsid w:val="00F33721"/>
    <w:rsid w:val="00F3377E"/>
    <w:rsid w:val="00F33799"/>
    <w:rsid w:val="00F33839"/>
    <w:rsid w:val="00F3385D"/>
    <w:rsid w:val="00F33865"/>
    <w:rsid w:val="00F338B7"/>
    <w:rsid w:val="00F338E2"/>
    <w:rsid w:val="00F33929"/>
    <w:rsid w:val="00F33979"/>
    <w:rsid w:val="00F3397D"/>
    <w:rsid w:val="00F33998"/>
    <w:rsid w:val="00F33AF7"/>
    <w:rsid w:val="00F33BBB"/>
    <w:rsid w:val="00F33BD3"/>
    <w:rsid w:val="00F33C2D"/>
    <w:rsid w:val="00F33D60"/>
    <w:rsid w:val="00F33E1F"/>
    <w:rsid w:val="00F33E48"/>
    <w:rsid w:val="00F33E6D"/>
    <w:rsid w:val="00F33EFC"/>
    <w:rsid w:val="00F33FFA"/>
    <w:rsid w:val="00F34051"/>
    <w:rsid w:val="00F340BD"/>
    <w:rsid w:val="00F340C8"/>
    <w:rsid w:val="00F340D4"/>
    <w:rsid w:val="00F340FD"/>
    <w:rsid w:val="00F341F4"/>
    <w:rsid w:val="00F3443E"/>
    <w:rsid w:val="00F344F7"/>
    <w:rsid w:val="00F3450D"/>
    <w:rsid w:val="00F3456C"/>
    <w:rsid w:val="00F34697"/>
    <w:rsid w:val="00F346D4"/>
    <w:rsid w:val="00F347C4"/>
    <w:rsid w:val="00F34805"/>
    <w:rsid w:val="00F34837"/>
    <w:rsid w:val="00F34884"/>
    <w:rsid w:val="00F3490F"/>
    <w:rsid w:val="00F34958"/>
    <w:rsid w:val="00F34963"/>
    <w:rsid w:val="00F349CA"/>
    <w:rsid w:val="00F349FA"/>
    <w:rsid w:val="00F34A1C"/>
    <w:rsid w:val="00F34A91"/>
    <w:rsid w:val="00F34B1F"/>
    <w:rsid w:val="00F34B7A"/>
    <w:rsid w:val="00F34D3C"/>
    <w:rsid w:val="00F34DB8"/>
    <w:rsid w:val="00F34DCD"/>
    <w:rsid w:val="00F34E03"/>
    <w:rsid w:val="00F34E4B"/>
    <w:rsid w:val="00F34E9F"/>
    <w:rsid w:val="00F34F10"/>
    <w:rsid w:val="00F34F71"/>
    <w:rsid w:val="00F34FD3"/>
    <w:rsid w:val="00F3508B"/>
    <w:rsid w:val="00F35151"/>
    <w:rsid w:val="00F351DF"/>
    <w:rsid w:val="00F35219"/>
    <w:rsid w:val="00F352D3"/>
    <w:rsid w:val="00F352DA"/>
    <w:rsid w:val="00F352FD"/>
    <w:rsid w:val="00F35355"/>
    <w:rsid w:val="00F35358"/>
    <w:rsid w:val="00F35439"/>
    <w:rsid w:val="00F35459"/>
    <w:rsid w:val="00F354BD"/>
    <w:rsid w:val="00F35584"/>
    <w:rsid w:val="00F355CB"/>
    <w:rsid w:val="00F356AD"/>
    <w:rsid w:val="00F356CB"/>
    <w:rsid w:val="00F3582F"/>
    <w:rsid w:val="00F35862"/>
    <w:rsid w:val="00F358BE"/>
    <w:rsid w:val="00F358DF"/>
    <w:rsid w:val="00F359FC"/>
    <w:rsid w:val="00F35A32"/>
    <w:rsid w:val="00F35B8D"/>
    <w:rsid w:val="00F35B92"/>
    <w:rsid w:val="00F35BF2"/>
    <w:rsid w:val="00F35C16"/>
    <w:rsid w:val="00F35C35"/>
    <w:rsid w:val="00F35C4D"/>
    <w:rsid w:val="00F35D44"/>
    <w:rsid w:val="00F35DDF"/>
    <w:rsid w:val="00F35E71"/>
    <w:rsid w:val="00F35E99"/>
    <w:rsid w:val="00F35EF7"/>
    <w:rsid w:val="00F35F07"/>
    <w:rsid w:val="00F35FDA"/>
    <w:rsid w:val="00F35FE9"/>
    <w:rsid w:val="00F3604B"/>
    <w:rsid w:val="00F36083"/>
    <w:rsid w:val="00F360E4"/>
    <w:rsid w:val="00F361A7"/>
    <w:rsid w:val="00F361B7"/>
    <w:rsid w:val="00F36231"/>
    <w:rsid w:val="00F362C0"/>
    <w:rsid w:val="00F362C5"/>
    <w:rsid w:val="00F3632B"/>
    <w:rsid w:val="00F36359"/>
    <w:rsid w:val="00F363C8"/>
    <w:rsid w:val="00F363ED"/>
    <w:rsid w:val="00F36409"/>
    <w:rsid w:val="00F3641F"/>
    <w:rsid w:val="00F36445"/>
    <w:rsid w:val="00F36464"/>
    <w:rsid w:val="00F36476"/>
    <w:rsid w:val="00F365A0"/>
    <w:rsid w:val="00F365A5"/>
    <w:rsid w:val="00F365F2"/>
    <w:rsid w:val="00F3667F"/>
    <w:rsid w:val="00F36690"/>
    <w:rsid w:val="00F36702"/>
    <w:rsid w:val="00F36736"/>
    <w:rsid w:val="00F36783"/>
    <w:rsid w:val="00F367B7"/>
    <w:rsid w:val="00F367EB"/>
    <w:rsid w:val="00F36828"/>
    <w:rsid w:val="00F36894"/>
    <w:rsid w:val="00F3691A"/>
    <w:rsid w:val="00F369AE"/>
    <w:rsid w:val="00F369D5"/>
    <w:rsid w:val="00F369EE"/>
    <w:rsid w:val="00F36A07"/>
    <w:rsid w:val="00F36A21"/>
    <w:rsid w:val="00F36A37"/>
    <w:rsid w:val="00F36A95"/>
    <w:rsid w:val="00F36AE1"/>
    <w:rsid w:val="00F36BB7"/>
    <w:rsid w:val="00F36BC8"/>
    <w:rsid w:val="00F36BD6"/>
    <w:rsid w:val="00F36BF9"/>
    <w:rsid w:val="00F36C17"/>
    <w:rsid w:val="00F36C5A"/>
    <w:rsid w:val="00F36C9E"/>
    <w:rsid w:val="00F36C9F"/>
    <w:rsid w:val="00F36CE5"/>
    <w:rsid w:val="00F36D29"/>
    <w:rsid w:val="00F36D42"/>
    <w:rsid w:val="00F36DD2"/>
    <w:rsid w:val="00F36EA7"/>
    <w:rsid w:val="00F36F21"/>
    <w:rsid w:val="00F36F83"/>
    <w:rsid w:val="00F36FA4"/>
    <w:rsid w:val="00F37000"/>
    <w:rsid w:val="00F37039"/>
    <w:rsid w:val="00F370C2"/>
    <w:rsid w:val="00F37106"/>
    <w:rsid w:val="00F37131"/>
    <w:rsid w:val="00F3717C"/>
    <w:rsid w:val="00F37218"/>
    <w:rsid w:val="00F372B4"/>
    <w:rsid w:val="00F373AA"/>
    <w:rsid w:val="00F37475"/>
    <w:rsid w:val="00F374C1"/>
    <w:rsid w:val="00F374ED"/>
    <w:rsid w:val="00F37518"/>
    <w:rsid w:val="00F375AE"/>
    <w:rsid w:val="00F375BD"/>
    <w:rsid w:val="00F37667"/>
    <w:rsid w:val="00F376B9"/>
    <w:rsid w:val="00F376D3"/>
    <w:rsid w:val="00F3774F"/>
    <w:rsid w:val="00F377BC"/>
    <w:rsid w:val="00F3780E"/>
    <w:rsid w:val="00F378E6"/>
    <w:rsid w:val="00F378ED"/>
    <w:rsid w:val="00F378F2"/>
    <w:rsid w:val="00F37945"/>
    <w:rsid w:val="00F379EA"/>
    <w:rsid w:val="00F37A98"/>
    <w:rsid w:val="00F37AA1"/>
    <w:rsid w:val="00F37AA5"/>
    <w:rsid w:val="00F37AA6"/>
    <w:rsid w:val="00F37B2B"/>
    <w:rsid w:val="00F37B50"/>
    <w:rsid w:val="00F37B5F"/>
    <w:rsid w:val="00F37C30"/>
    <w:rsid w:val="00F37C35"/>
    <w:rsid w:val="00F37C92"/>
    <w:rsid w:val="00F37CC9"/>
    <w:rsid w:val="00F37CF8"/>
    <w:rsid w:val="00F37D11"/>
    <w:rsid w:val="00F37D49"/>
    <w:rsid w:val="00F37D51"/>
    <w:rsid w:val="00F37DDB"/>
    <w:rsid w:val="00F37E3F"/>
    <w:rsid w:val="00F37E5F"/>
    <w:rsid w:val="00F37F0C"/>
    <w:rsid w:val="00F37F7A"/>
    <w:rsid w:val="00F37FCF"/>
    <w:rsid w:val="00F40105"/>
    <w:rsid w:val="00F40110"/>
    <w:rsid w:val="00F40199"/>
    <w:rsid w:val="00F401F2"/>
    <w:rsid w:val="00F4021A"/>
    <w:rsid w:val="00F40239"/>
    <w:rsid w:val="00F40246"/>
    <w:rsid w:val="00F40269"/>
    <w:rsid w:val="00F402A7"/>
    <w:rsid w:val="00F40304"/>
    <w:rsid w:val="00F40311"/>
    <w:rsid w:val="00F40348"/>
    <w:rsid w:val="00F403A2"/>
    <w:rsid w:val="00F403CE"/>
    <w:rsid w:val="00F403D7"/>
    <w:rsid w:val="00F4045E"/>
    <w:rsid w:val="00F404C1"/>
    <w:rsid w:val="00F4054A"/>
    <w:rsid w:val="00F40574"/>
    <w:rsid w:val="00F4063E"/>
    <w:rsid w:val="00F4076B"/>
    <w:rsid w:val="00F408C0"/>
    <w:rsid w:val="00F4090A"/>
    <w:rsid w:val="00F40B18"/>
    <w:rsid w:val="00F40B4C"/>
    <w:rsid w:val="00F40BDB"/>
    <w:rsid w:val="00F40CA9"/>
    <w:rsid w:val="00F40D7D"/>
    <w:rsid w:val="00F40E2A"/>
    <w:rsid w:val="00F40E44"/>
    <w:rsid w:val="00F40ECF"/>
    <w:rsid w:val="00F410A5"/>
    <w:rsid w:val="00F410BD"/>
    <w:rsid w:val="00F410EB"/>
    <w:rsid w:val="00F41121"/>
    <w:rsid w:val="00F41127"/>
    <w:rsid w:val="00F411FB"/>
    <w:rsid w:val="00F41245"/>
    <w:rsid w:val="00F41250"/>
    <w:rsid w:val="00F412DF"/>
    <w:rsid w:val="00F41347"/>
    <w:rsid w:val="00F4134E"/>
    <w:rsid w:val="00F4134F"/>
    <w:rsid w:val="00F41387"/>
    <w:rsid w:val="00F4147B"/>
    <w:rsid w:val="00F414B2"/>
    <w:rsid w:val="00F414BC"/>
    <w:rsid w:val="00F414E4"/>
    <w:rsid w:val="00F41518"/>
    <w:rsid w:val="00F4157B"/>
    <w:rsid w:val="00F41581"/>
    <w:rsid w:val="00F4158B"/>
    <w:rsid w:val="00F415C1"/>
    <w:rsid w:val="00F415CE"/>
    <w:rsid w:val="00F4175A"/>
    <w:rsid w:val="00F417A5"/>
    <w:rsid w:val="00F417EC"/>
    <w:rsid w:val="00F417F4"/>
    <w:rsid w:val="00F4186D"/>
    <w:rsid w:val="00F4189F"/>
    <w:rsid w:val="00F418CB"/>
    <w:rsid w:val="00F418FE"/>
    <w:rsid w:val="00F41907"/>
    <w:rsid w:val="00F4194C"/>
    <w:rsid w:val="00F41A48"/>
    <w:rsid w:val="00F41A53"/>
    <w:rsid w:val="00F41B90"/>
    <w:rsid w:val="00F41BD0"/>
    <w:rsid w:val="00F41BE9"/>
    <w:rsid w:val="00F41C30"/>
    <w:rsid w:val="00F41C8D"/>
    <w:rsid w:val="00F41C91"/>
    <w:rsid w:val="00F41D4E"/>
    <w:rsid w:val="00F41D8E"/>
    <w:rsid w:val="00F41DA5"/>
    <w:rsid w:val="00F41E28"/>
    <w:rsid w:val="00F41E4C"/>
    <w:rsid w:val="00F41EAA"/>
    <w:rsid w:val="00F42134"/>
    <w:rsid w:val="00F4216B"/>
    <w:rsid w:val="00F42177"/>
    <w:rsid w:val="00F421D6"/>
    <w:rsid w:val="00F42205"/>
    <w:rsid w:val="00F4223F"/>
    <w:rsid w:val="00F4225A"/>
    <w:rsid w:val="00F422A8"/>
    <w:rsid w:val="00F422BF"/>
    <w:rsid w:val="00F423A4"/>
    <w:rsid w:val="00F423B1"/>
    <w:rsid w:val="00F42447"/>
    <w:rsid w:val="00F42575"/>
    <w:rsid w:val="00F425BC"/>
    <w:rsid w:val="00F42618"/>
    <w:rsid w:val="00F426C4"/>
    <w:rsid w:val="00F426D3"/>
    <w:rsid w:val="00F42717"/>
    <w:rsid w:val="00F42719"/>
    <w:rsid w:val="00F42734"/>
    <w:rsid w:val="00F4275F"/>
    <w:rsid w:val="00F427E0"/>
    <w:rsid w:val="00F428F3"/>
    <w:rsid w:val="00F4294A"/>
    <w:rsid w:val="00F4294F"/>
    <w:rsid w:val="00F42A15"/>
    <w:rsid w:val="00F42AA6"/>
    <w:rsid w:val="00F42ABF"/>
    <w:rsid w:val="00F42AC0"/>
    <w:rsid w:val="00F42B2A"/>
    <w:rsid w:val="00F42B2C"/>
    <w:rsid w:val="00F42CA2"/>
    <w:rsid w:val="00F42CAF"/>
    <w:rsid w:val="00F42CCC"/>
    <w:rsid w:val="00F42EED"/>
    <w:rsid w:val="00F42F0C"/>
    <w:rsid w:val="00F42F20"/>
    <w:rsid w:val="00F42F73"/>
    <w:rsid w:val="00F43004"/>
    <w:rsid w:val="00F43050"/>
    <w:rsid w:val="00F430E5"/>
    <w:rsid w:val="00F4312D"/>
    <w:rsid w:val="00F43167"/>
    <w:rsid w:val="00F4325A"/>
    <w:rsid w:val="00F4334B"/>
    <w:rsid w:val="00F433FB"/>
    <w:rsid w:val="00F43492"/>
    <w:rsid w:val="00F434B2"/>
    <w:rsid w:val="00F4358D"/>
    <w:rsid w:val="00F43646"/>
    <w:rsid w:val="00F4369A"/>
    <w:rsid w:val="00F436BF"/>
    <w:rsid w:val="00F43741"/>
    <w:rsid w:val="00F437A6"/>
    <w:rsid w:val="00F437E5"/>
    <w:rsid w:val="00F437E9"/>
    <w:rsid w:val="00F438C2"/>
    <w:rsid w:val="00F4391E"/>
    <w:rsid w:val="00F4393F"/>
    <w:rsid w:val="00F439C6"/>
    <w:rsid w:val="00F43A46"/>
    <w:rsid w:val="00F43B10"/>
    <w:rsid w:val="00F43B59"/>
    <w:rsid w:val="00F43B70"/>
    <w:rsid w:val="00F43BA2"/>
    <w:rsid w:val="00F43BCC"/>
    <w:rsid w:val="00F43D7A"/>
    <w:rsid w:val="00F43DC7"/>
    <w:rsid w:val="00F43DF7"/>
    <w:rsid w:val="00F43F05"/>
    <w:rsid w:val="00F43F1F"/>
    <w:rsid w:val="00F43F4B"/>
    <w:rsid w:val="00F43FFA"/>
    <w:rsid w:val="00F44049"/>
    <w:rsid w:val="00F44087"/>
    <w:rsid w:val="00F440B6"/>
    <w:rsid w:val="00F440B9"/>
    <w:rsid w:val="00F440C5"/>
    <w:rsid w:val="00F440E9"/>
    <w:rsid w:val="00F44163"/>
    <w:rsid w:val="00F441C2"/>
    <w:rsid w:val="00F4423D"/>
    <w:rsid w:val="00F4424C"/>
    <w:rsid w:val="00F4431F"/>
    <w:rsid w:val="00F44331"/>
    <w:rsid w:val="00F4445C"/>
    <w:rsid w:val="00F44496"/>
    <w:rsid w:val="00F444B8"/>
    <w:rsid w:val="00F444E5"/>
    <w:rsid w:val="00F44506"/>
    <w:rsid w:val="00F44514"/>
    <w:rsid w:val="00F44578"/>
    <w:rsid w:val="00F4460A"/>
    <w:rsid w:val="00F44667"/>
    <w:rsid w:val="00F4478A"/>
    <w:rsid w:val="00F447BC"/>
    <w:rsid w:val="00F44873"/>
    <w:rsid w:val="00F449E6"/>
    <w:rsid w:val="00F44A0C"/>
    <w:rsid w:val="00F44A4B"/>
    <w:rsid w:val="00F44A84"/>
    <w:rsid w:val="00F44A88"/>
    <w:rsid w:val="00F44AD1"/>
    <w:rsid w:val="00F44B42"/>
    <w:rsid w:val="00F44BFE"/>
    <w:rsid w:val="00F44C0F"/>
    <w:rsid w:val="00F44C51"/>
    <w:rsid w:val="00F44C6A"/>
    <w:rsid w:val="00F44D56"/>
    <w:rsid w:val="00F44D6B"/>
    <w:rsid w:val="00F44D7E"/>
    <w:rsid w:val="00F44DCE"/>
    <w:rsid w:val="00F44EDD"/>
    <w:rsid w:val="00F44EF2"/>
    <w:rsid w:val="00F44F3C"/>
    <w:rsid w:val="00F44F80"/>
    <w:rsid w:val="00F44FB2"/>
    <w:rsid w:val="00F45049"/>
    <w:rsid w:val="00F45052"/>
    <w:rsid w:val="00F450A4"/>
    <w:rsid w:val="00F450DC"/>
    <w:rsid w:val="00F45100"/>
    <w:rsid w:val="00F451A9"/>
    <w:rsid w:val="00F45216"/>
    <w:rsid w:val="00F452F2"/>
    <w:rsid w:val="00F4531A"/>
    <w:rsid w:val="00F45368"/>
    <w:rsid w:val="00F45502"/>
    <w:rsid w:val="00F4551B"/>
    <w:rsid w:val="00F455AF"/>
    <w:rsid w:val="00F455EA"/>
    <w:rsid w:val="00F45625"/>
    <w:rsid w:val="00F4564E"/>
    <w:rsid w:val="00F45687"/>
    <w:rsid w:val="00F45732"/>
    <w:rsid w:val="00F457AF"/>
    <w:rsid w:val="00F45872"/>
    <w:rsid w:val="00F458B3"/>
    <w:rsid w:val="00F459EA"/>
    <w:rsid w:val="00F45A10"/>
    <w:rsid w:val="00F45A70"/>
    <w:rsid w:val="00F45A88"/>
    <w:rsid w:val="00F45C18"/>
    <w:rsid w:val="00F45C60"/>
    <w:rsid w:val="00F45CA7"/>
    <w:rsid w:val="00F45D57"/>
    <w:rsid w:val="00F45D81"/>
    <w:rsid w:val="00F45E1E"/>
    <w:rsid w:val="00F45E66"/>
    <w:rsid w:val="00F45EA9"/>
    <w:rsid w:val="00F46000"/>
    <w:rsid w:val="00F46014"/>
    <w:rsid w:val="00F460A6"/>
    <w:rsid w:val="00F460F7"/>
    <w:rsid w:val="00F46120"/>
    <w:rsid w:val="00F4615A"/>
    <w:rsid w:val="00F46163"/>
    <w:rsid w:val="00F461C5"/>
    <w:rsid w:val="00F461ED"/>
    <w:rsid w:val="00F46200"/>
    <w:rsid w:val="00F4621E"/>
    <w:rsid w:val="00F46230"/>
    <w:rsid w:val="00F4623E"/>
    <w:rsid w:val="00F46257"/>
    <w:rsid w:val="00F462D0"/>
    <w:rsid w:val="00F46325"/>
    <w:rsid w:val="00F46399"/>
    <w:rsid w:val="00F46440"/>
    <w:rsid w:val="00F46474"/>
    <w:rsid w:val="00F464F4"/>
    <w:rsid w:val="00F46527"/>
    <w:rsid w:val="00F4652B"/>
    <w:rsid w:val="00F4663D"/>
    <w:rsid w:val="00F466C2"/>
    <w:rsid w:val="00F466C8"/>
    <w:rsid w:val="00F46702"/>
    <w:rsid w:val="00F4671B"/>
    <w:rsid w:val="00F46721"/>
    <w:rsid w:val="00F467B7"/>
    <w:rsid w:val="00F467CC"/>
    <w:rsid w:val="00F46863"/>
    <w:rsid w:val="00F46895"/>
    <w:rsid w:val="00F46910"/>
    <w:rsid w:val="00F46976"/>
    <w:rsid w:val="00F469A7"/>
    <w:rsid w:val="00F469B7"/>
    <w:rsid w:val="00F469C1"/>
    <w:rsid w:val="00F469E9"/>
    <w:rsid w:val="00F469F5"/>
    <w:rsid w:val="00F46A03"/>
    <w:rsid w:val="00F46A05"/>
    <w:rsid w:val="00F46A08"/>
    <w:rsid w:val="00F46A4B"/>
    <w:rsid w:val="00F46B4F"/>
    <w:rsid w:val="00F46C4D"/>
    <w:rsid w:val="00F46C79"/>
    <w:rsid w:val="00F46C90"/>
    <w:rsid w:val="00F46CCB"/>
    <w:rsid w:val="00F46CD6"/>
    <w:rsid w:val="00F46D96"/>
    <w:rsid w:val="00F46DD8"/>
    <w:rsid w:val="00F46E4B"/>
    <w:rsid w:val="00F46E64"/>
    <w:rsid w:val="00F46ECD"/>
    <w:rsid w:val="00F46F3E"/>
    <w:rsid w:val="00F46F78"/>
    <w:rsid w:val="00F46F80"/>
    <w:rsid w:val="00F46F82"/>
    <w:rsid w:val="00F46FD8"/>
    <w:rsid w:val="00F47017"/>
    <w:rsid w:val="00F47073"/>
    <w:rsid w:val="00F470F7"/>
    <w:rsid w:val="00F47162"/>
    <w:rsid w:val="00F471EE"/>
    <w:rsid w:val="00F47274"/>
    <w:rsid w:val="00F472BC"/>
    <w:rsid w:val="00F4731D"/>
    <w:rsid w:val="00F473B6"/>
    <w:rsid w:val="00F473FA"/>
    <w:rsid w:val="00F47400"/>
    <w:rsid w:val="00F47452"/>
    <w:rsid w:val="00F47473"/>
    <w:rsid w:val="00F47477"/>
    <w:rsid w:val="00F47516"/>
    <w:rsid w:val="00F475BB"/>
    <w:rsid w:val="00F47621"/>
    <w:rsid w:val="00F47632"/>
    <w:rsid w:val="00F4764C"/>
    <w:rsid w:val="00F4765D"/>
    <w:rsid w:val="00F47690"/>
    <w:rsid w:val="00F477BC"/>
    <w:rsid w:val="00F47864"/>
    <w:rsid w:val="00F4787C"/>
    <w:rsid w:val="00F47893"/>
    <w:rsid w:val="00F479B5"/>
    <w:rsid w:val="00F479BC"/>
    <w:rsid w:val="00F479ED"/>
    <w:rsid w:val="00F479FB"/>
    <w:rsid w:val="00F47AD8"/>
    <w:rsid w:val="00F47BA4"/>
    <w:rsid w:val="00F47BE6"/>
    <w:rsid w:val="00F47C59"/>
    <w:rsid w:val="00F47C6B"/>
    <w:rsid w:val="00F47C6E"/>
    <w:rsid w:val="00F47D75"/>
    <w:rsid w:val="00F47D85"/>
    <w:rsid w:val="00F47DA1"/>
    <w:rsid w:val="00F47DCB"/>
    <w:rsid w:val="00F47E25"/>
    <w:rsid w:val="00F47E47"/>
    <w:rsid w:val="00F47E4B"/>
    <w:rsid w:val="00F47E6E"/>
    <w:rsid w:val="00F47E86"/>
    <w:rsid w:val="00F47EBE"/>
    <w:rsid w:val="00F47F33"/>
    <w:rsid w:val="00F47F81"/>
    <w:rsid w:val="00F47F98"/>
    <w:rsid w:val="00F5001B"/>
    <w:rsid w:val="00F5006A"/>
    <w:rsid w:val="00F50100"/>
    <w:rsid w:val="00F50143"/>
    <w:rsid w:val="00F501B1"/>
    <w:rsid w:val="00F501BD"/>
    <w:rsid w:val="00F5025B"/>
    <w:rsid w:val="00F5026A"/>
    <w:rsid w:val="00F502AC"/>
    <w:rsid w:val="00F502EB"/>
    <w:rsid w:val="00F5038D"/>
    <w:rsid w:val="00F503D8"/>
    <w:rsid w:val="00F503E4"/>
    <w:rsid w:val="00F5046F"/>
    <w:rsid w:val="00F50471"/>
    <w:rsid w:val="00F5052B"/>
    <w:rsid w:val="00F5057A"/>
    <w:rsid w:val="00F505E2"/>
    <w:rsid w:val="00F50616"/>
    <w:rsid w:val="00F50669"/>
    <w:rsid w:val="00F50674"/>
    <w:rsid w:val="00F5073B"/>
    <w:rsid w:val="00F507F9"/>
    <w:rsid w:val="00F50823"/>
    <w:rsid w:val="00F50853"/>
    <w:rsid w:val="00F50877"/>
    <w:rsid w:val="00F508C9"/>
    <w:rsid w:val="00F50903"/>
    <w:rsid w:val="00F50917"/>
    <w:rsid w:val="00F50A42"/>
    <w:rsid w:val="00F50A8B"/>
    <w:rsid w:val="00F50B5B"/>
    <w:rsid w:val="00F50B9E"/>
    <w:rsid w:val="00F50C03"/>
    <w:rsid w:val="00F50C4D"/>
    <w:rsid w:val="00F50C95"/>
    <w:rsid w:val="00F50CC4"/>
    <w:rsid w:val="00F50DA5"/>
    <w:rsid w:val="00F50E0D"/>
    <w:rsid w:val="00F50E27"/>
    <w:rsid w:val="00F50E39"/>
    <w:rsid w:val="00F50F2D"/>
    <w:rsid w:val="00F50FB0"/>
    <w:rsid w:val="00F51121"/>
    <w:rsid w:val="00F51130"/>
    <w:rsid w:val="00F511D7"/>
    <w:rsid w:val="00F51233"/>
    <w:rsid w:val="00F512E3"/>
    <w:rsid w:val="00F5139F"/>
    <w:rsid w:val="00F51521"/>
    <w:rsid w:val="00F515C1"/>
    <w:rsid w:val="00F51648"/>
    <w:rsid w:val="00F51657"/>
    <w:rsid w:val="00F5168E"/>
    <w:rsid w:val="00F516B1"/>
    <w:rsid w:val="00F516C4"/>
    <w:rsid w:val="00F516EA"/>
    <w:rsid w:val="00F516FE"/>
    <w:rsid w:val="00F51751"/>
    <w:rsid w:val="00F51754"/>
    <w:rsid w:val="00F51923"/>
    <w:rsid w:val="00F51986"/>
    <w:rsid w:val="00F51A3E"/>
    <w:rsid w:val="00F51B43"/>
    <w:rsid w:val="00F51C00"/>
    <w:rsid w:val="00F51C02"/>
    <w:rsid w:val="00F51C86"/>
    <w:rsid w:val="00F51D62"/>
    <w:rsid w:val="00F51DB2"/>
    <w:rsid w:val="00F51DE7"/>
    <w:rsid w:val="00F51EAD"/>
    <w:rsid w:val="00F51EAF"/>
    <w:rsid w:val="00F51EEC"/>
    <w:rsid w:val="00F52033"/>
    <w:rsid w:val="00F52064"/>
    <w:rsid w:val="00F52087"/>
    <w:rsid w:val="00F52091"/>
    <w:rsid w:val="00F52167"/>
    <w:rsid w:val="00F521B6"/>
    <w:rsid w:val="00F52256"/>
    <w:rsid w:val="00F522F3"/>
    <w:rsid w:val="00F523B9"/>
    <w:rsid w:val="00F525A7"/>
    <w:rsid w:val="00F52692"/>
    <w:rsid w:val="00F52693"/>
    <w:rsid w:val="00F526B1"/>
    <w:rsid w:val="00F5271A"/>
    <w:rsid w:val="00F52742"/>
    <w:rsid w:val="00F52766"/>
    <w:rsid w:val="00F527A7"/>
    <w:rsid w:val="00F528B7"/>
    <w:rsid w:val="00F5294F"/>
    <w:rsid w:val="00F5297E"/>
    <w:rsid w:val="00F529C3"/>
    <w:rsid w:val="00F529CD"/>
    <w:rsid w:val="00F52A16"/>
    <w:rsid w:val="00F52A83"/>
    <w:rsid w:val="00F52AD1"/>
    <w:rsid w:val="00F52B20"/>
    <w:rsid w:val="00F52B2E"/>
    <w:rsid w:val="00F52B43"/>
    <w:rsid w:val="00F52BBB"/>
    <w:rsid w:val="00F52BC5"/>
    <w:rsid w:val="00F52BFE"/>
    <w:rsid w:val="00F52CC3"/>
    <w:rsid w:val="00F52D43"/>
    <w:rsid w:val="00F52D5E"/>
    <w:rsid w:val="00F52D66"/>
    <w:rsid w:val="00F52DC1"/>
    <w:rsid w:val="00F52E4A"/>
    <w:rsid w:val="00F52F72"/>
    <w:rsid w:val="00F53034"/>
    <w:rsid w:val="00F531AC"/>
    <w:rsid w:val="00F531D5"/>
    <w:rsid w:val="00F531ED"/>
    <w:rsid w:val="00F53247"/>
    <w:rsid w:val="00F532FD"/>
    <w:rsid w:val="00F533FE"/>
    <w:rsid w:val="00F5342B"/>
    <w:rsid w:val="00F5346A"/>
    <w:rsid w:val="00F534F0"/>
    <w:rsid w:val="00F535DA"/>
    <w:rsid w:val="00F53618"/>
    <w:rsid w:val="00F536BE"/>
    <w:rsid w:val="00F53709"/>
    <w:rsid w:val="00F5378F"/>
    <w:rsid w:val="00F538B7"/>
    <w:rsid w:val="00F538E2"/>
    <w:rsid w:val="00F538EC"/>
    <w:rsid w:val="00F5391F"/>
    <w:rsid w:val="00F539A3"/>
    <w:rsid w:val="00F539EE"/>
    <w:rsid w:val="00F53A25"/>
    <w:rsid w:val="00F53ABB"/>
    <w:rsid w:val="00F53AF2"/>
    <w:rsid w:val="00F53B55"/>
    <w:rsid w:val="00F53BB7"/>
    <w:rsid w:val="00F53BEB"/>
    <w:rsid w:val="00F53C0E"/>
    <w:rsid w:val="00F53C55"/>
    <w:rsid w:val="00F53CC7"/>
    <w:rsid w:val="00F53D6C"/>
    <w:rsid w:val="00F53D86"/>
    <w:rsid w:val="00F53DE4"/>
    <w:rsid w:val="00F53E02"/>
    <w:rsid w:val="00F53E17"/>
    <w:rsid w:val="00F53E2E"/>
    <w:rsid w:val="00F53F7C"/>
    <w:rsid w:val="00F540A5"/>
    <w:rsid w:val="00F540C5"/>
    <w:rsid w:val="00F5418B"/>
    <w:rsid w:val="00F5422F"/>
    <w:rsid w:val="00F5432C"/>
    <w:rsid w:val="00F5436A"/>
    <w:rsid w:val="00F54562"/>
    <w:rsid w:val="00F54590"/>
    <w:rsid w:val="00F54597"/>
    <w:rsid w:val="00F54667"/>
    <w:rsid w:val="00F54676"/>
    <w:rsid w:val="00F547B1"/>
    <w:rsid w:val="00F54900"/>
    <w:rsid w:val="00F54968"/>
    <w:rsid w:val="00F54977"/>
    <w:rsid w:val="00F549CD"/>
    <w:rsid w:val="00F54AC0"/>
    <w:rsid w:val="00F54AE4"/>
    <w:rsid w:val="00F54AE8"/>
    <w:rsid w:val="00F54B4C"/>
    <w:rsid w:val="00F54BB1"/>
    <w:rsid w:val="00F54BD3"/>
    <w:rsid w:val="00F54C63"/>
    <w:rsid w:val="00F54CAB"/>
    <w:rsid w:val="00F54D34"/>
    <w:rsid w:val="00F54D61"/>
    <w:rsid w:val="00F54F50"/>
    <w:rsid w:val="00F54F5A"/>
    <w:rsid w:val="00F54F87"/>
    <w:rsid w:val="00F54FC2"/>
    <w:rsid w:val="00F54FF7"/>
    <w:rsid w:val="00F55055"/>
    <w:rsid w:val="00F55058"/>
    <w:rsid w:val="00F550A9"/>
    <w:rsid w:val="00F5518D"/>
    <w:rsid w:val="00F551A3"/>
    <w:rsid w:val="00F551CE"/>
    <w:rsid w:val="00F55293"/>
    <w:rsid w:val="00F55366"/>
    <w:rsid w:val="00F55476"/>
    <w:rsid w:val="00F5547A"/>
    <w:rsid w:val="00F554E0"/>
    <w:rsid w:val="00F5555B"/>
    <w:rsid w:val="00F555AE"/>
    <w:rsid w:val="00F555C8"/>
    <w:rsid w:val="00F555CA"/>
    <w:rsid w:val="00F555E5"/>
    <w:rsid w:val="00F556A2"/>
    <w:rsid w:val="00F55735"/>
    <w:rsid w:val="00F5584B"/>
    <w:rsid w:val="00F55874"/>
    <w:rsid w:val="00F558C9"/>
    <w:rsid w:val="00F558EC"/>
    <w:rsid w:val="00F559C0"/>
    <w:rsid w:val="00F55A1D"/>
    <w:rsid w:val="00F55A20"/>
    <w:rsid w:val="00F55A67"/>
    <w:rsid w:val="00F55A8C"/>
    <w:rsid w:val="00F55ABF"/>
    <w:rsid w:val="00F55AD5"/>
    <w:rsid w:val="00F55AE6"/>
    <w:rsid w:val="00F55BC0"/>
    <w:rsid w:val="00F55BC3"/>
    <w:rsid w:val="00F55C62"/>
    <w:rsid w:val="00F55C85"/>
    <w:rsid w:val="00F55D6F"/>
    <w:rsid w:val="00F55DC4"/>
    <w:rsid w:val="00F55DDB"/>
    <w:rsid w:val="00F55DEA"/>
    <w:rsid w:val="00F55E3C"/>
    <w:rsid w:val="00F55EDD"/>
    <w:rsid w:val="00F55F5A"/>
    <w:rsid w:val="00F55F96"/>
    <w:rsid w:val="00F55F9B"/>
    <w:rsid w:val="00F55FE8"/>
    <w:rsid w:val="00F55FFD"/>
    <w:rsid w:val="00F560EB"/>
    <w:rsid w:val="00F5612A"/>
    <w:rsid w:val="00F56183"/>
    <w:rsid w:val="00F56240"/>
    <w:rsid w:val="00F5626C"/>
    <w:rsid w:val="00F5628D"/>
    <w:rsid w:val="00F562CF"/>
    <w:rsid w:val="00F562D3"/>
    <w:rsid w:val="00F562E3"/>
    <w:rsid w:val="00F56358"/>
    <w:rsid w:val="00F56444"/>
    <w:rsid w:val="00F564D9"/>
    <w:rsid w:val="00F5658D"/>
    <w:rsid w:val="00F565C8"/>
    <w:rsid w:val="00F56711"/>
    <w:rsid w:val="00F567C2"/>
    <w:rsid w:val="00F56807"/>
    <w:rsid w:val="00F5682D"/>
    <w:rsid w:val="00F569B1"/>
    <w:rsid w:val="00F56A14"/>
    <w:rsid w:val="00F56A2C"/>
    <w:rsid w:val="00F56A94"/>
    <w:rsid w:val="00F56AB9"/>
    <w:rsid w:val="00F56B0A"/>
    <w:rsid w:val="00F56B11"/>
    <w:rsid w:val="00F56B61"/>
    <w:rsid w:val="00F56B79"/>
    <w:rsid w:val="00F56B80"/>
    <w:rsid w:val="00F56BA8"/>
    <w:rsid w:val="00F56CC7"/>
    <w:rsid w:val="00F56E21"/>
    <w:rsid w:val="00F56E56"/>
    <w:rsid w:val="00F56EC2"/>
    <w:rsid w:val="00F56EC5"/>
    <w:rsid w:val="00F56EE0"/>
    <w:rsid w:val="00F56FEB"/>
    <w:rsid w:val="00F57036"/>
    <w:rsid w:val="00F570BA"/>
    <w:rsid w:val="00F57105"/>
    <w:rsid w:val="00F57127"/>
    <w:rsid w:val="00F5713F"/>
    <w:rsid w:val="00F5714B"/>
    <w:rsid w:val="00F57214"/>
    <w:rsid w:val="00F5727C"/>
    <w:rsid w:val="00F57306"/>
    <w:rsid w:val="00F57313"/>
    <w:rsid w:val="00F57363"/>
    <w:rsid w:val="00F574B0"/>
    <w:rsid w:val="00F574BB"/>
    <w:rsid w:val="00F574D3"/>
    <w:rsid w:val="00F5761E"/>
    <w:rsid w:val="00F5764A"/>
    <w:rsid w:val="00F577A5"/>
    <w:rsid w:val="00F577B8"/>
    <w:rsid w:val="00F5786E"/>
    <w:rsid w:val="00F578BC"/>
    <w:rsid w:val="00F578F7"/>
    <w:rsid w:val="00F579A4"/>
    <w:rsid w:val="00F579C8"/>
    <w:rsid w:val="00F579DB"/>
    <w:rsid w:val="00F57A23"/>
    <w:rsid w:val="00F57AA3"/>
    <w:rsid w:val="00F57B09"/>
    <w:rsid w:val="00F57BCB"/>
    <w:rsid w:val="00F57BE5"/>
    <w:rsid w:val="00F57C17"/>
    <w:rsid w:val="00F57D27"/>
    <w:rsid w:val="00F57D3C"/>
    <w:rsid w:val="00F57D92"/>
    <w:rsid w:val="00F57DCC"/>
    <w:rsid w:val="00F57DCE"/>
    <w:rsid w:val="00F57DEA"/>
    <w:rsid w:val="00F57E5B"/>
    <w:rsid w:val="00F57F85"/>
    <w:rsid w:val="00F57FE2"/>
    <w:rsid w:val="00F6001E"/>
    <w:rsid w:val="00F60031"/>
    <w:rsid w:val="00F6006F"/>
    <w:rsid w:val="00F600B9"/>
    <w:rsid w:val="00F6017B"/>
    <w:rsid w:val="00F60271"/>
    <w:rsid w:val="00F602BB"/>
    <w:rsid w:val="00F603A2"/>
    <w:rsid w:val="00F603DE"/>
    <w:rsid w:val="00F60426"/>
    <w:rsid w:val="00F60427"/>
    <w:rsid w:val="00F604E0"/>
    <w:rsid w:val="00F605F0"/>
    <w:rsid w:val="00F6063B"/>
    <w:rsid w:val="00F606A0"/>
    <w:rsid w:val="00F6071B"/>
    <w:rsid w:val="00F60741"/>
    <w:rsid w:val="00F60746"/>
    <w:rsid w:val="00F607AD"/>
    <w:rsid w:val="00F607C6"/>
    <w:rsid w:val="00F607CD"/>
    <w:rsid w:val="00F607F6"/>
    <w:rsid w:val="00F607FD"/>
    <w:rsid w:val="00F6086D"/>
    <w:rsid w:val="00F60887"/>
    <w:rsid w:val="00F60951"/>
    <w:rsid w:val="00F609D4"/>
    <w:rsid w:val="00F609DF"/>
    <w:rsid w:val="00F60A49"/>
    <w:rsid w:val="00F60A56"/>
    <w:rsid w:val="00F60A5E"/>
    <w:rsid w:val="00F60AB5"/>
    <w:rsid w:val="00F60AF4"/>
    <w:rsid w:val="00F60B44"/>
    <w:rsid w:val="00F60B8C"/>
    <w:rsid w:val="00F60BB4"/>
    <w:rsid w:val="00F60BB9"/>
    <w:rsid w:val="00F60CBA"/>
    <w:rsid w:val="00F60D0A"/>
    <w:rsid w:val="00F60D6A"/>
    <w:rsid w:val="00F60D99"/>
    <w:rsid w:val="00F60DB6"/>
    <w:rsid w:val="00F60E0E"/>
    <w:rsid w:val="00F60E4B"/>
    <w:rsid w:val="00F60E64"/>
    <w:rsid w:val="00F60F58"/>
    <w:rsid w:val="00F60FD2"/>
    <w:rsid w:val="00F61001"/>
    <w:rsid w:val="00F61072"/>
    <w:rsid w:val="00F610AA"/>
    <w:rsid w:val="00F6119F"/>
    <w:rsid w:val="00F61340"/>
    <w:rsid w:val="00F6137B"/>
    <w:rsid w:val="00F613A4"/>
    <w:rsid w:val="00F613AE"/>
    <w:rsid w:val="00F6145F"/>
    <w:rsid w:val="00F616B5"/>
    <w:rsid w:val="00F616BE"/>
    <w:rsid w:val="00F61815"/>
    <w:rsid w:val="00F61A89"/>
    <w:rsid w:val="00F61B1E"/>
    <w:rsid w:val="00F61BA2"/>
    <w:rsid w:val="00F61BAC"/>
    <w:rsid w:val="00F61BBD"/>
    <w:rsid w:val="00F61BF4"/>
    <w:rsid w:val="00F61BF9"/>
    <w:rsid w:val="00F61D34"/>
    <w:rsid w:val="00F61D96"/>
    <w:rsid w:val="00F61D9D"/>
    <w:rsid w:val="00F61DC4"/>
    <w:rsid w:val="00F61E30"/>
    <w:rsid w:val="00F61E95"/>
    <w:rsid w:val="00F61EF3"/>
    <w:rsid w:val="00F61F65"/>
    <w:rsid w:val="00F61FA1"/>
    <w:rsid w:val="00F61FBC"/>
    <w:rsid w:val="00F61FFF"/>
    <w:rsid w:val="00F6200A"/>
    <w:rsid w:val="00F62060"/>
    <w:rsid w:val="00F62073"/>
    <w:rsid w:val="00F620BC"/>
    <w:rsid w:val="00F62156"/>
    <w:rsid w:val="00F62166"/>
    <w:rsid w:val="00F62191"/>
    <w:rsid w:val="00F621BD"/>
    <w:rsid w:val="00F621EE"/>
    <w:rsid w:val="00F621FC"/>
    <w:rsid w:val="00F62230"/>
    <w:rsid w:val="00F62243"/>
    <w:rsid w:val="00F62255"/>
    <w:rsid w:val="00F62287"/>
    <w:rsid w:val="00F6228F"/>
    <w:rsid w:val="00F622D3"/>
    <w:rsid w:val="00F623C3"/>
    <w:rsid w:val="00F62417"/>
    <w:rsid w:val="00F6252F"/>
    <w:rsid w:val="00F62555"/>
    <w:rsid w:val="00F6256B"/>
    <w:rsid w:val="00F626FB"/>
    <w:rsid w:val="00F62810"/>
    <w:rsid w:val="00F62819"/>
    <w:rsid w:val="00F6282F"/>
    <w:rsid w:val="00F6288F"/>
    <w:rsid w:val="00F628DD"/>
    <w:rsid w:val="00F62902"/>
    <w:rsid w:val="00F62967"/>
    <w:rsid w:val="00F6297F"/>
    <w:rsid w:val="00F629B6"/>
    <w:rsid w:val="00F62A0A"/>
    <w:rsid w:val="00F62A18"/>
    <w:rsid w:val="00F62B15"/>
    <w:rsid w:val="00F62B16"/>
    <w:rsid w:val="00F62B24"/>
    <w:rsid w:val="00F62B5D"/>
    <w:rsid w:val="00F62B61"/>
    <w:rsid w:val="00F62BAF"/>
    <w:rsid w:val="00F62C60"/>
    <w:rsid w:val="00F62C68"/>
    <w:rsid w:val="00F62C75"/>
    <w:rsid w:val="00F62CBF"/>
    <w:rsid w:val="00F62CC9"/>
    <w:rsid w:val="00F62D90"/>
    <w:rsid w:val="00F62E4B"/>
    <w:rsid w:val="00F62E83"/>
    <w:rsid w:val="00F62EF9"/>
    <w:rsid w:val="00F6300B"/>
    <w:rsid w:val="00F63012"/>
    <w:rsid w:val="00F630F2"/>
    <w:rsid w:val="00F63126"/>
    <w:rsid w:val="00F63140"/>
    <w:rsid w:val="00F631A4"/>
    <w:rsid w:val="00F631AA"/>
    <w:rsid w:val="00F632C3"/>
    <w:rsid w:val="00F632E2"/>
    <w:rsid w:val="00F632E6"/>
    <w:rsid w:val="00F632F6"/>
    <w:rsid w:val="00F63313"/>
    <w:rsid w:val="00F6339B"/>
    <w:rsid w:val="00F633B7"/>
    <w:rsid w:val="00F633D1"/>
    <w:rsid w:val="00F634D1"/>
    <w:rsid w:val="00F63514"/>
    <w:rsid w:val="00F63599"/>
    <w:rsid w:val="00F635B0"/>
    <w:rsid w:val="00F636DE"/>
    <w:rsid w:val="00F63740"/>
    <w:rsid w:val="00F6379B"/>
    <w:rsid w:val="00F638C6"/>
    <w:rsid w:val="00F639F7"/>
    <w:rsid w:val="00F63A11"/>
    <w:rsid w:val="00F63A20"/>
    <w:rsid w:val="00F63A2D"/>
    <w:rsid w:val="00F63A34"/>
    <w:rsid w:val="00F63A73"/>
    <w:rsid w:val="00F63AAD"/>
    <w:rsid w:val="00F63AFC"/>
    <w:rsid w:val="00F63B3F"/>
    <w:rsid w:val="00F63B4B"/>
    <w:rsid w:val="00F63C16"/>
    <w:rsid w:val="00F63C87"/>
    <w:rsid w:val="00F63D27"/>
    <w:rsid w:val="00F63D90"/>
    <w:rsid w:val="00F63E95"/>
    <w:rsid w:val="00F63E9B"/>
    <w:rsid w:val="00F63FBB"/>
    <w:rsid w:val="00F63FDA"/>
    <w:rsid w:val="00F64072"/>
    <w:rsid w:val="00F640A3"/>
    <w:rsid w:val="00F640D2"/>
    <w:rsid w:val="00F64110"/>
    <w:rsid w:val="00F64120"/>
    <w:rsid w:val="00F6413F"/>
    <w:rsid w:val="00F64248"/>
    <w:rsid w:val="00F64294"/>
    <w:rsid w:val="00F642C9"/>
    <w:rsid w:val="00F6434D"/>
    <w:rsid w:val="00F64410"/>
    <w:rsid w:val="00F6446A"/>
    <w:rsid w:val="00F6446E"/>
    <w:rsid w:val="00F64495"/>
    <w:rsid w:val="00F644E7"/>
    <w:rsid w:val="00F645DC"/>
    <w:rsid w:val="00F6461E"/>
    <w:rsid w:val="00F64628"/>
    <w:rsid w:val="00F6467C"/>
    <w:rsid w:val="00F646B5"/>
    <w:rsid w:val="00F6478A"/>
    <w:rsid w:val="00F6478B"/>
    <w:rsid w:val="00F647E6"/>
    <w:rsid w:val="00F6482D"/>
    <w:rsid w:val="00F648A1"/>
    <w:rsid w:val="00F649CD"/>
    <w:rsid w:val="00F649DE"/>
    <w:rsid w:val="00F649F7"/>
    <w:rsid w:val="00F64A06"/>
    <w:rsid w:val="00F64A18"/>
    <w:rsid w:val="00F64A28"/>
    <w:rsid w:val="00F64A44"/>
    <w:rsid w:val="00F64ADC"/>
    <w:rsid w:val="00F64B8B"/>
    <w:rsid w:val="00F64BB6"/>
    <w:rsid w:val="00F64CF1"/>
    <w:rsid w:val="00F64D90"/>
    <w:rsid w:val="00F64DDC"/>
    <w:rsid w:val="00F64DE3"/>
    <w:rsid w:val="00F64E10"/>
    <w:rsid w:val="00F64E4C"/>
    <w:rsid w:val="00F64F2A"/>
    <w:rsid w:val="00F6504A"/>
    <w:rsid w:val="00F6504D"/>
    <w:rsid w:val="00F6506D"/>
    <w:rsid w:val="00F65077"/>
    <w:rsid w:val="00F650D7"/>
    <w:rsid w:val="00F65192"/>
    <w:rsid w:val="00F651AC"/>
    <w:rsid w:val="00F65205"/>
    <w:rsid w:val="00F652D1"/>
    <w:rsid w:val="00F65325"/>
    <w:rsid w:val="00F653CE"/>
    <w:rsid w:val="00F6542D"/>
    <w:rsid w:val="00F65540"/>
    <w:rsid w:val="00F65676"/>
    <w:rsid w:val="00F656C0"/>
    <w:rsid w:val="00F65737"/>
    <w:rsid w:val="00F658BE"/>
    <w:rsid w:val="00F658F5"/>
    <w:rsid w:val="00F6591C"/>
    <w:rsid w:val="00F65967"/>
    <w:rsid w:val="00F65968"/>
    <w:rsid w:val="00F659A3"/>
    <w:rsid w:val="00F659E9"/>
    <w:rsid w:val="00F65A98"/>
    <w:rsid w:val="00F65AB8"/>
    <w:rsid w:val="00F65B58"/>
    <w:rsid w:val="00F65B81"/>
    <w:rsid w:val="00F65C63"/>
    <w:rsid w:val="00F65C8A"/>
    <w:rsid w:val="00F65C99"/>
    <w:rsid w:val="00F65CF6"/>
    <w:rsid w:val="00F65D05"/>
    <w:rsid w:val="00F65D1F"/>
    <w:rsid w:val="00F65D5F"/>
    <w:rsid w:val="00F65D9F"/>
    <w:rsid w:val="00F65DDA"/>
    <w:rsid w:val="00F65DF8"/>
    <w:rsid w:val="00F65FF5"/>
    <w:rsid w:val="00F65FFD"/>
    <w:rsid w:val="00F660B4"/>
    <w:rsid w:val="00F660CA"/>
    <w:rsid w:val="00F66123"/>
    <w:rsid w:val="00F66136"/>
    <w:rsid w:val="00F6616B"/>
    <w:rsid w:val="00F66171"/>
    <w:rsid w:val="00F6617D"/>
    <w:rsid w:val="00F661C1"/>
    <w:rsid w:val="00F661DD"/>
    <w:rsid w:val="00F66215"/>
    <w:rsid w:val="00F66260"/>
    <w:rsid w:val="00F6629B"/>
    <w:rsid w:val="00F6632D"/>
    <w:rsid w:val="00F663C5"/>
    <w:rsid w:val="00F663E5"/>
    <w:rsid w:val="00F66511"/>
    <w:rsid w:val="00F6651C"/>
    <w:rsid w:val="00F665BF"/>
    <w:rsid w:val="00F66657"/>
    <w:rsid w:val="00F666AF"/>
    <w:rsid w:val="00F666BA"/>
    <w:rsid w:val="00F6676A"/>
    <w:rsid w:val="00F667A8"/>
    <w:rsid w:val="00F667E0"/>
    <w:rsid w:val="00F66845"/>
    <w:rsid w:val="00F66939"/>
    <w:rsid w:val="00F6696C"/>
    <w:rsid w:val="00F66A2A"/>
    <w:rsid w:val="00F66A2D"/>
    <w:rsid w:val="00F66A3A"/>
    <w:rsid w:val="00F66A40"/>
    <w:rsid w:val="00F66AAD"/>
    <w:rsid w:val="00F66AB4"/>
    <w:rsid w:val="00F66B4A"/>
    <w:rsid w:val="00F66BDC"/>
    <w:rsid w:val="00F66CE1"/>
    <w:rsid w:val="00F66D3B"/>
    <w:rsid w:val="00F66DF1"/>
    <w:rsid w:val="00F66EF1"/>
    <w:rsid w:val="00F66F47"/>
    <w:rsid w:val="00F6718C"/>
    <w:rsid w:val="00F671A6"/>
    <w:rsid w:val="00F67277"/>
    <w:rsid w:val="00F6727C"/>
    <w:rsid w:val="00F672BE"/>
    <w:rsid w:val="00F673C9"/>
    <w:rsid w:val="00F6749F"/>
    <w:rsid w:val="00F674A4"/>
    <w:rsid w:val="00F67547"/>
    <w:rsid w:val="00F6755D"/>
    <w:rsid w:val="00F6761A"/>
    <w:rsid w:val="00F676A7"/>
    <w:rsid w:val="00F67785"/>
    <w:rsid w:val="00F677EA"/>
    <w:rsid w:val="00F6780A"/>
    <w:rsid w:val="00F67826"/>
    <w:rsid w:val="00F6783F"/>
    <w:rsid w:val="00F678ED"/>
    <w:rsid w:val="00F6793A"/>
    <w:rsid w:val="00F67951"/>
    <w:rsid w:val="00F6796C"/>
    <w:rsid w:val="00F679CE"/>
    <w:rsid w:val="00F679D7"/>
    <w:rsid w:val="00F67ACF"/>
    <w:rsid w:val="00F67AE8"/>
    <w:rsid w:val="00F67C68"/>
    <w:rsid w:val="00F67C96"/>
    <w:rsid w:val="00F67D7B"/>
    <w:rsid w:val="00F67DE4"/>
    <w:rsid w:val="00F67E75"/>
    <w:rsid w:val="00F67F9D"/>
    <w:rsid w:val="00F70010"/>
    <w:rsid w:val="00F70043"/>
    <w:rsid w:val="00F7007D"/>
    <w:rsid w:val="00F70081"/>
    <w:rsid w:val="00F701A6"/>
    <w:rsid w:val="00F703E6"/>
    <w:rsid w:val="00F7049A"/>
    <w:rsid w:val="00F704C3"/>
    <w:rsid w:val="00F7051F"/>
    <w:rsid w:val="00F70590"/>
    <w:rsid w:val="00F705F0"/>
    <w:rsid w:val="00F70654"/>
    <w:rsid w:val="00F70697"/>
    <w:rsid w:val="00F70711"/>
    <w:rsid w:val="00F70765"/>
    <w:rsid w:val="00F70786"/>
    <w:rsid w:val="00F70802"/>
    <w:rsid w:val="00F708A8"/>
    <w:rsid w:val="00F708FF"/>
    <w:rsid w:val="00F70938"/>
    <w:rsid w:val="00F70953"/>
    <w:rsid w:val="00F70A31"/>
    <w:rsid w:val="00F70AEB"/>
    <w:rsid w:val="00F70B7A"/>
    <w:rsid w:val="00F70BAA"/>
    <w:rsid w:val="00F70BBF"/>
    <w:rsid w:val="00F70C16"/>
    <w:rsid w:val="00F70C7B"/>
    <w:rsid w:val="00F70CD5"/>
    <w:rsid w:val="00F70D20"/>
    <w:rsid w:val="00F70D58"/>
    <w:rsid w:val="00F70D75"/>
    <w:rsid w:val="00F70D7E"/>
    <w:rsid w:val="00F70E30"/>
    <w:rsid w:val="00F70F4C"/>
    <w:rsid w:val="00F7108F"/>
    <w:rsid w:val="00F71109"/>
    <w:rsid w:val="00F71236"/>
    <w:rsid w:val="00F7133A"/>
    <w:rsid w:val="00F71352"/>
    <w:rsid w:val="00F7138A"/>
    <w:rsid w:val="00F713D1"/>
    <w:rsid w:val="00F713E4"/>
    <w:rsid w:val="00F71428"/>
    <w:rsid w:val="00F7145E"/>
    <w:rsid w:val="00F714EF"/>
    <w:rsid w:val="00F7152E"/>
    <w:rsid w:val="00F715A0"/>
    <w:rsid w:val="00F715D8"/>
    <w:rsid w:val="00F716AC"/>
    <w:rsid w:val="00F71788"/>
    <w:rsid w:val="00F71859"/>
    <w:rsid w:val="00F718BE"/>
    <w:rsid w:val="00F71922"/>
    <w:rsid w:val="00F71994"/>
    <w:rsid w:val="00F71A1A"/>
    <w:rsid w:val="00F71AE0"/>
    <w:rsid w:val="00F71B04"/>
    <w:rsid w:val="00F71C46"/>
    <w:rsid w:val="00F71CB9"/>
    <w:rsid w:val="00F71D4D"/>
    <w:rsid w:val="00F71D7E"/>
    <w:rsid w:val="00F71EC1"/>
    <w:rsid w:val="00F71EC3"/>
    <w:rsid w:val="00F71F83"/>
    <w:rsid w:val="00F71FB2"/>
    <w:rsid w:val="00F720F1"/>
    <w:rsid w:val="00F7215C"/>
    <w:rsid w:val="00F721B1"/>
    <w:rsid w:val="00F72205"/>
    <w:rsid w:val="00F7227D"/>
    <w:rsid w:val="00F72285"/>
    <w:rsid w:val="00F7228F"/>
    <w:rsid w:val="00F72291"/>
    <w:rsid w:val="00F722A3"/>
    <w:rsid w:val="00F722AF"/>
    <w:rsid w:val="00F722CF"/>
    <w:rsid w:val="00F722DB"/>
    <w:rsid w:val="00F722EA"/>
    <w:rsid w:val="00F7230C"/>
    <w:rsid w:val="00F723AE"/>
    <w:rsid w:val="00F72562"/>
    <w:rsid w:val="00F725D7"/>
    <w:rsid w:val="00F7261D"/>
    <w:rsid w:val="00F72622"/>
    <w:rsid w:val="00F72625"/>
    <w:rsid w:val="00F72665"/>
    <w:rsid w:val="00F726B2"/>
    <w:rsid w:val="00F72782"/>
    <w:rsid w:val="00F72814"/>
    <w:rsid w:val="00F72859"/>
    <w:rsid w:val="00F728EF"/>
    <w:rsid w:val="00F72914"/>
    <w:rsid w:val="00F729B5"/>
    <w:rsid w:val="00F729D9"/>
    <w:rsid w:val="00F72A2C"/>
    <w:rsid w:val="00F72A4D"/>
    <w:rsid w:val="00F72A92"/>
    <w:rsid w:val="00F72AB4"/>
    <w:rsid w:val="00F72C42"/>
    <w:rsid w:val="00F72C68"/>
    <w:rsid w:val="00F72DAB"/>
    <w:rsid w:val="00F72E22"/>
    <w:rsid w:val="00F72E79"/>
    <w:rsid w:val="00F72E7C"/>
    <w:rsid w:val="00F72EBA"/>
    <w:rsid w:val="00F72ECF"/>
    <w:rsid w:val="00F72F0F"/>
    <w:rsid w:val="00F730B8"/>
    <w:rsid w:val="00F730F5"/>
    <w:rsid w:val="00F73114"/>
    <w:rsid w:val="00F73175"/>
    <w:rsid w:val="00F7320C"/>
    <w:rsid w:val="00F73230"/>
    <w:rsid w:val="00F73275"/>
    <w:rsid w:val="00F7328C"/>
    <w:rsid w:val="00F733C0"/>
    <w:rsid w:val="00F733F5"/>
    <w:rsid w:val="00F7344A"/>
    <w:rsid w:val="00F7344F"/>
    <w:rsid w:val="00F7346C"/>
    <w:rsid w:val="00F7346E"/>
    <w:rsid w:val="00F73479"/>
    <w:rsid w:val="00F735AD"/>
    <w:rsid w:val="00F73694"/>
    <w:rsid w:val="00F73708"/>
    <w:rsid w:val="00F7373D"/>
    <w:rsid w:val="00F7376E"/>
    <w:rsid w:val="00F73804"/>
    <w:rsid w:val="00F73823"/>
    <w:rsid w:val="00F7387B"/>
    <w:rsid w:val="00F73891"/>
    <w:rsid w:val="00F73901"/>
    <w:rsid w:val="00F73A4C"/>
    <w:rsid w:val="00F73A63"/>
    <w:rsid w:val="00F73A88"/>
    <w:rsid w:val="00F73A91"/>
    <w:rsid w:val="00F73AB3"/>
    <w:rsid w:val="00F73BAC"/>
    <w:rsid w:val="00F73C1E"/>
    <w:rsid w:val="00F73C46"/>
    <w:rsid w:val="00F73C4D"/>
    <w:rsid w:val="00F73D31"/>
    <w:rsid w:val="00F73EB2"/>
    <w:rsid w:val="00F73F16"/>
    <w:rsid w:val="00F74042"/>
    <w:rsid w:val="00F740C2"/>
    <w:rsid w:val="00F740CF"/>
    <w:rsid w:val="00F7418D"/>
    <w:rsid w:val="00F7418E"/>
    <w:rsid w:val="00F741A2"/>
    <w:rsid w:val="00F741EA"/>
    <w:rsid w:val="00F742CE"/>
    <w:rsid w:val="00F742DA"/>
    <w:rsid w:val="00F7431A"/>
    <w:rsid w:val="00F7443D"/>
    <w:rsid w:val="00F7449C"/>
    <w:rsid w:val="00F7454D"/>
    <w:rsid w:val="00F7458F"/>
    <w:rsid w:val="00F745CB"/>
    <w:rsid w:val="00F745E2"/>
    <w:rsid w:val="00F74626"/>
    <w:rsid w:val="00F74658"/>
    <w:rsid w:val="00F746E4"/>
    <w:rsid w:val="00F747A2"/>
    <w:rsid w:val="00F748D4"/>
    <w:rsid w:val="00F748F5"/>
    <w:rsid w:val="00F7490A"/>
    <w:rsid w:val="00F7491A"/>
    <w:rsid w:val="00F7491F"/>
    <w:rsid w:val="00F749DB"/>
    <w:rsid w:val="00F74BC0"/>
    <w:rsid w:val="00F74BF7"/>
    <w:rsid w:val="00F74C01"/>
    <w:rsid w:val="00F74C3C"/>
    <w:rsid w:val="00F74C6E"/>
    <w:rsid w:val="00F74CC2"/>
    <w:rsid w:val="00F74D69"/>
    <w:rsid w:val="00F74D85"/>
    <w:rsid w:val="00F74DC3"/>
    <w:rsid w:val="00F74E4A"/>
    <w:rsid w:val="00F74E77"/>
    <w:rsid w:val="00F74EC4"/>
    <w:rsid w:val="00F74EF5"/>
    <w:rsid w:val="00F74F07"/>
    <w:rsid w:val="00F74F88"/>
    <w:rsid w:val="00F75055"/>
    <w:rsid w:val="00F750B5"/>
    <w:rsid w:val="00F750D0"/>
    <w:rsid w:val="00F750DE"/>
    <w:rsid w:val="00F75101"/>
    <w:rsid w:val="00F75109"/>
    <w:rsid w:val="00F75138"/>
    <w:rsid w:val="00F751B3"/>
    <w:rsid w:val="00F751F6"/>
    <w:rsid w:val="00F75220"/>
    <w:rsid w:val="00F75229"/>
    <w:rsid w:val="00F7523E"/>
    <w:rsid w:val="00F75243"/>
    <w:rsid w:val="00F752F5"/>
    <w:rsid w:val="00F75312"/>
    <w:rsid w:val="00F75384"/>
    <w:rsid w:val="00F753BC"/>
    <w:rsid w:val="00F753C2"/>
    <w:rsid w:val="00F75414"/>
    <w:rsid w:val="00F754D4"/>
    <w:rsid w:val="00F754EB"/>
    <w:rsid w:val="00F754F2"/>
    <w:rsid w:val="00F75526"/>
    <w:rsid w:val="00F75574"/>
    <w:rsid w:val="00F7559E"/>
    <w:rsid w:val="00F7562A"/>
    <w:rsid w:val="00F756AF"/>
    <w:rsid w:val="00F756D0"/>
    <w:rsid w:val="00F756E6"/>
    <w:rsid w:val="00F756F2"/>
    <w:rsid w:val="00F75700"/>
    <w:rsid w:val="00F75812"/>
    <w:rsid w:val="00F7590B"/>
    <w:rsid w:val="00F7599B"/>
    <w:rsid w:val="00F759B2"/>
    <w:rsid w:val="00F75AC2"/>
    <w:rsid w:val="00F75B2A"/>
    <w:rsid w:val="00F75BBF"/>
    <w:rsid w:val="00F75C39"/>
    <w:rsid w:val="00F75CC0"/>
    <w:rsid w:val="00F75D0D"/>
    <w:rsid w:val="00F75E13"/>
    <w:rsid w:val="00F75E71"/>
    <w:rsid w:val="00F75E80"/>
    <w:rsid w:val="00F75F10"/>
    <w:rsid w:val="00F75F53"/>
    <w:rsid w:val="00F75F58"/>
    <w:rsid w:val="00F76026"/>
    <w:rsid w:val="00F76046"/>
    <w:rsid w:val="00F76061"/>
    <w:rsid w:val="00F76068"/>
    <w:rsid w:val="00F76124"/>
    <w:rsid w:val="00F761E2"/>
    <w:rsid w:val="00F761EC"/>
    <w:rsid w:val="00F76278"/>
    <w:rsid w:val="00F76297"/>
    <w:rsid w:val="00F76345"/>
    <w:rsid w:val="00F763B4"/>
    <w:rsid w:val="00F76518"/>
    <w:rsid w:val="00F76523"/>
    <w:rsid w:val="00F765AB"/>
    <w:rsid w:val="00F76600"/>
    <w:rsid w:val="00F76626"/>
    <w:rsid w:val="00F7664A"/>
    <w:rsid w:val="00F76652"/>
    <w:rsid w:val="00F7668C"/>
    <w:rsid w:val="00F766C3"/>
    <w:rsid w:val="00F766DF"/>
    <w:rsid w:val="00F7670F"/>
    <w:rsid w:val="00F7672A"/>
    <w:rsid w:val="00F76737"/>
    <w:rsid w:val="00F7677B"/>
    <w:rsid w:val="00F767AE"/>
    <w:rsid w:val="00F7680F"/>
    <w:rsid w:val="00F7686C"/>
    <w:rsid w:val="00F7692E"/>
    <w:rsid w:val="00F76952"/>
    <w:rsid w:val="00F76A2A"/>
    <w:rsid w:val="00F76A80"/>
    <w:rsid w:val="00F76A99"/>
    <w:rsid w:val="00F76B18"/>
    <w:rsid w:val="00F76C6E"/>
    <w:rsid w:val="00F76DA0"/>
    <w:rsid w:val="00F76EEC"/>
    <w:rsid w:val="00F76EF1"/>
    <w:rsid w:val="00F76F0B"/>
    <w:rsid w:val="00F76FBD"/>
    <w:rsid w:val="00F7704C"/>
    <w:rsid w:val="00F77096"/>
    <w:rsid w:val="00F77105"/>
    <w:rsid w:val="00F7711E"/>
    <w:rsid w:val="00F77151"/>
    <w:rsid w:val="00F7738C"/>
    <w:rsid w:val="00F773A8"/>
    <w:rsid w:val="00F773AC"/>
    <w:rsid w:val="00F773BC"/>
    <w:rsid w:val="00F773D7"/>
    <w:rsid w:val="00F77479"/>
    <w:rsid w:val="00F7750A"/>
    <w:rsid w:val="00F77519"/>
    <w:rsid w:val="00F7752B"/>
    <w:rsid w:val="00F7754E"/>
    <w:rsid w:val="00F77568"/>
    <w:rsid w:val="00F775F3"/>
    <w:rsid w:val="00F77706"/>
    <w:rsid w:val="00F777B3"/>
    <w:rsid w:val="00F77805"/>
    <w:rsid w:val="00F77820"/>
    <w:rsid w:val="00F778AC"/>
    <w:rsid w:val="00F779A9"/>
    <w:rsid w:val="00F779BC"/>
    <w:rsid w:val="00F77A2E"/>
    <w:rsid w:val="00F77B0A"/>
    <w:rsid w:val="00F77B9C"/>
    <w:rsid w:val="00F77D12"/>
    <w:rsid w:val="00F77D32"/>
    <w:rsid w:val="00F77D35"/>
    <w:rsid w:val="00F77D73"/>
    <w:rsid w:val="00F77DBD"/>
    <w:rsid w:val="00F77DC8"/>
    <w:rsid w:val="00F77E10"/>
    <w:rsid w:val="00F77E14"/>
    <w:rsid w:val="00F77EEA"/>
    <w:rsid w:val="00F77F1D"/>
    <w:rsid w:val="00F77F38"/>
    <w:rsid w:val="00F77F5B"/>
    <w:rsid w:val="00F80012"/>
    <w:rsid w:val="00F8027C"/>
    <w:rsid w:val="00F8031C"/>
    <w:rsid w:val="00F80384"/>
    <w:rsid w:val="00F8041F"/>
    <w:rsid w:val="00F80420"/>
    <w:rsid w:val="00F80425"/>
    <w:rsid w:val="00F80442"/>
    <w:rsid w:val="00F8057D"/>
    <w:rsid w:val="00F805E6"/>
    <w:rsid w:val="00F80635"/>
    <w:rsid w:val="00F8068A"/>
    <w:rsid w:val="00F8077E"/>
    <w:rsid w:val="00F80785"/>
    <w:rsid w:val="00F80841"/>
    <w:rsid w:val="00F80895"/>
    <w:rsid w:val="00F808B6"/>
    <w:rsid w:val="00F808E0"/>
    <w:rsid w:val="00F80905"/>
    <w:rsid w:val="00F80914"/>
    <w:rsid w:val="00F80A5A"/>
    <w:rsid w:val="00F80A5E"/>
    <w:rsid w:val="00F80A87"/>
    <w:rsid w:val="00F80C11"/>
    <w:rsid w:val="00F80C5D"/>
    <w:rsid w:val="00F80D73"/>
    <w:rsid w:val="00F80D79"/>
    <w:rsid w:val="00F80DB7"/>
    <w:rsid w:val="00F80DD7"/>
    <w:rsid w:val="00F80DDC"/>
    <w:rsid w:val="00F80DE2"/>
    <w:rsid w:val="00F80DEC"/>
    <w:rsid w:val="00F80E2F"/>
    <w:rsid w:val="00F80EB6"/>
    <w:rsid w:val="00F80F10"/>
    <w:rsid w:val="00F81060"/>
    <w:rsid w:val="00F810A3"/>
    <w:rsid w:val="00F810DE"/>
    <w:rsid w:val="00F81142"/>
    <w:rsid w:val="00F81161"/>
    <w:rsid w:val="00F811B0"/>
    <w:rsid w:val="00F811C6"/>
    <w:rsid w:val="00F811EB"/>
    <w:rsid w:val="00F81202"/>
    <w:rsid w:val="00F81272"/>
    <w:rsid w:val="00F812AC"/>
    <w:rsid w:val="00F812C8"/>
    <w:rsid w:val="00F8135D"/>
    <w:rsid w:val="00F81382"/>
    <w:rsid w:val="00F813E4"/>
    <w:rsid w:val="00F8141D"/>
    <w:rsid w:val="00F81424"/>
    <w:rsid w:val="00F81489"/>
    <w:rsid w:val="00F81572"/>
    <w:rsid w:val="00F815A4"/>
    <w:rsid w:val="00F8160D"/>
    <w:rsid w:val="00F81630"/>
    <w:rsid w:val="00F816B9"/>
    <w:rsid w:val="00F817EB"/>
    <w:rsid w:val="00F81863"/>
    <w:rsid w:val="00F8188A"/>
    <w:rsid w:val="00F8188E"/>
    <w:rsid w:val="00F81890"/>
    <w:rsid w:val="00F818DD"/>
    <w:rsid w:val="00F8191F"/>
    <w:rsid w:val="00F81957"/>
    <w:rsid w:val="00F81A8C"/>
    <w:rsid w:val="00F81AF7"/>
    <w:rsid w:val="00F81AF9"/>
    <w:rsid w:val="00F81B68"/>
    <w:rsid w:val="00F81B9D"/>
    <w:rsid w:val="00F81C01"/>
    <w:rsid w:val="00F81C56"/>
    <w:rsid w:val="00F81C8F"/>
    <w:rsid w:val="00F81CBE"/>
    <w:rsid w:val="00F81D2F"/>
    <w:rsid w:val="00F81D93"/>
    <w:rsid w:val="00F81E12"/>
    <w:rsid w:val="00F81E4F"/>
    <w:rsid w:val="00F81F47"/>
    <w:rsid w:val="00F81F62"/>
    <w:rsid w:val="00F81F8F"/>
    <w:rsid w:val="00F81FFD"/>
    <w:rsid w:val="00F8200D"/>
    <w:rsid w:val="00F82025"/>
    <w:rsid w:val="00F8208F"/>
    <w:rsid w:val="00F82169"/>
    <w:rsid w:val="00F82217"/>
    <w:rsid w:val="00F82313"/>
    <w:rsid w:val="00F82315"/>
    <w:rsid w:val="00F8231B"/>
    <w:rsid w:val="00F82374"/>
    <w:rsid w:val="00F82392"/>
    <w:rsid w:val="00F823BB"/>
    <w:rsid w:val="00F823E3"/>
    <w:rsid w:val="00F82436"/>
    <w:rsid w:val="00F824BE"/>
    <w:rsid w:val="00F824F4"/>
    <w:rsid w:val="00F8258A"/>
    <w:rsid w:val="00F825E8"/>
    <w:rsid w:val="00F8268B"/>
    <w:rsid w:val="00F826B2"/>
    <w:rsid w:val="00F826E3"/>
    <w:rsid w:val="00F826F8"/>
    <w:rsid w:val="00F82707"/>
    <w:rsid w:val="00F82751"/>
    <w:rsid w:val="00F82795"/>
    <w:rsid w:val="00F82862"/>
    <w:rsid w:val="00F8287F"/>
    <w:rsid w:val="00F8295C"/>
    <w:rsid w:val="00F82A12"/>
    <w:rsid w:val="00F82A3E"/>
    <w:rsid w:val="00F82A6A"/>
    <w:rsid w:val="00F82ACB"/>
    <w:rsid w:val="00F82AD4"/>
    <w:rsid w:val="00F82AF6"/>
    <w:rsid w:val="00F82D4D"/>
    <w:rsid w:val="00F82DCB"/>
    <w:rsid w:val="00F82DFB"/>
    <w:rsid w:val="00F82E03"/>
    <w:rsid w:val="00F82E1C"/>
    <w:rsid w:val="00F82EA3"/>
    <w:rsid w:val="00F82ECE"/>
    <w:rsid w:val="00F82F3C"/>
    <w:rsid w:val="00F82F42"/>
    <w:rsid w:val="00F82F92"/>
    <w:rsid w:val="00F82FE5"/>
    <w:rsid w:val="00F83069"/>
    <w:rsid w:val="00F83083"/>
    <w:rsid w:val="00F8310D"/>
    <w:rsid w:val="00F83120"/>
    <w:rsid w:val="00F831CB"/>
    <w:rsid w:val="00F831FE"/>
    <w:rsid w:val="00F83218"/>
    <w:rsid w:val="00F8321A"/>
    <w:rsid w:val="00F83233"/>
    <w:rsid w:val="00F83277"/>
    <w:rsid w:val="00F832D2"/>
    <w:rsid w:val="00F832E3"/>
    <w:rsid w:val="00F83307"/>
    <w:rsid w:val="00F8347F"/>
    <w:rsid w:val="00F834CD"/>
    <w:rsid w:val="00F83596"/>
    <w:rsid w:val="00F83645"/>
    <w:rsid w:val="00F836C0"/>
    <w:rsid w:val="00F836C8"/>
    <w:rsid w:val="00F837EB"/>
    <w:rsid w:val="00F83821"/>
    <w:rsid w:val="00F83928"/>
    <w:rsid w:val="00F83940"/>
    <w:rsid w:val="00F8394B"/>
    <w:rsid w:val="00F8397B"/>
    <w:rsid w:val="00F839D0"/>
    <w:rsid w:val="00F83A95"/>
    <w:rsid w:val="00F83ADE"/>
    <w:rsid w:val="00F83AED"/>
    <w:rsid w:val="00F83BD5"/>
    <w:rsid w:val="00F83BDD"/>
    <w:rsid w:val="00F83BF9"/>
    <w:rsid w:val="00F83C0F"/>
    <w:rsid w:val="00F83C67"/>
    <w:rsid w:val="00F83D12"/>
    <w:rsid w:val="00F83D14"/>
    <w:rsid w:val="00F83D23"/>
    <w:rsid w:val="00F83D2C"/>
    <w:rsid w:val="00F83D6D"/>
    <w:rsid w:val="00F83D76"/>
    <w:rsid w:val="00F83E57"/>
    <w:rsid w:val="00F83F38"/>
    <w:rsid w:val="00F84111"/>
    <w:rsid w:val="00F84231"/>
    <w:rsid w:val="00F8427B"/>
    <w:rsid w:val="00F8428A"/>
    <w:rsid w:val="00F842FB"/>
    <w:rsid w:val="00F84331"/>
    <w:rsid w:val="00F84364"/>
    <w:rsid w:val="00F8449C"/>
    <w:rsid w:val="00F84549"/>
    <w:rsid w:val="00F845E1"/>
    <w:rsid w:val="00F84628"/>
    <w:rsid w:val="00F8462D"/>
    <w:rsid w:val="00F8465C"/>
    <w:rsid w:val="00F84701"/>
    <w:rsid w:val="00F8477F"/>
    <w:rsid w:val="00F84811"/>
    <w:rsid w:val="00F84826"/>
    <w:rsid w:val="00F848F3"/>
    <w:rsid w:val="00F84924"/>
    <w:rsid w:val="00F84961"/>
    <w:rsid w:val="00F849DD"/>
    <w:rsid w:val="00F84A45"/>
    <w:rsid w:val="00F84AAA"/>
    <w:rsid w:val="00F84AF8"/>
    <w:rsid w:val="00F84B56"/>
    <w:rsid w:val="00F84B60"/>
    <w:rsid w:val="00F84B7E"/>
    <w:rsid w:val="00F84B93"/>
    <w:rsid w:val="00F84BA0"/>
    <w:rsid w:val="00F84C30"/>
    <w:rsid w:val="00F84D55"/>
    <w:rsid w:val="00F84E72"/>
    <w:rsid w:val="00F84EC5"/>
    <w:rsid w:val="00F84EE2"/>
    <w:rsid w:val="00F84F1D"/>
    <w:rsid w:val="00F84F92"/>
    <w:rsid w:val="00F84FD3"/>
    <w:rsid w:val="00F8505F"/>
    <w:rsid w:val="00F850C3"/>
    <w:rsid w:val="00F85136"/>
    <w:rsid w:val="00F851BF"/>
    <w:rsid w:val="00F851CC"/>
    <w:rsid w:val="00F851D4"/>
    <w:rsid w:val="00F851FE"/>
    <w:rsid w:val="00F8522C"/>
    <w:rsid w:val="00F85280"/>
    <w:rsid w:val="00F85386"/>
    <w:rsid w:val="00F853DD"/>
    <w:rsid w:val="00F85464"/>
    <w:rsid w:val="00F854D9"/>
    <w:rsid w:val="00F8557E"/>
    <w:rsid w:val="00F855C4"/>
    <w:rsid w:val="00F855E4"/>
    <w:rsid w:val="00F855EB"/>
    <w:rsid w:val="00F8563B"/>
    <w:rsid w:val="00F8570D"/>
    <w:rsid w:val="00F85729"/>
    <w:rsid w:val="00F857F0"/>
    <w:rsid w:val="00F85810"/>
    <w:rsid w:val="00F8581B"/>
    <w:rsid w:val="00F8582F"/>
    <w:rsid w:val="00F858F9"/>
    <w:rsid w:val="00F859CC"/>
    <w:rsid w:val="00F85A80"/>
    <w:rsid w:val="00F85B1D"/>
    <w:rsid w:val="00F85B22"/>
    <w:rsid w:val="00F85B24"/>
    <w:rsid w:val="00F85B28"/>
    <w:rsid w:val="00F85B7C"/>
    <w:rsid w:val="00F85C44"/>
    <w:rsid w:val="00F85CDC"/>
    <w:rsid w:val="00F85DCB"/>
    <w:rsid w:val="00F85EA6"/>
    <w:rsid w:val="00F85F37"/>
    <w:rsid w:val="00F86115"/>
    <w:rsid w:val="00F861E5"/>
    <w:rsid w:val="00F86273"/>
    <w:rsid w:val="00F86295"/>
    <w:rsid w:val="00F86298"/>
    <w:rsid w:val="00F8629B"/>
    <w:rsid w:val="00F862AB"/>
    <w:rsid w:val="00F8631F"/>
    <w:rsid w:val="00F86376"/>
    <w:rsid w:val="00F863EA"/>
    <w:rsid w:val="00F86432"/>
    <w:rsid w:val="00F86462"/>
    <w:rsid w:val="00F8653D"/>
    <w:rsid w:val="00F86548"/>
    <w:rsid w:val="00F8656A"/>
    <w:rsid w:val="00F86723"/>
    <w:rsid w:val="00F8675F"/>
    <w:rsid w:val="00F867EE"/>
    <w:rsid w:val="00F8688E"/>
    <w:rsid w:val="00F8693B"/>
    <w:rsid w:val="00F869A1"/>
    <w:rsid w:val="00F86A05"/>
    <w:rsid w:val="00F86A7A"/>
    <w:rsid w:val="00F86AD1"/>
    <w:rsid w:val="00F86B03"/>
    <w:rsid w:val="00F86B0A"/>
    <w:rsid w:val="00F86B32"/>
    <w:rsid w:val="00F86B4B"/>
    <w:rsid w:val="00F86B8E"/>
    <w:rsid w:val="00F86BD3"/>
    <w:rsid w:val="00F86CE1"/>
    <w:rsid w:val="00F86D76"/>
    <w:rsid w:val="00F86D81"/>
    <w:rsid w:val="00F86D89"/>
    <w:rsid w:val="00F86DF6"/>
    <w:rsid w:val="00F86E14"/>
    <w:rsid w:val="00F86E4D"/>
    <w:rsid w:val="00F86E88"/>
    <w:rsid w:val="00F86F18"/>
    <w:rsid w:val="00F86F3A"/>
    <w:rsid w:val="00F86F4D"/>
    <w:rsid w:val="00F86F9F"/>
    <w:rsid w:val="00F86FB3"/>
    <w:rsid w:val="00F86FF4"/>
    <w:rsid w:val="00F87011"/>
    <w:rsid w:val="00F870BC"/>
    <w:rsid w:val="00F870FF"/>
    <w:rsid w:val="00F87131"/>
    <w:rsid w:val="00F871F9"/>
    <w:rsid w:val="00F87281"/>
    <w:rsid w:val="00F872D3"/>
    <w:rsid w:val="00F873BE"/>
    <w:rsid w:val="00F87431"/>
    <w:rsid w:val="00F8745E"/>
    <w:rsid w:val="00F87472"/>
    <w:rsid w:val="00F874B2"/>
    <w:rsid w:val="00F874CD"/>
    <w:rsid w:val="00F87590"/>
    <w:rsid w:val="00F875A9"/>
    <w:rsid w:val="00F87605"/>
    <w:rsid w:val="00F87624"/>
    <w:rsid w:val="00F87672"/>
    <w:rsid w:val="00F876AD"/>
    <w:rsid w:val="00F87748"/>
    <w:rsid w:val="00F877C5"/>
    <w:rsid w:val="00F878A5"/>
    <w:rsid w:val="00F87972"/>
    <w:rsid w:val="00F879E7"/>
    <w:rsid w:val="00F879FE"/>
    <w:rsid w:val="00F87A84"/>
    <w:rsid w:val="00F87A98"/>
    <w:rsid w:val="00F87BB8"/>
    <w:rsid w:val="00F87BF4"/>
    <w:rsid w:val="00F87C33"/>
    <w:rsid w:val="00F87C75"/>
    <w:rsid w:val="00F87CA4"/>
    <w:rsid w:val="00F87CD4"/>
    <w:rsid w:val="00F87D20"/>
    <w:rsid w:val="00F87D21"/>
    <w:rsid w:val="00F87D54"/>
    <w:rsid w:val="00F87D5B"/>
    <w:rsid w:val="00F87D62"/>
    <w:rsid w:val="00F87DAD"/>
    <w:rsid w:val="00F87DD3"/>
    <w:rsid w:val="00F87DE2"/>
    <w:rsid w:val="00F87DE3"/>
    <w:rsid w:val="00F87DE6"/>
    <w:rsid w:val="00F87EDA"/>
    <w:rsid w:val="00F87F64"/>
    <w:rsid w:val="00F87F69"/>
    <w:rsid w:val="00F87F83"/>
    <w:rsid w:val="00F87FA4"/>
    <w:rsid w:val="00F87FB7"/>
    <w:rsid w:val="00F87FBD"/>
    <w:rsid w:val="00F90031"/>
    <w:rsid w:val="00F90051"/>
    <w:rsid w:val="00F90127"/>
    <w:rsid w:val="00F9015F"/>
    <w:rsid w:val="00F901A9"/>
    <w:rsid w:val="00F90205"/>
    <w:rsid w:val="00F90351"/>
    <w:rsid w:val="00F9037B"/>
    <w:rsid w:val="00F9039B"/>
    <w:rsid w:val="00F903F8"/>
    <w:rsid w:val="00F9040D"/>
    <w:rsid w:val="00F904A8"/>
    <w:rsid w:val="00F904B0"/>
    <w:rsid w:val="00F904D1"/>
    <w:rsid w:val="00F9054E"/>
    <w:rsid w:val="00F905A0"/>
    <w:rsid w:val="00F905D5"/>
    <w:rsid w:val="00F90753"/>
    <w:rsid w:val="00F9075C"/>
    <w:rsid w:val="00F90790"/>
    <w:rsid w:val="00F907B8"/>
    <w:rsid w:val="00F907E9"/>
    <w:rsid w:val="00F907F9"/>
    <w:rsid w:val="00F907FD"/>
    <w:rsid w:val="00F90834"/>
    <w:rsid w:val="00F90853"/>
    <w:rsid w:val="00F90884"/>
    <w:rsid w:val="00F908E7"/>
    <w:rsid w:val="00F90912"/>
    <w:rsid w:val="00F9094D"/>
    <w:rsid w:val="00F909C1"/>
    <w:rsid w:val="00F909E3"/>
    <w:rsid w:val="00F90A00"/>
    <w:rsid w:val="00F90A2C"/>
    <w:rsid w:val="00F90A7D"/>
    <w:rsid w:val="00F90AB5"/>
    <w:rsid w:val="00F90AFA"/>
    <w:rsid w:val="00F90B0D"/>
    <w:rsid w:val="00F90B20"/>
    <w:rsid w:val="00F90C6E"/>
    <w:rsid w:val="00F90D54"/>
    <w:rsid w:val="00F90D7C"/>
    <w:rsid w:val="00F90DBD"/>
    <w:rsid w:val="00F90E92"/>
    <w:rsid w:val="00F91094"/>
    <w:rsid w:val="00F910FB"/>
    <w:rsid w:val="00F91125"/>
    <w:rsid w:val="00F91171"/>
    <w:rsid w:val="00F911A4"/>
    <w:rsid w:val="00F91295"/>
    <w:rsid w:val="00F912CD"/>
    <w:rsid w:val="00F912E6"/>
    <w:rsid w:val="00F91335"/>
    <w:rsid w:val="00F91349"/>
    <w:rsid w:val="00F9134D"/>
    <w:rsid w:val="00F913A7"/>
    <w:rsid w:val="00F91584"/>
    <w:rsid w:val="00F915B4"/>
    <w:rsid w:val="00F915C5"/>
    <w:rsid w:val="00F916FF"/>
    <w:rsid w:val="00F91742"/>
    <w:rsid w:val="00F91747"/>
    <w:rsid w:val="00F9174C"/>
    <w:rsid w:val="00F91763"/>
    <w:rsid w:val="00F9180A"/>
    <w:rsid w:val="00F91918"/>
    <w:rsid w:val="00F919FB"/>
    <w:rsid w:val="00F91ADB"/>
    <w:rsid w:val="00F91AFE"/>
    <w:rsid w:val="00F91B2A"/>
    <w:rsid w:val="00F91B3B"/>
    <w:rsid w:val="00F91BC3"/>
    <w:rsid w:val="00F91CBD"/>
    <w:rsid w:val="00F91CE3"/>
    <w:rsid w:val="00F91D92"/>
    <w:rsid w:val="00F91DBE"/>
    <w:rsid w:val="00F91E07"/>
    <w:rsid w:val="00F91E3D"/>
    <w:rsid w:val="00F91E68"/>
    <w:rsid w:val="00F91F5B"/>
    <w:rsid w:val="00F91FC3"/>
    <w:rsid w:val="00F91FE5"/>
    <w:rsid w:val="00F91FF1"/>
    <w:rsid w:val="00F92013"/>
    <w:rsid w:val="00F9204E"/>
    <w:rsid w:val="00F92052"/>
    <w:rsid w:val="00F9207A"/>
    <w:rsid w:val="00F920ED"/>
    <w:rsid w:val="00F92173"/>
    <w:rsid w:val="00F92188"/>
    <w:rsid w:val="00F92221"/>
    <w:rsid w:val="00F9225E"/>
    <w:rsid w:val="00F9226D"/>
    <w:rsid w:val="00F9236C"/>
    <w:rsid w:val="00F9236E"/>
    <w:rsid w:val="00F9246F"/>
    <w:rsid w:val="00F92477"/>
    <w:rsid w:val="00F92589"/>
    <w:rsid w:val="00F92629"/>
    <w:rsid w:val="00F92647"/>
    <w:rsid w:val="00F926F9"/>
    <w:rsid w:val="00F9270C"/>
    <w:rsid w:val="00F9274A"/>
    <w:rsid w:val="00F92760"/>
    <w:rsid w:val="00F927F4"/>
    <w:rsid w:val="00F92866"/>
    <w:rsid w:val="00F92895"/>
    <w:rsid w:val="00F928AD"/>
    <w:rsid w:val="00F92910"/>
    <w:rsid w:val="00F92959"/>
    <w:rsid w:val="00F92977"/>
    <w:rsid w:val="00F92993"/>
    <w:rsid w:val="00F929D2"/>
    <w:rsid w:val="00F929E2"/>
    <w:rsid w:val="00F92A05"/>
    <w:rsid w:val="00F92A52"/>
    <w:rsid w:val="00F92AF2"/>
    <w:rsid w:val="00F92B14"/>
    <w:rsid w:val="00F92B6A"/>
    <w:rsid w:val="00F92B84"/>
    <w:rsid w:val="00F92B8D"/>
    <w:rsid w:val="00F92BFB"/>
    <w:rsid w:val="00F92C67"/>
    <w:rsid w:val="00F92CD0"/>
    <w:rsid w:val="00F92CF7"/>
    <w:rsid w:val="00F92D08"/>
    <w:rsid w:val="00F92D90"/>
    <w:rsid w:val="00F92E21"/>
    <w:rsid w:val="00F92EAE"/>
    <w:rsid w:val="00F92FBF"/>
    <w:rsid w:val="00F92FF3"/>
    <w:rsid w:val="00F93110"/>
    <w:rsid w:val="00F93149"/>
    <w:rsid w:val="00F9314B"/>
    <w:rsid w:val="00F931A8"/>
    <w:rsid w:val="00F93321"/>
    <w:rsid w:val="00F933DD"/>
    <w:rsid w:val="00F93421"/>
    <w:rsid w:val="00F93458"/>
    <w:rsid w:val="00F934E4"/>
    <w:rsid w:val="00F934EF"/>
    <w:rsid w:val="00F935AB"/>
    <w:rsid w:val="00F935F5"/>
    <w:rsid w:val="00F93620"/>
    <w:rsid w:val="00F9365A"/>
    <w:rsid w:val="00F936AF"/>
    <w:rsid w:val="00F93718"/>
    <w:rsid w:val="00F937BA"/>
    <w:rsid w:val="00F93939"/>
    <w:rsid w:val="00F93987"/>
    <w:rsid w:val="00F93A99"/>
    <w:rsid w:val="00F93AB5"/>
    <w:rsid w:val="00F93ADB"/>
    <w:rsid w:val="00F93AE4"/>
    <w:rsid w:val="00F93AF5"/>
    <w:rsid w:val="00F93B1C"/>
    <w:rsid w:val="00F93B60"/>
    <w:rsid w:val="00F93CCA"/>
    <w:rsid w:val="00F93CDF"/>
    <w:rsid w:val="00F93D3A"/>
    <w:rsid w:val="00F93DDB"/>
    <w:rsid w:val="00F93E02"/>
    <w:rsid w:val="00F93E35"/>
    <w:rsid w:val="00F93EB7"/>
    <w:rsid w:val="00F93ECA"/>
    <w:rsid w:val="00F93ED8"/>
    <w:rsid w:val="00F93F63"/>
    <w:rsid w:val="00F9400B"/>
    <w:rsid w:val="00F94054"/>
    <w:rsid w:val="00F940D7"/>
    <w:rsid w:val="00F940E0"/>
    <w:rsid w:val="00F9422A"/>
    <w:rsid w:val="00F9423C"/>
    <w:rsid w:val="00F942C6"/>
    <w:rsid w:val="00F9430D"/>
    <w:rsid w:val="00F9434A"/>
    <w:rsid w:val="00F943A5"/>
    <w:rsid w:val="00F943F5"/>
    <w:rsid w:val="00F944F2"/>
    <w:rsid w:val="00F9457A"/>
    <w:rsid w:val="00F94580"/>
    <w:rsid w:val="00F945B8"/>
    <w:rsid w:val="00F9460D"/>
    <w:rsid w:val="00F9469B"/>
    <w:rsid w:val="00F94717"/>
    <w:rsid w:val="00F94758"/>
    <w:rsid w:val="00F9477F"/>
    <w:rsid w:val="00F947F7"/>
    <w:rsid w:val="00F9480D"/>
    <w:rsid w:val="00F94932"/>
    <w:rsid w:val="00F949B0"/>
    <w:rsid w:val="00F949D7"/>
    <w:rsid w:val="00F94AD8"/>
    <w:rsid w:val="00F94B14"/>
    <w:rsid w:val="00F94C23"/>
    <w:rsid w:val="00F94C3B"/>
    <w:rsid w:val="00F94C63"/>
    <w:rsid w:val="00F94CBA"/>
    <w:rsid w:val="00F94CC5"/>
    <w:rsid w:val="00F94D8D"/>
    <w:rsid w:val="00F94E7B"/>
    <w:rsid w:val="00F94E8A"/>
    <w:rsid w:val="00F94F07"/>
    <w:rsid w:val="00F9505E"/>
    <w:rsid w:val="00F95078"/>
    <w:rsid w:val="00F95092"/>
    <w:rsid w:val="00F950AD"/>
    <w:rsid w:val="00F9512E"/>
    <w:rsid w:val="00F95211"/>
    <w:rsid w:val="00F9524E"/>
    <w:rsid w:val="00F95355"/>
    <w:rsid w:val="00F95410"/>
    <w:rsid w:val="00F95473"/>
    <w:rsid w:val="00F954F3"/>
    <w:rsid w:val="00F9551B"/>
    <w:rsid w:val="00F9552E"/>
    <w:rsid w:val="00F955BB"/>
    <w:rsid w:val="00F955FD"/>
    <w:rsid w:val="00F95656"/>
    <w:rsid w:val="00F95696"/>
    <w:rsid w:val="00F956CC"/>
    <w:rsid w:val="00F95710"/>
    <w:rsid w:val="00F95788"/>
    <w:rsid w:val="00F957C1"/>
    <w:rsid w:val="00F9580B"/>
    <w:rsid w:val="00F95990"/>
    <w:rsid w:val="00F959B7"/>
    <w:rsid w:val="00F959E6"/>
    <w:rsid w:val="00F95B1D"/>
    <w:rsid w:val="00F95B2D"/>
    <w:rsid w:val="00F95B56"/>
    <w:rsid w:val="00F95BAE"/>
    <w:rsid w:val="00F95BB0"/>
    <w:rsid w:val="00F95BBA"/>
    <w:rsid w:val="00F95BCF"/>
    <w:rsid w:val="00F95C6A"/>
    <w:rsid w:val="00F95CE4"/>
    <w:rsid w:val="00F95D82"/>
    <w:rsid w:val="00F95D92"/>
    <w:rsid w:val="00F95EC5"/>
    <w:rsid w:val="00F95EE7"/>
    <w:rsid w:val="00F95F0E"/>
    <w:rsid w:val="00F96037"/>
    <w:rsid w:val="00F9604F"/>
    <w:rsid w:val="00F96094"/>
    <w:rsid w:val="00F960CB"/>
    <w:rsid w:val="00F96158"/>
    <w:rsid w:val="00F96247"/>
    <w:rsid w:val="00F96259"/>
    <w:rsid w:val="00F962B7"/>
    <w:rsid w:val="00F96337"/>
    <w:rsid w:val="00F96344"/>
    <w:rsid w:val="00F963ED"/>
    <w:rsid w:val="00F96482"/>
    <w:rsid w:val="00F964A8"/>
    <w:rsid w:val="00F964F2"/>
    <w:rsid w:val="00F96534"/>
    <w:rsid w:val="00F9662D"/>
    <w:rsid w:val="00F96700"/>
    <w:rsid w:val="00F96781"/>
    <w:rsid w:val="00F96846"/>
    <w:rsid w:val="00F96874"/>
    <w:rsid w:val="00F968B3"/>
    <w:rsid w:val="00F968C5"/>
    <w:rsid w:val="00F96971"/>
    <w:rsid w:val="00F969AE"/>
    <w:rsid w:val="00F96B3A"/>
    <w:rsid w:val="00F96B4D"/>
    <w:rsid w:val="00F96BA4"/>
    <w:rsid w:val="00F96C1D"/>
    <w:rsid w:val="00F96C4D"/>
    <w:rsid w:val="00F96C5C"/>
    <w:rsid w:val="00F96CEB"/>
    <w:rsid w:val="00F96CFF"/>
    <w:rsid w:val="00F96D15"/>
    <w:rsid w:val="00F96D5A"/>
    <w:rsid w:val="00F96DD6"/>
    <w:rsid w:val="00F96E56"/>
    <w:rsid w:val="00F96E63"/>
    <w:rsid w:val="00F96F11"/>
    <w:rsid w:val="00F970FA"/>
    <w:rsid w:val="00F97175"/>
    <w:rsid w:val="00F971E3"/>
    <w:rsid w:val="00F97219"/>
    <w:rsid w:val="00F97228"/>
    <w:rsid w:val="00F9723C"/>
    <w:rsid w:val="00F97257"/>
    <w:rsid w:val="00F972CA"/>
    <w:rsid w:val="00F972E8"/>
    <w:rsid w:val="00F97328"/>
    <w:rsid w:val="00F9738D"/>
    <w:rsid w:val="00F9742B"/>
    <w:rsid w:val="00F974A6"/>
    <w:rsid w:val="00F975AB"/>
    <w:rsid w:val="00F97635"/>
    <w:rsid w:val="00F97689"/>
    <w:rsid w:val="00F976DB"/>
    <w:rsid w:val="00F976E6"/>
    <w:rsid w:val="00F97750"/>
    <w:rsid w:val="00F97782"/>
    <w:rsid w:val="00F97799"/>
    <w:rsid w:val="00F97814"/>
    <w:rsid w:val="00F97860"/>
    <w:rsid w:val="00F979A9"/>
    <w:rsid w:val="00F97A2A"/>
    <w:rsid w:val="00F97A69"/>
    <w:rsid w:val="00F97A72"/>
    <w:rsid w:val="00F97A77"/>
    <w:rsid w:val="00F97AB5"/>
    <w:rsid w:val="00F97B0D"/>
    <w:rsid w:val="00F97BA8"/>
    <w:rsid w:val="00F97BB9"/>
    <w:rsid w:val="00F97BE5"/>
    <w:rsid w:val="00F97C54"/>
    <w:rsid w:val="00F97DBB"/>
    <w:rsid w:val="00F97DD2"/>
    <w:rsid w:val="00F97E02"/>
    <w:rsid w:val="00F97E9D"/>
    <w:rsid w:val="00F97EAE"/>
    <w:rsid w:val="00F97EE1"/>
    <w:rsid w:val="00F97F09"/>
    <w:rsid w:val="00F97F19"/>
    <w:rsid w:val="00F97F29"/>
    <w:rsid w:val="00F97F59"/>
    <w:rsid w:val="00FA014A"/>
    <w:rsid w:val="00FA01E7"/>
    <w:rsid w:val="00FA0212"/>
    <w:rsid w:val="00FA024D"/>
    <w:rsid w:val="00FA0261"/>
    <w:rsid w:val="00FA031D"/>
    <w:rsid w:val="00FA0345"/>
    <w:rsid w:val="00FA035A"/>
    <w:rsid w:val="00FA037A"/>
    <w:rsid w:val="00FA0381"/>
    <w:rsid w:val="00FA038A"/>
    <w:rsid w:val="00FA03BE"/>
    <w:rsid w:val="00FA03C1"/>
    <w:rsid w:val="00FA0401"/>
    <w:rsid w:val="00FA0415"/>
    <w:rsid w:val="00FA041A"/>
    <w:rsid w:val="00FA044C"/>
    <w:rsid w:val="00FA0453"/>
    <w:rsid w:val="00FA057F"/>
    <w:rsid w:val="00FA0581"/>
    <w:rsid w:val="00FA05A0"/>
    <w:rsid w:val="00FA0614"/>
    <w:rsid w:val="00FA0643"/>
    <w:rsid w:val="00FA0658"/>
    <w:rsid w:val="00FA0665"/>
    <w:rsid w:val="00FA0687"/>
    <w:rsid w:val="00FA06C1"/>
    <w:rsid w:val="00FA06CE"/>
    <w:rsid w:val="00FA0789"/>
    <w:rsid w:val="00FA0A02"/>
    <w:rsid w:val="00FA0A05"/>
    <w:rsid w:val="00FA0AD9"/>
    <w:rsid w:val="00FA0B00"/>
    <w:rsid w:val="00FA0C84"/>
    <w:rsid w:val="00FA0CC0"/>
    <w:rsid w:val="00FA0CC5"/>
    <w:rsid w:val="00FA0D53"/>
    <w:rsid w:val="00FA0D56"/>
    <w:rsid w:val="00FA0D6B"/>
    <w:rsid w:val="00FA0D98"/>
    <w:rsid w:val="00FA0DAC"/>
    <w:rsid w:val="00FA0E33"/>
    <w:rsid w:val="00FA0E83"/>
    <w:rsid w:val="00FA0EB3"/>
    <w:rsid w:val="00FA0F03"/>
    <w:rsid w:val="00FA0F9E"/>
    <w:rsid w:val="00FA0FB2"/>
    <w:rsid w:val="00FA0FDD"/>
    <w:rsid w:val="00FA104E"/>
    <w:rsid w:val="00FA10C8"/>
    <w:rsid w:val="00FA1108"/>
    <w:rsid w:val="00FA1130"/>
    <w:rsid w:val="00FA1164"/>
    <w:rsid w:val="00FA1209"/>
    <w:rsid w:val="00FA1264"/>
    <w:rsid w:val="00FA12F4"/>
    <w:rsid w:val="00FA135A"/>
    <w:rsid w:val="00FA144A"/>
    <w:rsid w:val="00FA14BB"/>
    <w:rsid w:val="00FA150C"/>
    <w:rsid w:val="00FA154A"/>
    <w:rsid w:val="00FA15BA"/>
    <w:rsid w:val="00FA160D"/>
    <w:rsid w:val="00FA166E"/>
    <w:rsid w:val="00FA1693"/>
    <w:rsid w:val="00FA171C"/>
    <w:rsid w:val="00FA171E"/>
    <w:rsid w:val="00FA174C"/>
    <w:rsid w:val="00FA1779"/>
    <w:rsid w:val="00FA183C"/>
    <w:rsid w:val="00FA188C"/>
    <w:rsid w:val="00FA18C0"/>
    <w:rsid w:val="00FA1918"/>
    <w:rsid w:val="00FA1A57"/>
    <w:rsid w:val="00FA1AA4"/>
    <w:rsid w:val="00FA1AA5"/>
    <w:rsid w:val="00FA1AB2"/>
    <w:rsid w:val="00FA1AC1"/>
    <w:rsid w:val="00FA1AE4"/>
    <w:rsid w:val="00FA1B4E"/>
    <w:rsid w:val="00FA1BB1"/>
    <w:rsid w:val="00FA1BC3"/>
    <w:rsid w:val="00FA1BDB"/>
    <w:rsid w:val="00FA1C16"/>
    <w:rsid w:val="00FA1CA9"/>
    <w:rsid w:val="00FA1CB2"/>
    <w:rsid w:val="00FA1CBF"/>
    <w:rsid w:val="00FA1CC8"/>
    <w:rsid w:val="00FA1CE1"/>
    <w:rsid w:val="00FA1D02"/>
    <w:rsid w:val="00FA1D0A"/>
    <w:rsid w:val="00FA1D26"/>
    <w:rsid w:val="00FA1E1F"/>
    <w:rsid w:val="00FA1E35"/>
    <w:rsid w:val="00FA1E42"/>
    <w:rsid w:val="00FA1E6D"/>
    <w:rsid w:val="00FA1ED8"/>
    <w:rsid w:val="00FA1F1F"/>
    <w:rsid w:val="00FA1F40"/>
    <w:rsid w:val="00FA1FC1"/>
    <w:rsid w:val="00FA1FEE"/>
    <w:rsid w:val="00FA1FFD"/>
    <w:rsid w:val="00FA2016"/>
    <w:rsid w:val="00FA202C"/>
    <w:rsid w:val="00FA20C3"/>
    <w:rsid w:val="00FA2200"/>
    <w:rsid w:val="00FA221B"/>
    <w:rsid w:val="00FA2373"/>
    <w:rsid w:val="00FA2385"/>
    <w:rsid w:val="00FA23E2"/>
    <w:rsid w:val="00FA23FD"/>
    <w:rsid w:val="00FA243A"/>
    <w:rsid w:val="00FA247B"/>
    <w:rsid w:val="00FA24B6"/>
    <w:rsid w:val="00FA259A"/>
    <w:rsid w:val="00FA2660"/>
    <w:rsid w:val="00FA272C"/>
    <w:rsid w:val="00FA2758"/>
    <w:rsid w:val="00FA27CA"/>
    <w:rsid w:val="00FA27D7"/>
    <w:rsid w:val="00FA283D"/>
    <w:rsid w:val="00FA289C"/>
    <w:rsid w:val="00FA28C8"/>
    <w:rsid w:val="00FA28D7"/>
    <w:rsid w:val="00FA2956"/>
    <w:rsid w:val="00FA29DA"/>
    <w:rsid w:val="00FA2A12"/>
    <w:rsid w:val="00FA2A89"/>
    <w:rsid w:val="00FA2AF0"/>
    <w:rsid w:val="00FA2B1A"/>
    <w:rsid w:val="00FA2B32"/>
    <w:rsid w:val="00FA2B46"/>
    <w:rsid w:val="00FA2BF9"/>
    <w:rsid w:val="00FA2D7C"/>
    <w:rsid w:val="00FA2DB4"/>
    <w:rsid w:val="00FA2DE0"/>
    <w:rsid w:val="00FA2E0B"/>
    <w:rsid w:val="00FA2E15"/>
    <w:rsid w:val="00FA2EAE"/>
    <w:rsid w:val="00FA2F1B"/>
    <w:rsid w:val="00FA2F7B"/>
    <w:rsid w:val="00FA3064"/>
    <w:rsid w:val="00FA30AE"/>
    <w:rsid w:val="00FA30B9"/>
    <w:rsid w:val="00FA3137"/>
    <w:rsid w:val="00FA313C"/>
    <w:rsid w:val="00FA314E"/>
    <w:rsid w:val="00FA319A"/>
    <w:rsid w:val="00FA31D1"/>
    <w:rsid w:val="00FA3259"/>
    <w:rsid w:val="00FA325F"/>
    <w:rsid w:val="00FA3262"/>
    <w:rsid w:val="00FA335A"/>
    <w:rsid w:val="00FA336D"/>
    <w:rsid w:val="00FA3381"/>
    <w:rsid w:val="00FA34C0"/>
    <w:rsid w:val="00FA34C7"/>
    <w:rsid w:val="00FA34D7"/>
    <w:rsid w:val="00FA3569"/>
    <w:rsid w:val="00FA3592"/>
    <w:rsid w:val="00FA359A"/>
    <w:rsid w:val="00FA362F"/>
    <w:rsid w:val="00FA3679"/>
    <w:rsid w:val="00FA3724"/>
    <w:rsid w:val="00FA374E"/>
    <w:rsid w:val="00FA377D"/>
    <w:rsid w:val="00FA379F"/>
    <w:rsid w:val="00FA381D"/>
    <w:rsid w:val="00FA386D"/>
    <w:rsid w:val="00FA38E4"/>
    <w:rsid w:val="00FA38EA"/>
    <w:rsid w:val="00FA3905"/>
    <w:rsid w:val="00FA3938"/>
    <w:rsid w:val="00FA39D9"/>
    <w:rsid w:val="00FA39FD"/>
    <w:rsid w:val="00FA3A8B"/>
    <w:rsid w:val="00FA3B69"/>
    <w:rsid w:val="00FA3BB9"/>
    <w:rsid w:val="00FA3BC2"/>
    <w:rsid w:val="00FA3CA4"/>
    <w:rsid w:val="00FA3D60"/>
    <w:rsid w:val="00FA3D76"/>
    <w:rsid w:val="00FA3D8D"/>
    <w:rsid w:val="00FA3DC5"/>
    <w:rsid w:val="00FA3DD2"/>
    <w:rsid w:val="00FA3E4F"/>
    <w:rsid w:val="00FA3E8B"/>
    <w:rsid w:val="00FA3EC1"/>
    <w:rsid w:val="00FA3F7B"/>
    <w:rsid w:val="00FA3F8B"/>
    <w:rsid w:val="00FA3FAF"/>
    <w:rsid w:val="00FA3FE4"/>
    <w:rsid w:val="00FA3FF0"/>
    <w:rsid w:val="00FA4000"/>
    <w:rsid w:val="00FA4078"/>
    <w:rsid w:val="00FA409D"/>
    <w:rsid w:val="00FA40AC"/>
    <w:rsid w:val="00FA40FA"/>
    <w:rsid w:val="00FA41A8"/>
    <w:rsid w:val="00FA4212"/>
    <w:rsid w:val="00FA4231"/>
    <w:rsid w:val="00FA424C"/>
    <w:rsid w:val="00FA424F"/>
    <w:rsid w:val="00FA43A6"/>
    <w:rsid w:val="00FA4415"/>
    <w:rsid w:val="00FA445E"/>
    <w:rsid w:val="00FA446B"/>
    <w:rsid w:val="00FA455B"/>
    <w:rsid w:val="00FA4573"/>
    <w:rsid w:val="00FA4690"/>
    <w:rsid w:val="00FA4699"/>
    <w:rsid w:val="00FA46BC"/>
    <w:rsid w:val="00FA47A1"/>
    <w:rsid w:val="00FA47A8"/>
    <w:rsid w:val="00FA47BD"/>
    <w:rsid w:val="00FA47DB"/>
    <w:rsid w:val="00FA4883"/>
    <w:rsid w:val="00FA48B3"/>
    <w:rsid w:val="00FA48D6"/>
    <w:rsid w:val="00FA4957"/>
    <w:rsid w:val="00FA49A6"/>
    <w:rsid w:val="00FA49AA"/>
    <w:rsid w:val="00FA4ABA"/>
    <w:rsid w:val="00FA4BF4"/>
    <w:rsid w:val="00FA4D14"/>
    <w:rsid w:val="00FA4D19"/>
    <w:rsid w:val="00FA4DC7"/>
    <w:rsid w:val="00FA4DF7"/>
    <w:rsid w:val="00FA4E7E"/>
    <w:rsid w:val="00FA4ECF"/>
    <w:rsid w:val="00FA4EE6"/>
    <w:rsid w:val="00FA4F87"/>
    <w:rsid w:val="00FA4FC1"/>
    <w:rsid w:val="00FA5078"/>
    <w:rsid w:val="00FA50EB"/>
    <w:rsid w:val="00FA510D"/>
    <w:rsid w:val="00FA5138"/>
    <w:rsid w:val="00FA5172"/>
    <w:rsid w:val="00FA51E7"/>
    <w:rsid w:val="00FA52F4"/>
    <w:rsid w:val="00FA534E"/>
    <w:rsid w:val="00FA5357"/>
    <w:rsid w:val="00FA5369"/>
    <w:rsid w:val="00FA5380"/>
    <w:rsid w:val="00FA557B"/>
    <w:rsid w:val="00FA5600"/>
    <w:rsid w:val="00FA5614"/>
    <w:rsid w:val="00FA5691"/>
    <w:rsid w:val="00FA5702"/>
    <w:rsid w:val="00FA57F3"/>
    <w:rsid w:val="00FA5854"/>
    <w:rsid w:val="00FA587B"/>
    <w:rsid w:val="00FA588E"/>
    <w:rsid w:val="00FA58F7"/>
    <w:rsid w:val="00FA590F"/>
    <w:rsid w:val="00FA5935"/>
    <w:rsid w:val="00FA59C2"/>
    <w:rsid w:val="00FA59DA"/>
    <w:rsid w:val="00FA5A3D"/>
    <w:rsid w:val="00FA5AA5"/>
    <w:rsid w:val="00FA5AAF"/>
    <w:rsid w:val="00FA5ADF"/>
    <w:rsid w:val="00FA5BF9"/>
    <w:rsid w:val="00FA5C35"/>
    <w:rsid w:val="00FA5C4E"/>
    <w:rsid w:val="00FA5D26"/>
    <w:rsid w:val="00FA5D36"/>
    <w:rsid w:val="00FA5D5A"/>
    <w:rsid w:val="00FA5D9E"/>
    <w:rsid w:val="00FA5DDE"/>
    <w:rsid w:val="00FA5DE6"/>
    <w:rsid w:val="00FA5EDB"/>
    <w:rsid w:val="00FA5F00"/>
    <w:rsid w:val="00FA5F49"/>
    <w:rsid w:val="00FA5F71"/>
    <w:rsid w:val="00FA5F87"/>
    <w:rsid w:val="00FA60B1"/>
    <w:rsid w:val="00FA61E9"/>
    <w:rsid w:val="00FA626C"/>
    <w:rsid w:val="00FA6274"/>
    <w:rsid w:val="00FA62E3"/>
    <w:rsid w:val="00FA6385"/>
    <w:rsid w:val="00FA63B4"/>
    <w:rsid w:val="00FA645A"/>
    <w:rsid w:val="00FA64A2"/>
    <w:rsid w:val="00FA650B"/>
    <w:rsid w:val="00FA659C"/>
    <w:rsid w:val="00FA65E8"/>
    <w:rsid w:val="00FA668D"/>
    <w:rsid w:val="00FA66C6"/>
    <w:rsid w:val="00FA66E3"/>
    <w:rsid w:val="00FA66FE"/>
    <w:rsid w:val="00FA674F"/>
    <w:rsid w:val="00FA6755"/>
    <w:rsid w:val="00FA67E1"/>
    <w:rsid w:val="00FA6813"/>
    <w:rsid w:val="00FA682A"/>
    <w:rsid w:val="00FA6830"/>
    <w:rsid w:val="00FA685D"/>
    <w:rsid w:val="00FA687E"/>
    <w:rsid w:val="00FA687F"/>
    <w:rsid w:val="00FA68BF"/>
    <w:rsid w:val="00FA68DF"/>
    <w:rsid w:val="00FA6912"/>
    <w:rsid w:val="00FA6A84"/>
    <w:rsid w:val="00FA6B0C"/>
    <w:rsid w:val="00FA6B2F"/>
    <w:rsid w:val="00FA6B4A"/>
    <w:rsid w:val="00FA6C48"/>
    <w:rsid w:val="00FA6C5F"/>
    <w:rsid w:val="00FA6C84"/>
    <w:rsid w:val="00FA6CBA"/>
    <w:rsid w:val="00FA6CC3"/>
    <w:rsid w:val="00FA6CC8"/>
    <w:rsid w:val="00FA6CD9"/>
    <w:rsid w:val="00FA6CF0"/>
    <w:rsid w:val="00FA6E7A"/>
    <w:rsid w:val="00FA6E8C"/>
    <w:rsid w:val="00FA6EFC"/>
    <w:rsid w:val="00FA6F73"/>
    <w:rsid w:val="00FA6F99"/>
    <w:rsid w:val="00FA6FBE"/>
    <w:rsid w:val="00FA6FD6"/>
    <w:rsid w:val="00FA6FF7"/>
    <w:rsid w:val="00FA7067"/>
    <w:rsid w:val="00FA7080"/>
    <w:rsid w:val="00FA70AD"/>
    <w:rsid w:val="00FA70C0"/>
    <w:rsid w:val="00FA70E3"/>
    <w:rsid w:val="00FA71AC"/>
    <w:rsid w:val="00FA7262"/>
    <w:rsid w:val="00FA7268"/>
    <w:rsid w:val="00FA72C8"/>
    <w:rsid w:val="00FA72ED"/>
    <w:rsid w:val="00FA736A"/>
    <w:rsid w:val="00FA7393"/>
    <w:rsid w:val="00FA73F9"/>
    <w:rsid w:val="00FA740D"/>
    <w:rsid w:val="00FA747A"/>
    <w:rsid w:val="00FA7493"/>
    <w:rsid w:val="00FA74DE"/>
    <w:rsid w:val="00FA755E"/>
    <w:rsid w:val="00FA7581"/>
    <w:rsid w:val="00FA75B7"/>
    <w:rsid w:val="00FA760D"/>
    <w:rsid w:val="00FA76C1"/>
    <w:rsid w:val="00FA77C1"/>
    <w:rsid w:val="00FA77F0"/>
    <w:rsid w:val="00FA7817"/>
    <w:rsid w:val="00FA784C"/>
    <w:rsid w:val="00FA78AB"/>
    <w:rsid w:val="00FA78F2"/>
    <w:rsid w:val="00FA791A"/>
    <w:rsid w:val="00FA7926"/>
    <w:rsid w:val="00FA799F"/>
    <w:rsid w:val="00FA7A1D"/>
    <w:rsid w:val="00FA7A65"/>
    <w:rsid w:val="00FA7A6E"/>
    <w:rsid w:val="00FA7AAA"/>
    <w:rsid w:val="00FA7C1E"/>
    <w:rsid w:val="00FA7C3E"/>
    <w:rsid w:val="00FA7C9C"/>
    <w:rsid w:val="00FA7CC6"/>
    <w:rsid w:val="00FA7CF8"/>
    <w:rsid w:val="00FA7D3E"/>
    <w:rsid w:val="00FA7DBD"/>
    <w:rsid w:val="00FA7DFF"/>
    <w:rsid w:val="00FA7E8C"/>
    <w:rsid w:val="00FA7E9A"/>
    <w:rsid w:val="00FA7EA5"/>
    <w:rsid w:val="00FA7EE8"/>
    <w:rsid w:val="00FA7F40"/>
    <w:rsid w:val="00FB0078"/>
    <w:rsid w:val="00FB0102"/>
    <w:rsid w:val="00FB0189"/>
    <w:rsid w:val="00FB0285"/>
    <w:rsid w:val="00FB03B2"/>
    <w:rsid w:val="00FB03BB"/>
    <w:rsid w:val="00FB042F"/>
    <w:rsid w:val="00FB0448"/>
    <w:rsid w:val="00FB06D6"/>
    <w:rsid w:val="00FB071D"/>
    <w:rsid w:val="00FB07C9"/>
    <w:rsid w:val="00FB08A2"/>
    <w:rsid w:val="00FB08B0"/>
    <w:rsid w:val="00FB090F"/>
    <w:rsid w:val="00FB0940"/>
    <w:rsid w:val="00FB0954"/>
    <w:rsid w:val="00FB0A16"/>
    <w:rsid w:val="00FB0A49"/>
    <w:rsid w:val="00FB0A4E"/>
    <w:rsid w:val="00FB0AA0"/>
    <w:rsid w:val="00FB0ADB"/>
    <w:rsid w:val="00FB0B01"/>
    <w:rsid w:val="00FB0B82"/>
    <w:rsid w:val="00FB0B8D"/>
    <w:rsid w:val="00FB0C00"/>
    <w:rsid w:val="00FB0C0F"/>
    <w:rsid w:val="00FB0C65"/>
    <w:rsid w:val="00FB0C8F"/>
    <w:rsid w:val="00FB0D04"/>
    <w:rsid w:val="00FB0D73"/>
    <w:rsid w:val="00FB0E48"/>
    <w:rsid w:val="00FB0E62"/>
    <w:rsid w:val="00FB0E88"/>
    <w:rsid w:val="00FB0E97"/>
    <w:rsid w:val="00FB0EF2"/>
    <w:rsid w:val="00FB0F92"/>
    <w:rsid w:val="00FB0FD9"/>
    <w:rsid w:val="00FB0FFF"/>
    <w:rsid w:val="00FB105C"/>
    <w:rsid w:val="00FB105D"/>
    <w:rsid w:val="00FB11F3"/>
    <w:rsid w:val="00FB1232"/>
    <w:rsid w:val="00FB12C1"/>
    <w:rsid w:val="00FB1308"/>
    <w:rsid w:val="00FB1467"/>
    <w:rsid w:val="00FB152B"/>
    <w:rsid w:val="00FB164D"/>
    <w:rsid w:val="00FB1699"/>
    <w:rsid w:val="00FB1794"/>
    <w:rsid w:val="00FB187D"/>
    <w:rsid w:val="00FB189B"/>
    <w:rsid w:val="00FB18DD"/>
    <w:rsid w:val="00FB198B"/>
    <w:rsid w:val="00FB19A2"/>
    <w:rsid w:val="00FB19CC"/>
    <w:rsid w:val="00FB19D0"/>
    <w:rsid w:val="00FB19E0"/>
    <w:rsid w:val="00FB1A3B"/>
    <w:rsid w:val="00FB1A8C"/>
    <w:rsid w:val="00FB1BF6"/>
    <w:rsid w:val="00FB1C29"/>
    <w:rsid w:val="00FB1C65"/>
    <w:rsid w:val="00FB1C77"/>
    <w:rsid w:val="00FB1D34"/>
    <w:rsid w:val="00FB1D5D"/>
    <w:rsid w:val="00FB1E70"/>
    <w:rsid w:val="00FB1EDA"/>
    <w:rsid w:val="00FB20DA"/>
    <w:rsid w:val="00FB215E"/>
    <w:rsid w:val="00FB21CE"/>
    <w:rsid w:val="00FB2259"/>
    <w:rsid w:val="00FB228D"/>
    <w:rsid w:val="00FB2362"/>
    <w:rsid w:val="00FB2363"/>
    <w:rsid w:val="00FB242A"/>
    <w:rsid w:val="00FB2436"/>
    <w:rsid w:val="00FB246E"/>
    <w:rsid w:val="00FB25F9"/>
    <w:rsid w:val="00FB2662"/>
    <w:rsid w:val="00FB270F"/>
    <w:rsid w:val="00FB2900"/>
    <w:rsid w:val="00FB293F"/>
    <w:rsid w:val="00FB2971"/>
    <w:rsid w:val="00FB29CC"/>
    <w:rsid w:val="00FB2A62"/>
    <w:rsid w:val="00FB2B88"/>
    <w:rsid w:val="00FB2BB5"/>
    <w:rsid w:val="00FB2CDD"/>
    <w:rsid w:val="00FB2D08"/>
    <w:rsid w:val="00FB2E53"/>
    <w:rsid w:val="00FB2E90"/>
    <w:rsid w:val="00FB2EFD"/>
    <w:rsid w:val="00FB2F5C"/>
    <w:rsid w:val="00FB2FFC"/>
    <w:rsid w:val="00FB309E"/>
    <w:rsid w:val="00FB31D8"/>
    <w:rsid w:val="00FB321E"/>
    <w:rsid w:val="00FB3280"/>
    <w:rsid w:val="00FB328E"/>
    <w:rsid w:val="00FB32C5"/>
    <w:rsid w:val="00FB33A3"/>
    <w:rsid w:val="00FB33C7"/>
    <w:rsid w:val="00FB344D"/>
    <w:rsid w:val="00FB3478"/>
    <w:rsid w:val="00FB34C4"/>
    <w:rsid w:val="00FB34E1"/>
    <w:rsid w:val="00FB3570"/>
    <w:rsid w:val="00FB3630"/>
    <w:rsid w:val="00FB3632"/>
    <w:rsid w:val="00FB36B4"/>
    <w:rsid w:val="00FB382F"/>
    <w:rsid w:val="00FB3830"/>
    <w:rsid w:val="00FB383C"/>
    <w:rsid w:val="00FB38C4"/>
    <w:rsid w:val="00FB38E3"/>
    <w:rsid w:val="00FB390D"/>
    <w:rsid w:val="00FB390F"/>
    <w:rsid w:val="00FB3913"/>
    <w:rsid w:val="00FB3915"/>
    <w:rsid w:val="00FB3918"/>
    <w:rsid w:val="00FB3A47"/>
    <w:rsid w:val="00FB3AC4"/>
    <w:rsid w:val="00FB3AF8"/>
    <w:rsid w:val="00FB3B67"/>
    <w:rsid w:val="00FB3B98"/>
    <w:rsid w:val="00FB3DB5"/>
    <w:rsid w:val="00FB3DC4"/>
    <w:rsid w:val="00FB3DD0"/>
    <w:rsid w:val="00FB3DDE"/>
    <w:rsid w:val="00FB3DF3"/>
    <w:rsid w:val="00FB3E20"/>
    <w:rsid w:val="00FB3EA9"/>
    <w:rsid w:val="00FB4080"/>
    <w:rsid w:val="00FB40E4"/>
    <w:rsid w:val="00FB40FA"/>
    <w:rsid w:val="00FB4138"/>
    <w:rsid w:val="00FB41EB"/>
    <w:rsid w:val="00FB41FA"/>
    <w:rsid w:val="00FB427E"/>
    <w:rsid w:val="00FB4291"/>
    <w:rsid w:val="00FB42B7"/>
    <w:rsid w:val="00FB42D1"/>
    <w:rsid w:val="00FB430E"/>
    <w:rsid w:val="00FB4322"/>
    <w:rsid w:val="00FB43CE"/>
    <w:rsid w:val="00FB4433"/>
    <w:rsid w:val="00FB4443"/>
    <w:rsid w:val="00FB445E"/>
    <w:rsid w:val="00FB451D"/>
    <w:rsid w:val="00FB4652"/>
    <w:rsid w:val="00FB46CE"/>
    <w:rsid w:val="00FB477B"/>
    <w:rsid w:val="00FB4867"/>
    <w:rsid w:val="00FB48BF"/>
    <w:rsid w:val="00FB48D5"/>
    <w:rsid w:val="00FB48EA"/>
    <w:rsid w:val="00FB4954"/>
    <w:rsid w:val="00FB4969"/>
    <w:rsid w:val="00FB4976"/>
    <w:rsid w:val="00FB4983"/>
    <w:rsid w:val="00FB49D5"/>
    <w:rsid w:val="00FB4A29"/>
    <w:rsid w:val="00FB4A7F"/>
    <w:rsid w:val="00FB4A83"/>
    <w:rsid w:val="00FB4B3C"/>
    <w:rsid w:val="00FB4BFC"/>
    <w:rsid w:val="00FB4C4D"/>
    <w:rsid w:val="00FB4CDB"/>
    <w:rsid w:val="00FB4CDE"/>
    <w:rsid w:val="00FB4CF7"/>
    <w:rsid w:val="00FB4DDD"/>
    <w:rsid w:val="00FB4E7F"/>
    <w:rsid w:val="00FB4EF6"/>
    <w:rsid w:val="00FB4EFE"/>
    <w:rsid w:val="00FB4F0E"/>
    <w:rsid w:val="00FB4F2F"/>
    <w:rsid w:val="00FB4F5A"/>
    <w:rsid w:val="00FB4FC9"/>
    <w:rsid w:val="00FB503B"/>
    <w:rsid w:val="00FB50C3"/>
    <w:rsid w:val="00FB5113"/>
    <w:rsid w:val="00FB511A"/>
    <w:rsid w:val="00FB5130"/>
    <w:rsid w:val="00FB5165"/>
    <w:rsid w:val="00FB51CE"/>
    <w:rsid w:val="00FB51F2"/>
    <w:rsid w:val="00FB5218"/>
    <w:rsid w:val="00FB5236"/>
    <w:rsid w:val="00FB5262"/>
    <w:rsid w:val="00FB52EF"/>
    <w:rsid w:val="00FB52F2"/>
    <w:rsid w:val="00FB5300"/>
    <w:rsid w:val="00FB541D"/>
    <w:rsid w:val="00FB5429"/>
    <w:rsid w:val="00FB5447"/>
    <w:rsid w:val="00FB547C"/>
    <w:rsid w:val="00FB548B"/>
    <w:rsid w:val="00FB5499"/>
    <w:rsid w:val="00FB54D1"/>
    <w:rsid w:val="00FB54DF"/>
    <w:rsid w:val="00FB54E7"/>
    <w:rsid w:val="00FB5516"/>
    <w:rsid w:val="00FB5537"/>
    <w:rsid w:val="00FB555D"/>
    <w:rsid w:val="00FB56C5"/>
    <w:rsid w:val="00FB56D0"/>
    <w:rsid w:val="00FB5718"/>
    <w:rsid w:val="00FB5794"/>
    <w:rsid w:val="00FB57F5"/>
    <w:rsid w:val="00FB57F8"/>
    <w:rsid w:val="00FB581A"/>
    <w:rsid w:val="00FB5831"/>
    <w:rsid w:val="00FB585B"/>
    <w:rsid w:val="00FB5880"/>
    <w:rsid w:val="00FB5887"/>
    <w:rsid w:val="00FB588B"/>
    <w:rsid w:val="00FB58A1"/>
    <w:rsid w:val="00FB597B"/>
    <w:rsid w:val="00FB5AA8"/>
    <w:rsid w:val="00FB5AB9"/>
    <w:rsid w:val="00FB5BB2"/>
    <w:rsid w:val="00FB5BE2"/>
    <w:rsid w:val="00FB5C27"/>
    <w:rsid w:val="00FB5D35"/>
    <w:rsid w:val="00FB5D49"/>
    <w:rsid w:val="00FB5DEB"/>
    <w:rsid w:val="00FB5DED"/>
    <w:rsid w:val="00FB5DF7"/>
    <w:rsid w:val="00FB5E18"/>
    <w:rsid w:val="00FB5E26"/>
    <w:rsid w:val="00FB5E98"/>
    <w:rsid w:val="00FB5EA7"/>
    <w:rsid w:val="00FB5F81"/>
    <w:rsid w:val="00FB61D2"/>
    <w:rsid w:val="00FB6249"/>
    <w:rsid w:val="00FB627E"/>
    <w:rsid w:val="00FB62A9"/>
    <w:rsid w:val="00FB6341"/>
    <w:rsid w:val="00FB63F6"/>
    <w:rsid w:val="00FB642B"/>
    <w:rsid w:val="00FB6436"/>
    <w:rsid w:val="00FB6475"/>
    <w:rsid w:val="00FB64DB"/>
    <w:rsid w:val="00FB6511"/>
    <w:rsid w:val="00FB6585"/>
    <w:rsid w:val="00FB6610"/>
    <w:rsid w:val="00FB661A"/>
    <w:rsid w:val="00FB66D7"/>
    <w:rsid w:val="00FB6709"/>
    <w:rsid w:val="00FB6801"/>
    <w:rsid w:val="00FB682E"/>
    <w:rsid w:val="00FB68CB"/>
    <w:rsid w:val="00FB692A"/>
    <w:rsid w:val="00FB6ABD"/>
    <w:rsid w:val="00FB6AC1"/>
    <w:rsid w:val="00FB6B24"/>
    <w:rsid w:val="00FB6BA4"/>
    <w:rsid w:val="00FB6BB1"/>
    <w:rsid w:val="00FB6BCB"/>
    <w:rsid w:val="00FB6BEA"/>
    <w:rsid w:val="00FB6C4D"/>
    <w:rsid w:val="00FB6C6A"/>
    <w:rsid w:val="00FB6DA0"/>
    <w:rsid w:val="00FB6DFE"/>
    <w:rsid w:val="00FB6F82"/>
    <w:rsid w:val="00FB707B"/>
    <w:rsid w:val="00FB7088"/>
    <w:rsid w:val="00FB70A6"/>
    <w:rsid w:val="00FB70BA"/>
    <w:rsid w:val="00FB715F"/>
    <w:rsid w:val="00FB71A1"/>
    <w:rsid w:val="00FB71A3"/>
    <w:rsid w:val="00FB7411"/>
    <w:rsid w:val="00FB741B"/>
    <w:rsid w:val="00FB743A"/>
    <w:rsid w:val="00FB74B8"/>
    <w:rsid w:val="00FB74DE"/>
    <w:rsid w:val="00FB7507"/>
    <w:rsid w:val="00FB750F"/>
    <w:rsid w:val="00FB7563"/>
    <w:rsid w:val="00FB763A"/>
    <w:rsid w:val="00FB7679"/>
    <w:rsid w:val="00FB770E"/>
    <w:rsid w:val="00FB77C9"/>
    <w:rsid w:val="00FB7801"/>
    <w:rsid w:val="00FB7889"/>
    <w:rsid w:val="00FB78AC"/>
    <w:rsid w:val="00FB78DE"/>
    <w:rsid w:val="00FB7A82"/>
    <w:rsid w:val="00FB7AE2"/>
    <w:rsid w:val="00FB7C67"/>
    <w:rsid w:val="00FB7C74"/>
    <w:rsid w:val="00FB7CF6"/>
    <w:rsid w:val="00FB7D3B"/>
    <w:rsid w:val="00FB7D7C"/>
    <w:rsid w:val="00FB7EB0"/>
    <w:rsid w:val="00FB7EF4"/>
    <w:rsid w:val="00FB7F0C"/>
    <w:rsid w:val="00FB7F11"/>
    <w:rsid w:val="00FB7F2A"/>
    <w:rsid w:val="00FC0018"/>
    <w:rsid w:val="00FC002D"/>
    <w:rsid w:val="00FC00BF"/>
    <w:rsid w:val="00FC00DC"/>
    <w:rsid w:val="00FC00F3"/>
    <w:rsid w:val="00FC0111"/>
    <w:rsid w:val="00FC0165"/>
    <w:rsid w:val="00FC019E"/>
    <w:rsid w:val="00FC01A5"/>
    <w:rsid w:val="00FC01BB"/>
    <w:rsid w:val="00FC01D6"/>
    <w:rsid w:val="00FC027A"/>
    <w:rsid w:val="00FC02AD"/>
    <w:rsid w:val="00FC02C6"/>
    <w:rsid w:val="00FC02C9"/>
    <w:rsid w:val="00FC02E8"/>
    <w:rsid w:val="00FC03C5"/>
    <w:rsid w:val="00FC0483"/>
    <w:rsid w:val="00FC049A"/>
    <w:rsid w:val="00FC04A2"/>
    <w:rsid w:val="00FC0541"/>
    <w:rsid w:val="00FC0596"/>
    <w:rsid w:val="00FC05BB"/>
    <w:rsid w:val="00FC05D9"/>
    <w:rsid w:val="00FC05F5"/>
    <w:rsid w:val="00FC061A"/>
    <w:rsid w:val="00FC06E0"/>
    <w:rsid w:val="00FC077B"/>
    <w:rsid w:val="00FC07E2"/>
    <w:rsid w:val="00FC0870"/>
    <w:rsid w:val="00FC08D3"/>
    <w:rsid w:val="00FC0988"/>
    <w:rsid w:val="00FC0A47"/>
    <w:rsid w:val="00FC0AE5"/>
    <w:rsid w:val="00FC0C83"/>
    <w:rsid w:val="00FC0C8B"/>
    <w:rsid w:val="00FC0CAA"/>
    <w:rsid w:val="00FC0D1D"/>
    <w:rsid w:val="00FC0D6D"/>
    <w:rsid w:val="00FC0D94"/>
    <w:rsid w:val="00FC0E40"/>
    <w:rsid w:val="00FC0E7B"/>
    <w:rsid w:val="00FC0ED5"/>
    <w:rsid w:val="00FC0EE9"/>
    <w:rsid w:val="00FC0F4D"/>
    <w:rsid w:val="00FC0FA1"/>
    <w:rsid w:val="00FC1010"/>
    <w:rsid w:val="00FC107A"/>
    <w:rsid w:val="00FC10C2"/>
    <w:rsid w:val="00FC1115"/>
    <w:rsid w:val="00FC1143"/>
    <w:rsid w:val="00FC1150"/>
    <w:rsid w:val="00FC1183"/>
    <w:rsid w:val="00FC11BA"/>
    <w:rsid w:val="00FC11D9"/>
    <w:rsid w:val="00FC1278"/>
    <w:rsid w:val="00FC12FC"/>
    <w:rsid w:val="00FC1321"/>
    <w:rsid w:val="00FC134E"/>
    <w:rsid w:val="00FC140B"/>
    <w:rsid w:val="00FC1424"/>
    <w:rsid w:val="00FC1450"/>
    <w:rsid w:val="00FC148D"/>
    <w:rsid w:val="00FC153E"/>
    <w:rsid w:val="00FC1599"/>
    <w:rsid w:val="00FC15CA"/>
    <w:rsid w:val="00FC15E2"/>
    <w:rsid w:val="00FC1666"/>
    <w:rsid w:val="00FC168E"/>
    <w:rsid w:val="00FC171C"/>
    <w:rsid w:val="00FC174B"/>
    <w:rsid w:val="00FC1789"/>
    <w:rsid w:val="00FC17A0"/>
    <w:rsid w:val="00FC17D6"/>
    <w:rsid w:val="00FC18DE"/>
    <w:rsid w:val="00FC19C0"/>
    <w:rsid w:val="00FC1A76"/>
    <w:rsid w:val="00FC1ACB"/>
    <w:rsid w:val="00FC1B51"/>
    <w:rsid w:val="00FC1B60"/>
    <w:rsid w:val="00FC1BA3"/>
    <w:rsid w:val="00FC1BC7"/>
    <w:rsid w:val="00FC1C40"/>
    <w:rsid w:val="00FC1C4B"/>
    <w:rsid w:val="00FC1C53"/>
    <w:rsid w:val="00FC1CC7"/>
    <w:rsid w:val="00FC1D11"/>
    <w:rsid w:val="00FC1D21"/>
    <w:rsid w:val="00FC1D69"/>
    <w:rsid w:val="00FC1D74"/>
    <w:rsid w:val="00FC1DBB"/>
    <w:rsid w:val="00FC1E1D"/>
    <w:rsid w:val="00FC1E29"/>
    <w:rsid w:val="00FC1EEC"/>
    <w:rsid w:val="00FC1FD2"/>
    <w:rsid w:val="00FC20B9"/>
    <w:rsid w:val="00FC2101"/>
    <w:rsid w:val="00FC21BC"/>
    <w:rsid w:val="00FC228A"/>
    <w:rsid w:val="00FC22B5"/>
    <w:rsid w:val="00FC232D"/>
    <w:rsid w:val="00FC235B"/>
    <w:rsid w:val="00FC2365"/>
    <w:rsid w:val="00FC2388"/>
    <w:rsid w:val="00FC23E0"/>
    <w:rsid w:val="00FC2421"/>
    <w:rsid w:val="00FC24AA"/>
    <w:rsid w:val="00FC24FD"/>
    <w:rsid w:val="00FC2508"/>
    <w:rsid w:val="00FC2553"/>
    <w:rsid w:val="00FC25C4"/>
    <w:rsid w:val="00FC2628"/>
    <w:rsid w:val="00FC2713"/>
    <w:rsid w:val="00FC2775"/>
    <w:rsid w:val="00FC27A6"/>
    <w:rsid w:val="00FC282B"/>
    <w:rsid w:val="00FC2862"/>
    <w:rsid w:val="00FC2873"/>
    <w:rsid w:val="00FC2898"/>
    <w:rsid w:val="00FC2900"/>
    <w:rsid w:val="00FC290F"/>
    <w:rsid w:val="00FC2932"/>
    <w:rsid w:val="00FC29A3"/>
    <w:rsid w:val="00FC2A7B"/>
    <w:rsid w:val="00FC2B33"/>
    <w:rsid w:val="00FC2B5B"/>
    <w:rsid w:val="00FC2B7D"/>
    <w:rsid w:val="00FC2D17"/>
    <w:rsid w:val="00FC2D43"/>
    <w:rsid w:val="00FC2D49"/>
    <w:rsid w:val="00FC2DBD"/>
    <w:rsid w:val="00FC2E09"/>
    <w:rsid w:val="00FC2E97"/>
    <w:rsid w:val="00FC303B"/>
    <w:rsid w:val="00FC30C9"/>
    <w:rsid w:val="00FC3200"/>
    <w:rsid w:val="00FC3209"/>
    <w:rsid w:val="00FC32B7"/>
    <w:rsid w:val="00FC32E7"/>
    <w:rsid w:val="00FC32E8"/>
    <w:rsid w:val="00FC338F"/>
    <w:rsid w:val="00FC33B9"/>
    <w:rsid w:val="00FC341F"/>
    <w:rsid w:val="00FC3439"/>
    <w:rsid w:val="00FC353C"/>
    <w:rsid w:val="00FC354F"/>
    <w:rsid w:val="00FC3584"/>
    <w:rsid w:val="00FC35A2"/>
    <w:rsid w:val="00FC35DE"/>
    <w:rsid w:val="00FC3642"/>
    <w:rsid w:val="00FC3648"/>
    <w:rsid w:val="00FC370D"/>
    <w:rsid w:val="00FC3777"/>
    <w:rsid w:val="00FC37AE"/>
    <w:rsid w:val="00FC380E"/>
    <w:rsid w:val="00FC385A"/>
    <w:rsid w:val="00FC39C7"/>
    <w:rsid w:val="00FC3A12"/>
    <w:rsid w:val="00FC3A87"/>
    <w:rsid w:val="00FC3A95"/>
    <w:rsid w:val="00FC3A99"/>
    <w:rsid w:val="00FC3AA5"/>
    <w:rsid w:val="00FC3AB3"/>
    <w:rsid w:val="00FC3B26"/>
    <w:rsid w:val="00FC3B35"/>
    <w:rsid w:val="00FC3B4D"/>
    <w:rsid w:val="00FC3B8D"/>
    <w:rsid w:val="00FC3BDB"/>
    <w:rsid w:val="00FC3CBD"/>
    <w:rsid w:val="00FC3CFA"/>
    <w:rsid w:val="00FC3D39"/>
    <w:rsid w:val="00FC3D48"/>
    <w:rsid w:val="00FC3D67"/>
    <w:rsid w:val="00FC3D69"/>
    <w:rsid w:val="00FC3D83"/>
    <w:rsid w:val="00FC3DBC"/>
    <w:rsid w:val="00FC3DCB"/>
    <w:rsid w:val="00FC3EAD"/>
    <w:rsid w:val="00FC3ECF"/>
    <w:rsid w:val="00FC3F12"/>
    <w:rsid w:val="00FC3F57"/>
    <w:rsid w:val="00FC3F5B"/>
    <w:rsid w:val="00FC3F7F"/>
    <w:rsid w:val="00FC3F9D"/>
    <w:rsid w:val="00FC3FAF"/>
    <w:rsid w:val="00FC3FF2"/>
    <w:rsid w:val="00FC3FFF"/>
    <w:rsid w:val="00FC40C2"/>
    <w:rsid w:val="00FC412A"/>
    <w:rsid w:val="00FC4180"/>
    <w:rsid w:val="00FC419B"/>
    <w:rsid w:val="00FC41F1"/>
    <w:rsid w:val="00FC430F"/>
    <w:rsid w:val="00FC4322"/>
    <w:rsid w:val="00FC43AF"/>
    <w:rsid w:val="00FC4475"/>
    <w:rsid w:val="00FC44E4"/>
    <w:rsid w:val="00FC44F3"/>
    <w:rsid w:val="00FC451A"/>
    <w:rsid w:val="00FC45E0"/>
    <w:rsid w:val="00FC4626"/>
    <w:rsid w:val="00FC466A"/>
    <w:rsid w:val="00FC47E6"/>
    <w:rsid w:val="00FC4848"/>
    <w:rsid w:val="00FC4883"/>
    <w:rsid w:val="00FC4893"/>
    <w:rsid w:val="00FC48B1"/>
    <w:rsid w:val="00FC495D"/>
    <w:rsid w:val="00FC4977"/>
    <w:rsid w:val="00FC4979"/>
    <w:rsid w:val="00FC49BC"/>
    <w:rsid w:val="00FC4A33"/>
    <w:rsid w:val="00FC4A73"/>
    <w:rsid w:val="00FC4AB9"/>
    <w:rsid w:val="00FC4B40"/>
    <w:rsid w:val="00FC4BF2"/>
    <w:rsid w:val="00FC4C15"/>
    <w:rsid w:val="00FC4CAD"/>
    <w:rsid w:val="00FC4CEB"/>
    <w:rsid w:val="00FC4D20"/>
    <w:rsid w:val="00FC4D79"/>
    <w:rsid w:val="00FC4D89"/>
    <w:rsid w:val="00FC4E5A"/>
    <w:rsid w:val="00FC4E5B"/>
    <w:rsid w:val="00FC4E81"/>
    <w:rsid w:val="00FC4EC4"/>
    <w:rsid w:val="00FC4F12"/>
    <w:rsid w:val="00FC4F38"/>
    <w:rsid w:val="00FC4F44"/>
    <w:rsid w:val="00FC4FC5"/>
    <w:rsid w:val="00FC507C"/>
    <w:rsid w:val="00FC50BD"/>
    <w:rsid w:val="00FC5187"/>
    <w:rsid w:val="00FC51C8"/>
    <w:rsid w:val="00FC51E6"/>
    <w:rsid w:val="00FC5242"/>
    <w:rsid w:val="00FC52E8"/>
    <w:rsid w:val="00FC52FF"/>
    <w:rsid w:val="00FC5305"/>
    <w:rsid w:val="00FC5335"/>
    <w:rsid w:val="00FC556A"/>
    <w:rsid w:val="00FC55DD"/>
    <w:rsid w:val="00FC5684"/>
    <w:rsid w:val="00FC578A"/>
    <w:rsid w:val="00FC57AE"/>
    <w:rsid w:val="00FC57DE"/>
    <w:rsid w:val="00FC57E1"/>
    <w:rsid w:val="00FC583D"/>
    <w:rsid w:val="00FC596B"/>
    <w:rsid w:val="00FC599C"/>
    <w:rsid w:val="00FC59C5"/>
    <w:rsid w:val="00FC59E2"/>
    <w:rsid w:val="00FC59E4"/>
    <w:rsid w:val="00FC59ED"/>
    <w:rsid w:val="00FC5A88"/>
    <w:rsid w:val="00FC5AB8"/>
    <w:rsid w:val="00FC5B4F"/>
    <w:rsid w:val="00FC5BC1"/>
    <w:rsid w:val="00FC5BE7"/>
    <w:rsid w:val="00FC5CD5"/>
    <w:rsid w:val="00FC5E63"/>
    <w:rsid w:val="00FC5E77"/>
    <w:rsid w:val="00FC5EC9"/>
    <w:rsid w:val="00FC5ECE"/>
    <w:rsid w:val="00FC5EE6"/>
    <w:rsid w:val="00FC5F83"/>
    <w:rsid w:val="00FC5FA2"/>
    <w:rsid w:val="00FC5FAD"/>
    <w:rsid w:val="00FC60E5"/>
    <w:rsid w:val="00FC6100"/>
    <w:rsid w:val="00FC6203"/>
    <w:rsid w:val="00FC620E"/>
    <w:rsid w:val="00FC6278"/>
    <w:rsid w:val="00FC627B"/>
    <w:rsid w:val="00FC627C"/>
    <w:rsid w:val="00FC6368"/>
    <w:rsid w:val="00FC63B9"/>
    <w:rsid w:val="00FC640D"/>
    <w:rsid w:val="00FC64E7"/>
    <w:rsid w:val="00FC64FE"/>
    <w:rsid w:val="00FC65B6"/>
    <w:rsid w:val="00FC6653"/>
    <w:rsid w:val="00FC66D7"/>
    <w:rsid w:val="00FC6711"/>
    <w:rsid w:val="00FC68DB"/>
    <w:rsid w:val="00FC68F0"/>
    <w:rsid w:val="00FC690C"/>
    <w:rsid w:val="00FC697A"/>
    <w:rsid w:val="00FC698A"/>
    <w:rsid w:val="00FC6A13"/>
    <w:rsid w:val="00FC6A47"/>
    <w:rsid w:val="00FC6A6D"/>
    <w:rsid w:val="00FC6A7B"/>
    <w:rsid w:val="00FC6A96"/>
    <w:rsid w:val="00FC6AB4"/>
    <w:rsid w:val="00FC6B12"/>
    <w:rsid w:val="00FC6B46"/>
    <w:rsid w:val="00FC6B9A"/>
    <w:rsid w:val="00FC6C96"/>
    <w:rsid w:val="00FC6D21"/>
    <w:rsid w:val="00FC6D5B"/>
    <w:rsid w:val="00FC6D9D"/>
    <w:rsid w:val="00FC6EAC"/>
    <w:rsid w:val="00FC6EF3"/>
    <w:rsid w:val="00FC6F09"/>
    <w:rsid w:val="00FC6F48"/>
    <w:rsid w:val="00FC6F52"/>
    <w:rsid w:val="00FC703B"/>
    <w:rsid w:val="00FC703F"/>
    <w:rsid w:val="00FC7053"/>
    <w:rsid w:val="00FC7087"/>
    <w:rsid w:val="00FC70CF"/>
    <w:rsid w:val="00FC7192"/>
    <w:rsid w:val="00FC7197"/>
    <w:rsid w:val="00FC71E0"/>
    <w:rsid w:val="00FC7208"/>
    <w:rsid w:val="00FC7217"/>
    <w:rsid w:val="00FC7226"/>
    <w:rsid w:val="00FC7250"/>
    <w:rsid w:val="00FC7287"/>
    <w:rsid w:val="00FC734D"/>
    <w:rsid w:val="00FC738D"/>
    <w:rsid w:val="00FC7478"/>
    <w:rsid w:val="00FC74F1"/>
    <w:rsid w:val="00FC7554"/>
    <w:rsid w:val="00FC75A4"/>
    <w:rsid w:val="00FC75A5"/>
    <w:rsid w:val="00FC75F3"/>
    <w:rsid w:val="00FC764C"/>
    <w:rsid w:val="00FC7732"/>
    <w:rsid w:val="00FC777E"/>
    <w:rsid w:val="00FC7894"/>
    <w:rsid w:val="00FC78B5"/>
    <w:rsid w:val="00FC78E6"/>
    <w:rsid w:val="00FC78F6"/>
    <w:rsid w:val="00FC795C"/>
    <w:rsid w:val="00FC7963"/>
    <w:rsid w:val="00FC7B31"/>
    <w:rsid w:val="00FC7B3B"/>
    <w:rsid w:val="00FC7B65"/>
    <w:rsid w:val="00FC7DCC"/>
    <w:rsid w:val="00FC7E0D"/>
    <w:rsid w:val="00FC7E70"/>
    <w:rsid w:val="00FC7F11"/>
    <w:rsid w:val="00FC7F9D"/>
    <w:rsid w:val="00FD0007"/>
    <w:rsid w:val="00FD001B"/>
    <w:rsid w:val="00FD00E4"/>
    <w:rsid w:val="00FD017B"/>
    <w:rsid w:val="00FD01D2"/>
    <w:rsid w:val="00FD0203"/>
    <w:rsid w:val="00FD025C"/>
    <w:rsid w:val="00FD0273"/>
    <w:rsid w:val="00FD02AE"/>
    <w:rsid w:val="00FD02C7"/>
    <w:rsid w:val="00FD03B5"/>
    <w:rsid w:val="00FD0404"/>
    <w:rsid w:val="00FD044C"/>
    <w:rsid w:val="00FD04C5"/>
    <w:rsid w:val="00FD04E7"/>
    <w:rsid w:val="00FD05C9"/>
    <w:rsid w:val="00FD065D"/>
    <w:rsid w:val="00FD065E"/>
    <w:rsid w:val="00FD067E"/>
    <w:rsid w:val="00FD06DC"/>
    <w:rsid w:val="00FD073D"/>
    <w:rsid w:val="00FD081A"/>
    <w:rsid w:val="00FD088F"/>
    <w:rsid w:val="00FD08A5"/>
    <w:rsid w:val="00FD091C"/>
    <w:rsid w:val="00FD0959"/>
    <w:rsid w:val="00FD0991"/>
    <w:rsid w:val="00FD09B7"/>
    <w:rsid w:val="00FD0A3E"/>
    <w:rsid w:val="00FD0A42"/>
    <w:rsid w:val="00FD0A4A"/>
    <w:rsid w:val="00FD0A66"/>
    <w:rsid w:val="00FD0B59"/>
    <w:rsid w:val="00FD0BAA"/>
    <w:rsid w:val="00FD0BCC"/>
    <w:rsid w:val="00FD0BEE"/>
    <w:rsid w:val="00FD0CF1"/>
    <w:rsid w:val="00FD0EAD"/>
    <w:rsid w:val="00FD0F22"/>
    <w:rsid w:val="00FD0F79"/>
    <w:rsid w:val="00FD0FAB"/>
    <w:rsid w:val="00FD0FB9"/>
    <w:rsid w:val="00FD1016"/>
    <w:rsid w:val="00FD1023"/>
    <w:rsid w:val="00FD10E5"/>
    <w:rsid w:val="00FD1109"/>
    <w:rsid w:val="00FD11C7"/>
    <w:rsid w:val="00FD1226"/>
    <w:rsid w:val="00FD1399"/>
    <w:rsid w:val="00FD13E1"/>
    <w:rsid w:val="00FD13E2"/>
    <w:rsid w:val="00FD13F8"/>
    <w:rsid w:val="00FD144A"/>
    <w:rsid w:val="00FD14A8"/>
    <w:rsid w:val="00FD1505"/>
    <w:rsid w:val="00FD154C"/>
    <w:rsid w:val="00FD1641"/>
    <w:rsid w:val="00FD167E"/>
    <w:rsid w:val="00FD16A2"/>
    <w:rsid w:val="00FD16AD"/>
    <w:rsid w:val="00FD16BA"/>
    <w:rsid w:val="00FD16EA"/>
    <w:rsid w:val="00FD17C1"/>
    <w:rsid w:val="00FD17E1"/>
    <w:rsid w:val="00FD17E5"/>
    <w:rsid w:val="00FD1870"/>
    <w:rsid w:val="00FD18BE"/>
    <w:rsid w:val="00FD18BF"/>
    <w:rsid w:val="00FD18C9"/>
    <w:rsid w:val="00FD18DA"/>
    <w:rsid w:val="00FD194B"/>
    <w:rsid w:val="00FD1979"/>
    <w:rsid w:val="00FD198F"/>
    <w:rsid w:val="00FD199B"/>
    <w:rsid w:val="00FD19B3"/>
    <w:rsid w:val="00FD19B5"/>
    <w:rsid w:val="00FD19ED"/>
    <w:rsid w:val="00FD1A3A"/>
    <w:rsid w:val="00FD1A64"/>
    <w:rsid w:val="00FD1A74"/>
    <w:rsid w:val="00FD1AEC"/>
    <w:rsid w:val="00FD1B28"/>
    <w:rsid w:val="00FD1BA2"/>
    <w:rsid w:val="00FD1BD9"/>
    <w:rsid w:val="00FD1BFD"/>
    <w:rsid w:val="00FD1C7A"/>
    <w:rsid w:val="00FD1D07"/>
    <w:rsid w:val="00FD1D0D"/>
    <w:rsid w:val="00FD1D27"/>
    <w:rsid w:val="00FD1D29"/>
    <w:rsid w:val="00FD1D89"/>
    <w:rsid w:val="00FD1E3E"/>
    <w:rsid w:val="00FD1E90"/>
    <w:rsid w:val="00FD1EA6"/>
    <w:rsid w:val="00FD1EC9"/>
    <w:rsid w:val="00FD1EDA"/>
    <w:rsid w:val="00FD1F04"/>
    <w:rsid w:val="00FD1F35"/>
    <w:rsid w:val="00FD2154"/>
    <w:rsid w:val="00FD22DD"/>
    <w:rsid w:val="00FD22ED"/>
    <w:rsid w:val="00FD22F5"/>
    <w:rsid w:val="00FD2335"/>
    <w:rsid w:val="00FD235C"/>
    <w:rsid w:val="00FD239F"/>
    <w:rsid w:val="00FD23F6"/>
    <w:rsid w:val="00FD2452"/>
    <w:rsid w:val="00FD2469"/>
    <w:rsid w:val="00FD250F"/>
    <w:rsid w:val="00FD2512"/>
    <w:rsid w:val="00FD2536"/>
    <w:rsid w:val="00FD254E"/>
    <w:rsid w:val="00FD26BF"/>
    <w:rsid w:val="00FD2724"/>
    <w:rsid w:val="00FD2734"/>
    <w:rsid w:val="00FD2768"/>
    <w:rsid w:val="00FD283E"/>
    <w:rsid w:val="00FD2916"/>
    <w:rsid w:val="00FD2982"/>
    <w:rsid w:val="00FD29A8"/>
    <w:rsid w:val="00FD2A14"/>
    <w:rsid w:val="00FD2A66"/>
    <w:rsid w:val="00FD2BBD"/>
    <w:rsid w:val="00FD2C40"/>
    <w:rsid w:val="00FD2CC1"/>
    <w:rsid w:val="00FD2D54"/>
    <w:rsid w:val="00FD2D68"/>
    <w:rsid w:val="00FD2EA4"/>
    <w:rsid w:val="00FD2ED7"/>
    <w:rsid w:val="00FD2FD4"/>
    <w:rsid w:val="00FD3066"/>
    <w:rsid w:val="00FD3135"/>
    <w:rsid w:val="00FD3140"/>
    <w:rsid w:val="00FD317C"/>
    <w:rsid w:val="00FD31B1"/>
    <w:rsid w:val="00FD31BC"/>
    <w:rsid w:val="00FD32AC"/>
    <w:rsid w:val="00FD3343"/>
    <w:rsid w:val="00FD33AF"/>
    <w:rsid w:val="00FD345C"/>
    <w:rsid w:val="00FD3486"/>
    <w:rsid w:val="00FD34B1"/>
    <w:rsid w:val="00FD34D2"/>
    <w:rsid w:val="00FD350E"/>
    <w:rsid w:val="00FD363E"/>
    <w:rsid w:val="00FD3686"/>
    <w:rsid w:val="00FD3729"/>
    <w:rsid w:val="00FD37ED"/>
    <w:rsid w:val="00FD3855"/>
    <w:rsid w:val="00FD3914"/>
    <w:rsid w:val="00FD3936"/>
    <w:rsid w:val="00FD3966"/>
    <w:rsid w:val="00FD397F"/>
    <w:rsid w:val="00FD39BD"/>
    <w:rsid w:val="00FD39E7"/>
    <w:rsid w:val="00FD3A13"/>
    <w:rsid w:val="00FD3A26"/>
    <w:rsid w:val="00FD3B50"/>
    <w:rsid w:val="00FD3B69"/>
    <w:rsid w:val="00FD3B97"/>
    <w:rsid w:val="00FD3BBF"/>
    <w:rsid w:val="00FD3C16"/>
    <w:rsid w:val="00FD3C21"/>
    <w:rsid w:val="00FD3DB2"/>
    <w:rsid w:val="00FD3DE0"/>
    <w:rsid w:val="00FD3E1A"/>
    <w:rsid w:val="00FD3EE9"/>
    <w:rsid w:val="00FD3F10"/>
    <w:rsid w:val="00FD3F14"/>
    <w:rsid w:val="00FD402F"/>
    <w:rsid w:val="00FD4052"/>
    <w:rsid w:val="00FD40CB"/>
    <w:rsid w:val="00FD40E7"/>
    <w:rsid w:val="00FD4123"/>
    <w:rsid w:val="00FD414E"/>
    <w:rsid w:val="00FD416F"/>
    <w:rsid w:val="00FD42A2"/>
    <w:rsid w:val="00FD42AF"/>
    <w:rsid w:val="00FD42D1"/>
    <w:rsid w:val="00FD4330"/>
    <w:rsid w:val="00FD433E"/>
    <w:rsid w:val="00FD436A"/>
    <w:rsid w:val="00FD4434"/>
    <w:rsid w:val="00FD4448"/>
    <w:rsid w:val="00FD4452"/>
    <w:rsid w:val="00FD448C"/>
    <w:rsid w:val="00FD44F2"/>
    <w:rsid w:val="00FD4586"/>
    <w:rsid w:val="00FD45E6"/>
    <w:rsid w:val="00FD45F1"/>
    <w:rsid w:val="00FD46D2"/>
    <w:rsid w:val="00FD4733"/>
    <w:rsid w:val="00FD47AE"/>
    <w:rsid w:val="00FD47F0"/>
    <w:rsid w:val="00FD494E"/>
    <w:rsid w:val="00FD4A78"/>
    <w:rsid w:val="00FD4A93"/>
    <w:rsid w:val="00FD4B06"/>
    <w:rsid w:val="00FD4B35"/>
    <w:rsid w:val="00FD4B50"/>
    <w:rsid w:val="00FD4BCD"/>
    <w:rsid w:val="00FD4BEE"/>
    <w:rsid w:val="00FD4CDD"/>
    <w:rsid w:val="00FD4D26"/>
    <w:rsid w:val="00FD4D5D"/>
    <w:rsid w:val="00FD4E1D"/>
    <w:rsid w:val="00FD4E7B"/>
    <w:rsid w:val="00FD4EF2"/>
    <w:rsid w:val="00FD4F98"/>
    <w:rsid w:val="00FD4FCC"/>
    <w:rsid w:val="00FD4FCE"/>
    <w:rsid w:val="00FD4FD8"/>
    <w:rsid w:val="00FD5026"/>
    <w:rsid w:val="00FD5086"/>
    <w:rsid w:val="00FD508E"/>
    <w:rsid w:val="00FD50FB"/>
    <w:rsid w:val="00FD5154"/>
    <w:rsid w:val="00FD51AE"/>
    <w:rsid w:val="00FD524D"/>
    <w:rsid w:val="00FD52D8"/>
    <w:rsid w:val="00FD530A"/>
    <w:rsid w:val="00FD5475"/>
    <w:rsid w:val="00FD5491"/>
    <w:rsid w:val="00FD549F"/>
    <w:rsid w:val="00FD54B6"/>
    <w:rsid w:val="00FD54C3"/>
    <w:rsid w:val="00FD554B"/>
    <w:rsid w:val="00FD55C5"/>
    <w:rsid w:val="00FD560B"/>
    <w:rsid w:val="00FD5694"/>
    <w:rsid w:val="00FD56C2"/>
    <w:rsid w:val="00FD583C"/>
    <w:rsid w:val="00FD58F4"/>
    <w:rsid w:val="00FD59FC"/>
    <w:rsid w:val="00FD5A9F"/>
    <w:rsid w:val="00FD5B02"/>
    <w:rsid w:val="00FD5B37"/>
    <w:rsid w:val="00FD5BA1"/>
    <w:rsid w:val="00FD5BDB"/>
    <w:rsid w:val="00FD5C7F"/>
    <w:rsid w:val="00FD5C9B"/>
    <w:rsid w:val="00FD5E38"/>
    <w:rsid w:val="00FD5E3B"/>
    <w:rsid w:val="00FD5EF0"/>
    <w:rsid w:val="00FD5F39"/>
    <w:rsid w:val="00FD5FB1"/>
    <w:rsid w:val="00FD5FCF"/>
    <w:rsid w:val="00FD5FD4"/>
    <w:rsid w:val="00FD5FF5"/>
    <w:rsid w:val="00FD6074"/>
    <w:rsid w:val="00FD60C8"/>
    <w:rsid w:val="00FD60D1"/>
    <w:rsid w:val="00FD60F1"/>
    <w:rsid w:val="00FD6126"/>
    <w:rsid w:val="00FD6156"/>
    <w:rsid w:val="00FD6179"/>
    <w:rsid w:val="00FD61BB"/>
    <w:rsid w:val="00FD61F6"/>
    <w:rsid w:val="00FD621A"/>
    <w:rsid w:val="00FD6228"/>
    <w:rsid w:val="00FD624D"/>
    <w:rsid w:val="00FD6261"/>
    <w:rsid w:val="00FD62E4"/>
    <w:rsid w:val="00FD62FA"/>
    <w:rsid w:val="00FD632A"/>
    <w:rsid w:val="00FD6394"/>
    <w:rsid w:val="00FD63C1"/>
    <w:rsid w:val="00FD63CC"/>
    <w:rsid w:val="00FD6417"/>
    <w:rsid w:val="00FD646B"/>
    <w:rsid w:val="00FD64D4"/>
    <w:rsid w:val="00FD6503"/>
    <w:rsid w:val="00FD6599"/>
    <w:rsid w:val="00FD6649"/>
    <w:rsid w:val="00FD6652"/>
    <w:rsid w:val="00FD66C1"/>
    <w:rsid w:val="00FD6702"/>
    <w:rsid w:val="00FD67A2"/>
    <w:rsid w:val="00FD67C2"/>
    <w:rsid w:val="00FD6812"/>
    <w:rsid w:val="00FD68C6"/>
    <w:rsid w:val="00FD6A4E"/>
    <w:rsid w:val="00FD6A7B"/>
    <w:rsid w:val="00FD6ACE"/>
    <w:rsid w:val="00FD6B1C"/>
    <w:rsid w:val="00FD6B4C"/>
    <w:rsid w:val="00FD6C17"/>
    <w:rsid w:val="00FD6C38"/>
    <w:rsid w:val="00FD6CE2"/>
    <w:rsid w:val="00FD6D3C"/>
    <w:rsid w:val="00FD6D7C"/>
    <w:rsid w:val="00FD6D85"/>
    <w:rsid w:val="00FD6ED9"/>
    <w:rsid w:val="00FD6F25"/>
    <w:rsid w:val="00FD6FA5"/>
    <w:rsid w:val="00FD6FB6"/>
    <w:rsid w:val="00FD6FCB"/>
    <w:rsid w:val="00FD6FEF"/>
    <w:rsid w:val="00FD7038"/>
    <w:rsid w:val="00FD7080"/>
    <w:rsid w:val="00FD719B"/>
    <w:rsid w:val="00FD71A7"/>
    <w:rsid w:val="00FD71AA"/>
    <w:rsid w:val="00FD71C4"/>
    <w:rsid w:val="00FD71E1"/>
    <w:rsid w:val="00FD72C1"/>
    <w:rsid w:val="00FD73FF"/>
    <w:rsid w:val="00FD743C"/>
    <w:rsid w:val="00FD762D"/>
    <w:rsid w:val="00FD76C5"/>
    <w:rsid w:val="00FD774E"/>
    <w:rsid w:val="00FD7784"/>
    <w:rsid w:val="00FD77E1"/>
    <w:rsid w:val="00FD7843"/>
    <w:rsid w:val="00FD78DF"/>
    <w:rsid w:val="00FD7931"/>
    <w:rsid w:val="00FD7981"/>
    <w:rsid w:val="00FD79C5"/>
    <w:rsid w:val="00FD7A88"/>
    <w:rsid w:val="00FD7B1C"/>
    <w:rsid w:val="00FD7BF2"/>
    <w:rsid w:val="00FD7C14"/>
    <w:rsid w:val="00FD7D75"/>
    <w:rsid w:val="00FD7DB3"/>
    <w:rsid w:val="00FD7E2E"/>
    <w:rsid w:val="00FD7E48"/>
    <w:rsid w:val="00FD7E4B"/>
    <w:rsid w:val="00FD7E66"/>
    <w:rsid w:val="00FD7E92"/>
    <w:rsid w:val="00FD7F1B"/>
    <w:rsid w:val="00FD7F24"/>
    <w:rsid w:val="00FD7F60"/>
    <w:rsid w:val="00FD7F6E"/>
    <w:rsid w:val="00FD7FC0"/>
    <w:rsid w:val="00FE00D9"/>
    <w:rsid w:val="00FE01A7"/>
    <w:rsid w:val="00FE01C4"/>
    <w:rsid w:val="00FE0222"/>
    <w:rsid w:val="00FE0234"/>
    <w:rsid w:val="00FE02BE"/>
    <w:rsid w:val="00FE02DD"/>
    <w:rsid w:val="00FE0315"/>
    <w:rsid w:val="00FE0328"/>
    <w:rsid w:val="00FE035C"/>
    <w:rsid w:val="00FE049B"/>
    <w:rsid w:val="00FE04BF"/>
    <w:rsid w:val="00FE05DB"/>
    <w:rsid w:val="00FE05F5"/>
    <w:rsid w:val="00FE0627"/>
    <w:rsid w:val="00FE064E"/>
    <w:rsid w:val="00FE06A4"/>
    <w:rsid w:val="00FE06CE"/>
    <w:rsid w:val="00FE0786"/>
    <w:rsid w:val="00FE0795"/>
    <w:rsid w:val="00FE07F3"/>
    <w:rsid w:val="00FE0867"/>
    <w:rsid w:val="00FE0893"/>
    <w:rsid w:val="00FE08AC"/>
    <w:rsid w:val="00FE08F0"/>
    <w:rsid w:val="00FE0905"/>
    <w:rsid w:val="00FE09DA"/>
    <w:rsid w:val="00FE0A1D"/>
    <w:rsid w:val="00FE0A61"/>
    <w:rsid w:val="00FE0AA0"/>
    <w:rsid w:val="00FE0AA7"/>
    <w:rsid w:val="00FE0C0C"/>
    <w:rsid w:val="00FE0C44"/>
    <w:rsid w:val="00FE0C51"/>
    <w:rsid w:val="00FE0CDD"/>
    <w:rsid w:val="00FE0CDE"/>
    <w:rsid w:val="00FE0DE2"/>
    <w:rsid w:val="00FE0EDC"/>
    <w:rsid w:val="00FE0F19"/>
    <w:rsid w:val="00FE0F43"/>
    <w:rsid w:val="00FE0FCF"/>
    <w:rsid w:val="00FE0FE2"/>
    <w:rsid w:val="00FE1042"/>
    <w:rsid w:val="00FE1063"/>
    <w:rsid w:val="00FE1089"/>
    <w:rsid w:val="00FE108C"/>
    <w:rsid w:val="00FE10B2"/>
    <w:rsid w:val="00FE116B"/>
    <w:rsid w:val="00FE1201"/>
    <w:rsid w:val="00FE1231"/>
    <w:rsid w:val="00FE1278"/>
    <w:rsid w:val="00FE1284"/>
    <w:rsid w:val="00FE1363"/>
    <w:rsid w:val="00FE1534"/>
    <w:rsid w:val="00FE153D"/>
    <w:rsid w:val="00FE1655"/>
    <w:rsid w:val="00FE1683"/>
    <w:rsid w:val="00FE1756"/>
    <w:rsid w:val="00FE176E"/>
    <w:rsid w:val="00FE17CF"/>
    <w:rsid w:val="00FE18C1"/>
    <w:rsid w:val="00FE1950"/>
    <w:rsid w:val="00FE1998"/>
    <w:rsid w:val="00FE1A04"/>
    <w:rsid w:val="00FE1A5C"/>
    <w:rsid w:val="00FE1A5E"/>
    <w:rsid w:val="00FE1A71"/>
    <w:rsid w:val="00FE1AD4"/>
    <w:rsid w:val="00FE1B2C"/>
    <w:rsid w:val="00FE1B4F"/>
    <w:rsid w:val="00FE1B90"/>
    <w:rsid w:val="00FE1B98"/>
    <w:rsid w:val="00FE1BDE"/>
    <w:rsid w:val="00FE1C5B"/>
    <w:rsid w:val="00FE1C99"/>
    <w:rsid w:val="00FE1CF3"/>
    <w:rsid w:val="00FE1E04"/>
    <w:rsid w:val="00FE1E2D"/>
    <w:rsid w:val="00FE1EF5"/>
    <w:rsid w:val="00FE1F99"/>
    <w:rsid w:val="00FE2013"/>
    <w:rsid w:val="00FE2042"/>
    <w:rsid w:val="00FE2066"/>
    <w:rsid w:val="00FE20EF"/>
    <w:rsid w:val="00FE213D"/>
    <w:rsid w:val="00FE2141"/>
    <w:rsid w:val="00FE220E"/>
    <w:rsid w:val="00FE2220"/>
    <w:rsid w:val="00FE22DB"/>
    <w:rsid w:val="00FE230C"/>
    <w:rsid w:val="00FE238C"/>
    <w:rsid w:val="00FE24A6"/>
    <w:rsid w:val="00FE2638"/>
    <w:rsid w:val="00FE26E3"/>
    <w:rsid w:val="00FE2777"/>
    <w:rsid w:val="00FE27CD"/>
    <w:rsid w:val="00FE27D0"/>
    <w:rsid w:val="00FE2805"/>
    <w:rsid w:val="00FE2828"/>
    <w:rsid w:val="00FE282A"/>
    <w:rsid w:val="00FE2889"/>
    <w:rsid w:val="00FE28FC"/>
    <w:rsid w:val="00FE291A"/>
    <w:rsid w:val="00FE2954"/>
    <w:rsid w:val="00FE29A5"/>
    <w:rsid w:val="00FE2A68"/>
    <w:rsid w:val="00FE2A6B"/>
    <w:rsid w:val="00FE2A90"/>
    <w:rsid w:val="00FE2AD3"/>
    <w:rsid w:val="00FE2AFD"/>
    <w:rsid w:val="00FE2B06"/>
    <w:rsid w:val="00FE2B11"/>
    <w:rsid w:val="00FE2C4C"/>
    <w:rsid w:val="00FE2CC0"/>
    <w:rsid w:val="00FE2D70"/>
    <w:rsid w:val="00FE2DAE"/>
    <w:rsid w:val="00FE2DD0"/>
    <w:rsid w:val="00FE2E2F"/>
    <w:rsid w:val="00FE2E4A"/>
    <w:rsid w:val="00FE2E5F"/>
    <w:rsid w:val="00FE2EA8"/>
    <w:rsid w:val="00FE2FA7"/>
    <w:rsid w:val="00FE3033"/>
    <w:rsid w:val="00FE31DA"/>
    <w:rsid w:val="00FE320A"/>
    <w:rsid w:val="00FE321E"/>
    <w:rsid w:val="00FE32E2"/>
    <w:rsid w:val="00FE332E"/>
    <w:rsid w:val="00FE3383"/>
    <w:rsid w:val="00FE3408"/>
    <w:rsid w:val="00FE3452"/>
    <w:rsid w:val="00FE346E"/>
    <w:rsid w:val="00FE349A"/>
    <w:rsid w:val="00FE34DA"/>
    <w:rsid w:val="00FE3506"/>
    <w:rsid w:val="00FE351B"/>
    <w:rsid w:val="00FE3589"/>
    <w:rsid w:val="00FE3595"/>
    <w:rsid w:val="00FE35A4"/>
    <w:rsid w:val="00FE35DC"/>
    <w:rsid w:val="00FE3633"/>
    <w:rsid w:val="00FE36EE"/>
    <w:rsid w:val="00FE372F"/>
    <w:rsid w:val="00FE37E5"/>
    <w:rsid w:val="00FE3849"/>
    <w:rsid w:val="00FE38C4"/>
    <w:rsid w:val="00FE38F2"/>
    <w:rsid w:val="00FE38F6"/>
    <w:rsid w:val="00FE391F"/>
    <w:rsid w:val="00FE3977"/>
    <w:rsid w:val="00FE3985"/>
    <w:rsid w:val="00FE39A0"/>
    <w:rsid w:val="00FE39A8"/>
    <w:rsid w:val="00FE3A2B"/>
    <w:rsid w:val="00FE3ACA"/>
    <w:rsid w:val="00FE3AEC"/>
    <w:rsid w:val="00FE3AF8"/>
    <w:rsid w:val="00FE3B52"/>
    <w:rsid w:val="00FE3C5A"/>
    <w:rsid w:val="00FE3D2A"/>
    <w:rsid w:val="00FE3D31"/>
    <w:rsid w:val="00FE3D40"/>
    <w:rsid w:val="00FE3D91"/>
    <w:rsid w:val="00FE3E0D"/>
    <w:rsid w:val="00FE3E68"/>
    <w:rsid w:val="00FE3EC3"/>
    <w:rsid w:val="00FE3ED0"/>
    <w:rsid w:val="00FE3EE8"/>
    <w:rsid w:val="00FE3F89"/>
    <w:rsid w:val="00FE3FD7"/>
    <w:rsid w:val="00FE401D"/>
    <w:rsid w:val="00FE40D0"/>
    <w:rsid w:val="00FE40FB"/>
    <w:rsid w:val="00FE416E"/>
    <w:rsid w:val="00FE419A"/>
    <w:rsid w:val="00FE41A2"/>
    <w:rsid w:val="00FE41A9"/>
    <w:rsid w:val="00FE41E5"/>
    <w:rsid w:val="00FE422E"/>
    <w:rsid w:val="00FE42E3"/>
    <w:rsid w:val="00FE4321"/>
    <w:rsid w:val="00FE437E"/>
    <w:rsid w:val="00FE4382"/>
    <w:rsid w:val="00FE4414"/>
    <w:rsid w:val="00FE4422"/>
    <w:rsid w:val="00FE4463"/>
    <w:rsid w:val="00FE4575"/>
    <w:rsid w:val="00FE45CD"/>
    <w:rsid w:val="00FE45E3"/>
    <w:rsid w:val="00FE464A"/>
    <w:rsid w:val="00FE468B"/>
    <w:rsid w:val="00FE46E4"/>
    <w:rsid w:val="00FE4796"/>
    <w:rsid w:val="00FE4883"/>
    <w:rsid w:val="00FE48BC"/>
    <w:rsid w:val="00FE48E5"/>
    <w:rsid w:val="00FE48F4"/>
    <w:rsid w:val="00FE4995"/>
    <w:rsid w:val="00FE4A03"/>
    <w:rsid w:val="00FE4A15"/>
    <w:rsid w:val="00FE4A2A"/>
    <w:rsid w:val="00FE4A6D"/>
    <w:rsid w:val="00FE4BCE"/>
    <w:rsid w:val="00FE4BE1"/>
    <w:rsid w:val="00FE4BED"/>
    <w:rsid w:val="00FE4C93"/>
    <w:rsid w:val="00FE4CA3"/>
    <w:rsid w:val="00FE4DE4"/>
    <w:rsid w:val="00FE4F58"/>
    <w:rsid w:val="00FE50A6"/>
    <w:rsid w:val="00FE5114"/>
    <w:rsid w:val="00FE5115"/>
    <w:rsid w:val="00FE5126"/>
    <w:rsid w:val="00FE514D"/>
    <w:rsid w:val="00FE5160"/>
    <w:rsid w:val="00FE5195"/>
    <w:rsid w:val="00FE5235"/>
    <w:rsid w:val="00FE53A8"/>
    <w:rsid w:val="00FE53FE"/>
    <w:rsid w:val="00FE5401"/>
    <w:rsid w:val="00FE541B"/>
    <w:rsid w:val="00FE542B"/>
    <w:rsid w:val="00FE549A"/>
    <w:rsid w:val="00FE56B2"/>
    <w:rsid w:val="00FE5712"/>
    <w:rsid w:val="00FE5765"/>
    <w:rsid w:val="00FE580C"/>
    <w:rsid w:val="00FE5839"/>
    <w:rsid w:val="00FE5848"/>
    <w:rsid w:val="00FE5871"/>
    <w:rsid w:val="00FE5929"/>
    <w:rsid w:val="00FE5935"/>
    <w:rsid w:val="00FE5944"/>
    <w:rsid w:val="00FE5952"/>
    <w:rsid w:val="00FE59BB"/>
    <w:rsid w:val="00FE59DE"/>
    <w:rsid w:val="00FE5A6A"/>
    <w:rsid w:val="00FE5A6E"/>
    <w:rsid w:val="00FE5A9B"/>
    <w:rsid w:val="00FE5B4A"/>
    <w:rsid w:val="00FE5C3A"/>
    <w:rsid w:val="00FE5CF8"/>
    <w:rsid w:val="00FE5D99"/>
    <w:rsid w:val="00FE5DAA"/>
    <w:rsid w:val="00FE5DBA"/>
    <w:rsid w:val="00FE5DBF"/>
    <w:rsid w:val="00FE5E43"/>
    <w:rsid w:val="00FE5E9A"/>
    <w:rsid w:val="00FE5F60"/>
    <w:rsid w:val="00FE6026"/>
    <w:rsid w:val="00FE608F"/>
    <w:rsid w:val="00FE60B7"/>
    <w:rsid w:val="00FE6156"/>
    <w:rsid w:val="00FE618E"/>
    <w:rsid w:val="00FE6197"/>
    <w:rsid w:val="00FE61AF"/>
    <w:rsid w:val="00FE629D"/>
    <w:rsid w:val="00FE631A"/>
    <w:rsid w:val="00FE6320"/>
    <w:rsid w:val="00FE6374"/>
    <w:rsid w:val="00FE6419"/>
    <w:rsid w:val="00FE6496"/>
    <w:rsid w:val="00FE665B"/>
    <w:rsid w:val="00FE665D"/>
    <w:rsid w:val="00FE66B0"/>
    <w:rsid w:val="00FE66C1"/>
    <w:rsid w:val="00FE66CF"/>
    <w:rsid w:val="00FE670A"/>
    <w:rsid w:val="00FE6733"/>
    <w:rsid w:val="00FE6868"/>
    <w:rsid w:val="00FE6A53"/>
    <w:rsid w:val="00FE6AC8"/>
    <w:rsid w:val="00FE6ADB"/>
    <w:rsid w:val="00FE6B8C"/>
    <w:rsid w:val="00FE6B91"/>
    <w:rsid w:val="00FE6C93"/>
    <w:rsid w:val="00FE6E6D"/>
    <w:rsid w:val="00FE6F1F"/>
    <w:rsid w:val="00FE6FA8"/>
    <w:rsid w:val="00FE6FC0"/>
    <w:rsid w:val="00FE700B"/>
    <w:rsid w:val="00FE7038"/>
    <w:rsid w:val="00FE7146"/>
    <w:rsid w:val="00FE71BA"/>
    <w:rsid w:val="00FE7200"/>
    <w:rsid w:val="00FE7237"/>
    <w:rsid w:val="00FE747A"/>
    <w:rsid w:val="00FE7484"/>
    <w:rsid w:val="00FE74BC"/>
    <w:rsid w:val="00FE74C4"/>
    <w:rsid w:val="00FE74E0"/>
    <w:rsid w:val="00FE75CB"/>
    <w:rsid w:val="00FE75D6"/>
    <w:rsid w:val="00FE75FB"/>
    <w:rsid w:val="00FE767F"/>
    <w:rsid w:val="00FE7729"/>
    <w:rsid w:val="00FE77E2"/>
    <w:rsid w:val="00FE7802"/>
    <w:rsid w:val="00FE782D"/>
    <w:rsid w:val="00FE783B"/>
    <w:rsid w:val="00FE783E"/>
    <w:rsid w:val="00FE7886"/>
    <w:rsid w:val="00FE78C5"/>
    <w:rsid w:val="00FE7960"/>
    <w:rsid w:val="00FE79AF"/>
    <w:rsid w:val="00FE7A01"/>
    <w:rsid w:val="00FE7A83"/>
    <w:rsid w:val="00FE7B22"/>
    <w:rsid w:val="00FE7B28"/>
    <w:rsid w:val="00FE7BAE"/>
    <w:rsid w:val="00FE7BC5"/>
    <w:rsid w:val="00FE7C20"/>
    <w:rsid w:val="00FE7C7E"/>
    <w:rsid w:val="00FE7C9E"/>
    <w:rsid w:val="00FE7D71"/>
    <w:rsid w:val="00FE7E67"/>
    <w:rsid w:val="00FE7E88"/>
    <w:rsid w:val="00FE7ED0"/>
    <w:rsid w:val="00FE7F3A"/>
    <w:rsid w:val="00FE7F92"/>
    <w:rsid w:val="00FE7F96"/>
    <w:rsid w:val="00FE7F97"/>
    <w:rsid w:val="00FE7F9F"/>
    <w:rsid w:val="00FE7FE6"/>
    <w:rsid w:val="00FE7FFC"/>
    <w:rsid w:val="00FF0018"/>
    <w:rsid w:val="00FF0023"/>
    <w:rsid w:val="00FF0036"/>
    <w:rsid w:val="00FF0073"/>
    <w:rsid w:val="00FF00FC"/>
    <w:rsid w:val="00FF0115"/>
    <w:rsid w:val="00FF0185"/>
    <w:rsid w:val="00FF0240"/>
    <w:rsid w:val="00FF0256"/>
    <w:rsid w:val="00FF027E"/>
    <w:rsid w:val="00FF0296"/>
    <w:rsid w:val="00FF029C"/>
    <w:rsid w:val="00FF02B3"/>
    <w:rsid w:val="00FF02BE"/>
    <w:rsid w:val="00FF02D0"/>
    <w:rsid w:val="00FF033B"/>
    <w:rsid w:val="00FF0388"/>
    <w:rsid w:val="00FF03C9"/>
    <w:rsid w:val="00FF03D9"/>
    <w:rsid w:val="00FF0406"/>
    <w:rsid w:val="00FF04CE"/>
    <w:rsid w:val="00FF052B"/>
    <w:rsid w:val="00FF0575"/>
    <w:rsid w:val="00FF0590"/>
    <w:rsid w:val="00FF059B"/>
    <w:rsid w:val="00FF05B3"/>
    <w:rsid w:val="00FF05D8"/>
    <w:rsid w:val="00FF05F1"/>
    <w:rsid w:val="00FF0640"/>
    <w:rsid w:val="00FF065F"/>
    <w:rsid w:val="00FF0667"/>
    <w:rsid w:val="00FF06A3"/>
    <w:rsid w:val="00FF0714"/>
    <w:rsid w:val="00FF0764"/>
    <w:rsid w:val="00FF07E8"/>
    <w:rsid w:val="00FF083F"/>
    <w:rsid w:val="00FF0A44"/>
    <w:rsid w:val="00FF0B25"/>
    <w:rsid w:val="00FF0B89"/>
    <w:rsid w:val="00FF0B93"/>
    <w:rsid w:val="00FF0BA0"/>
    <w:rsid w:val="00FF0BBC"/>
    <w:rsid w:val="00FF0C46"/>
    <w:rsid w:val="00FF0C69"/>
    <w:rsid w:val="00FF0C85"/>
    <w:rsid w:val="00FF0D06"/>
    <w:rsid w:val="00FF0D75"/>
    <w:rsid w:val="00FF0DC4"/>
    <w:rsid w:val="00FF0DC5"/>
    <w:rsid w:val="00FF0DD9"/>
    <w:rsid w:val="00FF0E0A"/>
    <w:rsid w:val="00FF0E1E"/>
    <w:rsid w:val="00FF0E32"/>
    <w:rsid w:val="00FF0E93"/>
    <w:rsid w:val="00FF0EAD"/>
    <w:rsid w:val="00FF0EAE"/>
    <w:rsid w:val="00FF0EDE"/>
    <w:rsid w:val="00FF0EFC"/>
    <w:rsid w:val="00FF0F20"/>
    <w:rsid w:val="00FF0F24"/>
    <w:rsid w:val="00FF0FCD"/>
    <w:rsid w:val="00FF0FE1"/>
    <w:rsid w:val="00FF103F"/>
    <w:rsid w:val="00FF1170"/>
    <w:rsid w:val="00FF123D"/>
    <w:rsid w:val="00FF12F6"/>
    <w:rsid w:val="00FF1300"/>
    <w:rsid w:val="00FF131E"/>
    <w:rsid w:val="00FF13CC"/>
    <w:rsid w:val="00FF140F"/>
    <w:rsid w:val="00FF148C"/>
    <w:rsid w:val="00FF14E6"/>
    <w:rsid w:val="00FF1607"/>
    <w:rsid w:val="00FF167A"/>
    <w:rsid w:val="00FF167B"/>
    <w:rsid w:val="00FF1684"/>
    <w:rsid w:val="00FF1709"/>
    <w:rsid w:val="00FF170F"/>
    <w:rsid w:val="00FF1782"/>
    <w:rsid w:val="00FF17BD"/>
    <w:rsid w:val="00FF1825"/>
    <w:rsid w:val="00FF182A"/>
    <w:rsid w:val="00FF1855"/>
    <w:rsid w:val="00FF18B2"/>
    <w:rsid w:val="00FF18B6"/>
    <w:rsid w:val="00FF1991"/>
    <w:rsid w:val="00FF1A56"/>
    <w:rsid w:val="00FF1A7D"/>
    <w:rsid w:val="00FF1A80"/>
    <w:rsid w:val="00FF1B2E"/>
    <w:rsid w:val="00FF1B43"/>
    <w:rsid w:val="00FF1C93"/>
    <w:rsid w:val="00FF1C9E"/>
    <w:rsid w:val="00FF1CAE"/>
    <w:rsid w:val="00FF1CE0"/>
    <w:rsid w:val="00FF1D0F"/>
    <w:rsid w:val="00FF1D68"/>
    <w:rsid w:val="00FF1E72"/>
    <w:rsid w:val="00FF1E91"/>
    <w:rsid w:val="00FF1EF9"/>
    <w:rsid w:val="00FF1FC0"/>
    <w:rsid w:val="00FF1FF0"/>
    <w:rsid w:val="00FF21C0"/>
    <w:rsid w:val="00FF22B3"/>
    <w:rsid w:val="00FF234F"/>
    <w:rsid w:val="00FF2356"/>
    <w:rsid w:val="00FF2380"/>
    <w:rsid w:val="00FF2401"/>
    <w:rsid w:val="00FF244E"/>
    <w:rsid w:val="00FF249E"/>
    <w:rsid w:val="00FF24F1"/>
    <w:rsid w:val="00FF252A"/>
    <w:rsid w:val="00FF2539"/>
    <w:rsid w:val="00FF2595"/>
    <w:rsid w:val="00FF25AC"/>
    <w:rsid w:val="00FF2611"/>
    <w:rsid w:val="00FF262B"/>
    <w:rsid w:val="00FF269F"/>
    <w:rsid w:val="00FF26CC"/>
    <w:rsid w:val="00FF288E"/>
    <w:rsid w:val="00FF28C2"/>
    <w:rsid w:val="00FF293D"/>
    <w:rsid w:val="00FF29ED"/>
    <w:rsid w:val="00FF2A68"/>
    <w:rsid w:val="00FF2AA7"/>
    <w:rsid w:val="00FF2B83"/>
    <w:rsid w:val="00FF2B95"/>
    <w:rsid w:val="00FF2CA2"/>
    <w:rsid w:val="00FF2D58"/>
    <w:rsid w:val="00FF2DC8"/>
    <w:rsid w:val="00FF2E3E"/>
    <w:rsid w:val="00FF2E5D"/>
    <w:rsid w:val="00FF2E9F"/>
    <w:rsid w:val="00FF2F5B"/>
    <w:rsid w:val="00FF2F72"/>
    <w:rsid w:val="00FF2FA8"/>
    <w:rsid w:val="00FF306F"/>
    <w:rsid w:val="00FF30B3"/>
    <w:rsid w:val="00FF30C4"/>
    <w:rsid w:val="00FF30C5"/>
    <w:rsid w:val="00FF30D3"/>
    <w:rsid w:val="00FF3107"/>
    <w:rsid w:val="00FF3121"/>
    <w:rsid w:val="00FF3189"/>
    <w:rsid w:val="00FF31C4"/>
    <w:rsid w:val="00FF3282"/>
    <w:rsid w:val="00FF32F1"/>
    <w:rsid w:val="00FF3302"/>
    <w:rsid w:val="00FF33C5"/>
    <w:rsid w:val="00FF33E2"/>
    <w:rsid w:val="00FF33F7"/>
    <w:rsid w:val="00FF345E"/>
    <w:rsid w:val="00FF348F"/>
    <w:rsid w:val="00FF34D4"/>
    <w:rsid w:val="00FF35A8"/>
    <w:rsid w:val="00FF3662"/>
    <w:rsid w:val="00FF36E5"/>
    <w:rsid w:val="00FF36F6"/>
    <w:rsid w:val="00FF3891"/>
    <w:rsid w:val="00FF391F"/>
    <w:rsid w:val="00FF396A"/>
    <w:rsid w:val="00FF3AE9"/>
    <w:rsid w:val="00FF3AF0"/>
    <w:rsid w:val="00FF3B13"/>
    <w:rsid w:val="00FF3B1D"/>
    <w:rsid w:val="00FF3B50"/>
    <w:rsid w:val="00FF3BA9"/>
    <w:rsid w:val="00FF3BC7"/>
    <w:rsid w:val="00FF3BFF"/>
    <w:rsid w:val="00FF3C76"/>
    <w:rsid w:val="00FF3C96"/>
    <w:rsid w:val="00FF3CCE"/>
    <w:rsid w:val="00FF3CD2"/>
    <w:rsid w:val="00FF3D38"/>
    <w:rsid w:val="00FF3E20"/>
    <w:rsid w:val="00FF3E23"/>
    <w:rsid w:val="00FF3F7F"/>
    <w:rsid w:val="00FF40D0"/>
    <w:rsid w:val="00FF415A"/>
    <w:rsid w:val="00FF424B"/>
    <w:rsid w:val="00FF425A"/>
    <w:rsid w:val="00FF42CA"/>
    <w:rsid w:val="00FF42E3"/>
    <w:rsid w:val="00FF4352"/>
    <w:rsid w:val="00FF4358"/>
    <w:rsid w:val="00FF4378"/>
    <w:rsid w:val="00FF43C8"/>
    <w:rsid w:val="00FF440E"/>
    <w:rsid w:val="00FF441E"/>
    <w:rsid w:val="00FF447E"/>
    <w:rsid w:val="00FF44A0"/>
    <w:rsid w:val="00FF45C2"/>
    <w:rsid w:val="00FF45FF"/>
    <w:rsid w:val="00FF462A"/>
    <w:rsid w:val="00FF466C"/>
    <w:rsid w:val="00FF468C"/>
    <w:rsid w:val="00FF468E"/>
    <w:rsid w:val="00FF46AF"/>
    <w:rsid w:val="00FF471E"/>
    <w:rsid w:val="00FF477B"/>
    <w:rsid w:val="00FF4786"/>
    <w:rsid w:val="00FF4794"/>
    <w:rsid w:val="00FF47B7"/>
    <w:rsid w:val="00FF47C6"/>
    <w:rsid w:val="00FF47ED"/>
    <w:rsid w:val="00FF47F4"/>
    <w:rsid w:val="00FF48FE"/>
    <w:rsid w:val="00FF499B"/>
    <w:rsid w:val="00FF49C8"/>
    <w:rsid w:val="00FF4A4E"/>
    <w:rsid w:val="00FF4A60"/>
    <w:rsid w:val="00FF4A63"/>
    <w:rsid w:val="00FF4AA3"/>
    <w:rsid w:val="00FF4ACE"/>
    <w:rsid w:val="00FF4B2F"/>
    <w:rsid w:val="00FF4B8A"/>
    <w:rsid w:val="00FF4C01"/>
    <w:rsid w:val="00FF4D0A"/>
    <w:rsid w:val="00FF4D26"/>
    <w:rsid w:val="00FF4D4F"/>
    <w:rsid w:val="00FF4D58"/>
    <w:rsid w:val="00FF4D62"/>
    <w:rsid w:val="00FF4DA0"/>
    <w:rsid w:val="00FF4E2B"/>
    <w:rsid w:val="00FF4E31"/>
    <w:rsid w:val="00FF4ED6"/>
    <w:rsid w:val="00FF4F34"/>
    <w:rsid w:val="00FF4FB1"/>
    <w:rsid w:val="00FF5088"/>
    <w:rsid w:val="00FF50BA"/>
    <w:rsid w:val="00FF5118"/>
    <w:rsid w:val="00FF5143"/>
    <w:rsid w:val="00FF51B5"/>
    <w:rsid w:val="00FF51BB"/>
    <w:rsid w:val="00FF51DE"/>
    <w:rsid w:val="00FF52B8"/>
    <w:rsid w:val="00FF52E3"/>
    <w:rsid w:val="00FF5332"/>
    <w:rsid w:val="00FF5381"/>
    <w:rsid w:val="00FF53AD"/>
    <w:rsid w:val="00FF53C8"/>
    <w:rsid w:val="00FF53CF"/>
    <w:rsid w:val="00FF547D"/>
    <w:rsid w:val="00FF54A1"/>
    <w:rsid w:val="00FF54D4"/>
    <w:rsid w:val="00FF54E0"/>
    <w:rsid w:val="00FF5502"/>
    <w:rsid w:val="00FF555F"/>
    <w:rsid w:val="00FF556C"/>
    <w:rsid w:val="00FF556D"/>
    <w:rsid w:val="00FF558F"/>
    <w:rsid w:val="00FF567C"/>
    <w:rsid w:val="00FF56C5"/>
    <w:rsid w:val="00FF56E9"/>
    <w:rsid w:val="00FF577C"/>
    <w:rsid w:val="00FF579E"/>
    <w:rsid w:val="00FF57B0"/>
    <w:rsid w:val="00FF57EA"/>
    <w:rsid w:val="00FF59F8"/>
    <w:rsid w:val="00FF5A02"/>
    <w:rsid w:val="00FF5A89"/>
    <w:rsid w:val="00FF5B03"/>
    <w:rsid w:val="00FF5B86"/>
    <w:rsid w:val="00FF5E23"/>
    <w:rsid w:val="00FF5E71"/>
    <w:rsid w:val="00FF5E97"/>
    <w:rsid w:val="00FF5F66"/>
    <w:rsid w:val="00FF5F7A"/>
    <w:rsid w:val="00FF5F80"/>
    <w:rsid w:val="00FF5FDE"/>
    <w:rsid w:val="00FF6063"/>
    <w:rsid w:val="00FF608C"/>
    <w:rsid w:val="00FF622F"/>
    <w:rsid w:val="00FF6274"/>
    <w:rsid w:val="00FF6334"/>
    <w:rsid w:val="00FF63AA"/>
    <w:rsid w:val="00FF63C3"/>
    <w:rsid w:val="00FF6425"/>
    <w:rsid w:val="00FF6489"/>
    <w:rsid w:val="00FF64C9"/>
    <w:rsid w:val="00FF64CB"/>
    <w:rsid w:val="00FF64D6"/>
    <w:rsid w:val="00FF6554"/>
    <w:rsid w:val="00FF6609"/>
    <w:rsid w:val="00FF663F"/>
    <w:rsid w:val="00FF6655"/>
    <w:rsid w:val="00FF66B4"/>
    <w:rsid w:val="00FF66E3"/>
    <w:rsid w:val="00FF6755"/>
    <w:rsid w:val="00FF6811"/>
    <w:rsid w:val="00FF6906"/>
    <w:rsid w:val="00FF6964"/>
    <w:rsid w:val="00FF69E6"/>
    <w:rsid w:val="00FF6A2E"/>
    <w:rsid w:val="00FF6A5E"/>
    <w:rsid w:val="00FF6AA6"/>
    <w:rsid w:val="00FF6AFC"/>
    <w:rsid w:val="00FF6B62"/>
    <w:rsid w:val="00FF6BB3"/>
    <w:rsid w:val="00FF6BD3"/>
    <w:rsid w:val="00FF6BD8"/>
    <w:rsid w:val="00FF6C1F"/>
    <w:rsid w:val="00FF6C74"/>
    <w:rsid w:val="00FF6C79"/>
    <w:rsid w:val="00FF6D4B"/>
    <w:rsid w:val="00FF6D9E"/>
    <w:rsid w:val="00FF6E0C"/>
    <w:rsid w:val="00FF6E1C"/>
    <w:rsid w:val="00FF6E60"/>
    <w:rsid w:val="00FF6EE4"/>
    <w:rsid w:val="00FF6F7C"/>
    <w:rsid w:val="00FF6FEB"/>
    <w:rsid w:val="00FF7008"/>
    <w:rsid w:val="00FF7031"/>
    <w:rsid w:val="00FF7060"/>
    <w:rsid w:val="00FF70C4"/>
    <w:rsid w:val="00FF70FC"/>
    <w:rsid w:val="00FF7104"/>
    <w:rsid w:val="00FF712D"/>
    <w:rsid w:val="00FF7252"/>
    <w:rsid w:val="00FF726E"/>
    <w:rsid w:val="00FF735B"/>
    <w:rsid w:val="00FF73D5"/>
    <w:rsid w:val="00FF7403"/>
    <w:rsid w:val="00FF7405"/>
    <w:rsid w:val="00FF7452"/>
    <w:rsid w:val="00FF7458"/>
    <w:rsid w:val="00FF7459"/>
    <w:rsid w:val="00FF7472"/>
    <w:rsid w:val="00FF74AA"/>
    <w:rsid w:val="00FF74F0"/>
    <w:rsid w:val="00FF74FB"/>
    <w:rsid w:val="00FF7533"/>
    <w:rsid w:val="00FF7568"/>
    <w:rsid w:val="00FF7581"/>
    <w:rsid w:val="00FF7584"/>
    <w:rsid w:val="00FF75A2"/>
    <w:rsid w:val="00FF75FE"/>
    <w:rsid w:val="00FF7619"/>
    <w:rsid w:val="00FF77E8"/>
    <w:rsid w:val="00FF7831"/>
    <w:rsid w:val="00FF7881"/>
    <w:rsid w:val="00FF7AAC"/>
    <w:rsid w:val="00FF7B32"/>
    <w:rsid w:val="00FF7C08"/>
    <w:rsid w:val="00FF7C89"/>
    <w:rsid w:val="00FF7CE0"/>
    <w:rsid w:val="00FF7D85"/>
    <w:rsid w:val="00FF7DC4"/>
    <w:rsid w:val="00FF7E71"/>
    <w:rsid w:val="00FF7E88"/>
    <w:rsid w:val="00FF7EDB"/>
    <w:rsid w:val="00FF7EFC"/>
    <w:rsid w:val="00FF7FA0"/>
    <w:rsid w:val="01056847"/>
    <w:rsid w:val="0116EA0D"/>
    <w:rsid w:val="01199A35"/>
    <w:rsid w:val="011B9BB3"/>
    <w:rsid w:val="011CF98A"/>
    <w:rsid w:val="01256A3E"/>
    <w:rsid w:val="012AAA4F"/>
    <w:rsid w:val="013C79C6"/>
    <w:rsid w:val="013E1B5F"/>
    <w:rsid w:val="013F98AC"/>
    <w:rsid w:val="0149840B"/>
    <w:rsid w:val="014C297E"/>
    <w:rsid w:val="015570A0"/>
    <w:rsid w:val="0156F9A1"/>
    <w:rsid w:val="0158D4A2"/>
    <w:rsid w:val="016170B2"/>
    <w:rsid w:val="01641443"/>
    <w:rsid w:val="0172315D"/>
    <w:rsid w:val="0177807A"/>
    <w:rsid w:val="0179B7B7"/>
    <w:rsid w:val="017CCB7F"/>
    <w:rsid w:val="01804961"/>
    <w:rsid w:val="018C62FE"/>
    <w:rsid w:val="0190F498"/>
    <w:rsid w:val="0195DFD2"/>
    <w:rsid w:val="01965FF2"/>
    <w:rsid w:val="01A6F860"/>
    <w:rsid w:val="01A82076"/>
    <w:rsid w:val="01ACE79F"/>
    <w:rsid w:val="01ADB3BD"/>
    <w:rsid w:val="01B4E87C"/>
    <w:rsid w:val="01D1EB7B"/>
    <w:rsid w:val="01D4C12D"/>
    <w:rsid w:val="01D9D3A4"/>
    <w:rsid w:val="01DAF95D"/>
    <w:rsid w:val="01E631F5"/>
    <w:rsid w:val="01E85095"/>
    <w:rsid w:val="01E8AF4D"/>
    <w:rsid w:val="01F0F585"/>
    <w:rsid w:val="01FE0C1C"/>
    <w:rsid w:val="0201E78B"/>
    <w:rsid w:val="0210B77D"/>
    <w:rsid w:val="0212B23C"/>
    <w:rsid w:val="02166910"/>
    <w:rsid w:val="021765DA"/>
    <w:rsid w:val="0224AA6A"/>
    <w:rsid w:val="022D4585"/>
    <w:rsid w:val="023E166C"/>
    <w:rsid w:val="02453CCB"/>
    <w:rsid w:val="025412B3"/>
    <w:rsid w:val="0260F696"/>
    <w:rsid w:val="02683B19"/>
    <w:rsid w:val="026AAFAF"/>
    <w:rsid w:val="026E7EBC"/>
    <w:rsid w:val="0282D1A6"/>
    <w:rsid w:val="028EEE86"/>
    <w:rsid w:val="02941A6B"/>
    <w:rsid w:val="02941BF0"/>
    <w:rsid w:val="02950F4C"/>
    <w:rsid w:val="029835A6"/>
    <w:rsid w:val="0299EE65"/>
    <w:rsid w:val="029CBA91"/>
    <w:rsid w:val="02A1F0DE"/>
    <w:rsid w:val="02A2DE95"/>
    <w:rsid w:val="02A3F911"/>
    <w:rsid w:val="02A500AF"/>
    <w:rsid w:val="02A74875"/>
    <w:rsid w:val="02A7AB4A"/>
    <w:rsid w:val="02A8E789"/>
    <w:rsid w:val="02AB2A3C"/>
    <w:rsid w:val="02B8030E"/>
    <w:rsid w:val="02BFD9FE"/>
    <w:rsid w:val="02C4DEAC"/>
    <w:rsid w:val="02C4E964"/>
    <w:rsid w:val="02C58640"/>
    <w:rsid w:val="02D30214"/>
    <w:rsid w:val="02D51FF3"/>
    <w:rsid w:val="02E20F0E"/>
    <w:rsid w:val="02E83EAB"/>
    <w:rsid w:val="02EA5684"/>
    <w:rsid w:val="02EFF174"/>
    <w:rsid w:val="02F10718"/>
    <w:rsid w:val="02F31FF4"/>
    <w:rsid w:val="02F8291D"/>
    <w:rsid w:val="02FC08C8"/>
    <w:rsid w:val="03002E81"/>
    <w:rsid w:val="03006C9E"/>
    <w:rsid w:val="031209BE"/>
    <w:rsid w:val="03147362"/>
    <w:rsid w:val="0318C6CE"/>
    <w:rsid w:val="031AB925"/>
    <w:rsid w:val="031B527B"/>
    <w:rsid w:val="031E43C7"/>
    <w:rsid w:val="03263E62"/>
    <w:rsid w:val="032E5B6B"/>
    <w:rsid w:val="032EBE1C"/>
    <w:rsid w:val="03358C24"/>
    <w:rsid w:val="033D8E80"/>
    <w:rsid w:val="03457741"/>
    <w:rsid w:val="0346D023"/>
    <w:rsid w:val="034DC90C"/>
    <w:rsid w:val="035C43CE"/>
    <w:rsid w:val="035FED0A"/>
    <w:rsid w:val="0361F5C5"/>
    <w:rsid w:val="03627CFA"/>
    <w:rsid w:val="0368143F"/>
    <w:rsid w:val="0370B517"/>
    <w:rsid w:val="03764FE0"/>
    <w:rsid w:val="03838538"/>
    <w:rsid w:val="03843D31"/>
    <w:rsid w:val="03938EBF"/>
    <w:rsid w:val="039932E6"/>
    <w:rsid w:val="03A4B9EF"/>
    <w:rsid w:val="03A57777"/>
    <w:rsid w:val="03A677DB"/>
    <w:rsid w:val="03B4F1B5"/>
    <w:rsid w:val="03B60C8B"/>
    <w:rsid w:val="03B95FF5"/>
    <w:rsid w:val="03BB4FD9"/>
    <w:rsid w:val="03C0390C"/>
    <w:rsid w:val="03C06426"/>
    <w:rsid w:val="03C55101"/>
    <w:rsid w:val="03C723C3"/>
    <w:rsid w:val="03D1522E"/>
    <w:rsid w:val="03D56F79"/>
    <w:rsid w:val="03D9071D"/>
    <w:rsid w:val="03DEE156"/>
    <w:rsid w:val="03E1143F"/>
    <w:rsid w:val="03EB8A68"/>
    <w:rsid w:val="03F62E2A"/>
    <w:rsid w:val="03F6FA90"/>
    <w:rsid w:val="03F9DA32"/>
    <w:rsid w:val="03FCF3AF"/>
    <w:rsid w:val="0400D55A"/>
    <w:rsid w:val="04083C82"/>
    <w:rsid w:val="040AFB2D"/>
    <w:rsid w:val="040DF5E5"/>
    <w:rsid w:val="041317CF"/>
    <w:rsid w:val="04168FBE"/>
    <w:rsid w:val="0426E215"/>
    <w:rsid w:val="0438447F"/>
    <w:rsid w:val="0438F95A"/>
    <w:rsid w:val="043DB401"/>
    <w:rsid w:val="043FD345"/>
    <w:rsid w:val="0444EB29"/>
    <w:rsid w:val="04585B02"/>
    <w:rsid w:val="046A4A71"/>
    <w:rsid w:val="046BB6DE"/>
    <w:rsid w:val="046D87C3"/>
    <w:rsid w:val="046FC961"/>
    <w:rsid w:val="04716945"/>
    <w:rsid w:val="0478CC80"/>
    <w:rsid w:val="047AE6FD"/>
    <w:rsid w:val="0481EC58"/>
    <w:rsid w:val="04847E53"/>
    <w:rsid w:val="0484E54E"/>
    <w:rsid w:val="048702E7"/>
    <w:rsid w:val="048C97BB"/>
    <w:rsid w:val="048FF9B6"/>
    <w:rsid w:val="0495AAF8"/>
    <w:rsid w:val="04A74648"/>
    <w:rsid w:val="04AD6FB6"/>
    <w:rsid w:val="04AE518F"/>
    <w:rsid w:val="04B1388F"/>
    <w:rsid w:val="04B6268F"/>
    <w:rsid w:val="04BD93FC"/>
    <w:rsid w:val="04C2AB75"/>
    <w:rsid w:val="04C378C5"/>
    <w:rsid w:val="04D2ADAA"/>
    <w:rsid w:val="04D99F89"/>
    <w:rsid w:val="04DDF95E"/>
    <w:rsid w:val="04F22EBF"/>
    <w:rsid w:val="04F54E62"/>
    <w:rsid w:val="04F63B9F"/>
    <w:rsid w:val="04F6D442"/>
    <w:rsid w:val="04FA0705"/>
    <w:rsid w:val="05009F7A"/>
    <w:rsid w:val="050C6E31"/>
    <w:rsid w:val="051326AD"/>
    <w:rsid w:val="05145B96"/>
    <w:rsid w:val="0522403A"/>
    <w:rsid w:val="0523A446"/>
    <w:rsid w:val="052DBA5D"/>
    <w:rsid w:val="05343216"/>
    <w:rsid w:val="053CA76F"/>
    <w:rsid w:val="054FE786"/>
    <w:rsid w:val="055571EA"/>
    <w:rsid w:val="055AF6CC"/>
    <w:rsid w:val="056ADF1E"/>
    <w:rsid w:val="056E4478"/>
    <w:rsid w:val="0572EA31"/>
    <w:rsid w:val="058FED31"/>
    <w:rsid w:val="05933B35"/>
    <w:rsid w:val="059798F0"/>
    <w:rsid w:val="059F4322"/>
    <w:rsid w:val="05AB1B13"/>
    <w:rsid w:val="05ACF1AA"/>
    <w:rsid w:val="05AE281D"/>
    <w:rsid w:val="05AF5D6D"/>
    <w:rsid w:val="05B02170"/>
    <w:rsid w:val="05B3AA7C"/>
    <w:rsid w:val="05B48527"/>
    <w:rsid w:val="05C5B38D"/>
    <w:rsid w:val="05DB15EF"/>
    <w:rsid w:val="05E41A74"/>
    <w:rsid w:val="05E62BE4"/>
    <w:rsid w:val="05EBD05A"/>
    <w:rsid w:val="05F5C135"/>
    <w:rsid w:val="05F819AB"/>
    <w:rsid w:val="060C555F"/>
    <w:rsid w:val="060DDF25"/>
    <w:rsid w:val="061AB861"/>
    <w:rsid w:val="061B7D43"/>
    <w:rsid w:val="061BBD89"/>
    <w:rsid w:val="0622CB67"/>
    <w:rsid w:val="062642F7"/>
    <w:rsid w:val="062A6ACA"/>
    <w:rsid w:val="062BA10B"/>
    <w:rsid w:val="062DFF28"/>
    <w:rsid w:val="063160FA"/>
    <w:rsid w:val="06386C80"/>
    <w:rsid w:val="06391103"/>
    <w:rsid w:val="0640A6F3"/>
    <w:rsid w:val="06412B54"/>
    <w:rsid w:val="0641C9F4"/>
    <w:rsid w:val="0645DC8A"/>
    <w:rsid w:val="064D0420"/>
    <w:rsid w:val="06502BDE"/>
    <w:rsid w:val="06516F97"/>
    <w:rsid w:val="0657AFEB"/>
    <w:rsid w:val="065C0BBF"/>
    <w:rsid w:val="06631FCB"/>
    <w:rsid w:val="0669E8C2"/>
    <w:rsid w:val="066B2688"/>
    <w:rsid w:val="06728A3E"/>
    <w:rsid w:val="067B2793"/>
    <w:rsid w:val="067D8B47"/>
    <w:rsid w:val="067FF199"/>
    <w:rsid w:val="068E0441"/>
    <w:rsid w:val="06937A99"/>
    <w:rsid w:val="069A186B"/>
    <w:rsid w:val="069A4197"/>
    <w:rsid w:val="069F1186"/>
    <w:rsid w:val="069F53BB"/>
    <w:rsid w:val="06A3355B"/>
    <w:rsid w:val="06AA6E54"/>
    <w:rsid w:val="06AEA359"/>
    <w:rsid w:val="06BAE8CF"/>
    <w:rsid w:val="06C2C8F3"/>
    <w:rsid w:val="06C40B0D"/>
    <w:rsid w:val="06C9E1A7"/>
    <w:rsid w:val="06DD35E5"/>
    <w:rsid w:val="06E39AD3"/>
    <w:rsid w:val="06E6E3BC"/>
    <w:rsid w:val="06E736E0"/>
    <w:rsid w:val="06F43E00"/>
    <w:rsid w:val="06F7BB87"/>
    <w:rsid w:val="06FC6B26"/>
    <w:rsid w:val="06FFDC24"/>
    <w:rsid w:val="0709B166"/>
    <w:rsid w:val="071E5598"/>
    <w:rsid w:val="0720A07F"/>
    <w:rsid w:val="07235C51"/>
    <w:rsid w:val="0727ABBB"/>
    <w:rsid w:val="072CCAD2"/>
    <w:rsid w:val="072E5CD5"/>
    <w:rsid w:val="073F2D18"/>
    <w:rsid w:val="07456081"/>
    <w:rsid w:val="07468C9B"/>
    <w:rsid w:val="074A6A74"/>
    <w:rsid w:val="0752BC94"/>
    <w:rsid w:val="07586D2E"/>
    <w:rsid w:val="07592126"/>
    <w:rsid w:val="075E96F6"/>
    <w:rsid w:val="07644433"/>
    <w:rsid w:val="076B85BD"/>
    <w:rsid w:val="0777F9C3"/>
    <w:rsid w:val="077CBABC"/>
    <w:rsid w:val="0784B51F"/>
    <w:rsid w:val="078F976B"/>
    <w:rsid w:val="0791AFB6"/>
    <w:rsid w:val="079BC980"/>
    <w:rsid w:val="079E3854"/>
    <w:rsid w:val="07A23057"/>
    <w:rsid w:val="07A3600E"/>
    <w:rsid w:val="07A7EB5C"/>
    <w:rsid w:val="07AA6CAD"/>
    <w:rsid w:val="07B41D72"/>
    <w:rsid w:val="07B82713"/>
    <w:rsid w:val="07B8F2BF"/>
    <w:rsid w:val="07B9F655"/>
    <w:rsid w:val="07CB54E8"/>
    <w:rsid w:val="07CFCE5A"/>
    <w:rsid w:val="07E62D45"/>
    <w:rsid w:val="07E96DF0"/>
    <w:rsid w:val="07F61DAE"/>
    <w:rsid w:val="07F861EB"/>
    <w:rsid w:val="07FEEEAD"/>
    <w:rsid w:val="08038D51"/>
    <w:rsid w:val="08074C35"/>
    <w:rsid w:val="08103F89"/>
    <w:rsid w:val="081145DD"/>
    <w:rsid w:val="082C3B56"/>
    <w:rsid w:val="0830BC99"/>
    <w:rsid w:val="083D2B45"/>
    <w:rsid w:val="0843C0BB"/>
    <w:rsid w:val="084BCFC8"/>
    <w:rsid w:val="08531C64"/>
    <w:rsid w:val="08546DBA"/>
    <w:rsid w:val="0857EFFA"/>
    <w:rsid w:val="085B45A4"/>
    <w:rsid w:val="08632569"/>
    <w:rsid w:val="0863B232"/>
    <w:rsid w:val="0875D725"/>
    <w:rsid w:val="087740D5"/>
    <w:rsid w:val="087BABC5"/>
    <w:rsid w:val="0882D8DF"/>
    <w:rsid w:val="08868DDB"/>
    <w:rsid w:val="088868D5"/>
    <w:rsid w:val="088D96C3"/>
    <w:rsid w:val="08967D47"/>
    <w:rsid w:val="08975FD0"/>
    <w:rsid w:val="089C06EA"/>
    <w:rsid w:val="089C43DC"/>
    <w:rsid w:val="08A07C95"/>
    <w:rsid w:val="08A84ED1"/>
    <w:rsid w:val="08ADD679"/>
    <w:rsid w:val="08B3F07D"/>
    <w:rsid w:val="08B8D40B"/>
    <w:rsid w:val="08BC139D"/>
    <w:rsid w:val="08BD08E0"/>
    <w:rsid w:val="08BE68C6"/>
    <w:rsid w:val="08C352C6"/>
    <w:rsid w:val="08C6D45A"/>
    <w:rsid w:val="08CBCD88"/>
    <w:rsid w:val="08CC3D36"/>
    <w:rsid w:val="08CD3693"/>
    <w:rsid w:val="08D80316"/>
    <w:rsid w:val="08DC9491"/>
    <w:rsid w:val="08DE2536"/>
    <w:rsid w:val="08E2804D"/>
    <w:rsid w:val="08E577EF"/>
    <w:rsid w:val="08F7E11B"/>
    <w:rsid w:val="08F95101"/>
    <w:rsid w:val="08FAA4E4"/>
    <w:rsid w:val="08FCC5B4"/>
    <w:rsid w:val="08FCD37F"/>
    <w:rsid w:val="08FF8E27"/>
    <w:rsid w:val="0906C89A"/>
    <w:rsid w:val="090FC101"/>
    <w:rsid w:val="091857BF"/>
    <w:rsid w:val="092CD065"/>
    <w:rsid w:val="093522E0"/>
    <w:rsid w:val="09588D50"/>
    <w:rsid w:val="095B36E7"/>
    <w:rsid w:val="096673AA"/>
    <w:rsid w:val="09677577"/>
    <w:rsid w:val="096A4F51"/>
    <w:rsid w:val="096DF52B"/>
    <w:rsid w:val="096EB3DC"/>
    <w:rsid w:val="097382DB"/>
    <w:rsid w:val="0973A058"/>
    <w:rsid w:val="09804899"/>
    <w:rsid w:val="0982A57A"/>
    <w:rsid w:val="09862A8C"/>
    <w:rsid w:val="098A9A61"/>
    <w:rsid w:val="098B92C4"/>
    <w:rsid w:val="098E0745"/>
    <w:rsid w:val="09B19263"/>
    <w:rsid w:val="09B24976"/>
    <w:rsid w:val="09B6FC9D"/>
    <w:rsid w:val="09B8AD92"/>
    <w:rsid w:val="09B8BF50"/>
    <w:rsid w:val="09BA34E4"/>
    <w:rsid w:val="09C03C5A"/>
    <w:rsid w:val="09C54BCA"/>
    <w:rsid w:val="09CF2D26"/>
    <w:rsid w:val="09E076EA"/>
    <w:rsid w:val="09E1F138"/>
    <w:rsid w:val="09E28A33"/>
    <w:rsid w:val="09E34F93"/>
    <w:rsid w:val="09E827FA"/>
    <w:rsid w:val="09EB6B9B"/>
    <w:rsid w:val="09EC9D87"/>
    <w:rsid w:val="09F08684"/>
    <w:rsid w:val="09F1DF18"/>
    <w:rsid w:val="09F7947C"/>
    <w:rsid w:val="09F94903"/>
    <w:rsid w:val="09FA0361"/>
    <w:rsid w:val="09FB18C9"/>
    <w:rsid w:val="0A0275D2"/>
    <w:rsid w:val="0A0717F0"/>
    <w:rsid w:val="0A0F7811"/>
    <w:rsid w:val="0A152279"/>
    <w:rsid w:val="0A15BE90"/>
    <w:rsid w:val="0A1672A5"/>
    <w:rsid w:val="0A187BC9"/>
    <w:rsid w:val="0A246154"/>
    <w:rsid w:val="0A2C0E4D"/>
    <w:rsid w:val="0A2E8619"/>
    <w:rsid w:val="0A4114D7"/>
    <w:rsid w:val="0A42576B"/>
    <w:rsid w:val="0A4511BB"/>
    <w:rsid w:val="0A4644AF"/>
    <w:rsid w:val="0A5BC4D1"/>
    <w:rsid w:val="0A67C059"/>
    <w:rsid w:val="0A6ABA23"/>
    <w:rsid w:val="0A6E951E"/>
    <w:rsid w:val="0A6FF079"/>
    <w:rsid w:val="0A71D21B"/>
    <w:rsid w:val="0A7F6030"/>
    <w:rsid w:val="0A82C6F8"/>
    <w:rsid w:val="0A875AD5"/>
    <w:rsid w:val="0A894CA7"/>
    <w:rsid w:val="0A8CD601"/>
    <w:rsid w:val="0A93030E"/>
    <w:rsid w:val="0A997908"/>
    <w:rsid w:val="0A9CD0DC"/>
    <w:rsid w:val="0AA1B944"/>
    <w:rsid w:val="0AA65B3A"/>
    <w:rsid w:val="0AAA0628"/>
    <w:rsid w:val="0AAFC9C9"/>
    <w:rsid w:val="0ABDACB2"/>
    <w:rsid w:val="0ABE7607"/>
    <w:rsid w:val="0AC58EF7"/>
    <w:rsid w:val="0ACB7597"/>
    <w:rsid w:val="0ACCE484"/>
    <w:rsid w:val="0AD73887"/>
    <w:rsid w:val="0ADF8BE9"/>
    <w:rsid w:val="0AE1E340"/>
    <w:rsid w:val="0AF6EBFC"/>
    <w:rsid w:val="0AFA11CE"/>
    <w:rsid w:val="0AFA4D54"/>
    <w:rsid w:val="0AFDB588"/>
    <w:rsid w:val="0AFE1123"/>
    <w:rsid w:val="0B005781"/>
    <w:rsid w:val="0B05F848"/>
    <w:rsid w:val="0B0CDE25"/>
    <w:rsid w:val="0B0DEF0B"/>
    <w:rsid w:val="0B119D19"/>
    <w:rsid w:val="0B1786F9"/>
    <w:rsid w:val="0B352FE9"/>
    <w:rsid w:val="0B35D056"/>
    <w:rsid w:val="0B41FE77"/>
    <w:rsid w:val="0B44F251"/>
    <w:rsid w:val="0B48A769"/>
    <w:rsid w:val="0B4C7CD2"/>
    <w:rsid w:val="0B510544"/>
    <w:rsid w:val="0B5763AE"/>
    <w:rsid w:val="0B5C5CAA"/>
    <w:rsid w:val="0B5D11C3"/>
    <w:rsid w:val="0B686F9E"/>
    <w:rsid w:val="0B6A47E4"/>
    <w:rsid w:val="0B7494B1"/>
    <w:rsid w:val="0B76E547"/>
    <w:rsid w:val="0B78FE85"/>
    <w:rsid w:val="0B791CED"/>
    <w:rsid w:val="0B798A35"/>
    <w:rsid w:val="0B7E6243"/>
    <w:rsid w:val="0B8143AD"/>
    <w:rsid w:val="0B88465B"/>
    <w:rsid w:val="0B8FA9EB"/>
    <w:rsid w:val="0B93C223"/>
    <w:rsid w:val="0B97458B"/>
    <w:rsid w:val="0BA416FF"/>
    <w:rsid w:val="0BA671D6"/>
    <w:rsid w:val="0BB37D3F"/>
    <w:rsid w:val="0BB80FCE"/>
    <w:rsid w:val="0BBE32C9"/>
    <w:rsid w:val="0BBEB3FA"/>
    <w:rsid w:val="0BBF825A"/>
    <w:rsid w:val="0BC02446"/>
    <w:rsid w:val="0BC1E63C"/>
    <w:rsid w:val="0BC4423E"/>
    <w:rsid w:val="0BCC441C"/>
    <w:rsid w:val="0BCCEB2A"/>
    <w:rsid w:val="0BCF1E03"/>
    <w:rsid w:val="0BD2270F"/>
    <w:rsid w:val="0BDB4843"/>
    <w:rsid w:val="0BE16E9A"/>
    <w:rsid w:val="0BE549D5"/>
    <w:rsid w:val="0BE6DEFA"/>
    <w:rsid w:val="0BEEBD16"/>
    <w:rsid w:val="0BF2C516"/>
    <w:rsid w:val="0BF97C79"/>
    <w:rsid w:val="0C07663C"/>
    <w:rsid w:val="0C084D1D"/>
    <w:rsid w:val="0C14747D"/>
    <w:rsid w:val="0C15C2E3"/>
    <w:rsid w:val="0C182398"/>
    <w:rsid w:val="0C2DD6A9"/>
    <w:rsid w:val="0C34648D"/>
    <w:rsid w:val="0C3BA830"/>
    <w:rsid w:val="0C46E913"/>
    <w:rsid w:val="0C49FDC9"/>
    <w:rsid w:val="0C5F089B"/>
    <w:rsid w:val="0C65A694"/>
    <w:rsid w:val="0C719F3D"/>
    <w:rsid w:val="0C75A0F0"/>
    <w:rsid w:val="0C7AF434"/>
    <w:rsid w:val="0C7B9F64"/>
    <w:rsid w:val="0C7C44D5"/>
    <w:rsid w:val="0C80D40B"/>
    <w:rsid w:val="0C95ABF1"/>
    <w:rsid w:val="0C98F7EA"/>
    <w:rsid w:val="0C9AFED7"/>
    <w:rsid w:val="0CB0A8EF"/>
    <w:rsid w:val="0CD1149C"/>
    <w:rsid w:val="0CD49CF5"/>
    <w:rsid w:val="0CD69AC7"/>
    <w:rsid w:val="0CD6AF45"/>
    <w:rsid w:val="0CE49859"/>
    <w:rsid w:val="0CE5E668"/>
    <w:rsid w:val="0CF2F5D1"/>
    <w:rsid w:val="0CFABFC4"/>
    <w:rsid w:val="0CFC6E4F"/>
    <w:rsid w:val="0CFD2B8D"/>
    <w:rsid w:val="0D018980"/>
    <w:rsid w:val="0D02C028"/>
    <w:rsid w:val="0D060A8F"/>
    <w:rsid w:val="0D10A5EC"/>
    <w:rsid w:val="0D246A8C"/>
    <w:rsid w:val="0D2810F8"/>
    <w:rsid w:val="0D33034C"/>
    <w:rsid w:val="0D3A0C9F"/>
    <w:rsid w:val="0D43C0F9"/>
    <w:rsid w:val="0D473B78"/>
    <w:rsid w:val="0D4838AB"/>
    <w:rsid w:val="0D51EA9C"/>
    <w:rsid w:val="0D53C327"/>
    <w:rsid w:val="0D59787B"/>
    <w:rsid w:val="0D5C1D91"/>
    <w:rsid w:val="0D5EF4DE"/>
    <w:rsid w:val="0D683513"/>
    <w:rsid w:val="0D68D88B"/>
    <w:rsid w:val="0D692DC3"/>
    <w:rsid w:val="0D6B5726"/>
    <w:rsid w:val="0D712F05"/>
    <w:rsid w:val="0D714CA8"/>
    <w:rsid w:val="0D74FCCF"/>
    <w:rsid w:val="0D7C214C"/>
    <w:rsid w:val="0D7DFB55"/>
    <w:rsid w:val="0D7E336D"/>
    <w:rsid w:val="0D8075BE"/>
    <w:rsid w:val="0D85D0E4"/>
    <w:rsid w:val="0DA25F0C"/>
    <w:rsid w:val="0DA2AF5B"/>
    <w:rsid w:val="0DA432FE"/>
    <w:rsid w:val="0DA79D64"/>
    <w:rsid w:val="0DAE216B"/>
    <w:rsid w:val="0DB40601"/>
    <w:rsid w:val="0DB5244A"/>
    <w:rsid w:val="0DB87AF7"/>
    <w:rsid w:val="0DBAEAB1"/>
    <w:rsid w:val="0DC6ADB0"/>
    <w:rsid w:val="0DC7290B"/>
    <w:rsid w:val="0DCB39AB"/>
    <w:rsid w:val="0DCC707A"/>
    <w:rsid w:val="0DCD0196"/>
    <w:rsid w:val="0DCE4C85"/>
    <w:rsid w:val="0DD383B3"/>
    <w:rsid w:val="0DE563D6"/>
    <w:rsid w:val="0DF1C9C8"/>
    <w:rsid w:val="0DF2B615"/>
    <w:rsid w:val="0DF38927"/>
    <w:rsid w:val="0DFDEF03"/>
    <w:rsid w:val="0DFFB0FE"/>
    <w:rsid w:val="0E012DEA"/>
    <w:rsid w:val="0E01CEE7"/>
    <w:rsid w:val="0E0E6DEA"/>
    <w:rsid w:val="0E0E742F"/>
    <w:rsid w:val="0E0E7E5C"/>
    <w:rsid w:val="0E1FD125"/>
    <w:rsid w:val="0E27F449"/>
    <w:rsid w:val="0E30D42C"/>
    <w:rsid w:val="0E32FA57"/>
    <w:rsid w:val="0E3AD278"/>
    <w:rsid w:val="0E3BE08E"/>
    <w:rsid w:val="0E3EECA5"/>
    <w:rsid w:val="0E3F043F"/>
    <w:rsid w:val="0E47C5CD"/>
    <w:rsid w:val="0E48A586"/>
    <w:rsid w:val="0E4A3FF9"/>
    <w:rsid w:val="0E4CF51F"/>
    <w:rsid w:val="0E4ED4F9"/>
    <w:rsid w:val="0E5B0D85"/>
    <w:rsid w:val="0E5B690D"/>
    <w:rsid w:val="0E653292"/>
    <w:rsid w:val="0E66AF77"/>
    <w:rsid w:val="0E673768"/>
    <w:rsid w:val="0E6FDA91"/>
    <w:rsid w:val="0E708425"/>
    <w:rsid w:val="0E728851"/>
    <w:rsid w:val="0EA4E2DB"/>
    <w:rsid w:val="0EA94ADC"/>
    <w:rsid w:val="0EAE2EAB"/>
    <w:rsid w:val="0EBA447D"/>
    <w:rsid w:val="0EC22045"/>
    <w:rsid w:val="0ECA4AC9"/>
    <w:rsid w:val="0EE3AEDF"/>
    <w:rsid w:val="0EEB04FE"/>
    <w:rsid w:val="0EEB1C8E"/>
    <w:rsid w:val="0EF1A315"/>
    <w:rsid w:val="0EF35E39"/>
    <w:rsid w:val="0EF6386A"/>
    <w:rsid w:val="0EFCBCBA"/>
    <w:rsid w:val="0F06FD2F"/>
    <w:rsid w:val="0F078887"/>
    <w:rsid w:val="0F143E05"/>
    <w:rsid w:val="0F159832"/>
    <w:rsid w:val="0F166BD2"/>
    <w:rsid w:val="0F16DE7D"/>
    <w:rsid w:val="0F1BFB26"/>
    <w:rsid w:val="0F253154"/>
    <w:rsid w:val="0F2E909C"/>
    <w:rsid w:val="0F33E78B"/>
    <w:rsid w:val="0F4096F7"/>
    <w:rsid w:val="0F477CBA"/>
    <w:rsid w:val="0F64CC9F"/>
    <w:rsid w:val="0F68EE50"/>
    <w:rsid w:val="0F6FF4B6"/>
    <w:rsid w:val="0F736BB1"/>
    <w:rsid w:val="0F77A04E"/>
    <w:rsid w:val="0F7EEA9C"/>
    <w:rsid w:val="0F872909"/>
    <w:rsid w:val="0F8B7DCB"/>
    <w:rsid w:val="0F8D9005"/>
    <w:rsid w:val="0FA50B0A"/>
    <w:rsid w:val="0FA73FE0"/>
    <w:rsid w:val="0FB3B1A0"/>
    <w:rsid w:val="0FC01025"/>
    <w:rsid w:val="0FCC7780"/>
    <w:rsid w:val="0FCF033A"/>
    <w:rsid w:val="0FED704E"/>
    <w:rsid w:val="0FF794EC"/>
    <w:rsid w:val="1007ED5C"/>
    <w:rsid w:val="100E1C5A"/>
    <w:rsid w:val="100E3A26"/>
    <w:rsid w:val="10112B02"/>
    <w:rsid w:val="1013DD57"/>
    <w:rsid w:val="1014FD18"/>
    <w:rsid w:val="1018E9E0"/>
    <w:rsid w:val="101996DA"/>
    <w:rsid w:val="101F1795"/>
    <w:rsid w:val="1023E136"/>
    <w:rsid w:val="102A4A06"/>
    <w:rsid w:val="102B4804"/>
    <w:rsid w:val="102FF730"/>
    <w:rsid w:val="1035681B"/>
    <w:rsid w:val="10399E7A"/>
    <w:rsid w:val="103D0D2A"/>
    <w:rsid w:val="1044F941"/>
    <w:rsid w:val="1045BB11"/>
    <w:rsid w:val="104C7D9F"/>
    <w:rsid w:val="1061991E"/>
    <w:rsid w:val="10674EA1"/>
    <w:rsid w:val="10676113"/>
    <w:rsid w:val="1069787F"/>
    <w:rsid w:val="106F59AA"/>
    <w:rsid w:val="10701E5F"/>
    <w:rsid w:val="10733690"/>
    <w:rsid w:val="10736B64"/>
    <w:rsid w:val="1083494B"/>
    <w:rsid w:val="108A758A"/>
    <w:rsid w:val="1090E30F"/>
    <w:rsid w:val="10941BF4"/>
    <w:rsid w:val="1094BDCA"/>
    <w:rsid w:val="10A25D11"/>
    <w:rsid w:val="10AA1C66"/>
    <w:rsid w:val="10AF9071"/>
    <w:rsid w:val="10B1F793"/>
    <w:rsid w:val="10B2302A"/>
    <w:rsid w:val="10B32E5D"/>
    <w:rsid w:val="10BB4A5F"/>
    <w:rsid w:val="10C0B8EB"/>
    <w:rsid w:val="10C41C25"/>
    <w:rsid w:val="10C634C8"/>
    <w:rsid w:val="10C951DC"/>
    <w:rsid w:val="10CCDF61"/>
    <w:rsid w:val="10CEA20E"/>
    <w:rsid w:val="10CFDD20"/>
    <w:rsid w:val="10D23673"/>
    <w:rsid w:val="10D7CD86"/>
    <w:rsid w:val="10D94029"/>
    <w:rsid w:val="10EF21A4"/>
    <w:rsid w:val="10F021F0"/>
    <w:rsid w:val="10F6F900"/>
    <w:rsid w:val="10F81936"/>
    <w:rsid w:val="1101DDD2"/>
    <w:rsid w:val="110ACD62"/>
    <w:rsid w:val="110BF304"/>
    <w:rsid w:val="11172B7C"/>
    <w:rsid w:val="1118AB25"/>
    <w:rsid w:val="111C8D68"/>
    <w:rsid w:val="1126A992"/>
    <w:rsid w:val="112C34C5"/>
    <w:rsid w:val="112C3AA5"/>
    <w:rsid w:val="1132A9A3"/>
    <w:rsid w:val="1133C1BB"/>
    <w:rsid w:val="1147DCCC"/>
    <w:rsid w:val="1148D2CA"/>
    <w:rsid w:val="11675FEE"/>
    <w:rsid w:val="1176533F"/>
    <w:rsid w:val="1177B384"/>
    <w:rsid w:val="117D3A8B"/>
    <w:rsid w:val="11865871"/>
    <w:rsid w:val="11871BD9"/>
    <w:rsid w:val="11877778"/>
    <w:rsid w:val="11883F53"/>
    <w:rsid w:val="118922A3"/>
    <w:rsid w:val="118C3F89"/>
    <w:rsid w:val="119C6FC1"/>
    <w:rsid w:val="119EE5E9"/>
    <w:rsid w:val="11A5A33A"/>
    <w:rsid w:val="11A5F4A8"/>
    <w:rsid w:val="11B60C30"/>
    <w:rsid w:val="11B6F79E"/>
    <w:rsid w:val="11BDC764"/>
    <w:rsid w:val="11C950AC"/>
    <w:rsid w:val="11C99785"/>
    <w:rsid w:val="11D75AC3"/>
    <w:rsid w:val="11E049B2"/>
    <w:rsid w:val="11E21355"/>
    <w:rsid w:val="11E29E0E"/>
    <w:rsid w:val="11E2B72B"/>
    <w:rsid w:val="11E4C677"/>
    <w:rsid w:val="11E5DBFE"/>
    <w:rsid w:val="11F3EF66"/>
    <w:rsid w:val="11F81B54"/>
    <w:rsid w:val="11FD0D53"/>
    <w:rsid w:val="11FEF49A"/>
    <w:rsid w:val="1203CE28"/>
    <w:rsid w:val="12088292"/>
    <w:rsid w:val="121AB571"/>
    <w:rsid w:val="121ABAF9"/>
    <w:rsid w:val="121B0C1C"/>
    <w:rsid w:val="121E7715"/>
    <w:rsid w:val="12271CD9"/>
    <w:rsid w:val="1227D081"/>
    <w:rsid w:val="12288A00"/>
    <w:rsid w:val="122BB050"/>
    <w:rsid w:val="1230459F"/>
    <w:rsid w:val="123736E2"/>
    <w:rsid w:val="1239049F"/>
    <w:rsid w:val="123AF93F"/>
    <w:rsid w:val="12423BAB"/>
    <w:rsid w:val="12450B84"/>
    <w:rsid w:val="1245B15D"/>
    <w:rsid w:val="124744B8"/>
    <w:rsid w:val="1255632D"/>
    <w:rsid w:val="1255E75A"/>
    <w:rsid w:val="1256961C"/>
    <w:rsid w:val="125F262E"/>
    <w:rsid w:val="1263143E"/>
    <w:rsid w:val="1273B60F"/>
    <w:rsid w:val="1283E42B"/>
    <w:rsid w:val="12963003"/>
    <w:rsid w:val="129745CF"/>
    <w:rsid w:val="129C3B56"/>
    <w:rsid w:val="12A9D0FD"/>
    <w:rsid w:val="12B412E3"/>
    <w:rsid w:val="12B72D14"/>
    <w:rsid w:val="12BEE18D"/>
    <w:rsid w:val="12BF0486"/>
    <w:rsid w:val="12BFF941"/>
    <w:rsid w:val="12C5234F"/>
    <w:rsid w:val="12CCE1A5"/>
    <w:rsid w:val="12CE4117"/>
    <w:rsid w:val="12D9AF1D"/>
    <w:rsid w:val="12DC45A4"/>
    <w:rsid w:val="12E1FC2F"/>
    <w:rsid w:val="12E8806E"/>
    <w:rsid w:val="12F7D315"/>
    <w:rsid w:val="12FA2323"/>
    <w:rsid w:val="12FD3FDA"/>
    <w:rsid w:val="12FE99A6"/>
    <w:rsid w:val="130C5036"/>
    <w:rsid w:val="1311E0BE"/>
    <w:rsid w:val="1319EFEA"/>
    <w:rsid w:val="1324DE9E"/>
    <w:rsid w:val="13281248"/>
    <w:rsid w:val="13283272"/>
    <w:rsid w:val="133797A4"/>
    <w:rsid w:val="133BAED9"/>
    <w:rsid w:val="133FF982"/>
    <w:rsid w:val="13404B7B"/>
    <w:rsid w:val="134197CF"/>
    <w:rsid w:val="13428571"/>
    <w:rsid w:val="13431062"/>
    <w:rsid w:val="1344754B"/>
    <w:rsid w:val="13493B8C"/>
    <w:rsid w:val="1350EC77"/>
    <w:rsid w:val="13542BAE"/>
    <w:rsid w:val="1358639C"/>
    <w:rsid w:val="13628925"/>
    <w:rsid w:val="1366670C"/>
    <w:rsid w:val="1366D96B"/>
    <w:rsid w:val="13685727"/>
    <w:rsid w:val="1368C5A8"/>
    <w:rsid w:val="136B787E"/>
    <w:rsid w:val="137E2569"/>
    <w:rsid w:val="139585B6"/>
    <w:rsid w:val="1395CC99"/>
    <w:rsid w:val="13A31DE5"/>
    <w:rsid w:val="13A39972"/>
    <w:rsid w:val="13B01E72"/>
    <w:rsid w:val="13B06276"/>
    <w:rsid w:val="13BE31FE"/>
    <w:rsid w:val="13C931FD"/>
    <w:rsid w:val="13D2D63E"/>
    <w:rsid w:val="13D5A3B2"/>
    <w:rsid w:val="13EE6AC0"/>
    <w:rsid w:val="13EFCD45"/>
    <w:rsid w:val="13F20572"/>
    <w:rsid w:val="13F33BC2"/>
    <w:rsid w:val="13F5299C"/>
    <w:rsid w:val="13FC9A14"/>
    <w:rsid w:val="13FCD039"/>
    <w:rsid w:val="14013091"/>
    <w:rsid w:val="1401C2CB"/>
    <w:rsid w:val="140802F1"/>
    <w:rsid w:val="140A35BC"/>
    <w:rsid w:val="140D5FCF"/>
    <w:rsid w:val="140D8065"/>
    <w:rsid w:val="140DF7BF"/>
    <w:rsid w:val="140E0766"/>
    <w:rsid w:val="140F743F"/>
    <w:rsid w:val="141309C8"/>
    <w:rsid w:val="14136D6E"/>
    <w:rsid w:val="1414EB98"/>
    <w:rsid w:val="141DC3DA"/>
    <w:rsid w:val="142866FF"/>
    <w:rsid w:val="14311C52"/>
    <w:rsid w:val="143852B1"/>
    <w:rsid w:val="1438CBBD"/>
    <w:rsid w:val="1439C31B"/>
    <w:rsid w:val="14458DAA"/>
    <w:rsid w:val="1449BFE2"/>
    <w:rsid w:val="14552A6D"/>
    <w:rsid w:val="1458E8D2"/>
    <w:rsid w:val="146AF2CE"/>
    <w:rsid w:val="146C0C9D"/>
    <w:rsid w:val="146EF0F3"/>
    <w:rsid w:val="146F3E98"/>
    <w:rsid w:val="1477479F"/>
    <w:rsid w:val="147A208B"/>
    <w:rsid w:val="147AB010"/>
    <w:rsid w:val="1487882F"/>
    <w:rsid w:val="14936810"/>
    <w:rsid w:val="14946FA9"/>
    <w:rsid w:val="149D43A1"/>
    <w:rsid w:val="14A3840F"/>
    <w:rsid w:val="14AF2BEA"/>
    <w:rsid w:val="14BC3CAE"/>
    <w:rsid w:val="14BC85C7"/>
    <w:rsid w:val="14BF8A94"/>
    <w:rsid w:val="14D07457"/>
    <w:rsid w:val="14DD39DD"/>
    <w:rsid w:val="14DEC83E"/>
    <w:rsid w:val="14E726F6"/>
    <w:rsid w:val="14F4EEB8"/>
    <w:rsid w:val="14F982B5"/>
    <w:rsid w:val="15095159"/>
    <w:rsid w:val="150B62A2"/>
    <w:rsid w:val="150CADE2"/>
    <w:rsid w:val="1512DF01"/>
    <w:rsid w:val="1518FC6C"/>
    <w:rsid w:val="1523000F"/>
    <w:rsid w:val="152337E5"/>
    <w:rsid w:val="15258293"/>
    <w:rsid w:val="1525F4E2"/>
    <w:rsid w:val="15289077"/>
    <w:rsid w:val="152976BA"/>
    <w:rsid w:val="152A076B"/>
    <w:rsid w:val="152D988C"/>
    <w:rsid w:val="152EF43C"/>
    <w:rsid w:val="153F5430"/>
    <w:rsid w:val="1545F238"/>
    <w:rsid w:val="15531372"/>
    <w:rsid w:val="155A3F8E"/>
    <w:rsid w:val="1560CC51"/>
    <w:rsid w:val="15624A1E"/>
    <w:rsid w:val="156393FE"/>
    <w:rsid w:val="156EC9E2"/>
    <w:rsid w:val="15795BCE"/>
    <w:rsid w:val="1580333A"/>
    <w:rsid w:val="158E88CD"/>
    <w:rsid w:val="15901141"/>
    <w:rsid w:val="1593388D"/>
    <w:rsid w:val="15938091"/>
    <w:rsid w:val="159B92D0"/>
    <w:rsid w:val="15A15E33"/>
    <w:rsid w:val="15A2ABF5"/>
    <w:rsid w:val="15A896B1"/>
    <w:rsid w:val="15AA74BF"/>
    <w:rsid w:val="15AF63E3"/>
    <w:rsid w:val="15B42F7A"/>
    <w:rsid w:val="15BFECBC"/>
    <w:rsid w:val="15C27B6A"/>
    <w:rsid w:val="15C3A39F"/>
    <w:rsid w:val="15C5E1AF"/>
    <w:rsid w:val="15CE2F6F"/>
    <w:rsid w:val="15D32627"/>
    <w:rsid w:val="15DBBB00"/>
    <w:rsid w:val="15E4C296"/>
    <w:rsid w:val="15E739FD"/>
    <w:rsid w:val="15EEF88C"/>
    <w:rsid w:val="15F078FA"/>
    <w:rsid w:val="15F2DBE9"/>
    <w:rsid w:val="15F7440C"/>
    <w:rsid w:val="15F868A3"/>
    <w:rsid w:val="15FA780E"/>
    <w:rsid w:val="15FEABDF"/>
    <w:rsid w:val="160206B8"/>
    <w:rsid w:val="16033B34"/>
    <w:rsid w:val="1608165D"/>
    <w:rsid w:val="16140C75"/>
    <w:rsid w:val="1626A2D3"/>
    <w:rsid w:val="162DBF35"/>
    <w:rsid w:val="16336F55"/>
    <w:rsid w:val="1634A6E2"/>
    <w:rsid w:val="16358695"/>
    <w:rsid w:val="1638549B"/>
    <w:rsid w:val="163A0C7E"/>
    <w:rsid w:val="164511A3"/>
    <w:rsid w:val="16476C6C"/>
    <w:rsid w:val="164EFABE"/>
    <w:rsid w:val="1655DD7C"/>
    <w:rsid w:val="166186C5"/>
    <w:rsid w:val="1669B9AE"/>
    <w:rsid w:val="16726F73"/>
    <w:rsid w:val="1672FB2F"/>
    <w:rsid w:val="16769E40"/>
    <w:rsid w:val="167E168D"/>
    <w:rsid w:val="167F891F"/>
    <w:rsid w:val="168052A0"/>
    <w:rsid w:val="168B057A"/>
    <w:rsid w:val="168D097C"/>
    <w:rsid w:val="16935E0C"/>
    <w:rsid w:val="169A453A"/>
    <w:rsid w:val="169BB183"/>
    <w:rsid w:val="16A07282"/>
    <w:rsid w:val="16A17A5D"/>
    <w:rsid w:val="16A34437"/>
    <w:rsid w:val="16ABA923"/>
    <w:rsid w:val="16B8BD44"/>
    <w:rsid w:val="16C3F7DB"/>
    <w:rsid w:val="16C62395"/>
    <w:rsid w:val="16C76520"/>
    <w:rsid w:val="16E531D5"/>
    <w:rsid w:val="16E53F5A"/>
    <w:rsid w:val="16E54994"/>
    <w:rsid w:val="16E9B53A"/>
    <w:rsid w:val="16F0A781"/>
    <w:rsid w:val="16F88947"/>
    <w:rsid w:val="16F8C28E"/>
    <w:rsid w:val="16FB98C2"/>
    <w:rsid w:val="16FEABBF"/>
    <w:rsid w:val="17044E27"/>
    <w:rsid w:val="170717C5"/>
    <w:rsid w:val="17113ACB"/>
    <w:rsid w:val="1713822B"/>
    <w:rsid w:val="171EDDB4"/>
    <w:rsid w:val="1727BEFA"/>
    <w:rsid w:val="172858A5"/>
    <w:rsid w:val="17300ABA"/>
    <w:rsid w:val="17321447"/>
    <w:rsid w:val="173B58AC"/>
    <w:rsid w:val="174C1BD9"/>
    <w:rsid w:val="17596545"/>
    <w:rsid w:val="175C6E08"/>
    <w:rsid w:val="175CF20C"/>
    <w:rsid w:val="175DDDDB"/>
    <w:rsid w:val="176404B5"/>
    <w:rsid w:val="176F92BB"/>
    <w:rsid w:val="1774780A"/>
    <w:rsid w:val="1774AF75"/>
    <w:rsid w:val="177B8AA8"/>
    <w:rsid w:val="17826AEF"/>
    <w:rsid w:val="17927112"/>
    <w:rsid w:val="17988A34"/>
    <w:rsid w:val="179E83E1"/>
    <w:rsid w:val="17A8FF4B"/>
    <w:rsid w:val="17AB2394"/>
    <w:rsid w:val="17BB990A"/>
    <w:rsid w:val="17BDFAB5"/>
    <w:rsid w:val="17BFC752"/>
    <w:rsid w:val="17BFE74A"/>
    <w:rsid w:val="17C8776F"/>
    <w:rsid w:val="17CBCFD9"/>
    <w:rsid w:val="17CE1214"/>
    <w:rsid w:val="17CF6D98"/>
    <w:rsid w:val="17D8DD62"/>
    <w:rsid w:val="17DB49D4"/>
    <w:rsid w:val="17E203D8"/>
    <w:rsid w:val="17E8E550"/>
    <w:rsid w:val="17E986B0"/>
    <w:rsid w:val="17E9C177"/>
    <w:rsid w:val="17EA1BCB"/>
    <w:rsid w:val="17EC81AF"/>
    <w:rsid w:val="17F3227C"/>
    <w:rsid w:val="17F7C7EA"/>
    <w:rsid w:val="17F9059F"/>
    <w:rsid w:val="18031BFC"/>
    <w:rsid w:val="180B72DE"/>
    <w:rsid w:val="180CBC25"/>
    <w:rsid w:val="181131CE"/>
    <w:rsid w:val="1819FAE1"/>
    <w:rsid w:val="181DB061"/>
    <w:rsid w:val="182427CD"/>
    <w:rsid w:val="182908CF"/>
    <w:rsid w:val="182B8682"/>
    <w:rsid w:val="182C48FF"/>
    <w:rsid w:val="184D04C1"/>
    <w:rsid w:val="184E06B6"/>
    <w:rsid w:val="185A7763"/>
    <w:rsid w:val="18660981"/>
    <w:rsid w:val="1867ECB2"/>
    <w:rsid w:val="18682D37"/>
    <w:rsid w:val="186B58BB"/>
    <w:rsid w:val="186B9B1A"/>
    <w:rsid w:val="1870957D"/>
    <w:rsid w:val="1872F618"/>
    <w:rsid w:val="18799A63"/>
    <w:rsid w:val="18825F2A"/>
    <w:rsid w:val="188D8EDD"/>
    <w:rsid w:val="188E5C53"/>
    <w:rsid w:val="188E88D0"/>
    <w:rsid w:val="188EADF7"/>
    <w:rsid w:val="18932245"/>
    <w:rsid w:val="1893E7F1"/>
    <w:rsid w:val="1899D5B5"/>
    <w:rsid w:val="1899F7DE"/>
    <w:rsid w:val="18A3A668"/>
    <w:rsid w:val="18A3B579"/>
    <w:rsid w:val="18A53D2F"/>
    <w:rsid w:val="18A8734C"/>
    <w:rsid w:val="18ABFBCB"/>
    <w:rsid w:val="18ACAD23"/>
    <w:rsid w:val="18AEAE67"/>
    <w:rsid w:val="18B68EFE"/>
    <w:rsid w:val="18B6FF95"/>
    <w:rsid w:val="18BCA932"/>
    <w:rsid w:val="18BEBDBE"/>
    <w:rsid w:val="18C976CD"/>
    <w:rsid w:val="18DA48F3"/>
    <w:rsid w:val="18DBF25A"/>
    <w:rsid w:val="18DD9D88"/>
    <w:rsid w:val="18E124C0"/>
    <w:rsid w:val="18EA1CB9"/>
    <w:rsid w:val="190028F9"/>
    <w:rsid w:val="19031792"/>
    <w:rsid w:val="1909BACE"/>
    <w:rsid w:val="190C1416"/>
    <w:rsid w:val="190CBC79"/>
    <w:rsid w:val="1910877D"/>
    <w:rsid w:val="1913D99A"/>
    <w:rsid w:val="19149ED0"/>
    <w:rsid w:val="191AD763"/>
    <w:rsid w:val="191CB8D4"/>
    <w:rsid w:val="19211B2E"/>
    <w:rsid w:val="1922C7D8"/>
    <w:rsid w:val="192BE26D"/>
    <w:rsid w:val="192EB1D6"/>
    <w:rsid w:val="19328565"/>
    <w:rsid w:val="193501EB"/>
    <w:rsid w:val="19365DE6"/>
    <w:rsid w:val="195F683D"/>
    <w:rsid w:val="1961BB25"/>
    <w:rsid w:val="196E2D6F"/>
    <w:rsid w:val="1976EC2A"/>
    <w:rsid w:val="197D008B"/>
    <w:rsid w:val="19828A55"/>
    <w:rsid w:val="198D3DB9"/>
    <w:rsid w:val="1993930E"/>
    <w:rsid w:val="19950008"/>
    <w:rsid w:val="19A0080D"/>
    <w:rsid w:val="19A1EA53"/>
    <w:rsid w:val="19A26CB5"/>
    <w:rsid w:val="19A6E3AC"/>
    <w:rsid w:val="19AC8F19"/>
    <w:rsid w:val="19B0F677"/>
    <w:rsid w:val="19B14779"/>
    <w:rsid w:val="19B1D46F"/>
    <w:rsid w:val="19B262AD"/>
    <w:rsid w:val="19B7AADE"/>
    <w:rsid w:val="19C08063"/>
    <w:rsid w:val="19C3C05D"/>
    <w:rsid w:val="19C4A661"/>
    <w:rsid w:val="19CFF2CF"/>
    <w:rsid w:val="19E482D8"/>
    <w:rsid w:val="19F2F0F4"/>
    <w:rsid w:val="19FE7FBA"/>
    <w:rsid w:val="1A008B23"/>
    <w:rsid w:val="1A01B767"/>
    <w:rsid w:val="1A06CB07"/>
    <w:rsid w:val="1A118445"/>
    <w:rsid w:val="1A122989"/>
    <w:rsid w:val="1A12AFC8"/>
    <w:rsid w:val="1A1F87C1"/>
    <w:rsid w:val="1A2C801A"/>
    <w:rsid w:val="1A310A5F"/>
    <w:rsid w:val="1A316D73"/>
    <w:rsid w:val="1A356D1D"/>
    <w:rsid w:val="1A392B0D"/>
    <w:rsid w:val="1A3A1F95"/>
    <w:rsid w:val="1A3F7FCA"/>
    <w:rsid w:val="1A4054BD"/>
    <w:rsid w:val="1A47E712"/>
    <w:rsid w:val="1A4896E9"/>
    <w:rsid w:val="1A4978A9"/>
    <w:rsid w:val="1A5413AE"/>
    <w:rsid w:val="1A5C4D56"/>
    <w:rsid w:val="1A626705"/>
    <w:rsid w:val="1A678F3D"/>
    <w:rsid w:val="1A6B0606"/>
    <w:rsid w:val="1A6C8383"/>
    <w:rsid w:val="1A78ED39"/>
    <w:rsid w:val="1A790EE5"/>
    <w:rsid w:val="1A7CEF17"/>
    <w:rsid w:val="1A93BAA3"/>
    <w:rsid w:val="1A96F286"/>
    <w:rsid w:val="1AA19F13"/>
    <w:rsid w:val="1AA5403B"/>
    <w:rsid w:val="1AA5E47D"/>
    <w:rsid w:val="1AA7AB02"/>
    <w:rsid w:val="1AA9495C"/>
    <w:rsid w:val="1AB4BB54"/>
    <w:rsid w:val="1AB7F941"/>
    <w:rsid w:val="1AC05456"/>
    <w:rsid w:val="1AC98417"/>
    <w:rsid w:val="1ACD5F27"/>
    <w:rsid w:val="1ACD6DF4"/>
    <w:rsid w:val="1AD33DFE"/>
    <w:rsid w:val="1AD96C0E"/>
    <w:rsid w:val="1AF8E480"/>
    <w:rsid w:val="1AFAFF79"/>
    <w:rsid w:val="1B048E86"/>
    <w:rsid w:val="1B060490"/>
    <w:rsid w:val="1B08E6F3"/>
    <w:rsid w:val="1B0AA3FB"/>
    <w:rsid w:val="1B12F8B2"/>
    <w:rsid w:val="1B162957"/>
    <w:rsid w:val="1B1808DA"/>
    <w:rsid w:val="1B1C6984"/>
    <w:rsid w:val="1B2BD852"/>
    <w:rsid w:val="1B2D1D1D"/>
    <w:rsid w:val="1B325567"/>
    <w:rsid w:val="1B4FA6EA"/>
    <w:rsid w:val="1B53A0F0"/>
    <w:rsid w:val="1B60E5D4"/>
    <w:rsid w:val="1B6ACF72"/>
    <w:rsid w:val="1B6B0240"/>
    <w:rsid w:val="1B6E45B9"/>
    <w:rsid w:val="1B84F3B3"/>
    <w:rsid w:val="1B85CA64"/>
    <w:rsid w:val="1B8ADC20"/>
    <w:rsid w:val="1BA498E2"/>
    <w:rsid w:val="1BA7AAB4"/>
    <w:rsid w:val="1BADDD53"/>
    <w:rsid w:val="1BB709AC"/>
    <w:rsid w:val="1BC2316E"/>
    <w:rsid w:val="1BC5FE4B"/>
    <w:rsid w:val="1BC93D7F"/>
    <w:rsid w:val="1BCD23F3"/>
    <w:rsid w:val="1BD4901E"/>
    <w:rsid w:val="1BD5DD16"/>
    <w:rsid w:val="1BD867C4"/>
    <w:rsid w:val="1BD90D7E"/>
    <w:rsid w:val="1BD99223"/>
    <w:rsid w:val="1BDEB5F5"/>
    <w:rsid w:val="1BE5BA13"/>
    <w:rsid w:val="1BE87283"/>
    <w:rsid w:val="1BED46E0"/>
    <w:rsid w:val="1BF0AC38"/>
    <w:rsid w:val="1BF1C157"/>
    <w:rsid w:val="1BF24C7E"/>
    <w:rsid w:val="1BF4389C"/>
    <w:rsid w:val="1BF63F8C"/>
    <w:rsid w:val="1BFA9640"/>
    <w:rsid w:val="1BFFDB40"/>
    <w:rsid w:val="1C14ED20"/>
    <w:rsid w:val="1C184970"/>
    <w:rsid w:val="1C1C5260"/>
    <w:rsid w:val="1C2384A1"/>
    <w:rsid w:val="1C23AEA5"/>
    <w:rsid w:val="1C2DF8A6"/>
    <w:rsid w:val="1C3147E9"/>
    <w:rsid w:val="1C39C1FA"/>
    <w:rsid w:val="1C3A3304"/>
    <w:rsid w:val="1C410B09"/>
    <w:rsid w:val="1C455FB8"/>
    <w:rsid w:val="1C46E636"/>
    <w:rsid w:val="1C618CF4"/>
    <w:rsid w:val="1C68CC23"/>
    <w:rsid w:val="1C6BB3F5"/>
    <w:rsid w:val="1C6D43DE"/>
    <w:rsid w:val="1C75A73E"/>
    <w:rsid w:val="1C76DB96"/>
    <w:rsid w:val="1C7BBE76"/>
    <w:rsid w:val="1C7CE5C5"/>
    <w:rsid w:val="1C8FE56A"/>
    <w:rsid w:val="1C911C0D"/>
    <w:rsid w:val="1C97914A"/>
    <w:rsid w:val="1CA0705D"/>
    <w:rsid w:val="1CA3A1DA"/>
    <w:rsid w:val="1CA3E9EC"/>
    <w:rsid w:val="1CA616E7"/>
    <w:rsid w:val="1CAF277B"/>
    <w:rsid w:val="1CB0CA17"/>
    <w:rsid w:val="1CB5278B"/>
    <w:rsid w:val="1CB7E3ED"/>
    <w:rsid w:val="1CBFA0D0"/>
    <w:rsid w:val="1CD23909"/>
    <w:rsid w:val="1CDCA5E2"/>
    <w:rsid w:val="1CE6BC6C"/>
    <w:rsid w:val="1CEB1596"/>
    <w:rsid w:val="1CF2DE5C"/>
    <w:rsid w:val="1CF5063F"/>
    <w:rsid w:val="1CF9E3E3"/>
    <w:rsid w:val="1CFD2904"/>
    <w:rsid w:val="1CFE4942"/>
    <w:rsid w:val="1D042DAB"/>
    <w:rsid w:val="1D04833E"/>
    <w:rsid w:val="1D072000"/>
    <w:rsid w:val="1D08903C"/>
    <w:rsid w:val="1D09D0F4"/>
    <w:rsid w:val="1D0D2323"/>
    <w:rsid w:val="1D112211"/>
    <w:rsid w:val="1D12C840"/>
    <w:rsid w:val="1D161D28"/>
    <w:rsid w:val="1D19B0F5"/>
    <w:rsid w:val="1D1DD116"/>
    <w:rsid w:val="1D2B3F83"/>
    <w:rsid w:val="1D2FE9CC"/>
    <w:rsid w:val="1D343815"/>
    <w:rsid w:val="1D48F546"/>
    <w:rsid w:val="1D4A1913"/>
    <w:rsid w:val="1D4FD279"/>
    <w:rsid w:val="1D506FEF"/>
    <w:rsid w:val="1D569971"/>
    <w:rsid w:val="1D61CEAC"/>
    <w:rsid w:val="1D622228"/>
    <w:rsid w:val="1D70D9F6"/>
    <w:rsid w:val="1D7BC475"/>
    <w:rsid w:val="1D7BDC13"/>
    <w:rsid w:val="1D7F4E55"/>
    <w:rsid w:val="1D808419"/>
    <w:rsid w:val="1D91DEED"/>
    <w:rsid w:val="1DBA9541"/>
    <w:rsid w:val="1DBFB131"/>
    <w:rsid w:val="1DC85007"/>
    <w:rsid w:val="1DD5F1B8"/>
    <w:rsid w:val="1DD7690F"/>
    <w:rsid w:val="1DE03532"/>
    <w:rsid w:val="1DE2B460"/>
    <w:rsid w:val="1DE7F665"/>
    <w:rsid w:val="1DEC2F56"/>
    <w:rsid w:val="1DEFC290"/>
    <w:rsid w:val="1DF26223"/>
    <w:rsid w:val="1DF5A05C"/>
    <w:rsid w:val="1DF81254"/>
    <w:rsid w:val="1DF969B2"/>
    <w:rsid w:val="1DFDE74F"/>
    <w:rsid w:val="1E124CAB"/>
    <w:rsid w:val="1E158456"/>
    <w:rsid w:val="1E15C260"/>
    <w:rsid w:val="1E16880F"/>
    <w:rsid w:val="1E18D5D5"/>
    <w:rsid w:val="1E191843"/>
    <w:rsid w:val="1E2D4D46"/>
    <w:rsid w:val="1E323BC5"/>
    <w:rsid w:val="1E350631"/>
    <w:rsid w:val="1E355E79"/>
    <w:rsid w:val="1E367F21"/>
    <w:rsid w:val="1E37E6E1"/>
    <w:rsid w:val="1E39F71A"/>
    <w:rsid w:val="1E3EDDC9"/>
    <w:rsid w:val="1E438271"/>
    <w:rsid w:val="1E48BC70"/>
    <w:rsid w:val="1E559E7C"/>
    <w:rsid w:val="1E5EFCDA"/>
    <w:rsid w:val="1E63F9FD"/>
    <w:rsid w:val="1E641BE7"/>
    <w:rsid w:val="1E668E74"/>
    <w:rsid w:val="1E6BA28E"/>
    <w:rsid w:val="1E6D73D0"/>
    <w:rsid w:val="1E736AC0"/>
    <w:rsid w:val="1E772BAF"/>
    <w:rsid w:val="1E785CCD"/>
    <w:rsid w:val="1E7CD660"/>
    <w:rsid w:val="1E832B2E"/>
    <w:rsid w:val="1E83A014"/>
    <w:rsid w:val="1E8FF219"/>
    <w:rsid w:val="1E92D298"/>
    <w:rsid w:val="1E954F6B"/>
    <w:rsid w:val="1E98B1CB"/>
    <w:rsid w:val="1E9AA5C7"/>
    <w:rsid w:val="1EABCD89"/>
    <w:rsid w:val="1EB2578E"/>
    <w:rsid w:val="1EB5AA5B"/>
    <w:rsid w:val="1EB6DF45"/>
    <w:rsid w:val="1EB9AEC8"/>
    <w:rsid w:val="1EBBD1D5"/>
    <w:rsid w:val="1EC9BE44"/>
    <w:rsid w:val="1EDCBC33"/>
    <w:rsid w:val="1EE49A48"/>
    <w:rsid w:val="1EE4A741"/>
    <w:rsid w:val="1EE9E2BB"/>
    <w:rsid w:val="1EEC6889"/>
    <w:rsid w:val="1EF087E3"/>
    <w:rsid w:val="1EF1CEFF"/>
    <w:rsid w:val="1F07D0D7"/>
    <w:rsid w:val="1F0EA0FB"/>
    <w:rsid w:val="1F1470B9"/>
    <w:rsid w:val="1F1A3AE7"/>
    <w:rsid w:val="1F1AA69E"/>
    <w:rsid w:val="1F1DC2CB"/>
    <w:rsid w:val="1F1E3775"/>
    <w:rsid w:val="1F20F132"/>
    <w:rsid w:val="1F28BA0A"/>
    <w:rsid w:val="1F2F962D"/>
    <w:rsid w:val="1F318D3C"/>
    <w:rsid w:val="1F363EB6"/>
    <w:rsid w:val="1F3DE0ED"/>
    <w:rsid w:val="1F3F46A9"/>
    <w:rsid w:val="1F46BEA9"/>
    <w:rsid w:val="1F4C7521"/>
    <w:rsid w:val="1F4D0493"/>
    <w:rsid w:val="1F57C4CA"/>
    <w:rsid w:val="1F5DEFCB"/>
    <w:rsid w:val="1F62E726"/>
    <w:rsid w:val="1F63133B"/>
    <w:rsid w:val="1F66094D"/>
    <w:rsid w:val="1F66BEDC"/>
    <w:rsid w:val="1F67711A"/>
    <w:rsid w:val="1F7F03CA"/>
    <w:rsid w:val="1F85B69B"/>
    <w:rsid w:val="1F86175F"/>
    <w:rsid w:val="1F8879C4"/>
    <w:rsid w:val="1F92B96A"/>
    <w:rsid w:val="1F9A2F72"/>
    <w:rsid w:val="1F9C403B"/>
    <w:rsid w:val="1F9CB7A6"/>
    <w:rsid w:val="1F9D9C2F"/>
    <w:rsid w:val="1F9F7A67"/>
    <w:rsid w:val="1FA1648A"/>
    <w:rsid w:val="1FAE18B8"/>
    <w:rsid w:val="1FB52AA5"/>
    <w:rsid w:val="1FCA0C14"/>
    <w:rsid w:val="1FCCB9F7"/>
    <w:rsid w:val="1FCD3D3F"/>
    <w:rsid w:val="1FD4E66A"/>
    <w:rsid w:val="1FD63CA1"/>
    <w:rsid w:val="1FD71F38"/>
    <w:rsid w:val="1FD80478"/>
    <w:rsid w:val="1FE5460A"/>
    <w:rsid w:val="1FEFBED8"/>
    <w:rsid w:val="1FF48445"/>
    <w:rsid w:val="2007645E"/>
    <w:rsid w:val="200B30C3"/>
    <w:rsid w:val="20103C90"/>
    <w:rsid w:val="2012619D"/>
    <w:rsid w:val="2017F8B6"/>
    <w:rsid w:val="201C0C64"/>
    <w:rsid w:val="202C778F"/>
    <w:rsid w:val="2030FEE8"/>
    <w:rsid w:val="2032A948"/>
    <w:rsid w:val="203769DC"/>
    <w:rsid w:val="203DDC8D"/>
    <w:rsid w:val="203FC4FD"/>
    <w:rsid w:val="20422292"/>
    <w:rsid w:val="20487E9B"/>
    <w:rsid w:val="204C3884"/>
    <w:rsid w:val="205797F4"/>
    <w:rsid w:val="205BAB6E"/>
    <w:rsid w:val="205F0233"/>
    <w:rsid w:val="205F7816"/>
    <w:rsid w:val="2073F7B5"/>
    <w:rsid w:val="2074374C"/>
    <w:rsid w:val="2077D5A2"/>
    <w:rsid w:val="207FB5E3"/>
    <w:rsid w:val="2080BAE5"/>
    <w:rsid w:val="20AF7DB9"/>
    <w:rsid w:val="20B9B245"/>
    <w:rsid w:val="20BDAA46"/>
    <w:rsid w:val="20BF7B10"/>
    <w:rsid w:val="20CFACD7"/>
    <w:rsid w:val="20D7F406"/>
    <w:rsid w:val="20DE75E9"/>
    <w:rsid w:val="20DEF446"/>
    <w:rsid w:val="20E0ECAE"/>
    <w:rsid w:val="21004A39"/>
    <w:rsid w:val="2101F0ED"/>
    <w:rsid w:val="21027DCF"/>
    <w:rsid w:val="210DEC63"/>
    <w:rsid w:val="21103D2E"/>
    <w:rsid w:val="211F2E4F"/>
    <w:rsid w:val="21233DAA"/>
    <w:rsid w:val="21280CC2"/>
    <w:rsid w:val="212A1E08"/>
    <w:rsid w:val="212E176E"/>
    <w:rsid w:val="214C3CAF"/>
    <w:rsid w:val="214E6BC8"/>
    <w:rsid w:val="21586B3E"/>
    <w:rsid w:val="2159D27A"/>
    <w:rsid w:val="215AAAB8"/>
    <w:rsid w:val="215DEA93"/>
    <w:rsid w:val="2161BA1D"/>
    <w:rsid w:val="216795BB"/>
    <w:rsid w:val="216E8A60"/>
    <w:rsid w:val="21786525"/>
    <w:rsid w:val="217997D6"/>
    <w:rsid w:val="21847983"/>
    <w:rsid w:val="218A154B"/>
    <w:rsid w:val="218F746B"/>
    <w:rsid w:val="21935662"/>
    <w:rsid w:val="219C25B1"/>
    <w:rsid w:val="219F28B2"/>
    <w:rsid w:val="219F9E14"/>
    <w:rsid w:val="21A32B2E"/>
    <w:rsid w:val="21A38EE2"/>
    <w:rsid w:val="21C3419C"/>
    <w:rsid w:val="21C48FB3"/>
    <w:rsid w:val="21D3B786"/>
    <w:rsid w:val="21D75370"/>
    <w:rsid w:val="21DA23C4"/>
    <w:rsid w:val="21EA3DCC"/>
    <w:rsid w:val="21EB5BED"/>
    <w:rsid w:val="21F3D330"/>
    <w:rsid w:val="21FF84FF"/>
    <w:rsid w:val="22001DC2"/>
    <w:rsid w:val="22016A6F"/>
    <w:rsid w:val="22038BCF"/>
    <w:rsid w:val="22058E0D"/>
    <w:rsid w:val="22059110"/>
    <w:rsid w:val="220EFEA3"/>
    <w:rsid w:val="2211B8B1"/>
    <w:rsid w:val="2212AD9F"/>
    <w:rsid w:val="2219D1CA"/>
    <w:rsid w:val="221FECF8"/>
    <w:rsid w:val="22222B6A"/>
    <w:rsid w:val="22281D75"/>
    <w:rsid w:val="222858A2"/>
    <w:rsid w:val="2239A6F3"/>
    <w:rsid w:val="223D3284"/>
    <w:rsid w:val="22446478"/>
    <w:rsid w:val="2244917D"/>
    <w:rsid w:val="2244D97F"/>
    <w:rsid w:val="22499329"/>
    <w:rsid w:val="2252CDE7"/>
    <w:rsid w:val="2253E7E5"/>
    <w:rsid w:val="225E3E2E"/>
    <w:rsid w:val="226EF409"/>
    <w:rsid w:val="22707D3E"/>
    <w:rsid w:val="22713DC3"/>
    <w:rsid w:val="22745894"/>
    <w:rsid w:val="22775716"/>
    <w:rsid w:val="22940CC2"/>
    <w:rsid w:val="229534DF"/>
    <w:rsid w:val="2299449B"/>
    <w:rsid w:val="22A31E76"/>
    <w:rsid w:val="22A72198"/>
    <w:rsid w:val="22A82506"/>
    <w:rsid w:val="22AB4623"/>
    <w:rsid w:val="22D5FED2"/>
    <w:rsid w:val="22DCF9E9"/>
    <w:rsid w:val="22DDCE82"/>
    <w:rsid w:val="22E35226"/>
    <w:rsid w:val="22E3AB4C"/>
    <w:rsid w:val="22E428BB"/>
    <w:rsid w:val="22FA26C1"/>
    <w:rsid w:val="2310A66F"/>
    <w:rsid w:val="23113DAC"/>
    <w:rsid w:val="2312CBE7"/>
    <w:rsid w:val="2317DB7F"/>
    <w:rsid w:val="23189F41"/>
    <w:rsid w:val="231DDDBC"/>
    <w:rsid w:val="23202977"/>
    <w:rsid w:val="2326AFE7"/>
    <w:rsid w:val="2337A4FC"/>
    <w:rsid w:val="233FF1DF"/>
    <w:rsid w:val="23405D95"/>
    <w:rsid w:val="2342A617"/>
    <w:rsid w:val="23465C46"/>
    <w:rsid w:val="234DCD44"/>
    <w:rsid w:val="23581EBB"/>
    <w:rsid w:val="235DB33F"/>
    <w:rsid w:val="23648F2E"/>
    <w:rsid w:val="236508FD"/>
    <w:rsid w:val="2369D1DB"/>
    <w:rsid w:val="2371238A"/>
    <w:rsid w:val="2377CCE5"/>
    <w:rsid w:val="2378A159"/>
    <w:rsid w:val="237C8161"/>
    <w:rsid w:val="2380457B"/>
    <w:rsid w:val="2382996F"/>
    <w:rsid w:val="23876862"/>
    <w:rsid w:val="23893056"/>
    <w:rsid w:val="2389DDAA"/>
    <w:rsid w:val="238B91A9"/>
    <w:rsid w:val="238D446F"/>
    <w:rsid w:val="2394A62C"/>
    <w:rsid w:val="239AFAF5"/>
    <w:rsid w:val="239F7458"/>
    <w:rsid w:val="23A3D5BE"/>
    <w:rsid w:val="23A76086"/>
    <w:rsid w:val="23A7C263"/>
    <w:rsid w:val="23AA2DC9"/>
    <w:rsid w:val="23AEE20A"/>
    <w:rsid w:val="23B1D44A"/>
    <w:rsid w:val="23B2F560"/>
    <w:rsid w:val="23B5AD41"/>
    <w:rsid w:val="23BB6A57"/>
    <w:rsid w:val="23C5B129"/>
    <w:rsid w:val="23CA0213"/>
    <w:rsid w:val="23D80DF9"/>
    <w:rsid w:val="23DAC093"/>
    <w:rsid w:val="23DD7F04"/>
    <w:rsid w:val="23DE53EF"/>
    <w:rsid w:val="23DF98F3"/>
    <w:rsid w:val="23E70466"/>
    <w:rsid w:val="23F66D4B"/>
    <w:rsid w:val="23F787D5"/>
    <w:rsid w:val="23FF2684"/>
    <w:rsid w:val="240A568E"/>
    <w:rsid w:val="240E88FD"/>
    <w:rsid w:val="24126E9F"/>
    <w:rsid w:val="241D7A34"/>
    <w:rsid w:val="2421E259"/>
    <w:rsid w:val="2424A443"/>
    <w:rsid w:val="24252992"/>
    <w:rsid w:val="24268B0A"/>
    <w:rsid w:val="2435B9CF"/>
    <w:rsid w:val="24364E0A"/>
    <w:rsid w:val="2437BF49"/>
    <w:rsid w:val="2444BE9A"/>
    <w:rsid w:val="2448D334"/>
    <w:rsid w:val="244A24BA"/>
    <w:rsid w:val="24586214"/>
    <w:rsid w:val="245AD9B5"/>
    <w:rsid w:val="245FBA7C"/>
    <w:rsid w:val="24610899"/>
    <w:rsid w:val="24646D6D"/>
    <w:rsid w:val="247A9B62"/>
    <w:rsid w:val="247D4E2C"/>
    <w:rsid w:val="24802763"/>
    <w:rsid w:val="248AD5F4"/>
    <w:rsid w:val="248E5ED4"/>
    <w:rsid w:val="24947EE0"/>
    <w:rsid w:val="249D30AC"/>
    <w:rsid w:val="24AC8997"/>
    <w:rsid w:val="24B2F2E7"/>
    <w:rsid w:val="24B8132A"/>
    <w:rsid w:val="24B99CDF"/>
    <w:rsid w:val="24C60A2F"/>
    <w:rsid w:val="24D54693"/>
    <w:rsid w:val="24D5B306"/>
    <w:rsid w:val="24E381C4"/>
    <w:rsid w:val="24E4FBF3"/>
    <w:rsid w:val="24E58DF4"/>
    <w:rsid w:val="24EAB5C4"/>
    <w:rsid w:val="24EF9D63"/>
    <w:rsid w:val="24F5BC67"/>
    <w:rsid w:val="24FA6081"/>
    <w:rsid w:val="24FA8D49"/>
    <w:rsid w:val="250513E7"/>
    <w:rsid w:val="25096FC8"/>
    <w:rsid w:val="251ACBE5"/>
    <w:rsid w:val="251B04ED"/>
    <w:rsid w:val="251E6608"/>
    <w:rsid w:val="2522020A"/>
    <w:rsid w:val="252DDB1A"/>
    <w:rsid w:val="253282EA"/>
    <w:rsid w:val="2536CCDB"/>
    <w:rsid w:val="253881BA"/>
    <w:rsid w:val="253E2320"/>
    <w:rsid w:val="253ED00D"/>
    <w:rsid w:val="2548A8EB"/>
    <w:rsid w:val="254C751B"/>
    <w:rsid w:val="254D0807"/>
    <w:rsid w:val="25565093"/>
    <w:rsid w:val="255F0D10"/>
    <w:rsid w:val="25689602"/>
    <w:rsid w:val="256BE7ED"/>
    <w:rsid w:val="25746069"/>
    <w:rsid w:val="257DDF90"/>
    <w:rsid w:val="2580893D"/>
    <w:rsid w:val="258322BF"/>
    <w:rsid w:val="2599B6B5"/>
    <w:rsid w:val="25A60EA2"/>
    <w:rsid w:val="25B12AC4"/>
    <w:rsid w:val="25B2D817"/>
    <w:rsid w:val="25B3CC5F"/>
    <w:rsid w:val="25B764A3"/>
    <w:rsid w:val="25B7D1CE"/>
    <w:rsid w:val="25B9A60D"/>
    <w:rsid w:val="25C13E91"/>
    <w:rsid w:val="25CE5058"/>
    <w:rsid w:val="25D4AA42"/>
    <w:rsid w:val="25D95DD7"/>
    <w:rsid w:val="25DB01F2"/>
    <w:rsid w:val="25DF398C"/>
    <w:rsid w:val="25E15B5E"/>
    <w:rsid w:val="25F8A84F"/>
    <w:rsid w:val="26035F70"/>
    <w:rsid w:val="26039F88"/>
    <w:rsid w:val="260DD4C8"/>
    <w:rsid w:val="26142E51"/>
    <w:rsid w:val="26156E37"/>
    <w:rsid w:val="2617CC9F"/>
    <w:rsid w:val="262CE4E0"/>
    <w:rsid w:val="263CE7E4"/>
    <w:rsid w:val="26469557"/>
    <w:rsid w:val="26472754"/>
    <w:rsid w:val="264FBC50"/>
    <w:rsid w:val="2651E11C"/>
    <w:rsid w:val="2655B013"/>
    <w:rsid w:val="267D9D70"/>
    <w:rsid w:val="268339DC"/>
    <w:rsid w:val="26834FDE"/>
    <w:rsid w:val="26847223"/>
    <w:rsid w:val="268BBE1C"/>
    <w:rsid w:val="26A227CA"/>
    <w:rsid w:val="26AC7C98"/>
    <w:rsid w:val="26AD7814"/>
    <w:rsid w:val="26B1901E"/>
    <w:rsid w:val="26B271E1"/>
    <w:rsid w:val="26C44847"/>
    <w:rsid w:val="26D1E123"/>
    <w:rsid w:val="26D5A359"/>
    <w:rsid w:val="26D96734"/>
    <w:rsid w:val="26E35951"/>
    <w:rsid w:val="26E96FB5"/>
    <w:rsid w:val="26EE7776"/>
    <w:rsid w:val="26EFBEB4"/>
    <w:rsid w:val="27037D70"/>
    <w:rsid w:val="2705E294"/>
    <w:rsid w:val="270751BA"/>
    <w:rsid w:val="270CA49F"/>
    <w:rsid w:val="270F630A"/>
    <w:rsid w:val="2711B336"/>
    <w:rsid w:val="271F7C17"/>
    <w:rsid w:val="2727C404"/>
    <w:rsid w:val="27288403"/>
    <w:rsid w:val="27291D99"/>
    <w:rsid w:val="273369F2"/>
    <w:rsid w:val="2737B000"/>
    <w:rsid w:val="274A51E2"/>
    <w:rsid w:val="275445C9"/>
    <w:rsid w:val="27633BA6"/>
    <w:rsid w:val="276587E7"/>
    <w:rsid w:val="276878DD"/>
    <w:rsid w:val="276BB542"/>
    <w:rsid w:val="277457FB"/>
    <w:rsid w:val="277A25B5"/>
    <w:rsid w:val="277F12D6"/>
    <w:rsid w:val="2781FAFD"/>
    <w:rsid w:val="2782AC50"/>
    <w:rsid w:val="2786F7AE"/>
    <w:rsid w:val="27888B26"/>
    <w:rsid w:val="27908B0B"/>
    <w:rsid w:val="27920367"/>
    <w:rsid w:val="2793A5A9"/>
    <w:rsid w:val="2797291E"/>
    <w:rsid w:val="2797F7B4"/>
    <w:rsid w:val="279DE3E5"/>
    <w:rsid w:val="27A90293"/>
    <w:rsid w:val="27B1A5A3"/>
    <w:rsid w:val="27B44833"/>
    <w:rsid w:val="27B47651"/>
    <w:rsid w:val="27B588F4"/>
    <w:rsid w:val="27B90376"/>
    <w:rsid w:val="27C1A260"/>
    <w:rsid w:val="27CB1DE8"/>
    <w:rsid w:val="27D210B9"/>
    <w:rsid w:val="27D97B00"/>
    <w:rsid w:val="27DBC892"/>
    <w:rsid w:val="27E7FDDD"/>
    <w:rsid w:val="27EB687B"/>
    <w:rsid w:val="27EE86C2"/>
    <w:rsid w:val="27FB92E1"/>
    <w:rsid w:val="27FD1CFF"/>
    <w:rsid w:val="27FF0878"/>
    <w:rsid w:val="28041BBE"/>
    <w:rsid w:val="28055448"/>
    <w:rsid w:val="280CCBF0"/>
    <w:rsid w:val="280ED47C"/>
    <w:rsid w:val="281896CE"/>
    <w:rsid w:val="281E16DB"/>
    <w:rsid w:val="281EA59A"/>
    <w:rsid w:val="282FC12C"/>
    <w:rsid w:val="2831C4F9"/>
    <w:rsid w:val="2835BF0E"/>
    <w:rsid w:val="283BD51E"/>
    <w:rsid w:val="283E3595"/>
    <w:rsid w:val="284348C8"/>
    <w:rsid w:val="2843FF18"/>
    <w:rsid w:val="284A9D4D"/>
    <w:rsid w:val="284F7CDC"/>
    <w:rsid w:val="28559DF5"/>
    <w:rsid w:val="285E3300"/>
    <w:rsid w:val="285F93EB"/>
    <w:rsid w:val="28605204"/>
    <w:rsid w:val="2872C8B3"/>
    <w:rsid w:val="2879D69E"/>
    <w:rsid w:val="288327C1"/>
    <w:rsid w:val="28AAB815"/>
    <w:rsid w:val="28B01A8D"/>
    <w:rsid w:val="28B17A1D"/>
    <w:rsid w:val="28B2E780"/>
    <w:rsid w:val="28B599B6"/>
    <w:rsid w:val="28BBF001"/>
    <w:rsid w:val="28C3E5E8"/>
    <w:rsid w:val="28D813B7"/>
    <w:rsid w:val="28D89129"/>
    <w:rsid w:val="28DAAE0B"/>
    <w:rsid w:val="28DE72D0"/>
    <w:rsid w:val="28E8CA32"/>
    <w:rsid w:val="28EC7488"/>
    <w:rsid w:val="28F94B5C"/>
    <w:rsid w:val="28FB06EE"/>
    <w:rsid w:val="28FCE24D"/>
    <w:rsid w:val="28FE1C3C"/>
    <w:rsid w:val="290C8B92"/>
    <w:rsid w:val="290CF919"/>
    <w:rsid w:val="2911D233"/>
    <w:rsid w:val="291769E0"/>
    <w:rsid w:val="291FC89C"/>
    <w:rsid w:val="292003E5"/>
    <w:rsid w:val="2930725E"/>
    <w:rsid w:val="2931A204"/>
    <w:rsid w:val="2937DFF6"/>
    <w:rsid w:val="293F804E"/>
    <w:rsid w:val="29477F3A"/>
    <w:rsid w:val="294A02B7"/>
    <w:rsid w:val="294A3003"/>
    <w:rsid w:val="294FA5CA"/>
    <w:rsid w:val="295C2341"/>
    <w:rsid w:val="29642635"/>
    <w:rsid w:val="2973ECDA"/>
    <w:rsid w:val="297460C8"/>
    <w:rsid w:val="297F9B65"/>
    <w:rsid w:val="298038C6"/>
    <w:rsid w:val="2980AAD2"/>
    <w:rsid w:val="29868B56"/>
    <w:rsid w:val="2986B436"/>
    <w:rsid w:val="2987D5EA"/>
    <w:rsid w:val="29903659"/>
    <w:rsid w:val="2995C55B"/>
    <w:rsid w:val="29968AE1"/>
    <w:rsid w:val="299E3EAD"/>
    <w:rsid w:val="29A10B15"/>
    <w:rsid w:val="29A31E24"/>
    <w:rsid w:val="29A52CF8"/>
    <w:rsid w:val="29AE0DD4"/>
    <w:rsid w:val="29AE7F3A"/>
    <w:rsid w:val="29B8D133"/>
    <w:rsid w:val="29BAC742"/>
    <w:rsid w:val="29CEA5F4"/>
    <w:rsid w:val="29D41E5A"/>
    <w:rsid w:val="29DAB998"/>
    <w:rsid w:val="29DF89B2"/>
    <w:rsid w:val="29E6A7C2"/>
    <w:rsid w:val="29F279E9"/>
    <w:rsid w:val="29F5AFA7"/>
    <w:rsid w:val="2A00DF22"/>
    <w:rsid w:val="2A11D917"/>
    <w:rsid w:val="2A145310"/>
    <w:rsid w:val="2A18AD70"/>
    <w:rsid w:val="2A1A012A"/>
    <w:rsid w:val="2A1B1CD9"/>
    <w:rsid w:val="2A22F3BD"/>
    <w:rsid w:val="2A2D3712"/>
    <w:rsid w:val="2A33EAC3"/>
    <w:rsid w:val="2A3933E1"/>
    <w:rsid w:val="2A3983F5"/>
    <w:rsid w:val="2A43C83F"/>
    <w:rsid w:val="2A44C762"/>
    <w:rsid w:val="2A48B8E7"/>
    <w:rsid w:val="2A49B648"/>
    <w:rsid w:val="2A4C2609"/>
    <w:rsid w:val="2A4EF219"/>
    <w:rsid w:val="2A5F6F8E"/>
    <w:rsid w:val="2A60868B"/>
    <w:rsid w:val="2A639946"/>
    <w:rsid w:val="2A685A9F"/>
    <w:rsid w:val="2A6B121E"/>
    <w:rsid w:val="2A6B2053"/>
    <w:rsid w:val="2A6D24BB"/>
    <w:rsid w:val="2A6E5B09"/>
    <w:rsid w:val="2A7648F7"/>
    <w:rsid w:val="2A7D609A"/>
    <w:rsid w:val="2A7EB220"/>
    <w:rsid w:val="2A80A150"/>
    <w:rsid w:val="2A84CAC4"/>
    <w:rsid w:val="2A8895E2"/>
    <w:rsid w:val="2A88D660"/>
    <w:rsid w:val="2A89A191"/>
    <w:rsid w:val="2A89BF45"/>
    <w:rsid w:val="2A93FF54"/>
    <w:rsid w:val="2A994805"/>
    <w:rsid w:val="2AA04989"/>
    <w:rsid w:val="2AA293B9"/>
    <w:rsid w:val="2AA37A6F"/>
    <w:rsid w:val="2AAEFB62"/>
    <w:rsid w:val="2AB004E5"/>
    <w:rsid w:val="2AB1AEA4"/>
    <w:rsid w:val="2AC6385C"/>
    <w:rsid w:val="2AD587A7"/>
    <w:rsid w:val="2ADD1CF3"/>
    <w:rsid w:val="2AE5D7EF"/>
    <w:rsid w:val="2AEB991D"/>
    <w:rsid w:val="2AEBD011"/>
    <w:rsid w:val="2AED8481"/>
    <w:rsid w:val="2AEE51F1"/>
    <w:rsid w:val="2AF18C34"/>
    <w:rsid w:val="2AF710CF"/>
    <w:rsid w:val="2AFA01C1"/>
    <w:rsid w:val="2B0337E5"/>
    <w:rsid w:val="2B0716A3"/>
    <w:rsid w:val="2B07CA4C"/>
    <w:rsid w:val="2B0D46E9"/>
    <w:rsid w:val="2B0F534D"/>
    <w:rsid w:val="2B0FB43F"/>
    <w:rsid w:val="2B166B3C"/>
    <w:rsid w:val="2B188F75"/>
    <w:rsid w:val="2B1974D3"/>
    <w:rsid w:val="2B1AB233"/>
    <w:rsid w:val="2B1AF751"/>
    <w:rsid w:val="2B1E300C"/>
    <w:rsid w:val="2B291D68"/>
    <w:rsid w:val="2B2AA14C"/>
    <w:rsid w:val="2B348989"/>
    <w:rsid w:val="2B373EAD"/>
    <w:rsid w:val="2B3CD63F"/>
    <w:rsid w:val="2B40A6D2"/>
    <w:rsid w:val="2B4611C4"/>
    <w:rsid w:val="2B4CE161"/>
    <w:rsid w:val="2B539DA9"/>
    <w:rsid w:val="2B545553"/>
    <w:rsid w:val="2B59C13F"/>
    <w:rsid w:val="2B64DDCE"/>
    <w:rsid w:val="2B6A8066"/>
    <w:rsid w:val="2B6C0190"/>
    <w:rsid w:val="2B7270AF"/>
    <w:rsid w:val="2B89A79B"/>
    <w:rsid w:val="2B902921"/>
    <w:rsid w:val="2B903C76"/>
    <w:rsid w:val="2B918EED"/>
    <w:rsid w:val="2B91EB7E"/>
    <w:rsid w:val="2B9A4CF2"/>
    <w:rsid w:val="2B9B10B2"/>
    <w:rsid w:val="2BB069FB"/>
    <w:rsid w:val="2BB2C8A2"/>
    <w:rsid w:val="2BBD3071"/>
    <w:rsid w:val="2BBD5155"/>
    <w:rsid w:val="2BBD90F7"/>
    <w:rsid w:val="2BBE2B9A"/>
    <w:rsid w:val="2BC4B957"/>
    <w:rsid w:val="2BD567A2"/>
    <w:rsid w:val="2BD62B2C"/>
    <w:rsid w:val="2BD6D282"/>
    <w:rsid w:val="2BE2427B"/>
    <w:rsid w:val="2BE3664B"/>
    <w:rsid w:val="2BEEBECF"/>
    <w:rsid w:val="2BF0A67D"/>
    <w:rsid w:val="2BF13177"/>
    <w:rsid w:val="2BF2CD95"/>
    <w:rsid w:val="2BFCC312"/>
    <w:rsid w:val="2BFD2C16"/>
    <w:rsid w:val="2BFE445C"/>
    <w:rsid w:val="2BFFC9E4"/>
    <w:rsid w:val="2C01B3FD"/>
    <w:rsid w:val="2C023A11"/>
    <w:rsid w:val="2C090A83"/>
    <w:rsid w:val="2C09FE63"/>
    <w:rsid w:val="2C0EE67C"/>
    <w:rsid w:val="2C129695"/>
    <w:rsid w:val="2C173F22"/>
    <w:rsid w:val="2C22478D"/>
    <w:rsid w:val="2C25F4DC"/>
    <w:rsid w:val="2C329CEC"/>
    <w:rsid w:val="2C33DEA2"/>
    <w:rsid w:val="2C39DB5F"/>
    <w:rsid w:val="2C3F9A27"/>
    <w:rsid w:val="2C3FDA1D"/>
    <w:rsid w:val="2C406172"/>
    <w:rsid w:val="2C40F331"/>
    <w:rsid w:val="2C49F9DA"/>
    <w:rsid w:val="2C4ADDCE"/>
    <w:rsid w:val="2C51A4AE"/>
    <w:rsid w:val="2C5E4180"/>
    <w:rsid w:val="2C5F9D1E"/>
    <w:rsid w:val="2C63E5AF"/>
    <w:rsid w:val="2C67FE72"/>
    <w:rsid w:val="2C6DF668"/>
    <w:rsid w:val="2C722073"/>
    <w:rsid w:val="2C7DA666"/>
    <w:rsid w:val="2C832E23"/>
    <w:rsid w:val="2C8406E3"/>
    <w:rsid w:val="2C8E6A34"/>
    <w:rsid w:val="2C92F2A9"/>
    <w:rsid w:val="2C9A2247"/>
    <w:rsid w:val="2C9E51B7"/>
    <w:rsid w:val="2CA169DA"/>
    <w:rsid w:val="2CAF1C80"/>
    <w:rsid w:val="2CC1C07C"/>
    <w:rsid w:val="2CC66B13"/>
    <w:rsid w:val="2CC69C41"/>
    <w:rsid w:val="2CCBD02B"/>
    <w:rsid w:val="2CD1A734"/>
    <w:rsid w:val="2CD1E706"/>
    <w:rsid w:val="2CD4DE8B"/>
    <w:rsid w:val="2CD80883"/>
    <w:rsid w:val="2CE71E4F"/>
    <w:rsid w:val="2CE9B123"/>
    <w:rsid w:val="2CEAF5D2"/>
    <w:rsid w:val="2CEBFD9E"/>
    <w:rsid w:val="2CF5EB94"/>
    <w:rsid w:val="2CFCA5CA"/>
    <w:rsid w:val="2D05D602"/>
    <w:rsid w:val="2D08DD24"/>
    <w:rsid w:val="2D090248"/>
    <w:rsid w:val="2D10AFDC"/>
    <w:rsid w:val="2D12B1E8"/>
    <w:rsid w:val="2D285AF7"/>
    <w:rsid w:val="2D2A19D3"/>
    <w:rsid w:val="2D2AFB26"/>
    <w:rsid w:val="2D2EBA9F"/>
    <w:rsid w:val="2D3284D8"/>
    <w:rsid w:val="2D33186B"/>
    <w:rsid w:val="2D346DC9"/>
    <w:rsid w:val="2D34ECF2"/>
    <w:rsid w:val="2D366A59"/>
    <w:rsid w:val="2D41C3C3"/>
    <w:rsid w:val="2D45CB9E"/>
    <w:rsid w:val="2D4E5C95"/>
    <w:rsid w:val="2D54590B"/>
    <w:rsid w:val="2D548DD5"/>
    <w:rsid w:val="2D629A20"/>
    <w:rsid w:val="2D64134A"/>
    <w:rsid w:val="2D66E2B4"/>
    <w:rsid w:val="2D75838D"/>
    <w:rsid w:val="2D763541"/>
    <w:rsid w:val="2D789CE6"/>
    <w:rsid w:val="2D80E595"/>
    <w:rsid w:val="2D852111"/>
    <w:rsid w:val="2D8F0017"/>
    <w:rsid w:val="2D904965"/>
    <w:rsid w:val="2D9A7F3B"/>
    <w:rsid w:val="2DA1BFE4"/>
    <w:rsid w:val="2DA2D349"/>
    <w:rsid w:val="2DA486BA"/>
    <w:rsid w:val="2DA644C1"/>
    <w:rsid w:val="2DB0CAA2"/>
    <w:rsid w:val="2DB2449D"/>
    <w:rsid w:val="2DB4BAFF"/>
    <w:rsid w:val="2DC28FAA"/>
    <w:rsid w:val="2DCC9CB4"/>
    <w:rsid w:val="2DD5216F"/>
    <w:rsid w:val="2DE39330"/>
    <w:rsid w:val="2DE94D7C"/>
    <w:rsid w:val="2DEC2870"/>
    <w:rsid w:val="2DEF05F6"/>
    <w:rsid w:val="2DFA2C81"/>
    <w:rsid w:val="2DFBA9A1"/>
    <w:rsid w:val="2E019755"/>
    <w:rsid w:val="2E068502"/>
    <w:rsid w:val="2E06A137"/>
    <w:rsid w:val="2E0947DD"/>
    <w:rsid w:val="2E0A3763"/>
    <w:rsid w:val="2E143A0F"/>
    <w:rsid w:val="2E1BD9D8"/>
    <w:rsid w:val="2E23C796"/>
    <w:rsid w:val="2E2C171A"/>
    <w:rsid w:val="2E3DD697"/>
    <w:rsid w:val="2E428343"/>
    <w:rsid w:val="2E45290B"/>
    <w:rsid w:val="2E45748F"/>
    <w:rsid w:val="2E4DF9FA"/>
    <w:rsid w:val="2E4F3F82"/>
    <w:rsid w:val="2E5573FA"/>
    <w:rsid w:val="2E5F5207"/>
    <w:rsid w:val="2E6C35ED"/>
    <w:rsid w:val="2E6DD489"/>
    <w:rsid w:val="2E72EFE5"/>
    <w:rsid w:val="2E737CDE"/>
    <w:rsid w:val="2E74B28F"/>
    <w:rsid w:val="2E7A34DA"/>
    <w:rsid w:val="2E83A73A"/>
    <w:rsid w:val="2E871E88"/>
    <w:rsid w:val="2E8ACF68"/>
    <w:rsid w:val="2E94911F"/>
    <w:rsid w:val="2E97E349"/>
    <w:rsid w:val="2E98A076"/>
    <w:rsid w:val="2EBA7130"/>
    <w:rsid w:val="2EBB8F80"/>
    <w:rsid w:val="2ECEA575"/>
    <w:rsid w:val="2ED543AF"/>
    <w:rsid w:val="2ED725D8"/>
    <w:rsid w:val="2EDABFE2"/>
    <w:rsid w:val="2EDB93C8"/>
    <w:rsid w:val="2EE2E845"/>
    <w:rsid w:val="2EE520AD"/>
    <w:rsid w:val="2EE5B977"/>
    <w:rsid w:val="2EED3388"/>
    <w:rsid w:val="2EEEBB5E"/>
    <w:rsid w:val="2EF92705"/>
    <w:rsid w:val="2EFC5830"/>
    <w:rsid w:val="2EFD4715"/>
    <w:rsid w:val="2F1BA0F4"/>
    <w:rsid w:val="2F1C1767"/>
    <w:rsid w:val="2F1DD32E"/>
    <w:rsid w:val="2F21B8F5"/>
    <w:rsid w:val="2F2231F1"/>
    <w:rsid w:val="2F2FCFAA"/>
    <w:rsid w:val="2F3367A3"/>
    <w:rsid w:val="2F353E80"/>
    <w:rsid w:val="2F424D37"/>
    <w:rsid w:val="2F43B6CD"/>
    <w:rsid w:val="2F4C84C3"/>
    <w:rsid w:val="2F4E3E61"/>
    <w:rsid w:val="2F6C87B7"/>
    <w:rsid w:val="2F736B10"/>
    <w:rsid w:val="2F7C8E70"/>
    <w:rsid w:val="2F8CD165"/>
    <w:rsid w:val="2F8EDA1E"/>
    <w:rsid w:val="2F9062EB"/>
    <w:rsid w:val="2F906DE1"/>
    <w:rsid w:val="2F936B66"/>
    <w:rsid w:val="2F963E3D"/>
    <w:rsid w:val="2F965234"/>
    <w:rsid w:val="2FABB69D"/>
    <w:rsid w:val="2FAD9087"/>
    <w:rsid w:val="2FB6F09A"/>
    <w:rsid w:val="2FBB975F"/>
    <w:rsid w:val="2FBC20B3"/>
    <w:rsid w:val="2FBEA220"/>
    <w:rsid w:val="2FC05EFC"/>
    <w:rsid w:val="2FC4E1C3"/>
    <w:rsid w:val="2FCA9673"/>
    <w:rsid w:val="2FD3011B"/>
    <w:rsid w:val="2FD4C276"/>
    <w:rsid w:val="2FD4E3C9"/>
    <w:rsid w:val="2FD5231C"/>
    <w:rsid w:val="2FD86E23"/>
    <w:rsid w:val="2FE12849"/>
    <w:rsid w:val="2FEC2C7E"/>
    <w:rsid w:val="2FED2640"/>
    <w:rsid w:val="2FEDA2AF"/>
    <w:rsid w:val="2FFE4ADF"/>
    <w:rsid w:val="3001F084"/>
    <w:rsid w:val="300785EE"/>
    <w:rsid w:val="300B83C8"/>
    <w:rsid w:val="301ACC9A"/>
    <w:rsid w:val="301BD2E1"/>
    <w:rsid w:val="30219AF3"/>
    <w:rsid w:val="30287966"/>
    <w:rsid w:val="302B1CEE"/>
    <w:rsid w:val="302B6DD4"/>
    <w:rsid w:val="303F73DD"/>
    <w:rsid w:val="304B5A8C"/>
    <w:rsid w:val="304C9E91"/>
    <w:rsid w:val="304F75D6"/>
    <w:rsid w:val="30515ECB"/>
    <w:rsid w:val="30574717"/>
    <w:rsid w:val="30608268"/>
    <w:rsid w:val="30650724"/>
    <w:rsid w:val="3067FB70"/>
    <w:rsid w:val="306C1049"/>
    <w:rsid w:val="306ED539"/>
    <w:rsid w:val="306F4F73"/>
    <w:rsid w:val="307066BD"/>
    <w:rsid w:val="30735C8E"/>
    <w:rsid w:val="3074B023"/>
    <w:rsid w:val="30773E3E"/>
    <w:rsid w:val="307B4E34"/>
    <w:rsid w:val="307F42E7"/>
    <w:rsid w:val="308D23BF"/>
    <w:rsid w:val="308D23CC"/>
    <w:rsid w:val="30931B17"/>
    <w:rsid w:val="30957356"/>
    <w:rsid w:val="3097C0C7"/>
    <w:rsid w:val="309A8251"/>
    <w:rsid w:val="309CF03F"/>
    <w:rsid w:val="309FB6F9"/>
    <w:rsid w:val="30A4A109"/>
    <w:rsid w:val="30A7A45A"/>
    <w:rsid w:val="30A91E33"/>
    <w:rsid w:val="30B67CDF"/>
    <w:rsid w:val="30BBE16D"/>
    <w:rsid w:val="30C7F1C1"/>
    <w:rsid w:val="30D76820"/>
    <w:rsid w:val="30EADCB7"/>
    <w:rsid w:val="30FE267C"/>
    <w:rsid w:val="310197EC"/>
    <w:rsid w:val="310AC597"/>
    <w:rsid w:val="311E40A0"/>
    <w:rsid w:val="312211EF"/>
    <w:rsid w:val="3123F2BA"/>
    <w:rsid w:val="312C13F5"/>
    <w:rsid w:val="3136F011"/>
    <w:rsid w:val="313C69B7"/>
    <w:rsid w:val="31400EA5"/>
    <w:rsid w:val="3148413D"/>
    <w:rsid w:val="314B191C"/>
    <w:rsid w:val="314B3594"/>
    <w:rsid w:val="314E53EE"/>
    <w:rsid w:val="31585F85"/>
    <w:rsid w:val="31613CDF"/>
    <w:rsid w:val="31682C68"/>
    <w:rsid w:val="31689100"/>
    <w:rsid w:val="316AD271"/>
    <w:rsid w:val="316B26C8"/>
    <w:rsid w:val="3179CDB9"/>
    <w:rsid w:val="317CC6DB"/>
    <w:rsid w:val="31806B70"/>
    <w:rsid w:val="3187115F"/>
    <w:rsid w:val="318DA5E9"/>
    <w:rsid w:val="318ED435"/>
    <w:rsid w:val="318F3116"/>
    <w:rsid w:val="31944E59"/>
    <w:rsid w:val="319DA14A"/>
    <w:rsid w:val="31A950F6"/>
    <w:rsid w:val="31B05B0B"/>
    <w:rsid w:val="31B151E7"/>
    <w:rsid w:val="31B8242C"/>
    <w:rsid w:val="31BC5C9F"/>
    <w:rsid w:val="31C1699C"/>
    <w:rsid w:val="31C203FF"/>
    <w:rsid w:val="31C5F257"/>
    <w:rsid w:val="31CDC16D"/>
    <w:rsid w:val="31D1AACC"/>
    <w:rsid w:val="31D649EF"/>
    <w:rsid w:val="31D70C0E"/>
    <w:rsid w:val="31D97E96"/>
    <w:rsid w:val="31E91C80"/>
    <w:rsid w:val="31EBFA91"/>
    <w:rsid w:val="31EDAF57"/>
    <w:rsid w:val="31F27704"/>
    <w:rsid w:val="31F3B376"/>
    <w:rsid w:val="320C4FFD"/>
    <w:rsid w:val="3212C282"/>
    <w:rsid w:val="321D1C00"/>
    <w:rsid w:val="321FBE31"/>
    <w:rsid w:val="32205B50"/>
    <w:rsid w:val="3221966A"/>
    <w:rsid w:val="32228C91"/>
    <w:rsid w:val="322684FA"/>
    <w:rsid w:val="323160D7"/>
    <w:rsid w:val="323A1CF2"/>
    <w:rsid w:val="323A32F0"/>
    <w:rsid w:val="323B3918"/>
    <w:rsid w:val="324222DC"/>
    <w:rsid w:val="324C2146"/>
    <w:rsid w:val="324C7C1E"/>
    <w:rsid w:val="32502734"/>
    <w:rsid w:val="3252CACF"/>
    <w:rsid w:val="32561585"/>
    <w:rsid w:val="325CB26F"/>
    <w:rsid w:val="326B5809"/>
    <w:rsid w:val="326C99F2"/>
    <w:rsid w:val="326E98D9"/>
    <w:rsid w:val="3270FC0A"/>
    <w:rsid w:val="32721CE0"/>
    <w:rsid w:val="3277AD1E"/>
    <w:rsid w:val="32826278"/>
    <w:rsid w:val="3294B827"/>
    <w:rsid w:val="329713CB"/>
    <w:rsid w:val="329A3DC9"/>
    <w:rsid w:val="329B1D9B"/>
    <w:rsid w:val="32A1BCAA"/>
    <w:rsid w:val="32AD7DF6"/>
    <w:rsid w:val="32AF2E56"/>
    <w:rsid w:val="32AFBE94"/>
    <w:rsid w:val="32B0229D"/>
    <w:rsid w:val="32B04727"/>
    <w:rsid w:val="32D1AED7"/>
    <w:rsid w:val="32D3FD9D"/>
    <w:rsid w:val="32D858EB"/>
    <w:rsid w:val="32DFB144"/>
    <w:rsid w:val="32E5EA81"/>
    <w:rsid w:val="32E8E13E"/>
    <w:rsid w:val="32F5ABDE"/>
    <w:rsid w:val="32F90844"/>
    <w:rsid w:val="32FAF6B5"/>
    <w:rsid w:val="3301F777"/>
    <w:rsid w:val="3307617D"/>
    <w:rsid w:val="330F505F"/>
    <w:rsid w:val="33195E9D"/>
    <w:rsid w:val="331D5BC6"/>
    <w:rsid w:val="33206791"/>
    <w:rsid w:val="33262CD0"/>
    <w:rsid w:val="332FA516"/>
    <w:rsid w:val="33341567"/>
    <w:rsid w:val="33392850"/>
    <w:rsid w:val="333A6CCD"/>
    <w:rsid w:val="333AFD00"/>
    <w:rsid w:val="333E1621"/>
    <w:rsid w:val="333F85E8"/>
    <w:rsid w:val="33476EC0"/>
    <w:rsid w:val="334E776A"/>
    <w:rsid w:val="3357FC99"/>
    <w:rsid w:val="335BF434"/>
    <w:rsid w:val="335F500A"/>
    <w:rsid w:val="336353EB"/>
    <w:rsid w:val="3363C87D"/>
    <w:rsid w:val="3367B159"/>
    <w:rsid w:val="3367F038"/>
    <w:rsid w:val="336AB5AC"/>
    <w:rsid w:val="3370CF7B"/>
    <w:rsid w:val="3372DC5E"/>
    <w:rsid w:val="337501F7"/>
    <w:rsid w:val="33777988"/>
    <w:rsid w:val="33866F91"/>
    <w:rsid w:val="3395DCF8"/>
    <w:rsid w:val="339FBCF0"/>
    <w:rsid w:val="33B3C0D2"/>
    <w:rsid w:val="33B50317"/>
    <w:rsid w:val="33B5AD82"/>
    <w:rsid w:val="33B6E41A"/>
    <w:rsid w:val="33B92B91"/>
    <w:rsid w:val="33BA01CD"/>
    <w:rsid w:val="33C09A4B"/>
    <w:rsid w:val="33C44DE9"/>
    <w:rsid w:val="33C5E062"/>
    <w:rsid w:val="33C81DED"/>
    <w:rsid w:val="33C872B3"/>
    <w:rsid w:val="33C92548"/>
    <w:rsid w:val="33CA2AAD"/>
    <w:rsid w:val="33CF8A65"/>
    <w:rsid w:val="33DDFDCC"/>
    <w:rsid w:val="33DEB6E1"/>
    <w:rsid w:val="33EA33A2"/>
    <w:rsid w:val="33EC1AFE"/>
    <w:rsid w:val="341B2E54"/>
    <w:rsid w:val="342062F4"/>
    <w:rsid w:val="3434C33B"/>
    <w:rsid w:val="3437CE9A"/>
    <w:rsid w:val="343C4BDD"/>
    <w:rsid w:val="343F6C9C"/>
    <w:rsid w:val="34401A08"/>
    <w:rsid w:val="34405E3F"/>
    <w:rsid w:val="3441AEEB"/>
    <w:rsid w:val="34459FF0"/>
    <w:rsid w:val="34560760"/>
    <w:rsid w:val="346AED5C"/>
    <w:rsid w:val="3471903D"/>
    <w:rsid w:val="347DD47D"/>
    <w:rsid w:val="347FEFA6"/>
    <w:rsid w:val="34811101"/>
    <w:rsid w:val="348AB795"/>
    <w:rsid w:val="348F3EBC"/>
    <w:rsid w:val="349361D8"/>
    <w:rsid w:val="34972663"/>
    <w:rsid w:val="34A6EA1D"/>
    <w:rsid w:val="34A98AAA"/>
    <w:rsid w:val="34C16F8E"/>
    <w:rsid w:val="34C2520A"/>
    <w:rsid w:val="34C36E21"/>
    <w:rsid w:val="34C38313"/>
    <w:rsid w:val="34CFC18D"/>
    <w:rsid w:val="34D2BF27"/>
    <w:rsid w:val="34DC52F9"/>
    <w:rsid w:val="34DE31B2"/>
    <w:rsid w:val="34E347EE"/>
    <w:rsid w:val="34E8A407"/>
    <w:rsid w:val="34EC44DA"/>
    <w:rsid w:val="34EC746C"/>
    <w:rsid w:val="34F01380"/>
    <w:rsid w:val="34F8D5A2"/>
    <w:rsid w:val="34FEEA7E"/>
    <w:rsid w:val="3501C7A1"/>
    <w:rsid w:val="3506A4AA"/>
    <w:rsid w:val="35075F25"/>
    <w:rsid w:val="350FF58C"/>
    <w:rsid w:val="3512001B"/>
    <w:rsid w:val="3512AE53"/>
    <w:rsid w:val="35271426"/>
    <w:rsid w:val="35316901"/>
    <w:rsid w:val="3534D0F7"/>
    <w:rsid w:val="353A0B7E"/>
    <w:rsid w:val="353A9BB8"/>
    <w:rsid w:val="353B5DD9"/>
    <w:rsid w:val="354929C6"/>
    <w:rsid w:val="354B0B51"/>
    <w:rsid w:val="3569A708"/>
    <w:rsid w:val="356C0621"/>
    <w:rsid w:val="356E1BC5"/>
    <w:rsid w:val="35783144"/>
    <w:rsid w:val="357ADB96"/>
    <w:rsid w:val="357CF2DA"/>
    <w:rsid w:val="357E2225"/>
    <w:rsid w:val="35834488"/>
    <w:rsid w:val="3584F76F"/>
    <w:rsid w:val="35890641"/>
    <w:rsid w:val="358F9483"/>
    <w:rsid w:val="3590E682"/>
    <w:rsid w:val="359A60D6"/>
    <w:rsid w:val="35A78B3E"/>
    <w:rsid w:val="35AD1D3E"/>
    <w:rsid w:val="35ADECFA"/>
    <w:rsid w:val="35AE6B45"/>
    <w:rsid w:val="35B6077D"/>
    <w:rsid w:val="35B6DEB2"/>
    <w:rsid w:val="35B702C1"/>
    <w:rsid w:val="35BB1B0C"/>
    <w:rsid w:val="35C10C04"/>
    <w:rsid w:val="35C1CECC"/>
    <w:rsid w:val="35C279FD"/>
    <w:rsid w:val="35C2A556"/>
    <w:rsid w:val="35C54F4A"/>
    <w:rsid w:val="35C58FF0"/>
    <w:rsid w:val="35D340BF"/>
    <w:rsid w:val="35D78C70"/>
    <w:rsid w:val="35D97DE9"/>
    <w:rsid w:val="35DD9CCC"/>
    <w:rsid w:val="35E13FBE"/>
    <w:rsid w:val="35E7C099"/>
    <w:rsid w:val="35E80A65"/>
    <w:rsid w:val="35E8FC65"/>
    <w:rsid w:val="35E9ADC3"/>
    <w:rsid w:val="35EBF9FA"/>
    <w:rsid w:val="35EE7C7A"/>
    <w:rsid w:val="35EF4C3A"/>
    <w:rsid w:val="35EFE72B"/>
    <w:rsid w:val="35F16F76"/>
    <w:rsid w:val="35F5AFA1"/>
    <w:rsid w:val="36007809"/>
    <w:rsid w:val="36036A9F"/>
    <w:rsid w:val="36055BDF"/>
    <w:rsid w:val="360CF09E"/>
    <w:rsid w:val="361079EC"/>
    <w:rsid w:val="36114CE6"/>
    <w:rsid w:val="361C97E5"/>
    <w:rsid w:val="36338CE4"/>
    <w:rsid w:val="3635BD2E"/>
    <w:rsid w:val="363660A9"/>
    <w:rsid w:val="36367824"/>
    <w:rsid w:val="363762A2"/>
    <w:rsid w:val="363DAA3D"/>
    <w:rsid w:val="36408669"/>
    <w:rsid w:val="3642BC50"/>
    <w:rsid w:val="3646B645"/>
    <w:rsid w:val="365B4C58"/>
    <w:rsid w:val="365C7EFB"/>
    <w:rsid w:val="3664D1F1"/>
    <w:rsid w:val="366BA8A0"/>
    <w:rsid w:val="367097C9"/>
    <w:rsid w:val="3677B465"/>
    <w:rsid w:val="368AD207"/>
    <w:rsid w:val="368D3B90"/>
    <w:rsid w:val="368FA676"/>
    <w:rsid w:val="36919898"/>
    <w:rsid w:val="3694DEE8"/>
    <w:rsid w:val="36951823"/>
    <w:rsid w:val="3698F552"/>
    <w:rsid w:val="369A8526"/>
    <w:rsid w:val="369D9D0B"/>
    <w:rsid w:val="369F9616"/>
    <w:rsid w:val="36A0E598"/>
    <w:rsid w:val="36A37A80"/>
    <w:rsid w:val="36A45DF8"/>
    <w:rsid w:val="36A4D702"/>
    <w:rsid w:val="36AA9AC9"/>
    <w:rsid w:val="36B5A222"/>
    <w:rsid w:val="36B948CE"/>
    <w:rsid w:val="36C09BDF"/>
    <w:rsid w:val="36C16972"/>
    <w:rsid w:val="36C5F004"/>
    <w:rsid w:val="36D20272"/>
    <w:rsid w:val="36DF32C5"/>
    <w:rsid w:val="36E3A199"/>
    <w:rsid w:val="36E599C3"/>
    <w:rsid w:val="36EC0A6B"/>
    <w:rsid w:val="36EDB206"/>
    <w:rsid w:val="36F0438E"/>
    <w:rsid w:val="36F54C26"/>
    <w:rsid w:val="36F9C34C"/>
    <w:rsid w:val="36FF19C5"/>
    <w:rsid w:val="37007785"/>
    <w:rsid w:val="3704817D"/>
    <w:rsid w:val="370701B5"/>
    <w:rsid w:val="370974FD"/>
    <w:rsid w:val="371843F1"/>
    <w:rsid w:val="37198E20"/>
    <w:rsid w:val="371FE302"/>
    <w:rsid w:val="3728503A"/>
    <w:rsid w:val="373697E8"/>
    <w:rsid w:val="3737208E"/>
    <w:rsid w:val="3738B556"/>
    <w:rsid w:val="373FA477"/>
    <w:rsid w:val="37445B43"/>
    <w:rsid w:val="3746E331"/>
    <w:rsid w:val="375C2039"/>
    <w:rsid w:val="375DFA46"/>
    <w:rsid w:val="376795CE"/>
    <w:rsid w:val="37867670"/>
    <w:rsid w:val="3796DBF0"/>
    <w:rsid w:val="3797634D"/>
    <w:rsid w:val="379A9DFD"/>
    <w:rsid w:val="37A0C2B8"/>
    <w:rsid w:val="37ABAE8C"/>
    <w:rsid w:val="37AD6847"/>
    <w:rsid w:val="37B3E264"/>
    <w:rsid w:val="37BFAC25"/>
    <w:rsid w:val="37C32DD6"/>
    <w:rsid w:val="37C37247"/>
    <w:rsid w:val="37C39472"/>
    <w:rsid w:val="37CF77A1"/>
    <w:rsid w:val="37D9FE95"/>
    <w:rsid w:val="37DC7C5B"/>
    <w:rsid w:val="37DCE81F"/>
    <w:rsid w:val="37DF50CE"/>
    <w:rsid w:val="37E7BF0D"/>
    <w:rsid w:val="37F2CC22"/>
    <w:rsid w:val="37F4D8BD"/>
    <w:rsid w:val="37FFF992"/>
    <w:rsid w:val="3807BD1B"/>
    <w:rsid w:val="381052C4"/>
    <w:rsid w:val="381063FB"/>
    <w:rsid w:val="3813F80D"/>
    <w:rsid w:val="381863A3"/>
    <w:rsid w:val="381949E2"/>
    <w:rsid w:val="381D3C7B"/>
    <w:rsid w:val="3824F512"/>
    <w:rsid w:val="3827BADA"/>
    <w:rsid w:val="38376FF1"/>
    <w:rsid w:val="3840AF2C"/>
    <w:rsid w:val="38412AD5"/>
    <w:rsid w:val="3846FBCA"/>
    <w:rsid w:val="384E2C78"/>
    <w:rsid w:val="385066CC"/>
    <w:rsid w:val="38506D7A"/>
    <w:rsid w:val="385CF80F"/>
    <w:rsid w:val="3872B0FB"/>
    <w:rsid w:val="38768F08"/>
    <w:rsid w:val="387A030F"/>
    <w:rsid w:val="387BA6EF"/>
    <w:rsid w:val="387C0390"/>
    <w:rsid w:val="3883AE30"/>
    <w:rsid w:val="3887DEBD"/>
    <w:rsid w:val="3894D4D7"/>
    <w:rsid w:val="389C056A"/>
    <w:rsid w:val="389CEB08"/>
    <w:rsid w:val="38AA1FE8"/>
    <w:rsid w:val="38AC2353"/>
    <w:rsid w:val="38B430A6"/>
    <w:rsid w:val="38B6DD8F"/>
    <w:rsid w:val="38C43039"/>
    <w:rsid w:val="38CBE148"/>
    <w:rsid w:val="38CD1EA4"/>
    <w:rsid w:val="38CDE162"/>
    <w:rsid w:val="38D4C287"/>
    <w:rsid w:val="38D7A4AD"/>
    <w:rsid w:val="38E50853"/>
    <w:rsid w:val="38E6F523"/>
    <w:rsid w:val="38ED3925"/>
    <w:rsid w:val="3900E31F"/>
    <w:rsid w:val="390117B8"/>
    <w:rsid w:val="390435CF"/>
    <w:rsid w:val="3912EA95"/>
    <w:rsid w:val="39178141"/>
    <w:rsid w:val="39183D17"/>
    <w:rsid w:val="39197337"/>
    <w:rsid w:val="391B045D"/>
    <w:rsid w:val="39205F0E"/>
    <w:rsid w:val="3924C713"/>
    <w:rsid w:val="3928673D"/>
    <w:rsid w:val="39325519"/>
    <w:rsid w:val="393AA394"/>
    <w:rsid w:val="393B228A"/>
    <w:rsid w:val="393B795F"/>
    <w:rsid w:val="393D15E2"/>
    <w:rsid w:val="393F224D"/>
    <w:rsid w:val="393FB6CF"/>
    <w:rsid w:val="394113D8"/>
    <w:rsid w:val="394D450F"/>
    <w:rsid w:val="394FBFF6"/>
    <w:rsid w:val="396536A7"/>
    <w:rsid w:val="3967CA64"/>
    <w:rsid w:val="396E51FD"/>
    <w:rsid w:val="3973F7AB"/>
    <w:rsid w:val="3976A953"/>
    <w:rsid w:val="3977D458"/>
    <w:rsid w:val="3982CB46"/>
    <w:rsid w:val="398C0F3A"/>
    <w:rsid w:val="39905CBD"/>
    <w:rsid w:val="39920393"/>
    <w:rsid w:val="399CD6EE"/>
    <w:rsid w:val="39A9E4B3"/>
    <w:rsid w:val="39AA9BA6"/>
    <w:rsid w:val="39B4F02D"/>
    <w:rsid w:val="39B67570"/>
    <w:rsid w:val="39B6B863"/>
    <w:rsid w:val="39BB82F2"/>
    <w:rsid w:val="39BC8C70"/>
    <w:rsid w:val="39C166FD"/>
    <w:rsid w:val="39C9F104"/>
    <w:rsid w:val="39CB9BA3"/>
    <w:rsid w:val="39D67544"/>
    <w:rsid w:val="39D9CF9C"/>
    <w:rsid w:val="39E37685"/>
    <w:rsid w:val="39E6F23F"/>
    <w:rsid w:val="39ED2E61"/>
    <w:rsid w:val="39F05663"/>
    <w:rsid w:val="39F2A6F1"/>
    <w:rsid w:val="39FBC859"/>
    <w:rsid w:val="39FF6ED9"/>
    <w:rsid w:val="3A0588D2"/>
    <w:rsid w:val="3A06A1A6"/>
    <w:rsid w:val="3A13867A"/>
    <w:rsid w:val="3A142587"/>
    <w:rsid w:val="3A15FB73"/>
    <w:rsid w:val="3A1D05CB"/>
    <w:rsid w:val="3A206F13"/>
    <w:rsid w:val="3A251258"/>
    <w:rsid w:val="3A2B37CD"/>
    <w:rsid w:val="3A2BBEFE"/>
    <w:rsid w:val="3A3040A6"/>
    <w:rsid w:val="3A363759"/>
    <w:rsid w:val="3A378F61"/>
    <w:rsid w:val="3A3A75D9"/>
    <w:rsid w:val="3A4612E8"/>
    <w:rsid w:val="3A480A58"/>
    <w:rsid w:val="3A4A8EDB"/>
    <w:rsid w:val="3A4B08F2"/>
    <w:rsid w:val="3A5232CC"/>
    <w:rsid w:val="3A52D35D"/>
    <w:rsid w:val="3A5748F8"/>
    <w:rsid w:val="3A608142"/>
    <w:rsid w:val="3A663ACC"/>
    <w:rsid w:val="3A66D4FF"/>
    <w:rsid w:val="3A74E2B0"/>
    <w:rsid w:val="3A78DF42"/>
    <w:rsid w:val="3A790845"/>
    <w:rsid w:val="3A84AEEB"/>
    <w:rsid w:val="3A86771C"/>
    <w:rsid w:val="3A876F30"/>
    <w:rsid w:val="3A8C9AEA"/>
    <w:rsid w:val="3A9562C0"/>
    <w:rsid w:val="3A990402"/>
    <w:rsid w:val="3AA0E2D4"/>
    <w:rsid w:val="3AA83859"/>
    <w:rsid w:val="3AB333B0"/>
    <w:rsid w:val="3ABBD12C"/>
    <w:rsid w:val="3ABEF5D2"/>
    <w:rsid w:val="3ABFB3A5"/>
    <w:rsid w:val="3AC241AB"/>
    <w:rsid w:val="3AC2776A"/>
    <w:rsid w:val="3AC2BA16"/>
    <w:rsid w:val="3AC340CA"/>
    <w:rsid w:val="3AC379F2"/>
    <w:rsid w:val="3AC7D8A6"/>
    <w:rsid w:val="3AD5D485"/>
    <w:rsid w:val="3AD71C70"/>
    <w:rsid w:val="3ADC2E33"/>
    <w:rsid w:val="3ADDFEFC"/>
    <w:rsid w:val="3AE95921"/>
    <w:rsid w:val="3AF7DC5E"/>
    <w:rsid w:val="3AF80E13"/>
    <w:rsid w:val="3AFDE740"/>
    <w:rsid w:val="3B027B59"/>
    <w:rsid w:val="3B050D6D"/>
    <w:rsid w:val="3B0976B7"/>
    <w:rsid w:val="3B0A153C"/>
    <w:rsid w:val="3B0F7172"/>
    <w:rsid w:val="3B165CC6"/>
    <w:rsid w:val="3B1FEF41"/>
    <w:rsid w:val="3B285681"/>
    <w:rsid w:val="3B2869F4"/>
    <w:rsid w:val="3B2B4F0E"/>
    <w:rsid w:val="3B355181"/>
    <w:rsid w:val="3B370D1D"/>
    <w:rsid w:val="3B513B96"/>
    <w:rsid w:val="3B54D3F6"/>
    <w:rsid w:val="3B5A48D5"/>
    <w:rsid w:val="3B5FBBEF"/>
    <w:rsid w:val="3B639EFA"/>
    <w:rsid w:val="3B65F6E6"/>
    <w:rsid w:val="3B699228"/>
    <w:rsid w:val="3B6BA652"/>
    <w:rsid w:val="3B704116"/>
    <w:rsid w:val="3B71DB94"/>
    <w:rsid w:val="3B729EE7"/>
    <w:rsid w:val="3B738338"/>
    <w:rsid w:val="3B789DC8"/>
    <w:rsid w:val="3B7D2DE5"/>
    <w:rsid w:val="3B7D902F"/>
    <w:rsid w:val="3B7F7CBF"/>
    <w:rsid w:val="3B8550D2"/>
    <w:rsid w:val="3B8B22D1"/>
    <w:rsid w:val="3BA36E3B"/>
    <w:rsid w:val="3BA589DE"/>
    <w:rsid w:val="3BABE63E"/>
    <w:rsid w:val="3BC0674C"/>
    <w:rsid w:val="3BC11F10"/>
    <w:rsid w:val="3BD06DE0"/>
    <w:rsid w:val="3BD18A22"/>
    <w:rsid w:val="3BD53FCB"/>
    <w:rsid w:val="3BD65DFE"/>
    <w:rsid w:val="3BDC8FB7"/>
    <w:rsid w:val="3BE36E03"/>
    <w:rsid w:val="3BE806F7"/>
    <w:rsid w:val="3BE95305"/>
    <w:rsid w:val="3BEC6524"/>
    <w:rsid w:val="3C01E911"/>
    <w:rsid w:val="3C07D4E7"/>
    <w:rsid w:val="3C08208F"/>
    <w:rsid w:val="3C1A70E1"/>
    <w:rsid w:val="3C1C5AEB"/>
    <w:rsid w:val="3C1F47B2"/>
    <w:rsid w:val="3C26755C"/>
    <w:rsid w:val="3C34A156"/>
    <w:rsid w:val="3C3A2223"/>
    <w:rsid w:val="3C3F4268"/>
    <w:rsid w:val="3C3F7089"/>
    <w:rsid w:val="3C44BC9C"/>
    <w:rsid w:val="3C527495"/>
    <w:rsid w:val="3C562F3A"/>
    <w:rsid w:val="3C565B40"/>
    <w:rsid w:val="3C597367"/>
    <w:rsid w:val="3C604D6F"/>
    <w:rsid w:val="3C61C279"/>
    <w:rsid w:val="3C622E24"/>
    <w:rsid w:val="3C6C5E5D"/>
    <w:rsid w:val="3C7575B9"/>
    <w:rsid w:val="3C9BD19B"/>
    <w:rsid w:val="3CA0622B"/>
    <w:rsid w:val="3CA120ED"/>
    <w:rsid w:val="3CA828A4"/>
    <w:rsid w:val="3CAAEF5B"/>
    <w:rsid w:val="3CAC78ED"/>
    <w:rsid w:val="3CAEA4FA"/>
    <w:rsid w:val="3CBC68D2"/>
    <w:rsid w:val="3CC04E99"/>
    <w:rsid w:val="3CC2EDDF"/>
    <w:rsid w:val="3CC4ED18"/>
    <w:rsid w:val="3CC85D77"/>
    <w:rsid w:val="3CC8E261"/>
    <w:rsid w:val="3CCC8C7A"/>
    <w:rsid w:val="3CD9DBB3"/>
    <w:rsid w:val="3CDFF2E4"/>
    <w:rsid w:val="3CDFF99A"/>
    <w:rsid w:val="3CE71413"/>
    <w:rsid w:val="3CEEC865"/>
    <w:rsid w:val="3CF010B3"/>
    <w:rsid w:val="3CF32518"/>
    <w:rsid w:val="3CFC7054"/>
    <w:rsid w:val="3CFD5E0A"/>
    <w:rsid w:val="3CFF77E0"/>
    <w:rsid w:val="3D045CF0"/>
    <w:rsid w:val="3D08539F"/>
    <w:rsid w:val="3D16D3D0"/>
    <w:rsid w:val="3D1CA624"/>
    <w:rsid w:val="3D1E4A5E"/>
    <w:rsid w:val="3D1F6B5B"/>
    <w:rsid w:val="3D2144AB"/>
    <w:rsid w:val="3D21DD94"/>
    <w:rsid w:val="3D22B3D9"/>
    <w:rsid w:val="3D26C66A"/>
    <w:rsid w:val="3D277CD6"/>
    <w:rsid w:val="3D2C90BF"/>
    <w:rsid w:val="3D314A8A"/>
    <w:rsid w:val="3D342CAD"/>
    <w:rsid w:val="3D349629"/>
    <w:rsid w:val="3D3B6F81"/>
    <w:rsid w:val="3D3CC5B8"/>
    <w:rsid w:val="3D4233B0"/>
    <w:rsid w:val="3D4DDB2C"/>
    <w:rsid w:val="3D54AB4C"/>
    <w:rsid w:val="3D6D67D1"/>
    <w:rsid w:val="3D73870A"/>
    <w:rsid w:val="3D74526C"/>
    <w:rsid w:val="3D7F760D"/>
    <w:rsid w:val="3D86A609"/>
    <w:rsid w:val="3D8D9DC2"/>
    <w:rsid w:val="3D9A25A0"/>
    <w:rsid w:val="3D9FD767"/>
    <w:rsid w:val="3DA8E8E6"/>
    <w:rsid w:val="3DACD217"/>
    <w:rsid w:val="3DB043D2"/>
    <w:rsid w:val="3DB56333"/>
    <w:rsid w:val="3DB88F47"/>
    <w:rsid w:val="3DBE08C2"/>
    <w:rsid w:val="3DBF0735"/>
    <w:rsid w:val="3DC258A2"/>
    <w:rsid w:val="3DD4DB1D"/>
    <w:rsid w:val="3DDA65AB"/>
    <w:rsid w:val="3DE33021"/>
    <w:rsid w:val="3DE58297"/>
    <w:rsid w:val="3DEC9D05"/>
    <w:rsid w:val="3DF2D51B"/>
    <w:rsid w:val="3DF68279"/>
    <w:rsid w:val="3DFBC792"/>
    <w:rsid w:val="3E0AA4F9"/>
    <w:rsid w:val="3E0B5200"/>
    <w:rsid w:val="3E106C16"/>
    <w:rsid w:val="3E14E893"/>
    <w:rsid w:val="3E180037"/>
    <w:rsid w:val="3E1AFC89"/>
    <w:rsid w:val="3E1BCF8E"/>
    <w:rsid w:val="3E243E27"/>
    <w:rsid w:val="3E263ABA"/>
    <w:rsid w:val="3E2A9E18"/>
    <w:rsid w:val="3E2D2A83"/>
    <w:rsid w:val="3E2E4C86"/>
    <w:rsid w:val="3E323A05"/>
    <w:rsid w:val="3E3268B2"/>
    <w:rsid w:val="3E37A7C4"/>
    <w:rsid w:val="3E3D6423"/>
    <w:rsid w:val="3E40E25F"/>
    <w:rsid w:val="3E41D98C"/>
    <w:rsid w:val="3E5F11E8"/>
    <w:rsid w:val="3E61515B"/>
    <w:rsid w:val="3E62E5CA"/>
    <w:rsid w:val="3E6C49D3"/>
    <w:rsid w:val="3E7377F9"/>
    <w:rsid w:val="3E7B4812"/>
    <w:rsid w:val="3E7E7701"/>
    <w:rsid w:val="3E80A48A"/>
    <w:rsid w:val="3E89AC9D"/>
    <w:rsid w:val="3E8E8D85"/>
    <w:rsid w:val="3E936F4E"/>
    <w:rsid w:val="3E9B4D31"/>
    <w:rsid w:val="3EAC18D1"/>
    <w:rsid w:val="3EAE8967"/>
    <w:rsid w:val="3EAF174A"/>
    <w:rsid w:val="3EAF882B"/>
    <w:rsid w:val="3EB23D73"/>
    <w:rsid w:val="3EC73ACE"/>
    <w:rsid w:val="3ECDB43D"/>
    <w:rsid w:val="3ED935E4"/>
    <w:rsid w:val="3EDA30D7"/>
    <w:rsid w:val="3EE4809A"/>
    <w:rsid w:val="3EE87977"/>
    <w:rsid w:val="3EF03F10"/>
    <w:rsid w:val="3EF1B00E"/>
    <w:rsid w:val="3F085091"/>
    <w:rsid w:val="3F0B5FEE"/>
    <w:rsid w:val="3F192D63"/>
    <w:rsid w:val="3F1A97A2"/>
    <w:rsid w:val="3F1EE966"/>
    <w:rsid w:val="3F1EEE40"/>
    <w:rsid w:val="3F2889D1"/>
    <w:rsid w:val="3F3DBE75"/>
    <w:rsid w:val="3F3FC79A"/>
    <w:rsid w:val="3F43F372"/>
    <w:rsid w:val="3F463A74"/>
    <w:rsid w:val="3F487B2A"/>
    <w:rsid w:val="3F5D08C3"/>
    <w:rsid w:val="3F638834"/>
    <w:rsid w:val="3F6F8118"/>
    <w:rsid w:val="3F7A2F2D"/>
    <w:rsid w:val="3F8F85C0"/>
    <w:rsid w:val="3F96CF12"/>
    <w:rsid w:val="3F99F848"/>
    <w:rsid w:val="3F9BCF65"/>
    <w:rsid w:val="3F9C208B"/>
    <w:rsid w:val="3F9F3BC6"/>
    <w:rsid w:val="3FA0EDAE"/>
    <w:rsid w:val="3FA43E30"/>
    <w:rsid w:val="3FA464DA"/>
    <w:rsid w:val="3FA7EF0F"/>
    <w:rsid w:val="3FB1D1AB"/>
    <w:rsid w:val="3FC3F2AF"/>
    <w:rsid w:val="3FC44CE0"/>
    <w:rsid w:val="3FC58BEF"/>
    <w:rsid w:val="3FCCEBA6"/>
    <w:rsid w:val="3FD4D1DD"/>
    <w:rsid w:val="3FD59479"/>
    <w:rsid w:val="3FD8446F"/>
    <w:rsid w:val="3FDC2ED3"/>
    <w:rsid w:val="3FDEA1D2"/>
    <w:rsid w:val="3FE360C5"/>
    <w:rsid w:val="3FE84962"/>
    <w:rsid w:val="3FEA8B18"/>
    <w:rsid w:val="3FEE2509"/>
    <w:rsid w:val="3FF041D8"/>
    <w:rsid w:val="3FF4979B"/>
    <w:rsid w:val="40071712"/>
    <w:rsid w:val="401167BB"/>
    <w:rsid w:val="40144F7F"/>
    <w:rsid w:val="40153951"/>
    <w:rsid w:val="4016C968"/>
    <w:rsid w:val="401A5D5C"/>
    <w:rsid w:val="401F7D27"/>
    <w:rsid w:val="4027B56A"/>
    <w:rsid w:val="402AE6F9"/>
    <w:rsid w:val="402EAC1A"/>
    <w:rsid w:val="403280F5"/>
    <w:rsid w:val="4041AFEF"/>
    <w:rsid w:val="40453315"/>
    <w:rsid w:val="40470C47"/>
    <w:rsid w:val="404EB863"/>
    <w:rsid w:val="40585108"/>
    <w:rsid w:val="406781F4"/>
    <w:rsid w:val="4069AF52"/>
    <w:rsid w:val="40702CC0"/>
    <w:rsid w:val="407476A4"/>
    <w:rsid w:val="407E40F1"/>
    <w:rsid w:val="4082BBEF"/>
    <w:rsid w:val="408BA2F8"/>
    <w:rsid w:val="4092846D"/>
    <w:rsid w:val="409AEE2E"/>
    <w:rsid w:val="40AA9678"/>
    <w:rsid w:val="40B24568"/>
    <w:rsid w:val="40C206BE"/>
    <w:rsid w:val="40C2CD97"/>
    <w:rsid w:val="40C302DF"/>
    <w:rsid w:val="40C839D3"/>
    <w:rsid w:val="40CC1FAB"/>
    <w:rsid w:val="40CF7385"/>
    <w:rsid w:val="40D29D40"/>
    <w:rsid w:val="40D3BE28"/>
    <w:rsid w:val="40D8FB78"/>
    <w:rsid w:val="40DCFFB3"/>
    <w:rsid w:val="40E49D16"/>
    <w:rsid w:val="40ED4433"/>
    <w:rsid w:val="40EF8B15"/>
    <w:rsid w:val="40EF9CCB"/>
    <w:rsid w:val="410A4EC5"/>
    <w:rsid w:val="410BB588"/>
    <w:rsid w:val="41117FA7"/>
    <w:rsid w:val="4116FAA5"/>
    <w:rsid w:val="4117488A"/>
    <w:rsid w:val="412893F5"/>
    <w:rsid w:val="412C7525"/>
    <w:rsid w:val="4160B536"/>
    <w:rsid w:val="4174BFF6"/>
    <w:rsid w:val="41795FB9"/>
    <w:rsid w:val="41816298"/>
    <w:rsid w:val="41855E75"/>
    <w:rsid w:val="4189AA21"/>
    <w:rsid w:val="418ECD9C"/>
    <w:rsid w:val="41925072"/>
    <w:rsid w:val="4193F548"/>
    <w:rsid w:val="41B32064"/>
    <w:rsid w:val="41B97C1E"/>
    <w:rsid w:val="41C2B2FA"/>
    <w:rsid w:val="41C3D1C7"/>
    <w:rsid w:val="41C510B5"/>
    <w:rsid w:val="41D0686A"/>
    <w:rsid w:val="41DE2440"/>
    <w:rsid w:val="41E58BC3"/>
    <w:rsid w:val="41E9AE69"/>
    <w:rsid w:val="41EAA4E3"/>
    <w:rsid w:val="41F84681"/>
    <w:rsid w:val="42090A0F"/>
    <w:rsid w:val="42094757"/>
    <w:rsid w:val="4211F32A"/>
    <w:rsid w:val="421355CC"/>
    <w:rsid w:val="421EF0BD"/>
    <w:rsid w:val="422176BE"/>
    <w:rsid w:val="4221E69D"/>
    <w:rsid w:val="4222C895"/>
    <w:rsid w:val="422EF177"/>
    <w:rsid w:val="4234C50E"/>
    <w:rsid w:val="423FB6AC"/>
    <w:rsid w:val="42405E04"/>
    <w:rsid w:val="4248C820"/>
    <w:rsid w:val="424AFA32"/>
    <w:rsid w:val="424E6595"/>
    <w:rsid w:val="42572018"/>
    <w:rsid w:val="4259818A"/>
    <w:rsid w:val="425D9D1C"/>
    <w:rsid w:val="425E02A9"/>
    <w:rsid w:val="425E265C"/>
    <w:rsid w:val="426AC9BC"/>
    <w:rsid w:val="427AE210"/>
    <w:rsid w:val="427DD9B8"/>
    <w:rsid w:val="4280E992"/>
    <w:rsid w:val="42810DAE"/>
    <w:rsid w:val="42824C66"/>
    <w:rsid w:val="42898BEC"/>
    <w:rsid w:val="428E141B"/>
    <w:rsid w:val="42900866"/>
    <w:rsid w:val="42925E7B"/>
    <w:rsid w:val="42934581"/>
    <w:rsid w:val="429AAC8F"/>
    <w:rsid w:val="429C3148"/>
    <w:rsid w:val="429EACA8"/>
    <w:rsid w:val="42A7AA23"/>
    <w:rsid w:val="42A7FBE8"/>
    <w:rsid w:val="42A8C88E"/>
    <w:rsid w:val="42B10969"/>
    <w:rsid w:val="42B1939A"/>
    <w:rsid w:val="42B7B4FC"/>
    <w:rsid w:val="42B9DDE1"/>
    <w:rsid w:val="42BAAEB2"/>
    <w:rsid w:val="42C39FDA"/>
    <w:rsid w:val="42CFBA0E"/>
    <w:rsid w:val="42E1BDDC"/>
    <w:rsid w:val="42E202BC"/>
    <w:rsid w:val="42E2B0BE"/>
    <w:rsid w:val="42E780CB"/>
    <w:rsid w:val="42FA96A8"/>
    <w:rsid w:val="42FF3320"/>
    <w:rsid w:val="4301E953"/>
    <w:rsid w:val="4302F413"/>
    <w:rsid w:val="430640B7"/>
    <w:rsid w:val="430BF629"/>
    <w:rsid w:val="430D2ACA"/>
    <w:rsid w:val="43123F7F"/>
    <w:rsid w:val="43127870"/>
    <w:rsid w:val="4318AC90"/>
    <w:rsid w:val="431DC940"/>
    <w:rsid w:val="43201BCC"/>
    <w:rsid w:val="433054A5"/>
    <w:rsid w:val="4330EF08"/>
    <w:rsid w:val="43328C12"/>
    <w:rsid w:val="4337236A"/>
    <w:rsid w:val="433C8222"/>
    <w:rsid w:val="433DC051"/>
    <w:rsid w:val="433E8C7A"/>
    <w:rsid w:val="434ACC3A"/>
    <w:rsid w:val="434EC3C4"/>
    <w:rsid w:val="43573DC0"/>
    <w:rsid w:val="4359C5F0"/>
    <w:rsid w:val="4365D056"/>
    <w:rsid w:val="437008C5"/>
    <w:rsid w:val="43708B1B"/>
    <w:rsid w:val="437158EF"/>
    <w:rsid w:val="437868A3"/>
    <w:rsid w:val="437D233F"/>
    <w:rsid w:val="43837126"/>
    <w:rsid w:val="4386D82A"/>
    <w:rsid w:val="438740E6"/>
    <w:rsid w:val="43888A79"/>
    <w:rsid w:val="43897FA2"/>
    <w:rsid w:val="4393A2C4"/>
    <w:rsid w:val="43981DFE"/>
    <w:rsid w:val="439A5A2A"/>
    <w:rsid w:val="439C1317"/>
    <w:rsid w:val="43A13F86"/>
    <w:rsid w:val="43B9E2D4"/>
    <w:rsid w:val="43C4BE91"/>
    <w:rsid w:val="43C50845"/>
    <w:rsid w:val="43D4E7B3"/>
    <w:rsid w:val="43D57CA5"/>
    <w:rsid w:val="43D6690B"/>
    <w:rsid w:val="43E5C2FE"/>
    <w:rsid w:val="43E5C4C3"/>
    <w:rsid w:val="43E85489"/>
    <w:rsid w:val="43EA7817"/>
    <w:rsid w:val="43ED380F"/>
    <w:rsid w:val="43EE6633"/>
    <w:rsid w:val="43F3754C"/>
    <w:rsid w:val="43F75276"/>
    <w:rsid w:val="43F8F311"/>
    <w:rsid w:val="43FF2B41"/>
    <w:rsid w:val="44046A2C"/>
    <w:rsid w:val="44048D2B"/>
    <w:rsid w:val="4405D0BE"/>
    <w:rsid w:val="4409FB95"/>
    <w:rsid w:val="4422752B"/>
    <w:rsid w:val="44267CFA"/>
    <w:rsid w:val="4439617E"/>
    <w:rsid w:val="443D9C4F"/>
    <w:rsid w:val="444E9260"/>
    <w:rsid w:val="44560324"/>
    <w:rsid w:val="445FCE96"/>
    <w:rsid w:val="4461992D"/>
    <w:rsid w:val="44684BF5"/>
    <w:rsid w:val="447C23D8"/>
    <w:rsid w:val="447C243C"/>
    <w:rsid w:val="447C4EEF"/>
    <w:rsid w:val="447C8842"/>
    <w:rsid w:val="4487B596"/>
    <w:rsid w:val="4491DCBB"/>
    <w:rsid w:val="449293F5"/>
    <w:rsid w:val="4496619A"/>
    <w:rsid w:val="4499E2DB"/>
    <w:rsid w:val="449FD38A"/>
    <w:rsid w:val="44A483BC"/>
    <w:rsid w:val="44A7B2FF"/>
    <w:rsid w:val="44AC3AA2"/>
    <w:rsid w:val="44B1E413"/>
    <w:rsid w:val="44B2EF16"/>
    <w:rsid w:val="44BAECAE"/>
    <w:rsid w:val="44BD699E"/>
    <w:rsid w:val="44C053C6"/>
    <w:rsid w:val="44C1C4DA"/>
    <w:rsid w:val="44C89228"/>
    <w:rsid w:val="44CAA6DA"/>
    <w:rsid w:val="44CBF01C"/>
    <w:rsid w:val="44CD7D79"/>
    <w:rsid w:val="44D16C7C"/>
    <w:rsid w:val="44D2B335"/>
    <w:rsid w:val="44E4ED74"/>
    <w:rsid w:val="44ED1276"/>
    <w:rsid w:val="45078B8C"/>
    <w:rsid w:val="450D4377"/>
    <w:rsid w:val="450EED80"/>
    <w:rsid w:val="4510CBB3"/>
    <w:rsid w:val="4514245A"/>
    <w:rsid w:val="45146D2C"/>
    <w:rsid w:val="4514A671"/>
    <w:rsid w:val="451DEFB5"/>
    <w:rsid w:val="452207C3"/>
    <w:rsid w:val="45273BD2"/>
    <w:rsid w:val="452D134F"/>
    <w:rsid w:val="452F25C4"/>
    <w:rsid w:val="4530EF76"/>
    <w:rsid w:val="4539F33C"/>
    <w:rsid w:val="45411B45"/>
    <w:rsid w:val="4541F06A"/>
    <w:rsid w:val="455E4B3B"/>
    <w:rsid w:val="45633C3A"/>
    <w:rsid w:val="456A6868"/>
    <w:rsid w:val="45780B0A"/>
    <w:rsid w:val="45783D6D"/>
    <w:rsid w:val="457AA39C"/>
    <w:rsid w:val="457D3DBE"/>
    <w:rsid w:val="45861817"/>
    <w:rsid w:val="458B666C"/>
    <w:rsid w:val="458BE1EF"/>
    <w:rsid w:val="45909173"/>
    <w:rsid w:val="4590B7D9"/>
    <w:rsid w:val="45A0DE61"/>
    <w:rsid w:val="45A78CEA"/>
    <w:rsid w:val="45A807D6"/>
    <w:rsid w:val="45B8A5C7"/>
    <w:rsid w:val="45BAA6C5"/>
    <w:rsid w:val="45C62120"/>
    <w:rsid w:val="45C6F3B8"/>
    <w:rsid w:val="45CE3361"/>
    <w:rsid w:val="45D552F9"/>
    <w:rsid w:val="45DB9CC7"/>
    <w:rsid w:val="45DC42A8"/>
    <w:rsid w:val="45DEE850"/>
    <w:rsid w:val="45E166F8"/>
    <w:rsid w:val="45E96F91"/>
    <w:rsid w:val="45EF6F92"/>
    <w:rsid w:val="45F143AC"/>
    <w:rsid w:val="45F5101D"/>
    <w:rsid w:val="45FFFF74"/>
    <w:rsid w:val="460011E7"/>
    <w:rsid w:val="46010CBF"/>
    <w:rsid w:val="4608DAE1"/>
    <w:rsid w:val="461E9347"/>
    <w:rsid w:val="462225BB"/>
    <w:rsid w:val="462433D0"/>
    <w:rsid w:val="4624C8D5"/>
    <w:rsid w:val="46273071"/>
    <w:rsid w:val="46287237"/>
    <w:rsid w:val="462B2F26"/>
    <w:rsid w:val="462F54BF"/>
    <w:rsid w:val="4654A7D2"/>
    <w:rsid w:val="4654CB59"/>
    <w:rsid w:val="465B9FBF"/>
    <w:rsid w:val="466327B2"/>
    <w:rsid w:val="4667D387"/>
    <w:rsid w:val="466E8949"/>
    <w:rsid w:val="467EE7A5"/>
    <w:rsid w:val="468344AA"/>
    <w:rsid w:val="468992A9"/>
    <w:rsid w:val="468BE3A5"/>
    <w:rsid w:val="46906FAA"/>
    <w:rsid w:val="469A732F"/>
    <w:rsid w:val="469D2715"/>
    <w:rsid w:val="469D64C1"/>
    <w:rsid w:val="46A800FA"/>
    <w:rsid w:val="46AD0F76"/>
    <w:rsid w:val="46AE95B5"/>
    <w:rsid w:val="46B4BE0F"/>
    <w:rsid w:val="46BD1FCD"/>
    <w:rsid w:val="46C02193"/>
    <w:rsid w:val="46C3BC6C"/>
    <w:rsid w:val="46C3D9C3"/>
    <w:rsid w:val="46CA7220"/>
    <w:rsid w:val="46CF37D8"/>
    <w:rsid w:val="46D33F0E"/>
    <w:rsid w:val="46D42FC9"/>
    <w:rsid w:val="46DB8619"/>
    <w:rsid w:val="46E6AA5A"/>
    <w:rsid w:val="46EAA26D"/>
    <w:rsid w:val="46EB162D"/>
    <w:rsid w:val="46EC32C4"/>
    <w:rsid w:val="46F03957"/>
    <w:rsid w:val="46FB1439"/>
    <w:rsid w:val="470348FF"/>
    <w:rsid w:val="4703B863"/>
    <w:rsid w:val="4707CB44"/>
    <w:rsid w:val="47094B6D"/>
    <w:rsid w:val="47125226"/>
    <w:rsid w:val="4714CC8D"/>
    <w:rsid w:val="4718EFF7"/>
    <w:rsid w:val="471BE811"/>
    <w:rsid w:val="471DAF6D"/>
    <w:rsid w:val="47262F10"/>
    <w:rsid w:val="472E36A7"/>
    <w:rsid w:val="47318C94"/>
    <w:rsid w:val="4742FE16"/>
    <w:rsid w:val="474DD586"/>
    <w:rsid w:val="4756DFE6"/>
    <w:rsid w:val="475A2B87"/>
    <w:rsid w:val="475EDB9E"/>
    <w:rsid w:val="476869AE"/>
    <w:rsid w:val="476E7274"/>
    <w:rsid w:val="4783EC31"/>
    <w:rsid w:val="4789B209"/>
    <w:rsid w:val="478AFCFC"/>
    <w:rsid w:val="478C534C"/>
    <w:rsid w:val="478D8A75"/>
    <w:rsid w:val="4795C5B7"/>
    <w:rsid w:val="4795DD5E"/>
    <w:rsid w:val="479AAE31"/>
    <w:rsid w:val="479C8B7F"/>
    <w:rsid w:val="47A35EE5"/>
    <w:rsid w:val="47A3878C"/>
    <w:rsid w:val="47B4AD2C"/>
    <w:rsid w:val="47B857E5"/>
    <w:rsid w:val="47BAC001"/>
    <w:rsid w:val="47BB947A"/>
    <w:rsid w:val="47BD4C5B"/>
    <w:rsid w:val="47C45CC4"/>
    <w:rsid w:val="47D504DE"/>
    <w:rsid w:val="47DA4A06"/>
    <w:rsid w:val="47DB9442"/>
    <w:rsid w:val="47E37C9F"/>
    <w:rsid w:val="47E91FAA"/>
    <w:rsid w:val="47EA3F1D"/>
    <w:rsid w:val="47EE2276"/>
    <w:rsid w:val="47FBC9C0"/>
    <w:rsid w:val="47FC3E4E"/>
    <w:rsid w:val="48020677"/>
    <w:rsid w:val="4802F16C"/>
    <w:rsid w:val="4806642B"/>
    <w:rsid w:val="48097420"/>
    <w:rsid w:val="480E6603"/>
    <w:rsid w:val="48130ED3"/>
    <w:rsid w:val="481563AE"/>
    <w:rsid w:val="4816BF61"/>
    <w:rsid w:val="48237045"/>
    <w:rsid w:val="482E8624"/>
    <w:rsid w:val="4844B920"/>
    <w:rsid w:val="48458E67"/>
    <w:rsid w:val="4845D699"/>
    <w:rsid w:val="48461D25"/>
    <w:rsid w:val="48499B9C"/>
    <w:rsid w:val="4850EAB1"/>
    <w:rsid w:val="48516E7C"/>
    <w:rsid w:val="48517683"/>
    <w:rsid w:val="4852D8F2"/>
    <w:rsid w:val="4853DA93"/>
    <w:rsid w:val="485F9F1F"/>
    <w:rsid w:val="48617E60"/>
    <w:rsid w:val="48714E63"/>
    <w:rsid w:val="4874154A"/>
    <w:rsid w:val="48764B7C"/>
    <w:rsid w:val="4883DB9A"/>
    <w:rsid w:val="4884915A"/>
    <w:rsid w:val="488A361B"/>
    <w:rsid w:val="488EAE50"/>
    <w:rsid w:val="489324BA"/>
    <w:rsid w:val="48A2174B"/>
    <w:rsid w:val="48A44E56"/>
    <w:rsid w:val="48A66FAE"/>
    <w:rsid w:val="48ABED19"/>
    <w:rsid w:val="48AD7E6A"/>
    <w:rsid w:val="48AF3FDB"/>
    <w:rsid w:val="48B31D5B"/>
    <w:rsid w:val="48B9E2F5"/>
    <w:rsid w:val="48C05A09"/>
    <w:rsid w:val="48C374DC"/>
    <w:rsid w:val="48C5499F"/>
    <w:rsid w:val="48C61D7C"/>
    <w:rsid w:val="48CAF128"/>
    <w:rsid w:val="48CF71FB"/>
    <w:rsid w:val="48D2D2C3"/>
    <w:rsid w:val="48D45828"/>
    <w:rsid w:val="48EC3A37"/>
    <w:rsid w:val="48FAF962"/>
    <w:rsid w:val="48FCD448"/>
    <w:rsid w:val="490DCD12"/>
    <w:rsid w:val="49148EC0"/>
    <w:rsid w:val="4914CB17"/>
    <w:rsid w:val="4916DD6D"/>
    <w:rsid w:val="49200C25"/>
    <w:rsid w:val="492567CE"/>
    <w:rsid w:val="492E8316"/>
    <w:rsid w:val="4937143B"/>
    <w:rsid w:val="493D3495"/>
    <w:rsid w:val="4951018B"/>
    <w:rsid w:val="495DEF67"/>
    <w:rsid w:val="496058BA"/>
    <w:rsid w:val="49679FB6"/>
    <w:rsid w:val="49696124"/>
    <w:rsid w:val="4969A35B"/>
    <w:rsid w:val="496DBD0E"/>
    <w:rsid w:val="49759096"/>
    <w:rsid w:val="497591DA"/>
    <w:rsid w:val="4975D310"/>
    <w:rsid w:val="497C6A68"/>
    <w:rsid w:val="49842B1A"/>
    <w:rsid w:val="498B0E9F"/>
    <w:rsid w:val="498B22F2"/>
    <w:rsid w:val="498E778F"/>
    <w:rsid w:val="498FF42F"/>
    <w:rsid w:val="49995261"/>
    <w:rsid w:val="499C8C52"/>
    <w:rsid w:val="49A33C6F"/>
    <w:rsid w:val="49A4587C"/>
    <w:rsid w:val="49A50BDF"/>
    <w:rsid w:val="49ACAFB6"/>
    <w:rsid w:val="49B59D4A"/>
    <w:rsid w:val="49BC137A"/>
    <w:rsid w:val="49BC4063"/>
    <w:rsid w:val="49C117F9"/>
    <w:rsid w:val="49C436AC"/>
    <w:rsid w:val="49C5E15F"/>
    <w:rsid w:val="49D0C212"/>
    <w:rsid w:val="49D89099"/>
    <w:rsid w:val="49DC72BD"/>
    <w:rsid w:val="49DC81A6"/>
    <w:rsid w:val="49DFCE6D"/>
    <w:rsid w:val="49FC1C1A"/>
    <w:rsid w:val="49FCEC60"/>
    <w:rsid w:val="49FF2B63"/>
    <w:rsid w:val="4A013435"/>
    <w:rsid w:val="4A07EA9A"/>
    <w:rsid w:val="4A11F74B"/>
    <w:rsid w:val="4A14CDF6"/>
    <w:rsid w:val="4A17DAF7"/>
    <w:rsid w:val="4A17ED0B"/>
    <w:rsid w:val="4A190050"/>
    <w:rsid w:val="4A1A1498"/>
    <w:rsid w:val="4A21D1F8"/>
    <w:rsid w:val="4A21D23D"/>
    <w:rsid w:val="4A2A0FF6"/>
    <w:rsid w:val="4A2B8FD9"/>
    <w:rsid w:val="4A2D3E5F"/>
    <w:rsid w:val="4A325E2E"/>
    <w:rsid w:val="4A3595B0"/>
    <w:rsid w:val="4A3A60B8"/>
    <w:rsid w:val="4A3AEA7C"/>
    <w:rsid w:val="4A3EAD4E"/>
    <w:rsid w:val="4A3F487C"/>
    <w:rsid w:val="4A42C97F"/>
    <w:rsid w:val="4A474530"/>
    <w:rsid w:val="4A71CFDA"/>
    <w:rsid w:val="4A730E1A"/>
    <w:rsid w:val="4A7911F7"/>
    <w:rsid w:val="4A81293A"/>
    <w:rsid w:val="4A83346C"/>
    <w:rsid w:val="4A892AC4"/>
    <w:rsid w:val="4A99B243"/>
    <w:rsid w:val="4A9A2D2E"/>
    <w:rsid w:val="4AA964C3"/>
    <w:rsid w:val="4AABD8E6"/>
    <w:rsid w:val="4ABD4230"/>
    <w:rsid w:val="4ABDCAA4"/>
    <w:rsid w:val="4AC4DC63"/>
    <w:rsid w:val="4ACC61AB"/>
    <w:rsid w:val="4ADCEEA1"/>
    <w:rsid w:val="4AE449CA"/>
    <w:rsid w:val="4AEA3DA7"/>
    <w:rsid w:val="4AEC43E2"/>
    <w:rsid w:val="4AED80EF"/>
    <w:rsid w:val="4AEF6EFF"/>
    <w:rsid w:val="4AF62A10"/>
    <w:rsid w:val="4AFC01DD"/>
    <w:rsid w:val="4B0170CD"/>
    <w:rsid w:val="4B05C79A"/>
    <w:rsid w:val="4B0A4BA0"/>
    <w:rsid w:val="4B0B5838"/>
    <w:rsid w:val="4B0EE2D4"/>
    <w:rsid w:val="4B13BA41"/>
    <w:rsid w:val="4B1CB22F"/>
    <w:rsid w:val="4B1D187A"/>
    <w:rsid w:val="4B1F97F9"/>
    <w:rsid w:val="4B20D740"/>
    <w:rsid w:val="4B2A853C"/>
    <w:rsid w:val="4B2B5476"/>
    <w:rsid w:val="4B313D79"/>
    <w:rsid w:val="4B323153"/>
    <w:rsid w:val="4B375AA8"/>
    <w:rsid w:val="4B3A9AEB"/>
    <w:rsid w:val="4B3AB065"/>
    <w:rsid w:val="4B3B6A17"/>
    <w:rsid w:val="4B3EEBA1"/>
    <w:rsid w:val="4B41003B"/>
    <w:rsid w:val="4B49286E"/>
    <w:rsid w:val="4B4F475C"/>
    <w:rsid w:val="4B543D97"/>
    <w:rsid w:val="4B55BAB9"/>
    <w:rsid w:val="4B5A037A"/>
    <w:rsid w:val="4B5C275D"/>
    <w:rsid w:val="4B6135B9"/>
    <w:rsid w:val="4B613968"/>
    <w:rsid w:val="4B673010"/>
    <w:rsid w:val="4B6E65B3"/>
    <w:rsid w:val="4B713594"/>
    <w:rsid w:val="4B7C296B"/>
    <w:rsid w:val="4B7F2AE3"/>
    <w:rsid w:val="4B7FE279"/>
    <w:rsid w:val="4B844BFA"/>
    <w:rsid w:val="4B84F827"/>
    <w:rsid w:val="4B92A490"/>
    <w:rsid w:val="4B92EA86"/>
    <w:rsid w:val="4B9D5E88"/>
    <w:rsid w:val="4BA3889B"/>
    <w:rsid w:val="4BA425FA"/>
    <w:rsid w:val="4BA6DEB9"/>
    <w:rsid w:val="4BB1CCEB"/>
    <w:rsid w:val="4BC1819A"/>
    <w:rsid w:val="4BC6249B"/>
    <w:rsid w:val="4BCBFFF5"/>
    <w:rsid w:val="4BCD6B4C"/>
    <w:rsid w:val="4BD1549D"/>
    <w:rsid w:val="4BD5EBB9"/>
    <w:rsid w:val="4BE63C50"/>
    <w:rsid w:val="4BE706D4"/>
    <w:rsid w:val="4BE9D103"/>
    <w:rsid w:val="4BED5521"/>
    <w:rsid w:val="4BEDB110"/>
    <w:rsid w:val="4BF3A592"/>
    <w:rsid w:val="4BFC6B04"/>
    <w:rsid w:val="4C056E67"/>
    <w:rsid w:val="4C0DD04B"/>
    <w:rsid w:val="4C11AC99"/>
    <w:rsid w:val="4C1EE950"/>
    <w:rsid w:val="4C1FC233"/>
    <w:rsid w:val="4C234B76"/>
    <w:rsid w:val="4C2D46FD"/>
    <w:rsid w:val="4C2EA5E0"/>
    <w:rsid w:val="4C3C249D"/>
    <w:rsid w:val="4C401353"/>
    <w:rsid w:val="4C419083"/>
    <w:rsid w:val="4C436F91"/>
    <w:rsid w:val="4C4BEE75"/>
    <w:rsid w:val="4C538345"/>
    <w:rsid w:val="4C5C0919"/>
    <w:rsid w:val="4C5E4082"/>
    <w:rsid w:val="4C5E8640"/>
    <w:rsid w:val="4C5FD310"/>
    <w:rsid w:val="4C64F0EB"/>
    <w:rsid w:val="4C65AD99"/>
    <w:rsid w:val="4C661EA2"/>
    <w:rsid w:val="4C6D9ED3"/>
    <w:rsid w:val="4C6EC3F2"/>
    <w:rsid w:val="4C6ECC0E"/>
    <w:rsid w:val="4C746658"/>
    <w:rsid w:val="4C781EFA"/>
    <w:rsid w:val="4C7A63FD"/>
    <w:rsid w:val="4C7BB171"/>
    <w:rsid w:val="4C868CB5"/>
    <w:rsid w:val="4C983440"/>
    <w:rsid w:val="4C990CF0"/>
    <w:rsid w:val="4CA3603A"/>
    <w:rsid w:val="4CA4838E"/>
    <w:rsid w:val="4CAA3C94"/>
    <w:rsid w:val="4CB92455"/>
    <w:rsid w:val="4CC023E9"/>
    <w:rsid w:val="4CC1D5D2"/>
    <w:rsid w:val="4CC23D7C"/>
    <w:rsid w:val="4CC868D8"/>
    <w:rsid w:val="4CC883F9"/>
    <w:rsid w:val="4CCD8FB6"/>
    <w:rsid w:val="4CCF2C47"/>
    <w:rsid w:val="4CD221F4"/>
    <w:rsid w:val="4CF05DBF"/>
    <w:rsid w:val="4CF1D17C"/>
    <w:rsid w:val="4CF2B023"/>
    <w:rsid w:val="4CFA4C15"/>
    <w:rsid w:val="4CFA784F"/>
    <w:rsid w:val="4D046698"/>
    <w:rsid w:val="4D0488E0"/>
    <w:rsid w:val="4D097546"/>
    <w:rsid w:val="4D11EE28"/>
    <w:rsid w:val="4D188FEC"/>
    <w:rsid w:val="4D1B3B0F"/>
    <w:rsid w:val="4D22C6A5"/>
    <w:rsid w:val="4D25B437"/>
    <w:rsid w:val="4D27E21F"/>
    <w:rsid w:val="4D30A347"/>
    <w:rsid w:val="4D320F42"/>
    <w:rsid w:val="4D369328"/>
    <w:rsid w:val="4D370067"/>
    <w:rsid w:val="4D3C1DF7"/>
    <w:rsid w:val="4D48EE5E"/>
    <w:rsid w:val="4D494CAD"/>
    <w:rsid w:val="4D4B9828"/>
    <w:rsid w:val="4D4D1693"/>
    <w:rsid w:val="4D5A73F9"/>
    <w:rsid w:val="4D69150B"/>
    <w:rsid w:val="4D6B5CC1"/>
    <w:rsid w:val="4D6EC320"/>
    <w:rsid w:val="4D705148"/>
    <w:rsid w:val="4D78EA7D"/>
    <w:rsid w:val="4D7C0327"/>
    <w:rsid w:val="4D83E950"/>
    <w:rsid w:val="4D8930D9"/>
    <w:rsid w:val="4D91E79C"/>
    <w:rsid w:val="4DA69F0A"/>
    <w:rsid w:val="4DA8E503"/>
    <w:rsid w:val="4DAB3277"/>
    <w:rsid w:val="4DB31A3D"/>
    <w:rsid w:val="4DBA1146"/>
    <w:rsid w:val="4DBE95BC"/>
    <w:rsid w:val="4DC1CBD1"/>
    <w:rsid w:val="4DC6A526"/>
    <w:rsid w:val="4DCA1C99"/>
    <w:rsid w:val="4DCC5B23"/>
    <w:rsid w:val="4DCCCF67"/>
    <w:rsid w:val="4DCCDE3D"/>
    <w:rsid w:val="4DD4445B"/>
    <w:rsid w:val="4DDB500D"/>
    <w:rsid w:val="4DDDA87E"/>
    <w:rsid w:val="4DF19486"/>
    <w:rsid w:val="4DF3DDBB"/>
    <w:rsid w:val="4DF95FA0"/>
    <w:rsid w:val="4DFCE1F8"/>
    <w:rsid w:val="4E01FBB0"/>
    <w:rsid w:val="4E201246"/>
    <w:rsid w:val="4E282228"/>
    <w:rsid w:val="4E2BA971"/>
    <w:rsid w:val="4E311A82"/>
    <w:rsid w:val="4E379ECB"/>
    <w:rsid w:val="4E37E579"/>
    <w:rsid w:val="4E461DA7"/>
    <w:rsid w:val="4E462021"/>
    <w:rsid w:val="4E4E5971"/>
    <w:rsid w:val="4E4F40FE"/>
    <w:rsid w:val="4E5D92C3"/>
    <w:rsid w:val="4E605364"/>
    <w:rsid w:val="4E6176AA"/>
    <w:rsid w:val="4E6251C2"/>
    <w:rsid w:val="4E634216"/>
    <w:rsid w:val="4E67DFC9"/>
    <w:rsid w:val="4E6C456B"/>
    <w:rsid w:val="4E746041"/>
    <w:rsid w:val="4E7574EE"/>
    <w:rsid w:val="4E79C877"/>
    <w:rsid w:val="4E7A687B"/>
    <w:rsid w:val="4E8278CF"/>
    <w:rsid w:val="4E834EA0"/>
    <w:rsid w:val="4E8A1E34"/>
    <w:rsid w:val="4E8A75FB"/>
    <w:rsid w:val="4E8B59C5"/>
    <w:rsid w:val="4E92D97E"/>
    <w:rsid w:val="4E9ABD82"/>
    <w:rsid w:val="4E9B20A4"/>
    <w:rsid w:val="4EB868B6"/>
    <w:rsid w:val="4EC43ABD"/>
    <w:rsid w:val="4ECC9166"/>
    <w:rsid w:val="4ECFFCAD"/>
    <w:rsid w:val="4ED8CADD"/>
    <w:rsid w:val="4EDE161B"/>
    <w:rsid w:val="4EE70B91"/>
    <w:rsid w:val="4EEB608F"/>
    <w:rsid w:val="4F0BEE77"/>
    <w:rsid w:val="4F179DCC"/>
    <w:rsid w:val="4F17F48B"/>
    <w:rsid w:val="4F1B0D91"/>
    <w:rsid w:val="4F1DB2F6"/>
    <w:rsid w:val="4F296604"/>
    <w:rsid w:val="4F3860B7"/>
    <w:rsid w:val="4F3903D7"/>
    <w:rsid w:val="4F399FDE"/>
    <w:rsid w:val="4F41830D"/>
    <w:rsid w:val="4F461B83"/>
    <w:rsid w:val="4F49667E"/>
    <w:rsid w:val="4F4C62D6"/>
    <w:rsid w:val="4F51014D"/>
    <w:rsid w:val="4F57D007"/>
    <w:rsid w:val="4F5B6E9A"/>
    <w:rsid w:val="4F5CB6EB"/>
    <w:rsid w:val="4F7432DA"/>
    <w:rsid w:val="4F7FF4E6"/>
    <w:rsid w:val="4F830096"/>
    <w:rsid w:val="4F8B8EE9"/>
    <w:rsid w:val="4F9B22CB"/>
    <w:rsid w:val="4F9F3556"/>
    <w:rsid w:val="4FA3E076"/>
    <w:rsid w:val="4FAF9332"/>
    <w:rsid w:val="4FC00BB4"/>
    <w:rsid w:val="4FC4EADF"/>
    <w:rsid w:val="4FCB34BE"/>
    <w:rsid w:val="4FD47570"/>
    <w:rsid w:val="4FDBCD11"/>
    <w:rsid w:val="4FEA5A4A"/>
    <w:rsid w:val="4FEC6D0A"/>
    <w:rsid w:val="4FF1B12D"/>
    <w:rsid w:val="4FF8C8CE"/>
    <w:rsid w:val="4FFCB3AB"/>
    <w:rsid w:val="5000F82B"/>
    <w:rsid w:val="500DEEAC"/>
    <w:rsid w:val="5013B9FD"/>
    <w:rsid w:val="501C268D"/>
    <w:rsid w:val="501F91D8"/>
    <w:rsid w:val="5020118B"/>
    <w:rsid w:val="5023726F"/>
    <w:rsid w:val="50292AC1"/>
    <w:rsid w:val="502F4A85"/>
    <w:rsid w:val="503257A7"/>
    <w:rsid w:val="50336641"/>
    <w:rsid w:val="503EAC6B"/>
    <w:rsid w:val="50494836"/>
    <w:rsid w:val="504B66F8"/>
    <w:rsid w:val="504F3962"/>
    <w:rsid w:val="5053E81A"/>
    <w:rsid w:val="505FCE00"/>
    <w:rsid w:val="5062826B"/>
    <w:rsid w:val="5062BD61"/>
    <w:rsid w:val="506C1A26"/>
    <w:rsid w:val="50733662"/>
    <w:rsid w:val="507ABF55"/>
    <w:rsid w:val="507B6A9C"/>
    <w:rsid w:val="507BD36D"/>
    <w:rsid w:val="508442F1"/>
    <w:rsid w:val="50885482"/>
    <w:rsid w:val="5089DEBC"/>
    <w:rsid w:val="508BCA87"/>
    <w:rsid w:val="5090F1E7"/>
    <w:rsid w:val="50947E80"/>
    <w:rsid w:val="5094DC9F"/>
    <w:rsid w:val="50982211"/>
    <w:rsid w:val="50B61E9C"/>
    <w:rsid w:val="50CEE87E"/>
    <w:rsid w:val="50D32BB2"/>
    <w:rsid w:val="50D8E009"/>
    <w:rsid w:val="50E2F4BD"/>
    <w:rsid w:val="50ECE1A0"/>
    <w:rsid w:val="50EF9390"/>
    <w:rsid w:val="50F6C3A1"/>
    <w:rsid w:val="50F80A46"/>
    <w:rsid w:val="50FAB9CB"/>
    <w:rsid w:val="50FF9B8C"/>
    <w:rsid w:val="51032E3E"/>
    <w:rsid w:val="51112EB8"/>
    <w:rsid w:val="51139C95"/>
    <w:rsid w:val="512B3896"/>
    <w:rsid w:val="512D8EC1"/>
    <w:rsid w:val="512FE6C8"/>
    <w:rsid w:val="5138F43D"/>
    <w:rsid w:val="5146A95E"/>
    <w:rsid w:val="514E709C"/>
    <w:rsid w:val="5154F32F"/>
    <w:rsid w:val="515A039D"/>
    <w:rsid w:val="515AFF54"/>
    <w:rsid w:val="5163A03C"/>
    <w:rsid w:val="5165963A"/>
    <w:rsid w:val="51693AFF"/>
    <w:rsid w:val="516E9CE1"/>
    <w:rsid w:val="51748E49"/>
    <w:rsid w:val="5177FBB2"/>
    <w:rsid w:val="5178C327"/>
    <w:rsid w:val="5179F442"/>
    <w:rsid w:val="5184213D"/>
    <w:rsid w:val="51846673"/>
    <w:rsid w:val="518E4752"/>
    <w:rsid w:val="51961569"/>
    <w:rsid w:val="51994755"/>
    <w:rsid w:val="519D7A7F"/>
    <w:rsid w:val="51A5D143"/>
    <w:rsid w:val="51B5173B"/>
    <w:rsid w:val="51CC1B18"/>
    <w:rsid w:val="51CC8E46"/>
    <w:rsid w:val="51CCC5DB"/>
    <w:rsid w:val="51CE0D31"/>
    <w:rsid w:val="51DDD5F2"/>
    <w:rsid w:val="51E49867"/>
    <w:rsid w:val="51EF438A"/>
    <w:rsid w:val="51EFAED7"/>
    <w:rsid w:val="51F0E8B1"/>
    <w:rsid w:val="5206901A"/>
    <w:rsid w:val="520902A4"/>
    <w:rsid w:val="520DEFB4"/>
    <w:rsid w:val="52131364"/>
    <w:rsid w:val="5213A06D"/>
    <w:rsid w:val="521BCF59"/>
    <w:rsid w:val="521CCFF3"/>
    <w:rsid w:val="521E6386"/>
    <w:rsid w:val="5222AB62"/>
    <w:rsid w:val="5224D5F2"/>
    <w:rsid w:val="5229E139"/>
    <w:rsid w:val="522BE25A"/>
    <w:rsid w:val="522D78F8"/>
    <w:rsid w:val="523498E0"/>
    <w:rsid w:val="52411943"/>
    <w:rsid w:val="52460D7F"/>
    <w:rsid w:val="5259B5F9"/>
    <w:rsid w:val="5259F329"/>
    <w:rsid w:val="5264FE8C"/>
    <w:rsid w:val="5269F2CD"/>
    <w:rsid w:val="526E8004"/>
    <w:rsid w:val="5273D375"/>
    <w:rsid w:val="52743F87"/>
    <w:rsid w:val="5276E04C"/>
    <w:rsid w:val="527A4ECD"/>
    <w:rsid w:val="52841C8B"/>
    <w:rsid w:val="529FEA39"/>
    <w:rsid w:val="52B56792"/>
    <w:rsid w:val="52BFEF95"/>
    <w:rsid w:val="52C2574B"/>
    <w:rsid w:val="52C84107"/>
    <w:rsid w:val="52C8FCC9"/>
    <w:rsid w:val="52CDE965"/>
    <w:rsid w:val="52E3341D"/>
    <w:rsid w:val="52E67F8D"/>
    <w:rsid w:val="52E89416"/>
    <w:rsid w:val="52EDF5F6"/>
    <w:rsid w:val="52F33D73"/>
    <w:rsid w:val="53007257"/>
    <w:rsid w:val="5300E2F7"/>
    <w:rsid w:val="5300E96B"/>
    <w:rsid w:val="53031D62"/>
    <w:rsid w:val="53104448"/>
    <w:rsid w:val="5329B67E"/>
    <w:rsid w:val="532ADA1D"/>
    <w:rsid w:val="532EC816"/>
    <w:rsid w:val="533088EB"/>
    <w:rsid w:val="53345DD1"/>
    <w:rsid w:val="533B8915"/>
    <w:rsid w:val="533F7676"/>
    <w:rsid w:val="534FD898"/>
    <w:rsid w:val="53561EC4"/>
    <w:rsid w:val="5358445E"/>
    <w:rsid w:val="5359EE85"/>
    <w:rsid w:val="535C147C"/>
    <w:rsid w:val="535FFF36"/>
    <w:rsid w:val="53636700"/>
    <w:rsid w:val="536B8EE2"/>
    <w:rsid w:val="537219AB"/>
    <w:rsid w:val="537533C9"/>
    <w:rsid w:val="537BE8C7"/>
    <w:rsid w:val="53832D2A"/>
    <w:rsid w:val="53856B51"/>
    <w:rsid w:val="5385CC66"/>
    <w:rsid w:val="5386183D"/>
    <w:rsid w:val="539880C4"/>
    <w:rsid w:val="5398A2AC"/>
    <w:rsid w:val="539A2BF4"/>
    <w:rsid w:val="539E25C8"/>
    <w:rsid w:val="53A115D1"/>
    <w:rsid w:val="53A58E17"/>
    <w:rsid w:val="53A87BE0"/>
    <w:rsid w:val="53B32A65"/>
    <w:rsid w:val="53C9D32C"/>
    <w:rsid w:val="53DE36E1"/>
    <w:rsid w:val="53E1FB78"/>
    <w:rsid w:val="53F0A7A5"/>
    <w:rsid w:val="53F35D46"/>
    <w:rsid w:val="5403F275"/>
    <w:rsid w:val="541830EA"/>
    <w:rsid w:val="5425B7E4"/>
    <w:rsid w:val="5425BB15"/>
    <w:rsid w:val="54279821"/>
    <w:rsid w:val="5433D288"/>
    <w:rsid w:val="54367FAF"/>
    <w:rsid w:val="543C92D7"/>
    <w:rsid w:val="5442E84E"/>
    <w:rsid w:val="5445B739"/>
    <w:rsid w:val="5447AB93"/>
    <w:rsid w:val="5448F8DE"/>
    <w:rsid w:val="5459424B"/>
    <w:rsid w:val="545EF6B8"/>
    <w:rsid w:val="5469D213"/>
    <w:rsid w:val="546E046E"/>
    <w:rsid w:val="547494A8"/>
    <w:rsid w:val="5476EEF9"/>
    <w:rsid w:val="547B744A"/>
    <w:rsid w:val="547D59D1"/>
    <w:rsid w:val="547E7F89"/>
    <w:rsid w:val="547EBDAA"/>
    <w:rsid w:val="5480F01A"/>
    <w:rsid w:val="5484EC1E"/>
    <w:rsid w:val="5490DB98"/>
    <w:rsid w:val="5490F7D2"/>
    <w:rsid w:val="54A3D55F"/>
    <w:rsid w:val="54A4343B"/>
    <w:rsid w:val="54AE3A73"/>
    <w:rsid w:val="54B06903"/>
    <w:rsid w:val="54B8D512"/>
    <w:rsid w:val="54C2DFD4"/>
    <w:rsid w:val="54C68D5B"/>
    <w:rsid w:val="54C77EF2"/>
    <w:rsid w:val="54C949BF"/>
    <w:rsid w:val="54CF52C8"/>
    <w:rsid w:val="54D101C8"/>
    <w:rsid w:val="54D2D89A"/>
    <w:rsid w:val="54D444CD"/>
    <w:rsid w:val="54D49AF9"/>
    <w:rsid w:val="54E2058D"/>
    <w:rsid w:val="54E4A7D0"/>
    <w:rsid w:val="54E78EC9"/>
    <w:rsid w:val="54F29D06"/>
    <w:rsid w:val="54F2C76D"/>
    <w:rsid w:val="54FB38F7"/>
    <w:rsid w:val="54FD790C"/>
    <w:rsid w:val="550C6EFC"/>
    <w:rsid w:val="551251FE"/>
    <w:rsid w:val="55126754"/>
    <w:rsid w:val="55168BD4"/>
    <w:rsid w:val="551D0825"/>
    <w:rsid w:val="55263901"/>
    <w:rsid w:val="55273027"/>
    <w:rsid w:val="553624B4"/>
    <w:rsid w:val="5539B503"/>
    <w:rsid w:val="553ED976"/>
    <w:rsid w:val="55476C48"/>
    <w:rsid w:val="554D7E6E"/>
    <w:rsid w:val="555363D9"/>
    <w:rsid w:val="55558E38"/>
    <w:rsid w:val="555DBE1F"/>
    <w:rsid w:val="556BB399"/>
    <w:rsid w:val="55722BB5"/>
    <w:rsid w:val="557AB692"/>
    <w:rsid w:val="557F68E8"/>
    <w:rsid w:val="558FA93B"/>
    <w:rsid w:val="559AFF35"/>
    <w:rsid w:val="559B1C2D"/>
    <w:rsid w:val="559BA230"/>
    <w:rsid w:val="559CCA60"/>
    <w:rsid w:val="559CFF68"/>
    <w:rsid w:val="559E676F"/>
    <w:rsid w:val="559EED24"/>
    <w:rsid w:val="559F7E96"/>
    <w:rsid w:val="55A16A97"/>
    <w:rsid w:val="55AB1FB0"/>
    <w:rsid w:val="55ADBF64"/>
    <w:rsid w:val="55AE59FB"/>
    <w:rsid w:val="55B1BE4E"/>
    <w:rsid w:val="55BE3DA4"/>
    <w:rsid w:val="55CAFBBF"/>
    <w:rsid w:val="55D0D5A6"/>
    <w:rsid w:val="55E0657C"/>
    <w:rsid w:val="55E87352"/>
    <w:rsid w:val="55ED01BE"/>
    <w:rsid w:val="55EF875E"/>
    <w:rsid w:val="55F396C3"/>
    <w:rsid w:val="56009B4A"/>
    <w:rsid w:val="561C6554"/>
    <w:rsid w:val="562E340D"/>
    <w:rsid w:val="562F3183"/>
    <w:rsid w:val="56304D3B"/>
    <w:rsid w:val="5634D595"/>
    <w:rsid w:val="5640A19B"/>
    <w:rsid w:val="564EE8B7"/>
    <w:rsid w:val="5653530B"/>
    <w:rsid w:val="565CDD4A"/>
    <w:rsid w:val="566EB545"/>
    <w:rsid w:val="56706763"/>
    <w:rsid w:val="567419E8"/>
    <w:rsid w:val="5677042A"/>
    <w:rsid w:val="567ABADC"/>
    <w:rsid w:val="5699A3CB"/>
    <w:rsid w:val="56A30A76"/>
    <w:rsid w:val="56A3E354"/>
    <w:rsid w:val="56AC6753"/>
    <w:rsid w:val="56AD2344"/>
    <w:rsid w:val="56AEB17F"/>
    <w:rsid w:val="56B3A979"/>
    <w:rsid w:val="56C13B21"/>
    <w:rsid w:val="56C1D1B5"/>
    <w:rsid w:val="56C205C7"/>
    <w:rsid w:val="56C3FCF2"/>
    <w:rsid w:val="56C49CB2"/>
    <w:rsid w:val="56CBE9F8"/>
    <w:rsid w:val="56D740B8"/>
    <w:rsid w:val="56D74973"/>
    <w:rsid w:val="56DDDFE5"/>
    <w:rsid w:val="56EDACBC"/>
    <w:rsid w:val="56EE34B5"/>
    <w:rsid w:val="56FC547F"/>
    <w:rsid w:val="56FD059F"/>
    <w:rsid w:val="57110779"/>
    <w:rsid w:val="5711BA6F"/>
    <w:rsid w:val="571341F9"/>
    <w:rsid w:val="571C8C53"/>
    <w:rsid w:val="5728D01F"/>
    <w:rsid w:val="5729209D"/>
    <w:rsid w:val="5729BD1C"/>
    <w:rsid w:val="5729C90D"/>
    <w:rsid w:val="57342AFE"/>
    <w:rsid w:val="57368716"/>
    <w:rsid w:val="5741A4D2"/>
    <w:rsid w:val="57442BAF"/>
    <w:rsid w:val="574B81DE"/>
    <w:rsid w:val="574E3ED4"/>
    <w:rsid w:val="574F19C5"/>
    <w:rsid w:val="5756D3F7"/>
    <w:rsid w:val="576062E6"/>
    <w:rsid w:val="577B8739"/>
    <w:rsid w:val="577FD8B8"/>
    <w:rsid w:val="5780F354"/>
    <w:rsid w:val="5783B228"/>
    <w:rsid w:val="578784B5"/>
    <w:rsid w:val="578BF64E"/>
    <w:rsid w:val="579291B3"/>
    <w:rsid w:val="579CCB10"/>
    <w:rsid w:val="57A0D348"/>
    <w:rsid w:val="57A25AE2"/>
    <w:rsid w:val="57A3A99E"/>
    <w:rsid w:val="57A645A3"/>
    <w:rsid w:val="57AE5340"/>
    <w:rsid w:val="57B8512C"/>
    <w:rsid w:val="57BB20A4"/>
    <w:rsid w:val="57C78160"/>
    <w:rsid w:val="57C98206"/>
    <w:rsid w:val="57CA1859"/>
    <w:rsid w:val="57D1DCC4"/>
    <w:rsid w:val="57D86F33"/>
    <w:rsid w:val="57E3FD6B"/>
    <w:rsid w:val="57E87F98"/>
    <w:rsid w:val="57E8ED5D"/>
    <w:rsid w:val="57EBD95D"/>
    <w:rsid w:val="57F41C37"/>
    <w:rsid w:val="57F7B73F"/>
    <w:rsid w:val="5800475F"/>
    <w:rsid w:val="580336D9"/>
    <w:rsid w:val="5807AFA9"/>
    <w:rsid w:val="58082DC5"/>
    <w:rsid w:val="581016CF"/>
    <w:rsid w:val="58139025"/>
    <w:rsid w:val="581723AB"/>
    <w:rsid w:val="58196FC9"/>
    <w:rsid w:val="58210ECC"/>
    <w:rsid w:val="582173D0"/>
    <w:rsid w:val="582235F1"/>
    <w:rsid w:val="5822CF41"/>
    <w:rsid w:val="582A96EE"/>
    <w:rsid w:val="583012E2"/>
    <w:rsid w:val="583C9107"/>
    <w:rsid w:val="58402C58"/>
    <w:rsid w:val="584749CA"/>
    <w:rsid w:val="585086F8"/>
    <w:rsid w:val="585F8B42"/>
    <w:rsid w:val="586016AA"/>
    <w:rsid w:val="58604585"/>
    <w:rsid w:val="5866AD72"/>
    <w:rsid w:val="58689C08"/>
    <w:rsid w:val="586CEFCF"/>
    <w:rsid w:val="5872CAA8"/>
    <w:rsid w:val="587E6981"/>
    <w:rsid w:val="58840D4F"/>
    <w:rsid w:val="588FD621"/>
    <w:rsid w:val="589367F3"/>
    <w:rsid w:val="589485D1"/>
    <w:rsid w:val="5894B7E4"/>
    <w:rsid w:val="58955797"/>
    <w:rsid w:val="589925F1"/>
    <w:rsid w:val="589CE730"/>
    <w:rsid w:val="58A5D573"/>
    <w:rsid w:val="58A6A403"/>
    <w:rsid w:val="58B02243"/>
    <w:rsid w:val="58B95088"/>
    <w:rsid w:val="58B9A6B2"/>
    <w:rsid w:val="58BA46F1"/>
    <w:rsid w:val="58BB1487"/>
    <w:rsid w:val="58BBBB05"/>
    <w:rsid w:val="58BC0F74"/>
    <w:rsid w:val="58C25808"/>
    <w:rsid w:val="58CDEB23"/>
    <w:rsid w:val="58CE94C3"/>
    <w:rsid w:val="58DBD514"/>
    <w:rsid w:val="58DC1DE4"/>
    <w:rsid w:val="58E30055"/>
    <w:rsid w:val="58E4C39E"/>
    <w:rsid w:val="58EAE620"/>
    <w:rsid w:val="58F08F63"/>
    <w:rsid w:val="58FF6744"/>
    <w:rsid w:val="5903889D"/>
    <w:rsid w:val="5904F031"/>
    <w:rsid w:val="5906DF35"/>
    <w:rsid w:val="59080276"/>
    <w:rsid w:val="590C4DD1"/>
    <w:rsid w:val="590ED9B5"/>
    <w:rsid w:val="590EEA25"/>
    <w:rsid w:val="5922616D"/>
    <w:rsid w:val="5924A78E"/>
    <w:rsid w:val="592510F6"/>
    <w:rsid w:val="592D53AE"/>
    <w:rsid w:val="59457DBA"/>
    <w:rsid w:val="59542AD6"/>
    <w:rsid w:val="59714C62"/>
    <w:rsid w:val="59732FEA"/>
    <w:rsid w:val="59765F29"/>
    <w:rsid w:val="597E6B13"/>
    <w:rsid w:val="59826BFE"/>
    <w:rsid w:val="59861928"/>
    <w:rsid w:val="5989FDFE"/>
    <w:rsid w:val="598A5B2E"/>
    <w:rsid w:val="598A7684"/>
    <w:rsid w:val="598E0CC1"/>
    <w:rsid w:val="59924577"/>
    <w:rsid w:val="59A15663"/>
    <w:rsid w:val="59A30AE4"/>
    <w:rsid w:val="59A33892"/>
    <w:rsid w:val="59AF63D7"/>
    <w:rsid w:val="59B255C7"/>
    <w:rsid w:val="59B4FC96"/>
    <w:rsid w:val="59B7A47A"/>
    <w:rsid w:val="59B85491"/>
    <w:rsid w:val="59BD0EB0"/>
    <w:rsid w:val="59C15FBA"/>
    <w:rsid w:val="59C557D1"/>
    <w:rsid w:val="59C66526"/>
    <w:rsid w:val="59C9B868"/>
    <w:rsid w:val="59D5491F"/>
    <w:rsid w:val="59D60957"/>
    <w:rsid w:val="59E710B8"/>
    <w:rsid w:val="59EA03AC"/>
    <w:rsid w:val="59F2F5C0"/>
    <w:rsid w:val="59F95917"/>
    <w:rsid w:val="59FB7AD7"/>
    <w:rsid w:val="5A05EA13"/>
    <w:rsid w:val="5A06CF9B"/>
    <w:rsid w:val="5A080C6D"/>
    <w:rsid w:val="5A134B1B"/>
    <w:rsid w:val="5A153C74"/>
    <w:rsid w:val="5A16AB0E"/>
    <w:rsid w:val="5A18E07E"/>
    <w:rsid w:val="5A1C3F3B"/>
    <w:rsid w:val="5A1CBA96"/>
    <w:rsid w:val="5A1CE406"/>
    <w:rsid w:val="5A339D12"/>
    <w:rsid w:val="5A33BE9D"/>
    <w:rsid w:val="5A3451F6"/>
    <w:rsid w:val="5A35ABBA"/>
    <w:rsid w:val="5A3BCC6D"/>
    <w:rsid w:val="5A3D637C"/>
    <w:rsid w:val="5A3F68A5"/>
    <w:rsid w:val="5A481C98"/>
    <w:rsid w:val="5A4C1D1A"/>
    <w:rsid w:val="5A4F7AE9"/>
    <w:rsid w:val="5A4FAC9E"/>
    <w:rsid w:val="5A521A37"/>
    <w:rsid w:val="5A5DCBA7"/>
    <w:rsid w:val="5A5E0831"/>
    <w:rsid w:val="5A675984"/>
    <w:rsid w:val="5A6761E1"/>
    <w:rsid w:val="5A69FE76"/>
    <w:rsid w:val="5A750220"/>
    <w:rsid w:val="5A7D2975"/>
    <w:rsid w:val="5A7D7DA8"/>
    <w:rsid w:val="5A7DE361"/>
    <w:rsid w:val="5A808556"/>
    <w:rsid w:val="5A894902"/>
    <w:rsid w:val="5A8C2970"/>
    <w:rsid w:val="5A984E2B"/>
    <w:rsid w:val="5A9AA667"/>
    <w:rsid w:val="5A9BE323"/>
    <w:rsid w:val="5A9F26BE"/>
    <w:rsid w:val="5AA09727"/>
    <w:rsid w:val="5AB5D1E9"/>
    <w:rsid w:val="5AB793A2"/>
    <w:rsid w:val="5AC1998F"/>
    <w:rsid w:val="5AC3585B"/>
    <w:rsid w:val="5AC81C89"/>
    <w:rsid w:val="5ACC1EB8"/>
    <w:rsid w:val="5AD31579"/>
    <w:rsid w:val="5ADA0609"/>
    <w:rsid w:val="5AE85AA9"/>
    <w:rsid w:val="5AF174C3"/>
    <w:rsid w:val="5AF442AE"/>
    <w:rsid w:val="5AF7F1DB"/>
    <w:rsid w:val="5AF8CF5E"/>
    <w:rsid w:val="5AFCB298"/>
    <w:rsid w:val="5B01F039"/>
    <w:rsid w:val="5B051A1C"/>
    <w:rsid w:val="5B0B3D56"/>
    <w:rsid w:val="5B0E2A39"/>
    <w:rsid w:val="5B0EEC39"/>
    <w:rsid w:val="5B12EB89"/>
    <w:rsid w:val="5B1AFAFA"/>
    <w:rsid w:val="5B27440B"/>
    <w:rsid w:val="5B346E34"/>
    <w:rsid w:val="5B37BAA4"/>
    <w:rsid w:val="5B390DEC"/>
    <w:rsid w:val="5B44C248"/>
    <w:rsid w:val="5B45D024"/>
    <w:rsid w:val="5B5298A1"/>
    <w:rsid w:val="5B5403FF"/>
    <w:rsid w:val="5B548668"/>
    <w:rsid w:val="5B54F2BE"/>
    <w:rsid w:val="5B5EAEEA"/>
    <w:rsid w:val="5B5EDE6D"/>
    <w:rsid w:val="5B5FEC52"/>
    <w:rsid w:val="5B615401"/>
    <w:rsid w:val="5B6625DB"/>
    <w:rsid w:val="5B691EB0"/>
    <w:rsid w:val="5B6F45EE"/>
    <w:rsid w:val="5B74CDE7"/>
    <w:rsid w:val="5B7797C9"/>
    <w:rsid w:val="5B794C89"/>
    <w:rsid w:val="5B795A12"/>
    <w:rsid w:val="5B8FFE78"/>
    <w:rsid w:val="5BA1AB30"/>
    <w:rsid w:val="5BA5DE32"/>
    <w:rsid w:val="5BAA258B"/>
    <w:rsid w:val="5BACB847"/>
    <w:rsid w:val="5BAE011D"/>
    <w:rsid w:val="5BB1B4A8"/>
    <w:rsid w:val="5BB92B42"/>
    <w:rsid w:val="5BB94B98"/>
    <w:rsid w:val="5BC981E8"/>
    <w:rsid w:val="5BDAB0F7"/>
    <w:rsid w:val="5BE6E553"/>
    <w:rsid w:val="5BE94265"/>
    <w:rsid w:val="5BEADBA7"/>
    <w:rsid w:val="5BF0D2D0"/>
    <w:rsid w:val="5BF40B3F"/>
    <w:rsid w:val="5BF4AB8C"/>
    <w:rsid w:val="5BFD7264"/>
    <w:rsid w:val="5C03CE86"/>
    <w:rsid w:val="5C1796B6"/>
    <w:rsid w:val="5C1C5E10"/>
    <w:rsid w:val="5C1EC170"/>
    <w:rsid w:val="5C2E2F90"/>
    <w:rsid w:val="5C339B75"/>
    <w:rsid w:val="5C36B9A9"/>
    <w:rsid w:val="5C39B388"/>
    <w:rsid w:val="5C3B239C"/>
    <w:rsid w:val="5C3D8672"/>
    <w:rsid w:val="5C3E13BF"/>
    <w:rsid w:val="5C3F4CFF"/>
    <w:rsid w:val="5C3FF2C5"/>
    <w:rsid w:val="5C488C8F"/>
    <w:rsid w:val="5C507742"/>
    <w:rsid w:val="5C5FC882"/>
    <w:rsid w:val="5C614906"/>
    <w:rsid w:val="5C6E8AC3"/>
    <w:rsid w:val="5C778EB2"/>
    <w:rsid w:val="5C789151"/>
    <w:rsid w:val="5C7B8AFD"/>
    <w:rsid w:val="5C82C79C"/>
    <w:rsid w:val="5C83D9E6"/>
    <w:rsid w:val="5C84CC81"/>
    <w:rsid w:val="5C89809E"/>
    <w:rsid w:val="5C8B659B"/>
    <w:rsid w:val="5C8B6CE5"/>
    <w:rsid w:val="5C8F019B"/>
    <w:rsid w:val="5C91FFBD"/>
    <w:rsid w:val="5C98A2F5"/>
    <w:rsid w:val="5C98D750"/>
    <w:rsid w:val="5CA17EB9"/>
    <w:rsid w:val="5CA4C4A3"/>
    <w:rsid w:val="5CA5E703"/>
    <w:rsid w:val="5CAF7869"/>
    <w:rsid w:val="5CAFD9F3"/>
    <w:rsid w:val="5CB372EB"/>
    <w:rsid w:val="5CB4378D"/>
    <w:rsid w:val="5CB48796"/>
    <w:rsid w:val="5CBB1F33"/>
    <w:rsid w:val="5CBD29F1"/>
    <w:rsid w:val="5CBE4072"/>
    <w:rsid w:val="5CC0FFE9"/>
    <w:rsid w:val="5CC58912"/>
    <w:rsid w:val="5CDBD2EE"/>
    <w:rsid w:val="5CE647C0"/>
    <w:rsid w:val="5CE8A55B"/>
    <w:rsid w:val="5CEB6F91"/>
    <w:rsid w:val="5CF8E3E4"/>
    <w:rsid w:val="5CFE6612"/>
    <w:rsid w:val="5D0DC0C6"/>
    <w:rsid w:val="5D10DC71"/>
    <w:rsid w:val="5D13CE00"/>
    <w:rsid w:val="5D19A6E1"/>
    <w:rsid w:val="5D295D20"/>
    <w:rsid w:val="5D299EE0"/>
    <w:rsid w:val="5D342857"/>
    <w:rsid w:val="5D3683BF"/>
    <w:rsid w:val="5D36B3F0"/>
    <w:rsid w:val="5D382972"/>
    <w:rsid w:val="5D3B5896"/>
    <w:rsid w:val="5D3C08F4"/>
    <w:rsid w:val="5D4168B3"/>
    <w:rsid w:val="5D48EF1A"/>
    <w:rsid w:val="5D4AD710"/>
    <w:rsid w:val="5D528009"/>
    <w:rsid w:val="5D5B34BE"/>
    <w:rsid w:val="5D6DA1D1"/>
    <w:rsid w:val="5D6F3338"/>
    <w:rsid w:val="5D6FA4C6"/>
    <w:rsid w:val="5D77B278"/>
    <w:rsid w:val="5D7D838A"/>
    <w:rsid w:val="5D80A9CA"/>
    <w:rsid w:val="5D929FC3"/>
    <w:rsid w:val="5D994BF1"/>
    <w:rsid w:val="5D9D4668"/>
    <w:rsid w:val="5DA3B305"/>
    <w:rsid w:val="5DAC280D"/>
    <w:rsid w:val="5DADD3BD"/>
    <w:rsid w:val="5DB247B0"/>
    <w:rsid w:val="5DB29EC5"/>
    <w:rsid w:val="5DB7BA35"/>
    <w:rsid w:val="5DB941C3"/>
    <w:rsid w:val="5DBB8B13"/>
    <w:rsid w:val="5DC44ADC"/>
    <w:rsid w:val="5DCEBFA6"/>
    <w:rsid w:val="5DD256A0"/>
    <w:rsid w:val="5DD90382"/>
    <w:rsid w:val="5DE4A2A2"/>
    <w:rsid w:val="5DF32008"/>
    <w:rsid w:val="5DF92D88"/>
    <w:rsid w:val="5E050437"/>
    <w:rsid w:val="5E11DC1A"/>
    <w:rsid w:val="5E27F7DA"/>
    <w:rsid w:val="5E2E97C2"/>
    <w:rsid w:val="5E33375D"/>
    <w:rsid w:val="5E375DF5"/>
    <w:rsid w:val="5E48EC36"/>
    <w:rsid w:val="5E4B4FAF"/>
    <w:rsid w:val="5E57C285"/>
    <w:rsid w:val="5E63CFE9"/>
    <w:rsid w:val="5E641167"/>
    <w:rsid w:val="5E6474B2"/>
    <w:rsid w:val="5E66711E"/>
    <w:rsid w:val="5E71518F"/>
    <w:rsid w:val="5E7451DF"/>
    <w:rsid w:val="5E76974E"/>
    <w:rsid w:val="5E7BB33E"/>
    <w:rsid w:val="5E7E925B"/>
    <w:rsid w:val="5E90C868"/>
    <w:rsid w:val="5E95A77B"/>
    <w:rsid w:val="5E98DC0A"/>
    <w:rsid w:val="5EA06EC5"/>
    <w:rsid w:val="5EA9625F"/>
    <w:rsid w:val="5EB52395"/>
    <w:rsid w:val="5EBA5367"/>
    <w:rsid w:val="5EBD152A"/>
    <w:rsid w:val="5EBDAD53"/>
    <w:rsid w:val="5EC6DB88"/>
    <w:rsid w:val="5EC6ED9F"/>
    <w:rsid w:val="5ED02DD9"/>
    <w:rsid w:val="5ED4DA22"/>
    <w:rsid w:val="5ED5C675"/>
    <w:rsid w:val="5EDB7E0A"/>
    <w:rsid w:val="5EEC79DF"/>
    <w:rsid w:val="5EF9C54D"/>
    <w:rsid w:val="5EFCC235"/>
    <w:rsid w:val="5EFCE259"/>
    <w:rsid w:val="5F08FC34"/>
    <w:rsid w:val="5F104FEC"/>
    <w:rsid w:val="5F141F08"/>
    <w:rsid w:val="5F183C00"/>
    <w:rsid w:val="5F3A5DBC"/>
    <w:rsid w:val="5F3EC4BC"/>
    <w:rsid w:val="5F4B7CDA"/>
    <w:rsid w:val="5F519ECF"/>
    <w:rsid w:val="5F611FA9"/>
    <w:rsid w:val="5F618E0C"/>
    <w:rsid w:val="5F61DED8"/>
    <w:rsid w:val="5F65E648"/>
    <w:rsid w:val="5F746CA2"/>
    <w:rsid w:val="5F74CD1A"/>
    <w:rsid w:val="5F7505AD"/>
    <w:rsid w:val="5F852FC7"/>
    <w:rsid w:val="5F853B1E"/>
    <w:rsid w:val="5F8825C0"/>
    <w:rsid w:val="5F8D7AD9"/>
    <w:rsid w:val="5F932952"/>
    <w:rsid w:val="5F963A91"/>
    <w:rsid w:val="5FA3CBA0"/>
    <w:rsid w:val="5FABA7A1"/>
    <w:rsid w:val="5FB648F4"/>
    <w:rsid w:val="5FC235CC"/>
    <w:rsid w:val="5FC4FFE9"/>
    <w:rsid w:val="5FC6419C"/>
    <w:rsid w:val="5FC97338"/>
    <w:rsid w:val="5FCA186D"/>
    <w:rsid w:val="5FCA9B28"/>
    <w:rsid w:val="5FDBCFD5"/>
    <w:rsid w:val="5FDFD8B0"/>
    <w:rsid w:val="5FEF6CD0"/>
    <w:rsid w:val="5FFE174C"/>
    <w:rsid w:val="600560B6"/>
    <w:rsid w:val="600D8617"/>
    <w:rsid w:val="600EA87E"/>
    <w:rsid w:val="601BEE5B"/>
    <w:rsid w:val="6024352F"/>
    <w:rsid w:val="602C23AA"/>
    <w:rsid w:val="60304AAE"/>
    <w:rsid w:val="603136B3"/>
    <w:rsid w:val="60394C11"/>
    <w:rsid w:val="6048F576"/>
    <w:rsid w:val="604B5FEF"/>
    <w:rsid w:val="60545A4E"/>
    <w:rsid w:val="605A37E7"/>
    <w:rsid w:val="60601551"/>
    <w:rsid w:val="6061182B"/>
    <w:rsid w:val="60637F55"/>
    <w:rsid w:val="60655C1D"/>
    <w:rsid w:val="607201C3"/>
    <w:rsid w:val="60767301"/>
    <w:rsid w:val="607A3EA9"/>
    <w:rsid w:val="607FA54A"/>
    <w:rsid w:val="6089763C"/>
    <w:rsid w:val="609AF2E6"/>
    <w:rsid w:val="609C1F78"/>
    <w:rsid w:val="60A0DA0C"/>
    <w:rsid w:val="60A79B3F"/>
    <w:rsid w:val="60A85E1E"/>
    <w:rsid w:val="60A8A664"/>
    <w:rsid w:val="60B2CCD6"/>
    <w:rsid w:val="60B7B55C"/>
    <w:rsid w:val="60C081F2"/>
    <w:rsid w:val="60C637AF"/>
    <w:rsid w:val="60C8EA20"/>
    <w:rsid w:val="60CFD75E"/>
    <w:rsid w:val="60D17BAF"/>
    <w:rsid w:val="60D8F77E"/>
    <w:rsid w:val="60E4A591"/>
    <w:rsid w:val="60E9B3F6"/>
    <w:rsid w:val="60F74A82"/>
    <w:rsid w:val="61006B29"/>
    <w:rsid w:val="610A5CD4"/>
    <w:rsid w:val="6110A705"/>
    <w:rsid w:val="61119DF3"/>
    <w:rsid w:val="6122D72A"/>
    <w:rsid w:val="6123BD1C"/>
    <w:rsid w:val="612745D6"/>
    <w:rsid w:val="6127B5EC"/>
    <w:rsid w:val="612C1607"/>
    <w:rsid w:val="61313CBE"/>
    <w:rsid w:val="6133F7AC"/>
    <w:rsid w:val="6144C2EA"/>
    <w:rsid w:val="61484351"/>
    <w:rsid w:val="614A8CF8"/>
    <w:rsid w:val="615C4790"/>
    <w:rsid w:val="6168FD47"/>
    <w:rsid w:val="616DE8C7"/>
    <w:rsid w:val="6171077D"/>
    <w:rsid w:val="6180D658"/>
    <w:rsid w:val="618AA89C"/>
    <w:rsid w:val="618BB8EE"/>
    <w:rsid w:val="6190C8EA"/>
    <w:rsid w:val="61994436"/>
    <w:rsid w:val="61B1735E"/>
    <w:rsid w:val="61B90F8C"/>
    <w:rsid w:val="61C11D1F"/>
    <w:rsid w:val="61C53135"/>
    <w:rsid w:val="61C7B468"/>
    <w:rsid w:val="61C96859"/>
    <w:rsid w:val="61CE2200"/>
    <w:rsid w:val="61E29155"/>
    <w:rsid w:val="61E465D8"/>
    <w:rsid w:val="61E7F6E2"/>
    <w:rsid w:val="61F00ED3"/>
    <w:rsid w:val="6204F52B"/>
    <w:rsid w:val="620D41BE"/>
    <w:rsid w:val="6210514F"/>
    <w:rsid w:val="62139047"/>
    <w:rsid w:val="6216272C"/>
    <w:rsid w:val="621DB17A"/>
    <w:rsid w:val="622492B7"/>
    <w:rsid w:val="62276932"/>
    <w:rsid w:val="622B321B"/>
    <w:rsid w:val="622D8488"/>
    <w:rsid w:val="6232487D"/>
    <w:rsid w:val="62348EF2"/>
    <w:rsid w:val="6236DE18"/>
    <w:rsid w:val="62379F41"/>
    <w:rsid w:val="623D0AEA"/>
    <w:rsid w:val="6259B4DF"/>
    <w:rsid w:val="6259E0C0"/>
    <w:rsid w:val="6267F444"/>
    <w:rsid w:val="626B3BA8"/>
    <w:rsid w:val="62741773"/>
    <w:rsid w:val="62746088"/>
    <w:rsid w:val="6278128D"/>
    <w:rsid w:val="62828B04"/>
    <w:rsid w:val="628692D7"/>
    <w:rsid w:val="628AD6C1"/>
    <w:rsid w:val="628D182B"/>
    <w:rsid w:val="629297B8"/>
    <w:rsid w:val="629C7788"/>
    <w:rsid w:val="62AA4B2B"/>
    <w:rsid w:val="62AB245C"/>
    <w:rsid w:val="62B19B05"/>
    <w:rsid w:val="62C88873"/>
    <w:rsid w:val="62CAF1C8"/>
    <w:rsid w:val="62D2AA98"/>
    <w:rsid w:val="62D4153F"/>
    <w:rsid w:val="62D79212"/>
    <w:rsid w:val="62D7CA8B"/>
    <w:rsid w:val="62DD18EA"/>
    <w:rsid w:val="62E06FEB"/>
    <w:rsid w:val="62E7A753"/>
    <w:rsid w:val="62EA056A"/>
    <w:rsid w:val="62F1CFA0"/>
    <w:rsid w:val="62F3BBE6"/>
    <w:rsid w:val="62F3C78B"/>
    <w:rsid w:val="62F42C8F"/>
    <w:rsid w:val="62F5EAA9"/>
    <w:rsid w:val="62FBC04A"/>
    <w:rsid w:val="62FCA9F6"/>
    <w:rsid w:val="62FCAAAC"/>
    <w:rsid w:val="62FE1F73"/>
    <w:rsid w:val="63020B05"/>
    <w:rsid w:val="6307A71C"/>
    <w:rsid w:val="6311B882"/>
    <w:rsid w:val="63195103"/>
    <w:rsid w:val="631FD27C"/>
    <w:rsid w:val="633197D2"/>
    <w:rsid w:val="633A1336"/>
    <w:rsid w:val="633F793E"/>
    <w:rsid w:val="63485978"/>
    <w:rsid w:val="634DE338"/>
    <w:rsid w:val="6354994D"/>
    <w:rsid w:val="635D07DF"/>
    <w:rsid w:val="635DC119"/>
    <w:rsid w:val="636A09F4"/>
    <w:rsid w:val="63733C9A"/>
    <w:rsid w:val="6376B9A5"/>
    <w:rsid w:val="6379CDB8"/>
    <w:rsid w:val="637AE2C8"/>
    <w:rsid w:val="637EF62A"/>
    <w:rsid w:val="638B8B12"/>
    <w:rsid w:val="638BBD26"/>
    <w:rsid w:val="6394483D"/>
    <w:rsid w:val="63960B6E"/>
    <w:rsid w:val="63970C86"/>
    <w:rsid w:val="63982D40"/>
    <w:rsid w:val="639BE2CE"/>
    <w:rsid w:val="63A291F4"/>
    <w:rsid w:val="63A8334B"/>
    <w:rsid w:val="63B0F0F6"/>
    <w:rsid w:val="63B2491E"/>
    <w:rsid w:val="63B852BC"/>
    <w:rsid w:val="63BCCF6F"/>
    <w:rsid w:val="63C3BEB6"/>
    <w:rsid w:val="63C5F151"/>
    <w:rsid w:val="63D0419D"/>
    <w:rsid w:val="63D8C1DA"/>
    <w:rsid w:val="63DB89E7"/>
    <w:rsid w:val="63E336D8"/>
    <w:rsid w:val="63F35081"/>
    <w:rsid w:val="63F46D9F"/>
    <w:rsid w:val="63FF9DE7"/>
    <w:rsid w:val="64060581"/>
    <w:rsid w:val="64061151"/>
    <w:rsid w:val="64089030"/>
    <w:rsid w:val="6413BA84"/>
    <w:rsid w:val="64233E5B"/>
    <w:rsid w:val="642AB8BF"/>
    <w:rsid w:val="642CD337"/>
    <w:rsid w:val="642E48C4"/>
    <w:rsid w:val="6438FBFE"/>
    <w:rsid w:val="643AF3FB"/>
    <w:rsid w:val="645209A8"/>
    <w:rsid w:val="6453C962"/>
    <w:rsid w:val="645C4864"/>
    <w:rsid w:val="6461305F"/>
    <w:rsid w:val="64627399"/>
    <w:rsid w:val="6465223D"/>
    <w:rsid w:val="6470C9D1"/>
    <w:rsid w:val="64750AAE"/>
    <w:rsid w:val="6475352A"/>
    <w:rsid w:val="647556B8"/>
    <w:rsid w:val="647899E1"/>
    <w:rsid w:val="647DE46B"/>
    <w:rsid w:val="647E636C"/>
    <w:rsid w:val="6489E938"/>
    <w:rsid w:val="6490DBE5"/>
    <w:rsid w:val="649B1A6B"/>
    <w:rsid w:val="649B5286"/>
    <w:rsid w:val="649CD7A6"/>
    <w:rsid w:val="64A08344"/>
    <w:rsid w:val="64A4D986"/>
    <w:rsid w:val="64A78CF4"/>
    <w:rsid w:val="64AA71F0"/>
    <w:rsid w:val="64AB9C9E"/>
    <w:rsid w:val="64B2B208"/>
    <w:rsid w:val="64B4CB29"/>
    <w:rsid w:val="64B5B909"/>
    <w:rsid w:val="64B86A6B"/>
    <w:rsid w:val="64B98B43"/>
    <w:rsid w:val="64BB1E1E"/>
    <w:rsid w:val="64BD0E6A"/>
    <w:rsid w:val="64BF707F"/>
    <w:rsid w:val="64C1411C"/>
    <w:rsid w:val="64C39105"/>
    <w:rsid w:val="64C8C26B"/>
    <w:rsid w:val="64CD847C"/>
    <w:rsid w:val="64CFAC85"/>
    <w:rsid w:val="64F04105"/>
    <w:rsid w:val="64F7410E"/>
    <w:rsid w:val="64F9209F"/>
    <w:rsid w:val="6503A011"/>
    <w:rsid w:val="6504530A"/>
    <w:rsid w:val="650B72C9"/>
    <w:rsid w:val="65236305"/>
    <w:rsid w:val="6526E312"/>
    <w:rsid w:val="65281113"/>
    <w:rsid w:val="652879F5"/>
    <w:rsid w:val="652F7B87"/>
    <w:rsid w:val="65366514"/>
    <w:rsid w:val="65387501"/>
    <w:rsid w:val="653CE278"/>
    <w:rsid w:val="653E46C0"/>
    <w:rsid w:val="65425744"/>
    <w:rsid w:val="6545CD9D"/>
    <w:rsid w:val="6546E272"/>
    <w:rsid w:val="6553C8A2"/>
    <w:rsid w:val="65575990"/>
    <w:rsid w:val="655921A3"/>
    <w:rsid w:val="65601816"/>
    <w:rsid w:val="65648028"/>
    <w:rsid w:val="656F7799"/>
    <w:rsid w:val="6578D877"/>
    <w:rsid w:val="657A1AA5"/>
    <w:rsid w:val="657EC72C"/>
    <w:rsid w:val="657F1698"/>
    <w:rsid w:val="6587D16E"/>
    <w:rsid w:val="6591CAE3"/>
    <w:rsid w:val="65932407"/>
    <w:rsid w:val="65948BFE"/>
    <w:rsid w:val="6599A680"/>
    <w:rsid w:val="65A7EC92"/>
    <w:rsid w:val="65AA539C"/>
    <w:rsid w:val="65ACC439"/>
    <w:rsid w:val="65B594AC"/>
    <w:rsid w:val="65B8B38E"/>
    <w:rsid w:val="65C64596"/>
    <w:rsid w:val="65CD4AD5"/>
    <w:rsid w:val="65D77306"/>
    <w:rsid w:val="65DB10CF"/>
    <w:rsid w:val="65DB35BA"/>
    <w:rsid w:val="65E09C55"/>
    <w:rsid w:val="65E13A38"/>
    <w:rsid w:val="65EA1AFB"/>
    <w:rsid w:val="65F1F2D5"/>
    <w:rsid w:val="65F7C381"/>
    <w:rsid w:val="65FA10BA"/>
    <w:rsid w:val="660C495D"/>
    <w:rsid w:val="660CE887"/>
    <w:rsid w:val="6612EA55"/>
    <w:rsid w:val="661717F4"/>
    <w:rsid w:val="661914A4"/>
    <w:rsid w:val="661A972B"/>
    <w:rsid w:val="661C75A7"/>
    <w:rsid w:val="661EF33E"/>
    <w:rsid w:val="6626573F"/>
    <w:rsid w:val="66290E97"/>
    <w:rsid w:val="663A35C4"/>
    <w:rsid w:val="663C4CB6"/>
    <w:rsid w:val="6652DBF2"/>
    <w:rsid w:val="66536947"/>
    <w:rsid w:val="6668E2E3"/>
    <w:rsid w:val="6679D9BC"/>
    <w:rsid w:val="66966D7D"/>
    <w:rsid w:val="6697FF2E"/>
    <w:rsid w:val="669FFE9E"/>
    <w:rsid w:val="66A00B3F"/>
    <w:rsid w:val="66A963A1"/>
    <w:rsid w:val="66AADDFC"/>
    <w:rsid w:val="66AC3E85"/>
    <w:rsid w:val="66AEB2CC"/>
    <w:rsid w:val="66AF477E"/>
    <w:rsid w:val="66AFD01B"/>
    <w:rsid w:val="66B77DA0"/>
    <w:rsid w:val="66BBAA7C"/>
    <w:rsid w:val="66BC3548"/>
    <w:rsid w:val="66C556F4"/>
    <w:rsid w:val="66C76A9A"/>
    <w:rsid w:val="66CBD335"/>
    <w:rsid w:val="66D31152"/>
    <w:rsid w:val="66EA6E8B"/>
    <w:rsid w:val="66F76F1A"/>
    <w:rsid w:val="66F9470C"/>
    <w:rsid w:val="66FBC8C0"/>
    <w:rsid w:val="66FFF06A"/>
    <w:rsid w:val="6700F578"/>
    <w:rsid w:val="67096AE0"/>
    <w:rsid w:val="670CC6B2"/>
    <w:rsid w:val="670FEBF3"/>
    <w:rsid w:val="67146374"/>
    <w:rsid w:val="671525F3"/>
    <w:rsid w:val="67189F28"/>
    <w:rsid w:val="67251EBD"/>
    <w:rsid w:val="6725AE90"/>
    <w:rsid w:val="6725C1E7"/>
    <w:rsid w:val="67333D81"/>
    <w:rsid w:val="67348E8A"/>
    <w:rsid w:val="6737FB6B"/>
    <w:rsid w:val="673ECDB6"/>
    <w:rsid w:val="673F3C59"/>
    <w:rsid w:val="67452B1A"/>
    <w:rsid w:val="6746DE21"/>
    <w:rsid w:val="674E6AC3"/>
    <w:rsid w:val="674EF238"/>
    <w:rsid w:val="6764A93D"/>
    <w:rsid w:val="6771036A"/>
    <w:rsid w:val="6785F7BB"/>
    <w:rsid w:val="6788934C"/>
    <w:rsid w:val="6789DB3E"/>
    <w:rsid w:val="678D191F"/>
    <w:rsid w:val="67902CA3"/>
    <w:rsid w:val="679CD500"/>
    <w:rsid w:val="67AAEF2A"/>
    <w:rsid w:val="67B27F9C"/>
    <w:rsid w:val="67B2F553"/>
    <w:rsid w:val="67B7FC2F"/>
    <w:rsid w:val="67BBF859"/>
    <w:rsid w:val="67CA2EC5"/>
    <w:rsid w:val="67D013CE"/>
    <w:rsid w:val="67DB6B25"/>
    <w:rsid w:val="67F13091"/>
    <w:rsid w:val="67F38D40"/>
    <w:rsid w:val="67FAB995"/>
    <w:rsid w:val="68041CD9"/>
    <w:rsid w:val="6805A271"/>
    <w:rsid w:val="681357EF"/>
    <w:rsid w:val="68164F60"/>
    <w:rsid w:val="68177E2B"/>
    <w:rsid w:val="68183AFD"/>
    <w:rsid w:val="681B44B4"/>
    <w:rsid w:val="681D0717"/>
    <w:rsid w:val="68205576"/>
    <w:rsid w:val="682F011D"/>
    <w:rsid w:val="6848AF21"/>
    <w:rsid w:val="6851B613"/>
    <w:rsid w:val="68574C58"/>
    <w:rsid w:val="685DA8FE"/>
    <w:rsid w:val="6860EEE6"/>
    <w:rsid w:val="68622A27"/>
    <w:rsid w:val="68636577"/>
    <w:rsid w:val="686C7CA1"/>
    <w:rsid w:val="68731D16"/>
    <w:rsid w:val="68799A65"/>
    <w:rsid w:val="688B4DC3"/>
    <w:rsid w:val="688CCCEB"/>
    <w:rsid w:val="689237F1"/>
    <w:rsid w:val="6898D8C4"/>
    <w:rsid w:val="68A03844"/>
    <w:rsid w:val="68B29185"/>
    <w:rsid w:val="68BC4DA2"/>
    <w:rsid w:val="68BC9E96"/>
    <w:rsid w:val="68BDD2AF"/>
    <w:rsid w:val="68BFA0C2"/>
    <w:rsid w:val="68C26F57"/>
    <w:rsid w:val="68C4E50B"/>
    <w:rsid w:val="68C5A792"/>
    <w:rsid w:val="68C5F72A"/>
    <w:rsid w:val="68C8F813"/>
    <w:rsid w:val="68CD521C"/>
    <w:rsid w:val="68D50C6B"/>
    <w:rsid w:val="68D9C39A"/>
    <w:rsid w:val="68E15864"/>
    <w:rsid w:val="68E83E21"/>
    <w:rsid w:val="68EAD54F"/>
    <w:rsid w:val="68ED1A58"/>
    <w:rsid w:val="68EDF2EE"/>
    <w:rsid w:val="68F5EF52"/>
    <w:rsid w:val="68F9F2C2"/>
    <w:rsid w:val="68FCB996"/>
    <w:rsid w:val="68FD9AD9"/>
    <w:rsid w:val="69017BB5"/>
    <w:rsid w:val="69069303"/>
    <w:rsid w:val="690F0A12"/>
    <w:rsid w:val="690F87BE"/>
    <w:rsid w:val="6930B2CB"/>
    <w:rsid w:val="6932C2AA"/>
    <w:rsid w:val="693808BC"/>
    <w:rsid w:val="693B5AA5"/>
    <w:rsid w:val="69484DB0"/>
    <w:rsid w:val="694B7289"/>
    <w:rsid w:val="694D1082"/>
    <w:rsid w:val="694DA34E"/>
    <w:rsid w:val="69538610"/>
    <w:rsid w:val="695648A3"/>
    <w:rsid w:val="6962BB86"/>
    <w:rsid w:val="6963CAF9"/>
    <w:rsid w:val="69696EF8"/>
    <w:rsid w:val="69707870"/>
    <w:rsid w:val="69727FE9"/>
    <w:rsid w:val="697D193F"/>
    <w:rsid w:val="69814659"/>
    <w:rsid w:val="69828341"/>
    <w:rsid w:val="698361F5"/>
    <w:rsid w:val="698679A7"/>
    <w:rsid w:val="69913282"/>
    <w:rsid w:val="69979ABA"/>
    <w:rsid w:val="69997421"/>
    <w:rsid w:val="699F999F"/>
    <w:rsid w:val="69B36E68"/>
    <w:rsid w:val="69B4B69C"/>
    <w:rsid w:val="69B64BDF"/>
    <w:rsid w:val="69B8AA42"/>
    <w:rsid w:val="69BAF74B"/>
    <w:rsid w:val="69C19B5B"/>
    <w:rsid w:val="69C44FBB"/>
    <w:rsid w:val="69C92FF5"/>
    <w:rsid w:val="69CDBE16"/>
    <w:rsid w:val="69CEBD24"/>
    <w:rsid w:val="69D8E2DA"/>
    <w:rsid w:val="69E34FF6"/>
    <w:rsid w:val="69E7B1A5"/>
    <w:rsid w:val="69EB2E3A"/>
    <w:rsid w:val="69ED911E"/>
    <w:rsid w:val="69F2E754"/>
    <w:rsid w:val="69F64A2E"/>
    <w:rsid w:val="69F9E1F1"/>
    <w:rsid w:val="69FE0811"/>
    <w:rsid w:val="6A02CA37"/>
    <w:rsid w:val="6A03D5AB"/>
    <w:rsid w:val="6A0B07DA"/>
    <w:rsid w:val="6A0CA20B"/>
    <w:rsid w:val="6A226CD8"/>
    <w:rsid w:val="6A264A11"/>
    <w:rsid w:val="6A2A15E7"/>
    <w:rsid w:val="6A2C351B"/>
    <w:rsid w:val="6A3574FF"/>
    <w:rsid w:val="6A3B2ACA"/>
    <w:rsid w:val="6A3F25A1"/>
    <w:rsid w:val="6A3F6313"/>
    <w:rsid w:val="6A44C1CA"/>
    <w:rsid w:val="6A4805C0"/>
    <w:rsid w:val="6A4CABDA"/>
    <w:rsid w:val="6A4EFE69"/>
    <w:rsid w:val="6A5262B2"/>
    <w:rsid w:val="6A5473D9"/>
    <w:rsid w:val="6A554950"/>
    <w:rsid w:val="6A63046D"/>
    <w:rsid w:val="6A673111"/>
    <w:rsid w:val="6A703253"/>
    <w:rsid w:val="6A742FE7"/>
    <w:rsid w:val="6A7B5528"/>
    <w:rsid w:val="6A7BDB8D"/>
    <w:rsid w:val="6A7D2C59"/>
    <w:rsid w:val="6A8813D5"/>
    <w:rsid w:val="6A9703CA"/>
    <w:rsid w:val="6A985F3E"/>
    <w:rsid w:val="6A9868D2"/>
    <w:rsid w:val="6A9A8530"/>
    <w:rsid w:val="6A9B86A8"/>
    <w:rsid w:val="6AA49768"/>
    <w:rsid w:val="6AAC5E58"/>
    <w:rsid w:val="6AAFCF47"/>
    <w:rsid w:val="6AB0C80A"/>
    <w:rsid w:val="6AB79662"/>
    <w:rsid w:val="6ABE8D78"/>
    <w:rsid w:val="6AC7AFA7"/>
    <w:rsid w:val="6ACAC429"/>
    <w:rsid w:val="6ACBD6AE"/>
    <w:rsid w:val="6ADD809A"/>
    <w:rsid w:val="6ADFC425"/>
    <w:rsid w:val="6AE2FD4B"/>
    <w:rsid w:val="6AEB46F7"/>
    <w:rsid w:val="6AEC3B12"/>
    <w:rsid w:val="6AFB8809"/>
    <w:rsid w:val="6AFDDD0B"/>
    <w:rsid w:val="6B1772F7"/>
    <w:rsid w:val="6B1E6C06"/>
    <w:rsid w:val="6B1F16E8"/>
    <w:rsid w:val="6B22619C"/>
    <w:rsid w:val="6B3668E1"/>
    <w:rsid w:val="6B3C6DC2"/>
    <w:rsid w:val="6B413E71"/>
    <w:rsid w:val="6B438246"/>
    <w:rsid w:val="6B45C60E"/>
    <w:rsid w:val="6B4833B6"/>
    <w:rsid w:val="6B493B78"/>
    <w:rsid w:val="6B494291"/>
    <w:rsid w:val="6B5351C4"/>
    <w:rsid w:val="6B6235B3"/>
    <w:rsid w:val="6B67590B"/>
    <w:rsid w:val="6B691B27"/>
    <w:rsid w:val="6B766A41"/>
    <w:rsid w:val="6B7BA908"/>
    <w:rsid w:val="6B86B873"/>
    <w:rsid w:val="6B87243C"/>
    <w:rsid w:val="6B98AE36"/>
    <w:rsid w:val="6BA6DB29"/>
    <w:rsid w:val="6BAF4C8E"/>
    <w:rsid w:val="6BB5045E"/>
    <w:rsid w:val="6BB6361A"/>
    <w:rsid w:val="6BCCD44D"/>
    <w:rsid w:val="6BD329CB"/>
    <w:rsid w:val="6BD34F2C"/>
    <w:rsid w:val="6BE543C4"/>
    <w:rsid w:val="6BE63836"/>
    <w:rsid w:val="6BE75AEA"/>
    <w:rsid w:val="6BEA553C"/>
    <w:rsid w:val="6BF42D01"/>
    <w:rsid w:val="6BF5DB25"/>
    <w:rsid w:val="6BF6E5F6"/>
    <w:rsid w:val="6C0A43C6"/>
    <w:rsid w:val="6C10858D"/>
    <w:rsid w:val="6C11929A"/>
    <w:rsid w:val="6C1573F9"/>
    <w:rsid w:val="6C159D30"/>
    <w:rsid w:val="6C15D0EA"/>
    <w:rsid w:val="6C1A4DB0"/>
    <w:rsid w:val="6C39527B"/>
    <w:rsid w:val="6C3C3557"/>
    <w:rsid w:val="6C504BCE"/>
    <w:rsid w:val="6C602C94"/>
    <w:rsid w:val="6C6CF995"/>
    <w:rsid w:val="6C76B6F3"/>
    <w:rsid w:val="6C76CFD9"/>
    <w:rsid w:val="6C7C9354"/>
    <w:rsid w:val="6C7D4279"/>
    <w:rsid w:val="6C7E2933"/>
    <w:rsid w:val="6C848ACF"/>
    <w:rsid w:val="6C84C5B5"/>
    <w:rsid w:val="6C84FE60"/>
    <w:rsid w:val="6C88D3AF"/>
    <w:rsid w:val="6C88EE32"/>
    <w:rsid w:val="6C8989F8"/>
    <w:rsid w:val="6C89F662"/>
    <w:rsid w:val="6C8A960C"/>
    <w:rsid w:val="6C93A3C6"/>
    <w:rsid w:val="6C9FE461"/>
    <w:rsid w:val="6CB0D002"/>
    <w:rsid w:val="6CB58B82"/>
    <w:rsid w:val="6CB8B128"/>
    <w:rsid w:val="6CC0CC6B"/>
    <w:rsid w:val="6CC1A10D"/>
    <w:rsid w:val="6CC42BC3"/>
    <w:rsid w:val="6CCB35C3"/>
    <w:rsid w:val="6CCC00D2"/>
    <w:rsid w:val="6CCCD2A5"/>
    <w:rsid w:val="6CCE5FBE"/>
    <w:rsid w:val="6CDA4D05"/>
    <w:rsid w:val="6CDD1574"/>
    <w:rsid w:val="6CDE4C3A"/>
    <w:rsid w:val="6CE082E2"/>
    <w:rsid w:val="6CE3720F"/>
    <w:rsid w:val="6CE8803F"/>
    <w:rsid w:val="6CEA8128"/>
    <w:rsid w:val="6CEC1947"/>
    <w:rsid w:val="6CEF753C"/>
    <w:rsid w:val="6CFB2CCB"/>
    <w:rsid w:val="6D041C6F"/>
    <w:rsid w:val="6D0B7CEA"/>
    <w:rsid w:val="6D0C76E8"/>
    <w:rsid w:val="6D0D1862"/>
    <w:rsid w:val="6D1839CE"/>
    <w:rsid w:val="6D2CF9A5"/>
    <w:rsid w:val="6D2E53BE"/>
    <w:rsid w:val="6D30DCEF"/>
    <w:rsid w:val="6D33545F"/>
    <w:rsid w:val="6D353199"/>
    <w:rsid w:val="6D59DA80"/>
    <w:rsid w:val="6D5CD48C"/>
    <w:rsid w:val="6D5EAE75"/>
    <w:rsid w:val="6D5F6947"/>
    <w:rsid w:val="6D623B41"/>
    <w:rsid w:val="6D62AFF7"/>
    <w:rsid w:val="6D638F10"/>
    <w:rsid w:val="6D64F163"/>
    <w:rsid w:val="6D67449F"/>
    <w:rsid w:val="6D74AE15"/>
    <w:rsid w:val="6D77023B"/>
    <w:rsid w:val="6D7C27B8"/>
    <w:rsid w:val="6D8998A2"/>
    <w:rsid w:val="6D8A3C63"/>
    <w:rsid w:val="6D8AE2E1"/>
    <w:rsid w:val="6DA096AD"/>
    <w:rsid w:val="6DA6752B"/>
    <w:rsid w:val="6DB24075"/>
    <w:rsid w:val="6DC78303"/>
    <w:rsid w:val="6DCF911E"/>
    <w:rsid w:val="6DD263D4"/>
    <w:rsid w:val="6DE46D3A"/>
    <w:rsid w:val="6DE77B35"/>
    <w:rsid w:val="6DEC9127"/>
    <w:rsid w:val="6DEFDD08"/>
    <w:rsid w:val="6E062E6C"/>
    <w:rsid w:val="6E0AA2A2"/>
    <w:rsid w:val="6E0CA20E"/>
    <w:rsid w:val="6E10DB00"/>
    <w:rsid w:val="6E205567"/>
    <w:rsid w:val="6E263340"/>
    <w:rsid w:val="6E31B54A"/>
    <w:rsid w:val="6E33BB80"/>
    <w:rsid w:val="6E35DF2E"/>
    <w:rsid w:val="6E41B76C"/>
    <w:rsid w:val="6E461F8E"/>
    <w:rsid w:val="6E470244"/>
    <w:rsid w:val="6E545A3B"/>
    <w:rsid w:val="6E5D5FEE"/>
    <w:rsid w:val="6E669B30"/>
    <w:rsid w:val="6E6B9AA2"/>
    <w:rsid w:val="6E7113EF"/>
    <w:rsid w:val="6E795B5A"/>
    <w:rsid w:val="6E813A78"/>
    <w:rsid w:val="6E859D16"/>
    <w:rsid w:val="6E878B84"/>
    <w:rsid w:val="6E927A8E"/>
    <w:rsid w:val="6E97CC67"/>
    <w:rsid w:val="6E9BBA69"/>
    <w:rsid w:val="6EBFA96C"/>
    <w:rsid w:val="6EC30383"/>
    <w:rsid w:val="6EC39B4F"/>
    <w:rsid w:val="6EDE25BD"/>
    <w:rsid w:val="6EE2BE9F"/>
    <w:rsid w:val="6EE34523"/>
    <w:rsid w:val="6EE53ACE"/>
    <w:rsid w:val="6EE5EEC7"/>
    <w:rsid w:val="6EE77A39"/>
    <w:rsid w:val="6EE8FE1B"/>
    <w:rsid w:val="6EEC8A1E"/>
    <w:rsid w:val="6EEF9BC8"/>
    <w:rsid w:val="6EF52D92"/>
    <w:rsid w:val="6F1B9273"/>
    <w:rsid w:val="6F24C9EC"/>
    <w:rsid w:val="6F2576AF"/>
    <w:rsid w:val="6F270CD8"/>
    <w:rsid w:val="6F2DE8EF"/>
    <w:rsid w:val="6F2E4F75"/>
    <w:rsid w:val="6F2E5DF7"/>
    <w:rsid w:val="6F3E49DE"/>
    <w:rsid w:val="6F4CA6BA"/>
    <w:rsid w:val="6F50D765"/>
    <w:rsid w:val="6F59D101"/>
    <w:rsid w:val="6F651058"/>
    <w:rsid w:val="6F65580B"/>
    <w:rsid w:val="6F6D7DC8"/>
    <w:rsid w:val="6F6E3030"/>
    <w:rsid w:val="6F756631"/>
    <w:rsid w:val="6F759866"/>
    <w:rsid w:val="6F7AF408"/>
    <w:rsid w:val="6F7CBBE1"/>
    <w:rsid w:val="6F8E49FD"/>
    <w:rsid w:val="6FB25C9A"/>
    <w:rsid w:val="6FC38F65"/>
    <w:rsid w:val="6FCB4F4F"/>
    <w:rsid w:val="6FCDF200"/>
    <w:rsid w:val="6FD314D5"/>
    <w:rsid w:val="6FDD8156"/>
    <w:rsid w:val="6FEA0887"/>
    <w:rsid w:val="6FEB85A1"/>
    <w:rsid w:val="6FED2A2C"/>
    <w:rsid w:val="6FED692D"/>
    <w:rsid w:val="6FFA0DB0"/>
    <w:rsid w:val="70147CB6"/>
    <w:rsid w:val="701B432A"/>
    <w:rsid w:val="701C869E"/>
    <w:rsid w:val="701F4718"/>
    <w:rsid w:val="702B38A9"/>
    <w:rsid w:val="7040DC87"/>
    <w:rsid w:val="7044FF4D"/>
    <w:rsid w:val="7052575B"/>
    <w:rsid w:val="7052A1C6"/>
    <w:rsid w:val="70532B0B"/>
    <w:rsid w:val="705C435F"/>
    <w:rsid w:val="706F6847"/>
    <w:rsid w:val="707DF946"/>
    <w:rsid w:val="708DB976"/>
    <w:rsid w:val="708F82B6"/>
    <w:rsid w:val="709F32F8"/>
    <w:rsid w:val="70A41BAA"/>
    <w:rsid w:val="70AAF1EB"/>
    <w:rsid w:val="70AB873F"/>
    <w:rsid w:val="70AC21E0"/>
    <w:rsid w:val="70AD3998"/>
    <w:rsid w:val="70B791A3"/>
    <w:rsid w:val="70BA9875"/>
    <w:rsid w:val="70BD2B5A"/>
    <w:rsid w:val="70C3F088"/>
    <w:rsid w:val="70C6DF32"/>
    <w:rsid w:val="70C75B98"/>
    <w:rsid w:val="70CA2236"/>
    <w:rsid w:val="70CB4238"/>
    <w:rsid w:val="70D7A84F"/>
    <w:rsid w:val="70DF067E"/>
    <w:rsid w:val="70E35718"/>
    <w:rsid w:val="70E42C7C"/>
    <w:rsid w:val="70ECC5B4"/>
    <w:rsid w:val="70F1D1BA"/>
    <w:rsid w:val="70FF93BC"/>
    <w:rsid w:val="7101EAC3"/>
    <w:rsid w:val="7108BCB3"/>
    <w:rsid w:val="7109C051"/>
    <w:rsid w:val="7112FFFF"/>
    <w:rsid w:val="712C5BF1"/>
    <w:rsid w:val="71347543"/>
    <w:rsid w:val="713AF517"/>
    <w:rsid w:val="714042CE"/>
    <w:rsid w:val="7145D965"/>
    <w:rsid w:val="714D8A06"/>
    <w:rsid w:val="714FC2F3"/>
    <w:rsid w:val="71509918"/>
    <w:rsid w:val="7152DDAD"/>
    <w:rsid w:val="71563949"/>
    <w:rsid w:val="7174347C"/>
    <w:rsid w:val="71744844"/>
    <w:rsid w:val="717FD7EA"/>
    <w:rsid w:val="71820610"/>
    <w:rsid w:val="71893A23"/>
    <w:rsid w:val="719B7E48"/>
    <w:rsid w:val="71A36EFD"/>
    <w:rsid w:val="71A775D6"/>
    <w:rsid w:val="71A859F9"/>
    <w:rsid w:val="71B2B749"/>
    <w:rsid w:val="71B2EF28"/>
    <w:rsid w:val="71B79B38"/>
    <w:rsid w:val="71BD59DC"/>
    <w:rsid w:val="71C00851"/>
    <w:rsid w:val="71C2E2C9"/>
    <w:rsid w:val="71D599BF"/>
    <w:rsid w:val="71DCFA79"/>
    <w:rsid w:val="71E3F432"/>
    <w:rsid w:val="71EDCB34"/>
    <w:rsid w:val="71F0C8AD"/>
    <w:rsid w:val="71F5BDEE"/>
    <w:rsid w:val="722051B5"/>
    <w:rsid w:val="72292B07"/>
    <w:rsid w:val="722B3D57"/>
    <w:rsid w:val="722EBF3F"/>
    <w:rsid w:val="72304DED"/>
    <w:rsid w:val="72460B35"/>
    <w:rsid w:val="7249CC85"/>
    <w:rsid w:val="724DF6F3"/>
    <w:rsid w:val="7254B099"/>
    <w:rsid w:val="7258C527"/>
    <w:rsid w:val="725B6ABC"/>
    <w:rsid w:val="7261A255"/>
    <w:rsid w:val="7265B454"/>
    <w:rsid w:val="726F183B"/>
    <w:rsid w:val="726FB1F6"/>
    <w:rsid w:val="7272D106"/>
    <w:rsid w:val="727BBF12"/>
    <w:rsid w:val="72809BB0"/>
    <w:rsid w:val="72829236"/>
    <w:rsid w:val="728A9425"/>
    <w:rsid w:val="728F8AF4"/>
    <w:rsid w:val="729531E7"/>
    <w:rsid w:val="72B5687D"/>
    <w:rsid w:val="72BD5214"/>
    <w:rsid w:val="72C01911"/>
    <w:rsid w:val="72C7954C"/>
    <w:rsid w:val="72DD8AFC"/>
    <w:rsid w:val="72E1073E"/>
    <w:rsid w:val="72EC30BC"/>
    <w:rsid w:val="72F12987"/>
    <w:rsid w:val="72FA31E8"/>
    <w:rsid w:val="72FB5C68"/>
    <w:rsid w:val="73070006"/>
    <w:rsid w:val="730C92A3"/>
    <w:rsid w:val="7316D6FD"/>
    <w:rsid w:val="731BD0BD"/>
    <w:rsid w:val="731CE714"/>
    <w:rsid w:val="732E84A5"/>
    <w:rsid w:val="7334762B"/>
    <w:rsid w:val="7335C8E7"/>
    <w:rsid w:val="7337E82F"/>
    <w:rsid w:val="733FCEF6"/>
    <w:rsid w:val="73414C27"/>
    <w:rsid w:val="7345612C"/>
    <w:rsid w:val="73821054"/>
    <w:rsid w:val="738D2143"/>
    <w:rsid w:val="7390FF0D"/>
    <w:rsid w:val="7393DF15"/>
    <w:rsid w:val="7398E7D5"/>
    <w:rsid w:val="739BD9F9"/>
    <w:rsid w:val="73AEB19E"/>
    <w:rsid w:val="73B2350F"/>
    <w:rsid w:val="73B5F622"/>
    <w:rsid w:val="73B901B9"/>
    <w:rsid w:val="73B98181"/>
    <w:rsid w:val="73C62F5C"/>
    <w:rsid w:val="73C729D2"/>
    <w:rsid w:val="73CA7799"/>
    <w:rsid w:val="73CAB6F8"/>
    <w:rsid w:val="73D00510"/>
    <w:rsid w:val="73D47247"/>
    <w:rsid w:val="73D53492"/>
    <w:rsid w:val="73D960FC"/>
    <w:rsid w:val="73DF3F27"/>
    <w:rsid w:val="73E37659"/>
    <w:rsid w:val="73E591C9"/>
    <w:rsid w:val="73E5EE7F"/>
    <w:rsid w:val="73EA7AF7"/>
    <w:rsid w:val="73EE5786"/>
    <w:rsid w:val="73EEE4E3"/>
    <w:rsid w:val="73EF0CEE"/>
    <w:rsid w:val="73F2C362"/>
    <w:rsid w:val="73F39E65"/>
    <w:rsid w:val="73F9F964"/>
    <w:rsid w:val="73FA3C61"/>
    <w:rsid w:val="740B1E21"/>
    <w:rsid w:val="74145C16"/>
    <w:rsid w:val="7420EC41"/>
    <w:rsid w:val="74245E18"/>
    <w:rsid w:val="742EC843"/>
    <w:rsid w:val="742F542C"/>
    <w:rsid w:val="74332195"/>
    <w:rsid w:val="743C4BDD"/>
    <w:rsid w:val="7446B2B3"/>
    <w:rsid w:val="7446D9DD"/>
    <w:rsid w:val="74480EA2"/>
    <w:rsid w:val="7450EC4D"/>
    <w:rsid w:val="745215A5"/>
    <w:rsid w:val="746457CA"/>
    <w:rsid w:val="74677A62"/>
    <w:rsid w:val="746D0E54"/>
    <w:rsid w:val="746ED406"/>
    <w:rsid w:val="747C5C1C"/>
    <w:rsid w:val="747FEFD4"/>
    <w:rsid w:val="7489BF24"/>
    <w:rsid w:val="748B44DF"/>
    <w:rsid w:val="749D608A"/>
    <w:rsid w:val="74A7A8F5"/>
    <w:rsid w:val="74B03154"/>
    <w:rsid w:val="74BB15EE"/>
    <w:rsid w:val="74BF2445"/>
    <w:rsid w:val="74CC58F2"/>
    <w:rsid w:val="74D7DB78"/>
    <w:rsid w:val="74E0A3B5"/>
    <w:rsid w:val="74E48D65"/>
    <w:rsid w:val="74ED6A42"/>
    <w:rsid w:val="74F04B12"/>
    <w:rsid w:val="74F6E8B4"/>
    <w:rsid w:val="74FB646B"/>
    <w:rsid w:val="74FDA623"/>
    <w:rsid w:val="7501965F"/>
    <w:rsid w:val="750A8671"/>
    <w:rsid w:val="7514E408"/>
    <w:rsid w:val="751FB8FE"/>
    <w:rsid w:val="75212720"/>
    <w:rsid w:val="75218044"/>
    <w:rsid w:val="752F35C5"/>
    <w:rsid w:val="75334118"/>
    <w:rsid w:val="75337713"/>
    <w:rsid w:val="753437CB"/>
    <w:rsid w:val="7542C70A"/>
    <w:rsid w:val="7545CD2F"/>
    <w:rsid w:val="754779ED"/>
    <w:rsid w:val="754A8C8F"/>
    <w:rsid w:val="754C9435"/>
    <w:rsid w:val="754E4CE9"/>
    <w:rsid w:val="75571947"/>
    <w:rsid w:val="755D764E"/>
    <w:rsid w:val="7563338A"/>
    <w:rsid w:val="75691E7E"/>
    <w:rsid w:val="756A3224"/>
    <w:rsid w:val="75707B26"/>
    <w:rsid w:val="757B8558"/>
    <w:rsid w:val="757E5A7E"/>
    <w:rsid w:val="75802965"/>
    <w:rsid w:val="758334E1"/>
    <w:rsid w:val="758B9209"/>
    <w:rsid w:val="758C8E7E"/>
    <w:rsid w:val="75944A0F"/>
    <w:rsid w:val="75965D9B"/>
    <w:rsid w:val="759697DD"/>
    <w:rsid w:val="75AD808C"/>
    <w:rsid w:val="75B085ED"/>
    <w:rsid w:val="75BAD7DD"/>
    <w:rsid w:val="75C09FEE"/>
    <w:rsid w:val="75CC1A72"/>
    <w:rsid w:val="75D15B71"/>
    <w:rsid w:val="75D4853C"/>
    <w:rsid w:val="75D87F46"/>
    <w:rsid w:val="75DA455C"/>
    <w:rsid w:val="75E71BD1"/>
    <w:rsid w:val="75E8FAC6"/>
    <w:rsid w:val="75E9795C"/>
    <w:rsid w:val="75EC18B3"/>
    <w:rsid w:val="75EF4CB9"/>
    <w:rsid w:val="75F1B3C5"/>
    <w:rsid w:val="75F3863E"/>
    <w:rsid w:val="75F6821D"/>
    <w:rsid w:val="75FB9807"/>
    <w:rsid w:val="76032A9F"/>
    <w:rsid w:val="76094089"/>
    <w:rsid w:val="760D523E"/>
    <w:rsid w:val="76197C54"/>
    <w:rsid w:val="761E8FB0"/>
    <w:rsid w:val="761FFFF6"/>
    <w:rsid w:val="7625666B"/>
    <w:rsid w:val="7633FE93"/>
    <w:rsid w:val="76355CC1"/>
    <w:rsid w:val="7635DAE6"/>
    <w:rsid w:val="763CE9E8"/>
    <w:rsid w:val="7640301A"/>
    <w:rsid w:val="76445956"/>
    <w:rsid w:val="7645C103"/>
    <w:rsid w:val="76460279"/>
    <w:rsid w:val="764B274F"/>
    <w:rsid w:val="76521EF5"/>
    <w:rsid w:val="765FADE9"/>
    <w:rsid w:val="766C6353"/>
    <w:rsid w:val="7671A791"/>
    <w:rsid w:val="76781542"/>
    <w:rsid w:val="767A25C4"/>
    <w:rsid w:val="767B365F"/>
    <w:rsid w:val="767F995D"/>
    <w:rsid w:val="76850CFF"/>
    <w:rsid w:val="768E59CE"/>
    <w:rsid w:val="76922AEA"/>
    <w:rsid w:val="769A8554"/>
    <w:rsid w:val="76AB2D29"/>
    <w:rsid w:val="76ACE176"/>
    <w:rsid w:val="76BABEB9"/>
    <w:rsid w:val="76C341CD"/>
    <w:rsid w:val="76D5FEDD"/>
    <w:rsid w:val="76DB754E"/>
    <w:rsid w:val="76DD5F09"/>
    <w:rsid w:val="76EAD7FD"/>
    <w:rsid w:val="76EC58D4"/>
    <w:rsid w:val="76ED835C"/>
    <w:rsid w:val="76EF28D0"/>
    <w:rsid w:val="76F06FA6"/>
    <w:rsid w:val="76F8432A"/>
    <w:rsid w:val="76FC3E82"/>
    <w:rsid w:val="76FFCCE8"/>
    <w:rsid w:val="7700EFE5"/>
    <w:rsid w:val="7703E2B6"/>
    <w:rsid w:val="7721D5E0"/>
    <w:rsid w:val="77226D82"/>
    <w:rsid w:val="7723D842"/>
    <w:rsid w:val="7735EA6C"/>
    <w:rsid w:val="77374AE5"/>
    <w:rsid w:val="77388F34"/>
    <w:rsid w:val="77459839"/>
    <w:rsid w:val="774604B5"/>
    <w:rsid w:val="774D3A74"/>
    <w:rsid w:val="775C4384"/>
    <w:rsid w:val="775CF099"/>
    <w:rsid w:val="775E32A3"/>
    <w:rsid w:val="7761307F"/>
    <w:rsid w:val="77637387"/>
    <w:rsid w:val="7779C047"/>
    <w:rsid w:val="777D7CA4"/>
    <w:rsid w:val="7784358E"/>
    <w:rsid w:val="77893817"/>
    <w:rsid w:val="7792545C"/>
    <w:rsid w:val="779502B0"/>
    <w:rsid w:val="77A34678"/>
    <w:rsid w:val="77A36805"/>
    <w:rsid w:val="77A6379C"/>
    <w:rsid w:val="77AF6FAD"/>
    <w:rsid w:val="77B51F83"/>
    <w:rsid w:val="77BDC50E"/>
    <w:rsid w:val="77C0392C"/>
    <w:rsid w:val="77C34CE0"/>
    <w:rsid w:val="77D31D57"/>
    <w:rsid w:val="77D5EB09"/>
    <w:rsid w:val="77E05300"/>
    <w:rsid w:val="77E19507"/>
    <w:rsid w:val="77E8474B"/>
    <w:rsid w:val="77F01BAA"/>
    <w:rsid w:val="77F739C8"/>
    <w:rsid w:val="77FB3F27"/>
    <w:rsid w:val="77FFC73D"/>
    <w:rsid w:val="7812C918"/>
    <w:rsid w:val="781B102A"/>
    <w:rsid w:val="7824210D"/>
    <w:rsid w:val="78329674"/>
    <w:rsid w:val="7832FECD"/>
    <w:rsid w:val="783E651B"/>
    <w:rsid w:val="7840379D"/>
    <w:rsid w:val="7848541B"/>
    <w:rsid w:val="784FE4E2"/>
    <w:rsid w:val="7862210B"/>
    <w:rsid w:val="7866BC59"/>
    <w:rsid w:val="787084E9"/>
    <w:rsid w:val="78768C5C"/>
    <w:rsid w:val="787B0FDB"/>
    <w:rsid w:val="788463E9"/>
    <w:rsid w:val="788B0E5C"/>
    <w:rsid w:val="788B7E45"/>
    <w:rsid w:val="788C80E7"/>
    <w:rsid w:val="7898B649"/>
    <w:rsid w:val="78994590"/>
    <w:rsid w:val="789D16D8"/>
    <w:rsid w:val="789EB118"/>
    <w:rsid w:val="78A00EF9"/>
    <w:rsid w:val="78A2683F"/>
    <w:rsid w:val="78B60BF3"/>
    <w:rsid w:val="78BD230D"/>
    <w:rsid w:val="78BE1705"/>
    <w:rsid w:val="78D0B9DB"/>
    <w:rsid w:val="78D2EBFC"/>
    <w:rsid w:val="78DDE2DC"/>
    <w:rsid w:val="78DF7FB6"/>
    <w:rsid w:val="78E4F786"/>
    <w:rsid w:val="78E72F04"/>
    <w:rsid w:val="78ED0581"/>
    <w:rsid w:val="7902F8ED"/>
    <w:rsid w:val="790859BD"/>
    <w:rsid w:val="790D3968"/>
    <w:rsid w:val="791A59F6"/>
    <w:rsid w:val="79222361"/>
    <w:rsid w:val="7934760A"/>
    <w:rsid w:val="7937ACAC"/>
    <w:rsid w:val="794509FF"/>
    <w:rsid w:val="79480E50"/>
    <w:rsid w:val="794C73AA"/>
    <w:rsid w:val="79508D66"/>
    <w:rsid w:val="7956514F"/>
    <w:rsid w:val="79607BA7"/>
    <w:rsid w:val="7963AED8"/>
    <w:rsid w:val="79644EF2"/>
    <w:rsid w:val="7966E0E9"/>
    <w:rsid w:val="7978B8A3"/>
    <w:rsid w:val="79833B1A"/>
    <w:rsid w:val="7994B380"/>
    <w:rsid w:val="7997E667"/>
    <w:rsid w:val="799C58D5"/>
    <w:rsid w:val="799C592D"/>
    <w:rsid w:val="79A894DB"/>
    <w:rsid w:val="79A9B8B5"/>
    <w:rsid w:val="79AE6C13"/>
    <w:rsid w:val="79AF98AA"/>
    <w:rsid w:val="79B45D4C"/>
    <w:rsid w:val="79B607A2"/>
    <w:rsid w:val="79BCD958"/>
    <w:rsid w:val="79BD57E8"/>
    <w:rsid w:val="79C0F508"/>
    <w:rsid w:val="79CD6EE7"/>
    <w:rsid w:val="79D81141"/>
    <w:rsid w:val="79DB6AB8"/>
    <w:rsid w:val="79DE0717"/>
    <w:rsid w:val="79E12F4D"/>
    <w:rsid w:val="79E472E2"/>
    <w:rsid w:val="7A010324"/>
    <w:rsid w:val="7A0BCB9F"/>
    <w:rsid w:val="7A0E08BF"/>
    <w:rsid w:val="7A2133D9"/>
    <w:rsid w:val="7A259C40"/>
    <w:rsid w:val="7A2871DB"/>
    <w:rsid w:val="7A298DE5"/>
    <w:rsid w:val="7A2D3AF2"/>
    <w:rsid w:val="7A3167E3"/>
    <w:rsid w:val="7A34003F"/>
    <w:rsid w:val="7A35AA85"/>
    <w:rsid w:val="7A460E95"/>
    <w:rsid w:val="7A480F78"/>
    <w:rsid w:val="7A4E1C78"/>
    <w:rsid w:val="7A4EE725"/>
    <w:rsid w:val="7A53CA31"/>
    <w:rsid w:val="7A53E66B"/>
    <w:rsid w:val="7A55153F"/>
    <w:rsid w:val="7A55B91B"/>
    <w:rsid w:val="7A5F8678"/>
    <w:rsid w:val="7A60C52E"/>
    <w:rsid w:val="7A6763F2"/>
    <w:rsid w:val="7A6A4105"/>
    <w:rsid w:val="7A6C577C"/>
    <w:rsid w:val="7A796349"/>
    <w:rsid w:val="7A85977E"/>
    <w:rsid w:val="7A85B21E"/>
    <w:rsid w:val="7A9F1024"/>
    <w:rsid w:val="7A9F8F56"/>
    <w:rsid w:val="7AAD4837"/>
    <w:rsid w:val="7AB2A7A8"/>
    <w:rsid w:val="7AB71E82"/>
    <w:rsid w:val="7ABC795A"/>
    <w:rsid w:val="7ADA29E2"/>
    <w:rsid w:val="7AE28C7C"/>
    <w:rsid w:val="7AE28D76"/>
    <w:rsid w:val="7AF5CC5A"/>
    <w:rsid w:val="7B05D553"/>
    <w:rsid w:val="7B08EC75"/>
    <w:rsid w:val="7B12ABE9"/>
    <w:rsid w:val="7B198F0A"/>
    <w:rsid w:val="7B1E68AE"/>
    <w:rsid w:val="7B2941CA"/>
    <w:rsid w:val="7B3B9CFC"/>
    <w:rsid w:val="7B3C886C"/>
    <w:rsid w:val="7B3C94AD"/>
    <w:rsid w:val="7B4BC50A"/>
    <w:rsid w:val="7B4D98DD"/>
    <w:rsid w:val="7B586F6C"/>
    <w:rsid w:val="7B7640C5"/>
    <w:rsid w:val="7B7F82D7"/>
    <w:rsid w:val="7B88C747"/>
    <w:rsid w:val="7B8938F4"/>
    <w:rsid w:val="7B89BD88"/>
    <w:rsid w:val="7B997053"/>
    <w:rsid w:val="7B9B7633"/>
    <w:rsid w:val="7BA62D5C"/>
    <w:rsid w:val="7BB3AA4A"/>
    <w:rsid w:val="7BB5A0B9"/>
    <w:rsid w:val="7BB9C344"/>
    <w:rsid w:val="7BBA6DFA"/>
    <w:rsid w:val="7BBAAAD7"/>
    <w:rsid w:val="7BBBDE03"/>
    <w:rsid w:val="7BD190B4"/>
    <w:rsid w:val="7BD1DABB"/>
    <w:rsid w:val="7BD37546"/>
    <w:rsid w:val="7BD74086"/>
    <w:rsid w:val="7BD9A835"/>
    <w:rsid w:val="7BDC9180"/>
    <w:rsid w:val="7BDFF15C"/>
    <w:rsid w:val="7BE0E30F"/>
    <w:rsid w:val="7BEB1692"/>
    <w:rsid w:val="7BED40AF"/>
    <w:rsid w:val="7BF11182"/>
    <w:rsid w:val="7C009AF2"/>
    <w:rsid w:val="7C026182"/>
    <w:rsid w:val="7C06A5AD"/>
    <w:rsid w:val="7C159941"/>
    <w:rsid w:val="7C1DF992"/>
    <w:rsid w:val="7C20B613"/>
    <w:rsid w:val="7C2892C2"/>
    <w:rsid w:val="7C38F2E2"/>
    <w:rsid w:val="7C3B5EA2"/>
    <w:rsid w:val="7C3D5C98"/>
    <w:rsid w:val="7C3E955A"/>
    <w:rsid w:val="7C480CDE"/>
    <w:rsid w:val="7C4EC9A8"/>
    <w:rsid w:val="7C51D869"/>
    <w:rsid w:val="7C530B72"/>
    <w:rsid w:val="7C535551"/>
    <w:rsid w:val="7C54DA3A"/>
    <w:rsid w:val="7C5FABC4"/>
    <w:rsid w:val="7C60AD71"/>
    <w:rsid w:val="7C7200DA"/>
    <w:rsid w:val="7C7C5E20"/>
    <w:rsid w:val="7C8333FB"/>
    <w:rsid w:val="7C8B3770"/>
    <w:rsid w:val="7C8D7088"/>
    <w:rsid w:val="7C9A287D"/>
    <w:rsid w:val="7C9F8FC3"/>
    <w:rsid w:val="7CA326BD"/>
    <w:rsid w:val="7CA94CC4"/>
    <w:rsid w:val="7CB10679"/>
    <w:rsid w:val="7CB1F497"/>
    <w:rsid w:val="7CB2CD86"/>
    <w:rsid w:val="7CB7BC50"/>
    <w:rsid w:val="7CBC02C9"/>
    <w:rsid w:val="7CC79F6B"/>
    <w:rsid w:val="7CD0F2A6"/>
    <w:rsid w:val="7CDF565C"/>
    <w:rsid w:val="7CF10B74"/>
    <w:rsid w:val="7CFAE588"/>
    <w:rsid w:val="7CFF93FC"/>
    <w:rsid w:val="7D094232"/>
    <w:rsid w:val="7D0F7ED3"/>
    <w:rsid w:val="7D197E4E"/>
    <w:rsid w:val="7D1D354B"/>
    <w:rsid w:val="7D20DD8D"/>
    <w:rsid w:val="7D23F33E"/>
    <w:rsid w:val="7D24E5A5"/>
    <w:rsid w:val="7D2947D1"/>
    <w:rsid w:val="7D29ED25"/>
    <w:rsid w:val="7D375119"/>
    <w:rsid w:val="7D3C5E18"/>
    <w:rsid w:val="7D3FE5B2"/>
    <w:rsid w:val="7D460176"/>
    <w:rsid w:val="7D566FAF"/>
    <w:rsid w:val="7D5FADC3"/>
    <w:rsid w:val="7D7545B5"/>
    <w:rsid w:val="7D77EC0F"/>
    <w:rsid w:val="7D833758"/>
    <w:rsid w:val="7D84115A"/>
    <w:rsid w:val="7D8EF114"/>
    <w:rsid w:val="7DA2FD40"/>
    <w:rsid w:val="7DB1329E"/>
    <w:rsid w:val="7DB213BF"/>
    <w:rsid w:val="7DB851B1"/>
    <w:rsid w:val="7DBA0FF9"/>
    <w:rsid w:val="7DC155D4"/>
    <w:rsid w:val="7DC1C648"/>
    <w:rsid w:val="7DC1DAB9"/>
    <w:rsid w:val="7DCE72C9"/>
    <w:rsid w:val="7DCF7FE4"/>
    <w:rsid w:val="7DD81D20"/>
    <w:rsid w:val="7DDC879F"/>
    <w:rsid w:val="7DE122CB"/>
    <w:rsid w:val="7DED48D2"/>
    <w:rsid w:val="7DEDE8A1"/>
    <w:rsid w:val="7DF4F31C"/>
    <w:rsid w:val="7DFA350A"/>
    <w:rsid w:val="7DFBCF1C"/>
    <w:rsid w:val="7DFDE893"/>
    <w:rsid w:val="7E00105A"/>
    <w:rsid w:val="7E0522A3"/>
    <w:rsid w:val="7E0F9E7E"/>
    <w:rsid w:val="7E1206F4"/>
    <w:rsid w:val="7E13FF5B"/>
    <w:rsid w:val="7E15B683"/>
    <w:rsid w:val="7E1E4B28"/>
    <w:rsid w:val="7E23DB74"/>
    <w:rsid w:val="7E285EF8"/>
    <w:rsid w:val="7E3E5959"/>
    <w:rsid w:val="7E3FBABF"/>
    <w:rsid w:val="7E44A3DB"/>
    <w:rsid w:val="7E47C031"/>
    <w:rsid w:val="7E49841B"/>
    <w:rsid w:val="7E4BE6CB"/>
    <w:rsid w:val="7E4C0379"/>
    <w:rsid w:val="7E4D3BC2"/>
    <w:rsid w:val="7E53A75E"/>
    <w:rsid w:val="7E58CAF9"/>
    <w:rsid w:val="7E5C10E9"/>
    <w:rsid w:val="7E5DB946"/>
    <w:rsid w:val="7E62EA81"/>
    <w:rsid w:val="7E65C36C"/>
    <w:rsid w:val="7E667F82"/>
    <w:rsid w:val="7E672BC2"/>
    <w:rsid w:val="7E6B2C0B"/>
    <w:rsid w:val="7E6F00A0"/>
    <w:rsid w:val="7E7EDA6C"/>
    <w:rsid w:val="7E81F636"/>
    <w:rsid w:val="7E85264B"/>
    <w:rsid w:val="7E924DC8"/>
    <w:rsid w:val="7E97C72A"/>
    <w:rsid w:val="7E9E42DA"/>
    <w:rsid w:val="7EA5D0E5"/>
    <w:rsid w:val="7EB10FEC"/>
    <w:rsid w:val="7EB68CA4"/>
    <w:rsid w:val="7EC8B099"/>
    <w:rsid w:val="7EC98800"/>
    <w:rsid w:val="7ED47FD7"/>
    <w:rsid w:val="7EDF3792"/>
    <w:rsid w:val="7EE4E1F7"/>
    <w:rsid w:val="7EE5CC14"/>
    <w:rsid w:val="7EF3012C"/>
    <w:rsid w:val="7EF395E8"/>
    <w:rsid w:val="7EF7459E"/>
    <w:rsid w:val="7EFCE1BF"/>
    <w:rsid w:val="7EFD6C1F"/>
    <w:rsid w:val="7F00DF6F"/>
    <w:rsid w:val="7F020390"/>
    <w:rsid w:val="7F037A56"/>
    <w:rsid w:val="7F0E91B5"/>
    <w:rsid w:val="7F129AAF"/>
    <w:rsid w:val="7F3EBA18"/>
    <w:rsid w:val="7F48A3AF"/>
    <w:rsid w:val="7F48A69B"/>
    <w:rsid w:val="7F4BED25"/>
    <w:rsid w:val="7F4EC132"/>
    <w:rsid w:val="7F50CB23"/>
    <w:rsid w:val="7F5855A5"/>
    <w:rsid w:val="7F58F690"/>
    <w:rsid w:val="7F592B4B"/>
    <w:rsid w:val="7F625815"/>
    <w:rsid w:val="7F641CE8"/>
    <w:rsid w:val="7F64E8DD"/>
    <w:rsid w:val="7F6A586B"/>
    <w:rsid w:val="7F6AF56D"/>
    <w:rsid w:val="7F765900"/>
    <w:rsid w:val="7F7E7CB9"/>
    <w:rsid w:val="7F814D29"/>
    <w:rsid w:val="7F833C1C"/>
    <w:rsid w:val="7F8A91F3"/>
    <w:rsid w:val="7F90840B"/>
    <w:rsid w:val="7FA202E4"/>
    <w:rsid w:val="7FAC89E4"/>
    <w:rsid w:val="7FAFB5E5"/>
    <w:rsid w:val="7FC0C900"/>
    <w:rsid w:val="7FC37D97"/>
    <w:rsid w:val="7FC59AB5"/>
    <w:rsid w:val="7FC7F15E"/>
    <w:rsid w:val="7FCB9A1A"/>
    <w:rsid w:val="7FD10F7F"/>
    <w:rsid w:val="7FD7657A"/>
    <w:rsid w:val="7FE902C5"/>
    <w:rsid w:val="7FF9D88F"/>
    <w:rsid w:val="7FFCC25B"/>
    <w:rsid w:val="7FFD7D7F"/>
    <w:rsid w:val="7FFD8098"/>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F1AC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IE" w:eastAsia="en-IE" w:bidi="ar-SA"/>
      </w:rPr>
    </w:rPrDefault>
    <w:pPrDefault/>
  </w:docDefaults>
  <w:latentStyles w:defLockedState="1" w:defUIPriority="99" w:defSemiHidden="0" w:defUnhideWhenUsed="0" w:defQFormat="0" w:count="376">
    <w:lsdException w:name="Normal" w:locked="0" w:uiPriority="0" w:qFormat="1"/>
    <w:lsdException w:name="heading 1" w:uiPriority="0" w:qFormat="1"/>
    <w:lsdException w:name="heading 2" w:semiHidden="1" w:uiPriority="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qFormat="1"/>
    <w:lsdException w:name="annotation text" w:locked="0" w:semiHidden="1" w:uiPriority="2" w:unhideWhenUsed="1" w:qFormat="1"/>
    <w:lsdException w:name="header" w:locked="0" w:semiHidden="1" w:unhideWhenUsed="1"/>
    <w:lsdException w:name="footer" w:locked="0" w:semiHidden="1"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qFormat="1"/>
    <w:lsdException w:name="annotation reference" w:locked="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iPriority="0"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iPriority="2" w:unhideWhenUsed="1" w:qFormat="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qFormat="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rsid w:val="00781BE8"/>
    <w:pPr>
      <w:spacing w:before="120" w:after="120"/>
      <w:jc w:val="both"/>
    </w:pPr>
    <w:rPr>
      <w:rFonts w:ascii="Times New Roman" w:hAnsi="Times New Roman" w:cs="Times New Roman"/>
      <w:sz w:val="24"/>
      <w:szCs w:val="24"/>
      <w:lang w:val="en-GB" w:eastAsia="en-US"/>
    </w:rPr>
  </w:style>
  <w:style w:type="paragraph" w:styleId="Heading1">
    <w:name w:val="heading 1"/>
    <w:basedOn w:val="Normal"/>
    <w:next w:val="Text1"/>
    <w:link w:val="Heading1Char"/>
    <w:qFormat/>
    <w:locked/>
    <w:rsid w:val="00781BE8"/>
    <w:pPr>
      <w:keepNext/>
      <w:numPr>
        <w:numId w:val="19"/>
      </w:numPr>
      <w:spacing w:before="240" w:after="240"/>
      <w:outlineLvl w:val="0"/>
    </w:pPr>
    <w:rPr>
      <w:rFonts w:ascii="Times New Roman Bold" w:eastAsia="Times New Roman" w:hAnsi="Times New Roman Bold"/>
      <w:b/>
      <w:smallCaps/>
      <w:sz w:val="28"/>
      <w:szCs w:val="20"/>
    </w:rPr>
  </w:style>
  <w:style w:type="paragraph" w:styleId="Heading2">
    <w:name w:val="heading 2"/>
    <w:basedOn w:val="Normal"/>
    <w:next w:val="Text2"/>
    <w:link w:val="Heading2Char"/>
    <w:autoRedefine/>
    <w:uiPriority w:val="1"/>
    <w:qFormat/>
    <w:locked/>
    <w:rsid w:val="00EE5DB1"/>
    <w:pPr>
      <w:keepNext/>
      <w:numPr>
        <w:ilvl w:val="1"/>
        <w:numId w:val="4"/>
      </w:numPr>
      <w:outlineLvl w:val="1"/>
    </w:pPr>
    <w:rPr>
      <w:rFonts w:eastAsia="Times New Roman"/>
      <w:b/>
      <w:szCs w:val="20"/>
    </w:rPr>
  </w:style>
  <w:style w:type="paragraph" w:styleId="Heading3">
    <w:name w:val="heading 3"/>
    <w:basedOn w:val="Normal"/>
    <w:next w:val="Normal"/>
    <w:link w:val="Heading3Char"/>
    <w:autoRedefine/>
    <w:qFormat/>
    <w:locked/>
    <w:rsid w:val="00EE5DB1"/>
    <w:pPr>
      <w:keepNext/>
      <w:numPr>
        <w:ilvl w:val="2"/>
        <w:numId w:val="4"/>
      </w:numPr>
      <w:outlineLvl w:val="2"/>
    </w:pPr>
    <w:rPr>
      <w:rFonts w:eastAsia="Times New Roman"/>
      <w:i/>
      <w:szCs w:val="20"/>
    </w:rPr>
  </w:style>
  <w:style w:type="paragraph" w:styleId="Heading4">
    <w:name w:val="heading 4"/>
    <w:basedOn w:val="Normal"/>
    <w:next w:val="Normal"/>
    <w:link w:val="Heading4Char"/>
    <w:autoRedefine/>
    <w:qFormat/>
    <w:locked/>
    <w:rsid w:val="004D786F"/>
    <w:pPr>
      <w:keepNext/>
      <w:numPr>
        <w:ilvl w:val="3"/>
        <w:numId w:val="19"/>
      </w:numPr>
      <w:jc w:val="left"/>
      <w:outlineLvl w:val="3"/>
    </w:pPr>
    <w:rPr>
      <w:rFonts w:eastAsia="Times New Roman"/>
      <w:szCs w:val="20"/>
      <w:lang w:eastAsia="en-GB"/>
    </w:rPr>
  </w:style>
  <w:style w:type="paragraph" w:styleId="Heading5">
    <w:name w:val="heading 5"/>
    <w:basedOn w:val="Normal"/>
    <w:next w:val="Normal"/>
    <w:link w:val="Heading5Char"/>
    <w:uiPriority w:val="9"/>
    <w:unhideWhenUsed/>
    <w:qFormat/>
    <w:locked/>
    <w:rsid w:val="0053316B"/>
    <w:pPr>
      <w:keepNext/>
      <w:keepLines/>
      <w:spacing w:before="40" w:after="0"/>
      <w:outlineLvl w:val="4"/>
    </w:pPr>
    <w:rPr>
      <w:rFonts w:ascii="Cambria" w:eastAsia="MS Gothic" w:hAnsi="Cambria"/>
      <w:color w:val="365F91"/>
    </w:rPr>
  </w:style>
  <w:style w:type="paragraph" w:styleId="Heading6">
    <w:name w:val="heading 6"/>
    <w:basedOn w:val="Normal"/>
    <w:next w:val="Normal"/>
    <w:link w:val="Heading6Char"/>
    <w:uiPriority w:val="9"/>
    <w:semiHidden/>
    <w:unhideWhenUsed/>
    <w:qFormat/>
    <w:locked/>
    <w:rsid w:val="00C61F01"/>
    <w:pPr>
      <w:keepNext/>
      <w:keepLines/>
      <w:spacing w:before="40" w:after="0"/>
      <w:outlineLvl w:val="5"/>
    </w:pPr>
    <w:rPr>
      <w:rFonts w:ascii="Cambria" w:eastAsia="MS Gothic" w:hAnsi="Cambria"/>
      <w:color w:val="243F60"/>
    </w:rPr>
  </w:style>
  <w:style w:type="paragraph" w:styleId="Heading7">
    <w:name w:val="heading 7"/>
    <w:basedOn w:val="Normal"/>
    <w:next w:val="Normal"/>
    <w:link w:val="Heading7Char"/>
    <w:uiPriority w:val="9"/>
    <w:semiHidden/>
    <w:unhideWhenUsed/>
    <w:qFormat/>
    <w:locked/>
    <w:rsid w:val="00646368"/>
    <w:pPr>
      <w:keepNext/>
      <w:keepLines/>
      <w:spacing w:before="40" w:after="0"/>
      <w:outlineLvl w:val="6"/>
    </w:pPr>
    <w:rPr>
      <w:rFonts w:ascii="Cambria" w:eastAsia="MS Gothic" w:hAnsi="Cambria"/>
      <w:i/>
      <w:iCs/>
      <w:color w:val="243F60"/>
    </w:rPr>
  </w:style>
  <w:style w:type="paragraph" w:styleId="Heading8">
    <w:name w:val="heading 8"/>
    <w:basedOn w:val="Normal"/>
    <w:next w:val="Normal"/>
    <w:link w:val="Heading8Char"/>
    <w:uiPriority w:val="9"/>
    <w:semiHidden/>
    <w:unhideWhenUsed/>
    <w:qFormat/>
    <w:locked/>
    <w:rsid w:val="00646368"/>
    <w:pPr>
      <w:keepNext/>
      <w:keepLines/>
      <w:spacing w:before="40" w:after="0"/>
      <w:outlineLvl w:val="7"/>
    </w:pPr>
    <w:rPr>
      <w:rFonts w:ascii="Cambria" w:eastAsia="MS Gothic" w:hAnsi="Cambria"/>
      <w:color w:val="272727"/>
      <w:sz w:val="21"/>
      <w:szCs w:val="21"/>
    </w:rPr>
  </w:style>
  <w:style w:type="paragraph" w:styleId="Heading9">
    <w:name w:val="heading 9"/>
    <w:basedOn w:val="Normal"/>
    <w:next w:val="Normal"/>
    <w:link w:val="Heading9Char"/>
    <w:uiPriority w:val="9"/>
    <w:semiHidden/>
    <w:unhideWhenUsed/>
    <w:qFormat/>
    <w:locked/>
    <w:rsid w:val="00646368"/>
    <w:pPr>
      <w:keepNext/>
      <w:keepLines/>
      <w:spacing w:before="40" w:after="0"/>
      <w:outlineLvl w:val="8"/>
    </w:pPr>
    <w:rPr>
      <w:rFonts w:ascii="Cambria" w:eastAsia="MS Gothic" w:hAnsi="Cambria"/>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781BE8"/>
    <w:rPr>
      <w:rFonts w:ascii="Times New Roman Bold" w:eastAsia="Times New Roman" w:hAnsi="Times New Roman Bold" w:cs="Times New Roman"/>
      <w:b/>
      <w:smallCaps/>
      <w:sz w:val="28"/>
      <w:lang w:val="en-GB" w:eastAsia="en-US"/>
    </w:rPr>
  </w:style>
  <w:style w:type="character" w:customStyle="1" w:styleId="Heading2Char">
    <w:name w:val="Heading 2 Char"/>
    <w:link w:val="Heading2"/>
    <w:uiPriority w:val="1"/>
    <w:rsid w:val="006B087E"/>
    <w:rPr>
      <w:rFonts w:ascii="Times New Roman" w:eastAsia="Times New Roman" w:hAnsi="Times New Roman" w:cs="Times New Roman"/>
      <w:b/>
      <w:sz w:val="24"/>
      <w:lang w:val="en-GB" w:eastAsia="en-US"/>
    </w:rPr>
  </w:style>
  <w:style w:type="character" w:customStyle="1" w:styleId="Heading3Char">
    <w:name w:val="Heading 3 Char"/>
    <w:link w:val="Heading3"/>
    <w:rsid w:val="006B087E"/>
    <w:rPr>
      <w:rFonts w:ascii="Times New Roman" w:eastAsia="Times New Roman" w:hAnsi="Times New Roman" w:cs="Times New Roman"/>
      <w:i/>
      <w:sz w:val="24"/>
      <w:lang w:val="en-GB" w:eastAsia="en-US"/>
    </w:rPr>
  </w:style>
  <w:style w:type="character" w:customStyle="1" w:styleId="Heading4Char">
    <w:name w:val="Heading 4 Char"/>
    <w:link w:val="Heading4"/>
    <w:rsid w:val="00487330"/>
    <w:rPr>
      <w:rFonts w:ascii="Times New Roman" w:eastAsia="Times New Roman" w:hAnsi="Times New Roman" w:cs="Times New Roman"/>
      <w:sz w:val="24"/>
      <w:lang w:val="en-GB" w:eastAsia="en-GB"/>
    </w:rPr>
  </w:style>
  <w:style w:type="character" w:customStyle="1" w:styleId="Marker">
    <w:name w:val="Marker"/>
    <w:locked/>
    <w:rsid w:val="006B087E"/>
    <w:rPr>
      <w:color w:val="0000FF"/>
      <w:shd w:val="clear" w:color="auto" w:fill="auto"/>
    </w:rPr>
  </w:style>
  <w:style w:type="paragraph" w:customStyle="1" w:styleId="Pagedecouverture">
    <w:name w:val="Page de couverture"/>
    <w:basedOn w:val="Normal"/>
    <w:next w:val="Normal"/>
    <w:locked/>
    <w:rsid w:val="006B087E"/>
    <w:pPr>
      <w:spacing w:after="0"/>
    </w:pPr>
  </w:style>
  <w:style w:type="paragraph" w:styleId="Header">
    <w:name w:val="header"/>
    <w:basedOn w:val="Normal"/>
    <w:link w:val="HeaderChar"/>
    <w:uiPriority w:val="99"/>
    <w:unhideWhenUsed/>
    <w:rsid w:val="006B087E"/>
    <w:pPr>
      <w:tabs>
        <w:tab w:val="center" w:pos="4535"/>
        <w:tab w:val="right" w:pos="9071"/>
      </w:tabs>
    </w:pPr>
  </w:style>
  <w:style w:type="character" w:customStyle="1" w:styleId="HeaderChar">
    <w:name w:val="Header Char"/>
    <w:link w:val="Header"/>
    <w:uiPriority w:val="99"/>
    <w:rsid w:val="006B087E"/>
    <w:rPr>
      <w:rFonts w:ascii="Times New Roman" w:hAnsi="Times New Roman" w:cs="Times New Roman"/>
      <w:sz w:val="24"/>
      <w:szCs w:val="24"/>
      <w:lang w:val="en-GB" w:eastAsia="en-US"/>
    </w:rPr>
  </w:style>
  <w:style w:type="paragraph" w:styleId="Footer">
    <w:name w:val="footer"/>
    <w:basedOn w:val="Normal"/>
    <w:link w:val="FooterChar"/>
    <w:uiPriority w:val="99"/>
    <w:unhideWhenUsed/>
    <w:rsid w:val="006B087E"/>
    <w:pPr>
      <w:tabs>
        <w:tab w:val="center" w:pos="4535"/>
        <w:tab w:val="right" w:pos="9071"/>
        <w:tab w:val="right" w:pos="9921"/>
      </w:tabs>
      <w:spacing w:before="360" w:after="0"/>
      <w:ind w:left="-850" w:right="-850"/>
    </w:pPr>
  </w:style>
  <w:style w:type="character" w:customStyle="1" w:styleId="FooterChar">
    <w:name w:val="Footer Char"/>
    <w:link w:val="Footer"/>
    <w:uiPriority w:val="99"/>
    <w:rsid w:val="006B087E"/>
    <w:rPr>
      <w:rFonts w:ascii="Times New Roman" w:hAnsi="Times New Roman" w:cs="Times New Roman"/>
      <w:sz w:val="24"/>
    </w:rPr>
  </w:style>
  <w:style w:type="paragraph" w:customStyle="1" w:styleId="FooterCoverPage">
    <w:name w:val="Footer Cover Page"/>
    <w:basedOn w:val="Normal"/>
    <w:link w:val="FooterCoverPageChar"/>
    <w:locked/>
    <w:rsid w:val="006B087E"/>
    <w:pPr>
      <w:tabs>
        <w:tab w:val="center" w:pos="4535"/>
        <w:tab w:val="right" w:pos="9071"/>
        <w:tab w:val="right" w:pos="9921"/>
      </w:tabs>
      <w:spacing w:before="360" w:after="0"/>
      <w:ind w:left="-850" w:right="-850"/>
      <w:jc w:val="left"/>
    </w:pPr>
  </w:style>
  <w:style w:type="character" w:customStyle="1" w:styleId="FooterCoverPageChar">
    <w:name w:val="Footer Cover Page Char"/>
    <w:link w:val="FooterCoverPage"/>
    <w:rsid w:val="006B087E"/>
    <w:rPr>
      <w:rFonts w:ascii="Times New Roman" w:hAnsi="Times New Roman" w:cs="Times New Roman"/>
      <w:sz w:val="24"/>
      <w:szCs w:val="24"/>
      <w:lang w:val="en-GB" w:eastAsia="en-US"/>
    </w:rPr>
  </w:style>
  <w:style w:type="paragraph" w:customStyle="1" w:styleId="HeaderCoverPage">
    <w:name w:val="Header Cover Page"/>
    <w:basedOn w:val="Normal"/>
    <w:link w:val="HeaderCoverPageChar"/>
    <w:locked/>
    <w:rsid w:val="006B087E"/>
    <w:pPr>
      <w:tabs>
        <w:tab w:val="center" w:pos="4535"/>
        <w:tab w:val="right" w:pos="9071"/>
      </w:tabs>
      <w:spacing w:before="0"/>
    </w:pPr>
  </w:style>
  <w:style w:type="character" w:customStyle="1" w:styleId="HeaderCoverPageChar">
    <w:name w:val="Header Cover Page Char"/>
    <w:link w:val="HeaderCoverPage"/>
    <w:rsid w:val="006B087E"/>
    <w:rPr>
      <w:rFonts w:ascii="Times New Roman" w:hAnsi="Times New Roman" w:cs="Times New Roman"/>
      <w:sz w:val="24"/>
      <w:szCs w:val="24"/>
      <w:lang w:val="en-GB" w:eastAsia="en-US"/>
    </w:rPr>
  </w:style>
  <w:style w:type="paragraph" w:customStyle="1" w:styleId="Text1">
    <w:name w:val="Text 1"/>
    <w:basedOn w:val="Normal"/>
    <w:locked/>
    <w:rsid w:val="006B087E"/>
    <w:pPr>
      <w:ind w:left="482"/>
    </w:pPr>
    <w:rPr>
      <w:rFonts w:eastAsia="Times New Roman"/>
      <w:szCs w:val="20"/>
    </w:rPr>
  </w:style>
  <w:style w:type="paragraph" w:customStyle="1" w:styleId="Text2">
    <w:name w:val="Text 2"/>
    <w:basedOn w:val="Normal"/>
    <w:locked/>
    <w:rsid w:val="006B087E"/>
    <w:pPr>
      <w:tabs>
        <w:tab w:val="left" w:pos="2302"/>
      </w:tabs>
      <w:ind w:left="1202"/>
    </w:pPr>
    <w:rPr>
      <w:rFonts w:eastAsia="Times New Roman"/>
      <w:szCs w:val="20"/>
    </w:rPr>
  </w:style>
  <w:style w:type="paragraph" w:styleId="ListBullet">
    <w:name w:val="List Bullet"/>
    <w:basedOn w:val="Normal"/>
    <w:rsid w:val="006B087E"/>
    <w:pPr>
      <w:numPr>
        <w:numId w:val="2"/>
      </w:numPr>
    </w:pPr>
    <w:rPr>
      <w:rFonts w:eastAsia="Times New Roman"/>
      <w:szCs w:val="20"/>
    </w:rPr>
  </w:style>
  <w:style w:type="paragraph" w:customStyle="1" w:styleId="ListDash1">
    <w:name w:val="List Dash 1"/>
    <w:basedOn w:val="Text1"/>
    <w:locked/>
    <w:rsid w:val="006B087E"/>
    <w:pPr>
      <w:numPr>
        <w:numId w:val="3"/>
      </w:numPr>
    </w:pPr>
  </w:style>
  <w:style w:type="table" w:styleId="TableGrid">
    <w:name w:val="Table Grid"/>
    <w:aliases w:val="Document Table,CV1,Table No Border,_CBS Table,Gena,Tabellengitternetz,Table Format 1,Table_FPB,CV table,EY Table,none,TabelEcorys,IT Park_Citation,san defined,chiffres,Tableau D,Table Finalité,Table EY,Volet,HTG,Tabela Renova,Deloitte,_CBS Ta"/>
    <w:basedOn w:val="TableNormal"/>
    <w:uiPriority w:val="39"/>
    <w:locked/>
    <w:rsid w:val="006B087E"/>
    <w:rPr>
      <w:rFonts w:ascii="Times New Roman" w:eastAsia="Times New Roman" w:hAnsi="Times New Roman" w:cs="Times New Roman"/>
      <w:lang w:eastAsia="en-GB"/>
    </w:rPr>
    <w:tblPr/>
  </w:style>
  <w:style w:type="paragraph" w:customStyle="1" w:styleId="AnnexTitle">
    <w:name w:val="Annex Title"/>
    <w:basedOn w:val="Heading1"/>
    <w:next w:val="Normal"/>
    <w:link w:val="AnnexTitleChar"/>
    <w:autoRedefine/>
    <w:qFormat/>
    <w:locked/>
    <w:rsid w:val="001A186D"/>
    <w:pPr>
      <w:numPr>
        <w:numId w:val="0"/>
      </w:numPr>
      <w:spacing w:after="480"/>
    </w:pPr>
    <w:rPr>
      <w:sz w:val="32"/>
    </w:rPr>
  </w:style>
  <w:style w:type="character" w:customStyle="1" w:styleId="AnnexTitleChar">
    <w:name w:val="Annex Title Char"/>
    <w:link w:val="AnnexTitle"/>
    <w:rsid w:val="00C22AB4"/>
    <w:rPr>
      <w:rFonts w:ascii="Times New Roman" w:eastAsia="Times New Roman" w:hAnsi="Times New Roman" w:cs="Times New Roman"/>
      <w:b/>
      <w:smallCaps/>
      <w:sz w:val="32"/>
      <w:lang w:val="en-GB" w:eastAsia="en-US"/>
    </w:rPr>
  </w:style>
  <w:style w:type="table" w:customStyle="1" w:styleId="CV11">
    <w:name w:val="CV11"/>
    <w:basedOn w:val="TableNormal"/>
    <w:next w:val="TableGrid"/>
    <w:uiPriority w:val="59"/>
    <w:locked/>
    <w:rsid w:val="006B087E"/>
    <w:rPr>
      <w:rFonts w:ascii="Times New Roman" w:eastAsia="Times New Roman" w:hAnsi="Times New Roman" w:cs="Times New Roman"/>
      <w:lang w:eastAsia="en-GB"/>
    </w:rPr>
    <w:tblPr/>
  </w:style>
  <w:style w:type="table" w:customStyle="1" w:styleId="CV12">
    <w:name w:val="CV12"/>
    <w:basedOn w:val="TableNormal"/>
    <w:next w:val="TableGrid"/>
    <w:uiPriority w:val="39"/>
    <w:locked/>
    <w:rsid w:val="006B087E"/>
    <w:rPr>
      <w:rFonts w:ascii="Times New Roman" w:eastAsia="Times New Roman" w:hAnsi="Times New Roman" w:cs="Times New Roman"/>
      <w:lang w:eastAsia="en-GB"/>
    </w:rPr>
    <w:tblPr/>
  </w:style>
  <w:style w:type="table" w:customStyle="1" w:styleId="CV13">
    <w:name w:val="CV13"/>
    <w:basedOn w:val="TableNormal"/>
    <w:next w:val="TableGrid"/>
    <w:uiPriority w:val="39"/>
    <w:locked/>
    <w:rsid w:val="006B087E"/>
    <w:rPr>
      <w:rFonts w:ascii="Times New Roman" w:eastAsia="Times New Roman" w:hAnsi="Times New Roman" w:cs="Times New Roman"/>
      <w:lang w:eastAsia="en-GB"/>
    </w:rPr>
    <w:tblPr/>
  </w:style>
  <w:style w:type="paragraph" w:styleId="TOC1">
    <w:name w:val="toc 1"/>
    <w:basedOn w:val="Normal"/>
    <w:next w:val="Normal"/>
    <w:uiPriority w:val="39"/>
    <w:rsid w:val="006B087E"/>
    <w:pPr>
      <w:jc w:val="left"/>
    </w:pPr>
    <w:rPr>
      <w:rFonts w:asciiTheme="minorHAnsi" w:hAnsiTheme="minorHAnsi" w:cstheme="minorHAnsi"/>
      <w:b/>
      <w:bCs/>
      <w:caps/>
      <w:sz w:val="20"/>
      <w:szCs w:val="20"/>
    </w:rPr>
  </w:style>
  <w:style w:type="paragraph" w:styleId="TOC2">
    <w:name w:val="toc 2"/>
    <w:basedOn w:val="Normal"/>
    <w:next w:val="Normal"/>
    <w:uiPriority w:val="39"/>
    <w:rsid w:val="006B087E"/>
    <w:pPr>
      <w:spacing w:before="0" w:after="0"/>
      <w:ind w:left="240"/>
      <w:jc w:val="left"/>
    </w:pPr>
    <w:rPr>
      <w:rFonts w:asciiTheme="minorHAnsi" w:hAnsiTheme="minorHAnsi" w:cstheme="minorHAnsi"/>
      <w:smallCaps/>
      <w:sz w:val="20"/>
      <w:szCs w:val="20"/>
    </w:rPr>
  </w:style>
  <w:style w:type="paragraph" w:styleId="TOCHeading">
    <w:name w:val="TOC Heading"/>
    <w:basedOn w:val="Normal"/>
    <w:next w:val="Normal"/>
    <w:uiPriority w:val="39"/>
    <w:qFormat/>
    <w:rsid w:val="006B087E"/>
    <w:pPr>
      <w:keepNext/>
      <w:spacing w:before="240"/>
      <w:jc w:val="center"/>
    </w:pPr>
    <w:rPr>
      <w:rFonts w:eastAsia="Times New Roman"/>
      <w:b/>
      <w:szCs w:val="20"/>
    </w:rPr>
  </w:style>
  <w:style w:type="character" w:styleId="Hyperlink">
    <w:name w:val="Hyperlink"/>
    <w:aliases w:val=" Znak Znak Znak,Znak Znak Znak,toc 2,TOC 21"/>
    <w:uiPriority w:val="99"/>
    <w:unhideWhenUsed/>
    <w:qFormat/>
    <w:rsid w:val="006B087E"/>
    <w:rPr>
      <w:color w:val="0000FF"/>
      <w:u w:val="single"/>
    </w:rPr>
  </w:style>
  <w:style w:type="paragraph" w:styleId="BalloonText">
    <w:name w:val="Balloon Text"/>
    <w:basedOn w:val="Normal"/>
    <w:link w:val="BalloonTextChar"/>
    <w:uiPriority w:val="99"/>
    <w:semiHidden/>
    <w:unhideWhenUsed/>
    <w:rsid w:val="006B087E"/>
    <w:pPr>
      <w:spacing w:after="0"/>
    </w:pPr>
    <w:rPr>
      <w:rFonts w:ascii="Tahoma" w:hAnsi="Tahoma" w:cs="Tahoma"/>
      <w:sz w:val="16"/>
      <w:szCs w:val="16"/>
    </w:rPr>
  </w:style>
  <w:style w:type="character" w:customStyle="1" w:styleId="BalloonTextChar">
    <w:name w:val="Balloon Text Char"/>
    <w:link w:val="BalloonText"/>
    <w:uiPriority w:val="99"/>
    <w:semiHidden/>
    <w:rsid w:val="006B087E"/>
    <w:rPr>
      <w:rFonts w:ascii="Tahoma" w:hAnsi="Tahoma" w:cs="Tahoma"/>
      <w:sz w:val="16"/>
      <w:szCs w:val="16"/>
    </w:rPr>
  </w:style>
  <w:style w:type="paragraph" w:customStyle="1" w:styleId="Declassification">
    <w:name w:val="Declassification"/>
    <w:basedOn w:val="Normal"/>
    <w:next w:val="Normal"/>
    <w:locked/>
    <w:rsid w:val="006B087E"/>
    <w:pPr>
      <w:spacing w:after="0"/>
    </w:pPr>
  </w:style>
  <w:style w:type="paragraph" w:customStyle="1" w:styleId="HeaderLandscape">
    <w:name w:val="HeaderLandscape"/>
    <w:basedOn w:val="Normal"/>
    <w:locked/>
    <w:rsid w:val="006B087E"/>
    <w:pPr>
      <w:tabs>
        <w:tab w:val="center" w:pos="7285"/>
        <w:tab w:val="right" w:pos="14003"/>
      </w:tabs>
    </w:pPr>
  </w:style>
  <w:style w:type="paragraph" w:customStyle="1" w:styleId="HeaderSensitivity">
    <w:name w:val="Header Sensitivity"/>
    <w:basedOn w:val="Normal"/>
    <w:locked/>
    <w:rsid w:val="006B087E"/>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Landscape">
    <w:name w:val="FooterLandscape"/>
    <w:basedOn w:val="Normal"/>
    <w:locked/>
    <w:rsid w:val="006B087E"/>
    <w:pPr>
      <w:tabs>
        <w:tab w:val="center" w:pos="7285"/>
        <w:tab w:val="center" w:pos="10913"/>
        <w:tab w:val="right" w:pos="15137"/>
      </w:tabs>
      <w:spacing w:before="360" w:after="0"/>
      <w:ind w:left="-567" w:right="-567"/>
    </w:pPr>
  </w:style>
  <w:style w:type="paragraph" w:customStyle="1" w:styleId="FooterSensitivity">
    <w:name w:val="Footer Sensitivity"/>
    <w:basedOn w:val="Normal"/>
    <w:locked/>
    <w:rsid w:val="006B087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HeaderSensitivityRight">
    <w:name w:val="Header Sensitivity Right"/>
    <w:basedOn w:val="Normal"/>
    <w:link w:val="HeaderSensitivityRightChar"/>
    <w:locked/>
    <w:rsid w:val="006B087E"/>
    <w:pPr>
      <w:spacing w:before="0"/>
      <w:jc w:val="right"/>
    </w:pPr>
    <w:rPr>
      <w:sz w:val="28"/>
    </w:rPr>
  </w:style>
  <w:style w:type="character" w:customStyle="1" w:styleId="HeaderSensitivityRightChar">
    <w:name w:val="Header Sensitivity Right Char"/>
    <w:link w:val="HeaderSensitivityRight"/>
    <w:rsid w:val="006B087E"/>
    <w:rPr>
      <w:rFonts w:ascii="Times New Roman" w:hAnsi="Times New Roman" w:cs="Times New Roman"/>
      <w:sz w:val="28"/>
      <w:szCs w:val="24"/>
      <w:lang w:val="en-GB" w:eastAsia="en-US"/>
    </w:rPr>
  </w:style>
  <w:style w:type="character" w:customStyle="1" w:styleId="Heading5Char">
    <w:name w:val="Heading 5 Char"/>
    <w:link w:val="Heading5"/>
    <w:uiPriority w:val="9"/>
    <w:rsid w:val="0053316B"/>
    <w:rPr>
      <w:rFonts w:ascii="Cambria" w:eastAsia="MS Gothic" w:hAnsi="Cambria" w:cs="Times New Roman"/>
      <w:color w:val="365F91"/>
    </w:rPr>
  </w:style>
  <w:style w:type="paragraph" w:styleId="Title">
    <w:name w:val="Title"/>
    <w:basedOn w:val="Normal"/>
    <w:next w:val="Normal"/>
    <w:link w:val="TitleChar"/>
    <w:uiPriority w:val="10"/>
    <w:qFormat/>
    <w:rsid w:val="0053316B"/>
    <w:pPr>
      <w:spacing w:after="0"/>
      <w:contextualSpacing/>
    </w:pPr>
    <w:rPr>
      <w:rFonts w:ascii="Cambria" w:eastAsia="MS Gothic" w:hAnsi="Cambria"/>
      <w:spacing w:val="-10"/>
      <w:kern w:val="28"/>
      <w:sz w:val="56"/>
      <w:szCs w:val="56"/>
    </w:rPr>
  </w:style>
  <w:style w:type="character" w:customStyle="1" w:styleId="TitleChar">
    <w:name w:val="Title Char"/>
    <w:link w:val="Title"/>
    <w:uiPriority w:val="10"/>
    <w:rsid w:val="0053316B"/>
    <w:rPr>
      <w:rFonts w:ascii="Cambria" w:eastAsia="MS Gothic" w:hAnsi="Cambria" w:cs="Times New Roman"/>
      <w:spacing w:val="-10"/>
      <w:kern w:val="28"/>
      <w:sz w:val="56"/>
      <w:szCs w:val="56"/>
    </w:rPr>
  </w:style>
  <w:style w:type="paragraph" w:styleId="NoSpacing">
    <w:name w:val="No Spacing"/>
    <w:uiPriority w:val="1"/>
    <w:qFormat/>
    <w:rsid w:val="00FB0D73"/>
    <w:rPr>
      <w:rFonts w:eastAsia="MS Mincho"/>
      <w:sz w:val="22"/>
      <w:szCs w:val="22"/>
      <w:lang w:val="en-GB" w:eastAsia="en-US"/>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autoRedefine/>
    <w:uiPriority w:val="99"/>
    <w:unhideWhenUsed/>
    <w:qFormat/>
    <w:rsid w:val="00F426C4"/>
    <w:pPr>
      <w:spacing w:before="0" w:after="0"/>
    </w:pPr>
    <w:rPr>
      <w:rFonts w:eastAsia="MS Mincho"/>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link w:val="FootnoteText"/>
    <w:uiPriority w:val="99"/>
    <w:qFormat/>
    <w:rsid w:val="00F426C4"/>
    <w:rPr>
      <w:rFonts w:ascii="Times New Roman" w:eastAsia="MS Mincho" w:hAnsi="Times New Roman" w:cs="Times New Roman"/>
      <w:lang w:val="en-GB" w:eastAsia="en-US"/>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link w:val="CharCharChar1"/>
    <w:uiPriority w:val="99"/>
    <w:unhideWhenUsed/>
    <w:qFormat/>
    <w:rsid w:val="00FB0D73"/>
    <w:rPr>
      <w:rFonts w:ascii="Times New Roman" w:hAnsi="Times New Roman" w:cs="Times New Roman"/>
      <w:sz w:val="24"/>
      <w:szCs w:val="24"/>
      <w:vertAlign w:val="superscript"/>
    </w:rPr>
  </w:style>
  <w:style w:type="paragraph" w:customStyle="1" w:styleId="CharCharChar1">
    <w:name w:val="Char Char Char1"/>
    <w:basedOn w:val="Normal"/>
    <w:link w:val="FootnoteReference"/>
    <w:autoRedefine/>
    <w:uiPriority w:val="99"/>
    <w:locked/>
    <w:rsid w:val="00AE2C75"/>
    <w:pPr>
      <w:spacing w:after="160" w:line="240" w:lineRule="exact"/>
    </w:pPr>
    <w:rPr>
      <w:vertAlign w:val="superscript"/>
    </w:rPr>
  </w:style>
  <w:style w:type="paragraph" w:styleId="ListParagraph">
    <w:name w:val="List Paragraph"/>
    <w:aliases w:val="List Paragraph_Sections,Paragraphe EI,Paragraphe de liste1,EC,List_Paragraph,Multilevel para_II,List Paragraph1,Akapit z listą BS,Bullet1,Main numbered paragraph,Dot pt,F5 List Paragraph,No Spacing1,List Paragraph Char Char Char,Bullet 1"/>
    <w:basedOn w:val="Normal"/>
    <w:link w:val="ListParagraphChar"/>
    <w:uiPriority w:val="34"/>
    <w:qFormat/>
    <w:rsid w:val="00281573"/>
    <w:pPr>
      <w:ind w:left="720"/>
      <w:contextualSpacing/>
    </w:pPr>
  </w:style>
  <w:style w:type="character" w:styleId="CommentReference">
    <w:name w:val="annotation reference"/>
    <w:uiPriority w:val="99"/>
    <w:unhideWhenUsed/>
    <w:rsid w:val="002252CF"/>
    <w:rPr>
      <w:sz w:val="16"/>
      <w:szCs w:val="16"/>
    </w:rPr>
  </w:style>
  <w:style w:type="paragraph" w:styleId="CommentText">
    <w:name w:val="annotation text"/>
    <w:aliases w:val="Text poznámky"/>
    <w:basedOn w:val="Normal"/>
    <w:link w:val="CommentTextChar"/>
    <w:uiPriority w:val="2"/>
    <w:unhideWhenUsed/>
    <w:qFormat/>
    <w:rsid w:val="002252CF"/>
    <w:rPr>
      <w:sz w:val="20"/>
      <w:szCs w:val="20"/>
    </w:rPr>
  </w:style>
  <w:style w:type="character" w:customStyle="1" w:styleId="CommentTextChar">
    <w:name w:val="Comment Text Char"/>
    <w:aliases w:val="Text poznámky Char"/>
    <w:link w:val="CommentText"/>
    <w:uiPriority w:val="2"/>
    <w:qFormat/>
    <w:rsid w:val="002252CF"/>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252CF"/>
    <w:rPr>
      <w:b/>
      <w:bCs/>
    </w:rPr>
  </w:style>
  <w:style w:type="character" w:customStyle="1" w:styleId="CommentSubjectChar">
    <w:name w:val="Comment Subject Char"/>
    <w:link w:val="CommentSubject"/>
    <w:uiPriority w:val="99"/>
    <w:semiHidden/>
    <w:rsid w:val="002252CF"/>
    <w:rPr>
      <w:rFonts w:ascii="Times New Roman" w:hAnsi="Times New Roman" w:cs="Times New Roman"/>
      <w:b/>
      <w:bCs/>
      <w:sz w:val="20"/>
      <w:szCs w:val="20"/>
    </w:rPr>
  </w:style>
  <w:style w:type="paragraph" w:styleId="Revision">
    <w:name w:val="Revision"/>
    <w:hidden/>
    <w:uiPriority w:val="99"/>
    <w:semiHidden/>
    <w:rsid w:val="002252CF"/>
    <w:rPr>
      <w:rFonts w:ascii="Times New Roman" w:hAnsi="Times New Roman" w:cs="Times New Roman"/>
      <w:sz w:val="24"/>
      <w:szCs w:val="24"/>
      <w:lang w:val="en-GB" w:eastAsia="en-US"/>
    </w:rPr>
  </w:style>
  <w:style w:type="character" w:customStyle="1" w:styleId="UnresolvedMention1">
    <w:name w:val="Unresolved Mention1"/>
    <w:uiPriority w:val="99"/>
    <w:semiHidden/>
    <w:unhideWhenUsed/>
    <w:rsid w:val="00303B8A"/>
    <w:rPr>
      <w:color w:val="605E5C"/>
      <w:shd w:val="clear" w:color="auto" w:fill="E1DFDD"/>
    </w:rPr>
  </w:style>
  <w:style w:type="character" w:styleId="FollowedHyperlink">
    <w:name w:val="FollowedHyperlink"/>
    <w:uiPriority w:val="99"/>
    <w:semiHidden/>
    <w:unhideWhenUsed/>
    <w:rsid w:val="002564DE"/>
    <w:rPr>
      <w:color w:val="800080"/>
      <w:u w:val="single"/>
    </w:rPr>
  </w:style>
  <w:style w:type="character" w:customStyle="1" w:styleId="ListParagraphChar">
    <w:name w:val="List Paragraph Char"/>
    <w:aliases w:val="List Paragraph_Sections Char,Paragraphe EI Char,Paragraphe de liste1 Char,EC Char,List_Paragraph Char,Multilevel para_II Char,List Paragraph1 Char,Akapit z listą BS Char,Bullet1 Char,Main numbered paragraph Char,Dot pt Char"/>
    <w:link w:val="ListParagraph"/>
    <w:uiPriority w:val="34"/>
    <w:qFormat/>
    <w:locked/>
    <w:rsid w:val="00995F32"/>
    <w:rPr>
      <w:rFonts w:ascii="Times New Roman" w:hAnsi="Times New Roman" w:cs="Times New Roman"/>
      <w:sz w:val="24"/>
      <w:szCs w:val="24"/>
    </w:rPr>
  </w:style>
  <w:style w:type="table" w:styleId="TableGridLight">
    <w:name w:val="Grid Table Light"/>
    <w:basedOn w:val="TableNormal"/>
    <w:uiPriority w:val="40"/>
    <w:locked/>
    <w:rsid w:val="001A529D"/>
    <w:tblPr/>
  </w:style>
  <w:style w:type="paragraph" w:styleId="TOC3">
    <w:name w:val="toc 3"/>
    <w:basedOn w:val="Normal"/>
    <w:next w:val="Normal"/>
    <w:autoRedefine/>
    <w:uiPriority w:val="39"/>
    <w:unhideWhenUsed/>
    <w:rsid w:val="004128CE"/>
    <w:pPr>
      <w:spacing w:before="0" w:after="0"/>
      <w:ind w:left="480"/>
      <w:jc w:val="left"/>
    </w:pPr>
    <w:rPr>
      <w:rFonts w:asciiTheme="minorHAnsi" w:hAnsiTheme="minorHAnsi" w:cstheme="minorHAnsi"/>
      <w:i/>
      <w:iCs/>
      <w:sz w:val="20"/>
      <w:szCs w:val="20"/>
    </w:rPr>
  </w:style>
  <w:style w:type="paragraph" w:customStyle="1" w:styleId="BodyA">
    <w:name w:val="Body A"/>
    <w:link w:val="BodyAChar"/>
    <w:locked/>
    <w:rsid w:val="00167933"/>
    <w:pPr>
      <w:pBdr>
        <w:top w:val="nil"/>
        <w:left w:val="nil"/>
        <w:bottom w:val="nil"/>
        <w:right w:val="nil"/>
        <w:between w:val="nil"/>
        <w:bar w:val="nil"/>
      </w:pBdr>
      <w:spacing w:before="120" w:after="120"/>
    </w:pPr>
    <w:rPr>
      <w:rFonts w:ascii="Times New Roman" w:eastAsia="Times New Roman" w:hAnsi="Times New Roman" w:cs="Times New Roman"/>
      <w:color w:val="000000"/>
      <w:sz w:val="24"/>
      <w:szCs w:val="24"/>
      <w:u w:color="000000"/>
      <w:bdr w:val="nil"/>
      <w:lang w:val="en-US" w:eastAsia="fr-BE"/>
    </w:rPr>
  </w:style>
  <w:style w:type="character" w:customStyle="1" w:styleId="BodyAChar">
    <w:name w:val="Body A Char"/>
    <w:link w:val="BodyA"/>
    <w:rsid w:val="000719BD"/>
    <w:rPr>
      <w:rFonts w:ascii="Times New Roman" w:eastAsia="Times New Roman" w:hAnsi="Times New Roman" w:cs="Times New Roman"/>
      <w:color w:val="000000"/>
      <w:sz w:val="24"/>
      <w:szCs w:val="24"/>
      <w:u w:color="000000"/>
      <w:bdr w:val="nil"/>
      <w:lang w:val="en-US" w:eastAsia="fr-BE"/>
    </w:rPr>
  </w:style>
  <w:style w:type="character" w:customStyle="1" w:styleId="Heading6Char">
    <w:name w:val="Heading 6 Char"/>
    <w:link w:val="Heading6"/>
    <w:uiPriority w:val="9"/>
    <w:semiHidden/>
    <w:rsid w:val="00C61F01"/>
    <w:rPr>
      <w:rFonts w:ascii="Cambria" w:eastAsia="MS Gothic" w:hAnsi="Cambria" w:cs="Times New Roman"/>
      <w:color w:val="243F60"/>
      <w:sz w:val="24"/>
      <w:szCs w:val="24"/>
    </w:rPr>
  </w:style>
  <w:style w:type="character" w:customStyle="1" w:styleId="Mention1">
    <w:name w:val="Mention1"/>
    <w:uiPriority w:val="99"/>
    <w:unhideWhenUsed/>
    <w:rsid w:val="00C61F01"/>
    <w:rPr>
      <w:color w:val="2B579A"/>
      <w:shd w:val="clear" w:color="auto" w:fill="E1DFDD"/>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uiPriority w:val="99"/>
    <w:locked/>
    <w:rsid w:val="00C61F01"/>
    <w:pPr>
      <w:spacing w:before="60" w:line="240" w:lineRule="exact"/>
      <w:jc w:val="left"/>
    </w:pPr>
    <w:rPr>
      <w:rFonts w:ascii="Calibri" w:hAnsi="Calibri" w:cs="Arial"/>
      <w:sz w:val="22"/>
      <w:szCs w:val="22"/>
      <w:vertAlign w:val="superscript"/>
    </w:rPr>
  </w:style>
  <w:style w:type="character" w:customStyle="1" w:styleId="None">
    <w:name w:val="None"/>
    <w:locked/>
    <w:rsid w:val="00C61F01"/>
  </w:style>
  <w:style w:type="character" w:customStyle="1" w:styleId="Hyperlink0">
    <w:name w:val="Hyperlink.0"/>
    <w:locked/>
    <w:rsid w:val="00C61F01"/>
    <w:rPr>
      <w:color w:val="0000FF"/>
      <w:sz w:val="18"/>
      <w:szCs w:val="18"/>
      <w:u w:val="single" w:color="0000FF"/>
    </w:rPr>
  </w:style>
  <w:style w:type="character" w:customStyle="1" w:styleId="normaltextrun">
    <w:name w:val="normaltextrun"/>
    <w:basedOn w:val="DefaultParagraphFont"/>
    <w:locked/>
    <w:rsid w:val="00C61F01"/>
  </w:style>
  <w:style w:type="paragraph" w:customStyle="1" w:styleId="paragraph">
    <w:name w:val="paragraph"/>
    <w:basedOn w:val="Normal"/>
    <w:locked/>
    <w:rsid w:val="00C61F01"/>
    <w:pPr>
      <w:spacing w:before="100" w:beforeAutospacing="1" w:after="100" w:afterAutospacing="1"/>
      <w:jc w:val="left"/>
    </w:pPr>
    <w:rPr>
      <w:rFonts w:eastAsia="Times New Roman"/>
      <w:lang w:val="en-US"/>
    </w:rPr>
  </w:style>
  <w:style w:type="character" w:customStyle="1" w:styleId="Bodytext2">
    <w:name w:val="Body text|2"/>
    <w:semiHidden/>
    <w:unhideWhenUsed/>
    <w:locked/>
    <w:rsid w:val="00C61F01"/>
    <w:rPr>
      <w:rFonts w:ascii="Times New Roman" w:eastAsia="Times New Roman" w:hAnsi="Times New Roman" w:cs="Times New Roman"/>
      <w:b w:val="0"/>
      <w:bCs w:val="0"/>
      <w:i w:val="0"/>
      <w:iCs w:val="0"/>
      <w:smallCaps w:val="0"/>
      <w:strike w:val="0"/>
      <w:color w:val="28292A"/>
      <w:spacing w:val="0"/>
      <w:w w:val="100"/>
      <w:position w:val="0"/>
      <w:sz w:val="22"/>
      <w:szCs w:val="22"/>
      <w:u w:val="none"/>
      <w:lang w:val="en-US" w:eastAsia="en-US" w:bidi="en-US"/>
    </w:rPr>
  </w:style>
  <w:style w:type="table" w:customStyle="1" w:styleId="GridTable5Dark-Accent11">
    <w:name w:val="Grid Table 5 Dark - Accent 11"/>
    <w:basedOn w:val="TableNormal"/>
    <w:uiPriority w:val="50"/>
    <w:locked/>
    <w:rsid w:val="00C61F01"/>
    <w:tblPr/>
    <w:tblStylePr w:type="firstRow">
      <w:rPr>
        <w:b/>
        <w:bCs/>
        <w:color w:val="FFFFFF"/>
      </w:rPr>
    </w:tblStylePr>
    <w:tblStylePr w:type="lastRow">
      <w:rPr>
        <w:b/>
        <w:bCs/>
        <w:color w:val="FFFFFF"/>
      </w:rPr>
    </w:tblStylePr>
    <w:tblStylePr w:type="firstCol">
      <w:rPr>
        <w:b/>
        <w:bCs/>
        <w:color w:val="FFFFFF"/>
      </w:rPr>
    </w:tblStylePr>
    <w:tblStylePr w:type="lastCol">
      <w:rPr>
        <w:b/>
        <w:bCs/>
        <w:color w:val="FFFFFF"/>
      </w:rPr>
    </w:tblStylePr>
  </w:style>
  <w:style w:type="numbering" w:customStyle="1" w:styleId="NumbLstMain">
    <w:name w:val="NumbLstMain"/>
    <w:uiPriority w:val="99"/>
    <w:locked/>
    <w:rsid w:val="00C61F01"/>
    <w:pPr>
      <w:numPr>
        <w:numId w:val="8"/>
      </w:numPr>
    </w:pPr>
  </w:style>
  <w:style w:type="table" w:customStyle="1" w:styleId="RicardoTable">
    <w:name w:val="Ricardo Table"/>
    <w:basedOn w:val="TableNormal"/>
    <w:uiPriority w:val="99"/>
    <w:unhideWhenUsed/>
    <w:locked/>
    <w:rsid w:val="00C61F01"/>
    <w:pPr>
      <w:spacing w:before="60" w:after="60" w:line="259" w:lineRule="auto"/>
      <w:jc w:val="both"/>
    </w:pPr>
    <w:rPr>
      <w:rFonts w:ascii="Arial" w:eastAsia="MS Mincho" w:hAnsi="Arial"/>
      <w:color w:val="000000"/>
      <w:lang w:eastAsia="en-GB"/>
    </w:rPr>
    <w:tblPr/>
    <w:tblStylePr w:type="firstRow">
      <w:pPr>
        <w:keepNext/>
        <w:wordWrap/>
        <w:jc w:val="left"/>
      </w:pPr>
      <w:rPr>
        <w:rFonts w:ascii="Arial" w:hAnsi="Arial"/>
        <w:b/>
        <w:color w:val="FFFFFF"/>
        <w:sz w:val="20"/>
      </w:rPr>
    </w:tblStylePr>
  </w:style>
  <w:style w:type="paragraph" w:styleId="TOC4">
    <w:name w:val="toc 4"/>
    <w:basedOn w:val="Normal"/>
    <w:next w:val="Normal"/>
    <w:autoRedefine/>
    <w:uiPriority w:val="39"/>
    <w:unhideWhenUsed/>
    <w:rsid w:val="00C61F01"/>
    <w:pPr>
      <w:spacing w:before="0" w:after="0"/>
      <w:ind w:left="720"/>
      <w:jc w:val="left"/>
    </w:pPr>
    <w:rPr>
      <w:rFonts w:asciiTheme="minorHAnsi" w:hAnsiTheme="minorHAnsi" w:cstheme="minorHAnsi"/>
      <w:sz w:val="18"/>
      <w:szCs w:val="18"/>
    </w:rPr>
  </w:style>
  <w:style w:type="paragraph" w:styleId="TOC5">
    <w:name w:val="toc 5"/>
    <w:basedOn w:val="Normal"/>
    <w:next w:val="Normal"/>
    <w:autoRedefine/>
    <w:uiPriority w:val="39"/>
    <w:unhideWhenUsed/>
    <w:rsid w:val="00C61F01"/>
    <w:pPr>
      <w:spacing w:before="0" w:after="0"/>
      <w:ind w:left="960"/>
      <w:jc w:val="left"/>
    </w:pPr>
    <w:rPr>
      <w:rFonts w:asciiTheme="minorHAnsi" w:hAnsiTheme="minorHAnsi" w:cstheme="minorHAnsi"/>
      <w:sz w:val="18"/>
      <w:szCs w:val="18"/>
    </w:rPr>
  </w:style>
  <w:style w:type="paragraph" w:styleId="TOC6">
    <w:name w:val="toc 6"/>
    <w:basedOn w:val="Normal"/>
    <w:next w:val="Normal"/>
    <w:autoRedefine/>
    <w:uiPriority w:val="39"/>
    <w:unhideWhenUsed/>
    <w:rsid w:val="00C61F01"/>
    <w:pPr>
      <w:spacing w:before="0" w:after="0"/>
      <w:ind w:left="1200"/>
      <w:jc w:val="left"/>
    </w:pPr>
    <w:rPr>
      <w:rFonts w:asciiTheme="minorHAnsi" w:hAnsiTheme="minorHAnsi" w:cstheme="minorHAnsi"/>
      <w:sz w:val="18"/>
      <w:szCs w:val="18"/>
    </w:rPr>
  </w:style>
  <w:style w:type="paragraph" w:styleId="TOC7">
    <w:name w:val="toc 7"/>
    <w:basedOn w:val="Normal"/>
    <w:next w:val="Normal"/>
    <w:autoRedefine/>
    <w:uiPriority w:val="39"/>
    <w:unhideWhenUsed/>
    <w:rsid w:val="00C61F01"/>
    <w:pPr>
      <w:spacing w:before="0" w:after="0"/>
      <w:ind w:left="1440"/>
      <w:jc w:val="left"/>
    </w:pPr>
    <w:rPr>
      <w:rFonts w:asciiTheme="minorHAnsi" w:hAnsiTheme="minorHAnsi" w:cstheme="minorHAnsi"/>
      <w:sz w:val="18"/>
      <w:szCs w:val="18"/>
    </w:rPr>
  </w:style>
  <w:style w:type="paragraph" w:styleId="TOC8">
    <w:name w:val="toc 8"/>
    <w:basedOn w:val="Normal"/>
    <w:next w:val="Normal"/>
    <w:autoRedefine/>
    <w:uiPriority w:val="39"/>
    <w:unhideWhenUsed/>
    <w:rsid w:val="00C61F01"/>
    <w:pPr>
      <w:spacing w:before="0" w:after="0"/>
      <w:ind w:left="1680"/>
      <w:jc w:val="left"/>
    </w:pPr>
    <w:rPr>
      <w:rFonts w:asciiTheme="minorHAnsi" w:hAnsiTheme="minorHAnsi" w:cstheme="minorHAnsi"/>
      <w:sz w:val="18"/>
      <w:szCs w:val="18"/>
    </w:rPr>
  </w:style>
  <w:style w:type="paragraph" w:styleId="TOC9">
    <w:name w:val="toc 9"/>
    <w:basedOn w:val="Normal"/>
    <w:next w:val="Normal"/>
    <w:autoRedefine/>
    <w:uiPriority w:val="39"/>
    <w:unhideWhenUsed/>
    <w:rsid w:val="00C61F01"/>
    <w:pPr>
      <w:spacing w:before="0" w:after="0"/>
      <w:ind w:left="1920"/>
      <w:jc w:val="left"/>
    </w:pPr>
    <w:rPr>
      <w:rFonts w:asciiTheme="minorHAnsi" w:hAnsiTheme="minorHAnsi" w:cstheme="minorHAnsi"/>
      <w:sz w:val="18"/>
      <w:szCs w:val="18"/>
    </w:rPr>
  </w:style>
  <w:style w:type="paragraph" w:styleId="Bibliography">
    <w:name w:val="Bibliography"/>
    <w:basedOn w:val="Normal"/>
    <w:next w:val="Normal"/>
    <w:uiPriority w:val="37"/>
    <w:semiHidden/>
    <w:unhideWhenUsed/>
    <w:rsid w:val="00C61F01"/>
  </w:style>
  <w:style w:type="paragraph" w:styleId="BodyText">
    <w:name w:val="Body Text"/>
    <w:basedOn w:val="Normal"/>
    <w:link w:val="BodyTextChar"/>
    <w:uiPriority w:val="2"/>
    <w:unhideWhenUsed/>
    <w:qFormat/>
    <w:rsid w:val="00C61F01"/>
    <w:pPr>
      <w:spacing w:line="276" w:lineRule="auto"/>
    </w:pPr>
    <w:rPr>
      <w:rFonts w:ascii="Arial" w:hAnsi="Arial" w:cs="Arial"/>
      <w:color w:val="000000"/>
      <w:sz w:val="20"/>
      <w:szCs w:val="20"/>
    </w:rPr>
  </w:style>
  <w:style w:type="character" w:customStyle="1" w:styleId="BodyTextChar">
    <w:name w:val="Body Text Char"/>
    <w:link w:val="BodyText"/>
    <w:uiPriority w:val="2"/>
    <w:rsid w:val="00C61F01"/>
    <w:rPr>
      <w:rFonts w:ascii="Arial" w:hAnsi="Arial"/>
      <w:color w:val="000000"/>
      <w:lang w:val="en-GB" w:eastAsia="en-US"/>
    </w:rPr>
  </w:style>
  <w:style w:type="paragraph" w:customStyle="1" w:styleId="TableFigureFootnote">
    <w:name w:val="TableFigure Footnote"/>
    <w:next w:val="Normal"/>
    <w:link w:val="TableFigureFootnoteChar"/>
    <w:uiPriority w:val="1"/>
    <w:qFormat/>
    <w:locked/>
    <w:rsid w:val="00C61F01"/>
    <w:pPr>
      <w:spacing w:before="120" w:after="120" w:line="259" w:lineRule="auto"/>
      <w:jc w:val="both"/>
    </w:pPr>
    <w:rPr>
      <w:rFonts w:ascii="Arial" w:hAnsi="Arial"/>
      <w:i/>
      <w:color w:val="000000"/>
      <w:sz w:val="18"/>
      <w:szCs w:val="22"/>
      <w:lang w:val="en-GB" w:eastAsia="en-US"/>
    </w:rPr>
  </w:style>
  <w:style w:type="character" w:customStyle="1" w:styleId="TableFigureFootnoteChar">
    <w:name w:val="TableFigure Footnote Char"/>
    <w:link w:val="TableFigureFootnote"/>
    <w:uiPriority w:val="1"/>
    <w:rsid w:val="00C61F01"/>
    <w:rPr>
      <w:rFonts w:ascii="Arial" w:hAnsi="Arial" w:cs="Arial"/>
      <w:i/>
      <w:color w:val="000000"/>
      <w:sz w:val="18"/>
    </w:rPr>
  </w:style>
  <w:style w:type="paragraph" w:styleId="Caption">
    <w:name w:val="caption"/>
    <w:aliases w:val="Tasks,Beschriftung Char2,Beschriftung Char1 Char1,Beschriftung Char Char Char1,Beschriftung Char1 Char Char,Beschriftung Char Char Char Char,Beschriftung Char Char1 Char,Beschriftung Char Char2,Beschriftung Char1 Cha...,Caption Char,Table legend"/>
    <w:basedOn w:val="Normal"/>
    <w:next w:val="BodyText"/>
    <w:link w:val="CaptionChar1"/>
    <w:uiPriority w:val="35"/>
    <w:qFormat/>
    <w:rsid w:val="00C61F01"/>
    <w:pPr>
      <w:keepNext/>
      <w:keepLines/>
      <w:pBdr>
        <w:top w:val="single" w:sz="4" w:space="3" w:color="EEECE1"/>
        <w:bottom w:val="single" w:sz="4" w:space="3" w:color="EEECE1"/>
      </w:pBdr>
      <w:spacing w:before="60"/>
    </w:pPr>
    <w:rPr>
      <w:rFonts w:ascii="Cambria" w:eastAsia="MS Mincho" w:hAnsi="Cambria" w:cs="Arial"/>
      <w:bCs/>
      <w:color w:val="1A4596"/>
      <w:sz w:val="20"/>
      <w:szCs w:val="20"/>
      <w:lang w:eastAsia="en-GB"/>
    </w:rPr>
  </w:style>
  <w:style w:type="character" w:customStyle="1" w:styleId="CaptionChar1">
    <w:name w:val="Caption Char1"/>
    <w:aliases w:val="Tasks Char,Beschriftung Char2 Char,Beschriftung Char1 Char1 Char,Beschriftung Char Char Char1 Char,Beschriftung Char1 Char Char Char,Beschriftung Char Char Char Char Char,Beschriftung Char Char1 Char Char,Beschriftung Char Char2 Char"/>
    <w:link w:val="Caption"/>
    <w:uiPriority w:val="35"/>
    <w:qFormat/>
    <w:locked/>
    <w:rsid w:val="00C61F01"/>
    <w:rPr>
      <w:rFonts w:ascii="Cambria" w:eastAsia="MS Mincho" w:hAnsi="Cambria" w:cs="Arial"/>
      <w:bCs/>
      <w:color w:val="1A4596"/>
      <w:sz w:val="20"/>
      <w:szCs w:val="20"/>
      <w:lang w:eastAsia="en-GB"/>
    </w:rPr>
  </w:style>
  <w:style w:type="character" w:customStyle="1" w:styleId="CommentTextChar1">
    <w:name w:val="Comment Text Char1"/>
    <w:aliases w:val="Text poznámky Char1"/>
    <w:uiPriority w:val="99"/>
    <w:locked/>
    <w:rsid w:val="00C61F01"/>
    <w:rPr>
      <w:sz w:val="20"/>
      <w:szCs w:val="20"/>
      <w:lang w:val="en-GB"/>
    </w:rPr>
  </w:style>
  <w:style w:type="paragraph" w:styleId="EndnoteText">
    <w:name w:val="endnote text"/>
    <w:basedOn w:val="Normal"/>
    <w:link w:val="EndnoteTextChar"/>
    <w:uiPriority w:val="99"/>
    <w:semiHidden/>
    <w:unhideWhenUsed/>
    <w:rsid w:val="00C61F01"/>
    <w:pPr>
      <w:spacing w:after="0"/>
    </w:pPr>
    <w:rPr>
      <w:sz w:val="20"/>
      <w:szCs w:val="20"/>
    </w:rPr>
  </w:style>
  <w:style w:type="character" w:customStyle="1" w:styleId="EndnoteTextChar">
    <w:name w:val="Endnote Text Char"/>
    <w:link w:val="EndnoteText"/>
    <w:uiPriority w:val="99"/>
    <w:semiHidden/>
    <w:rsid w:val="00C61F01"/>
    <w:rPr>
      <w:rFonts w:ascii="Times New Roman" w:hAnsi="Times New Roman" w:cs="Times New Roman"/>
      <w:sz w:val="20"/>
      <w:szCs w:val="20"/>
    </w:rPr>
  </w:style>
  <w:style w:type="character" w:styleId="EndnoteReference">
    <w:name w:val="endnote reference"/>
    <w:uiPriority w:val="99"/>
    <w:semiHidden/>
    <w:unhideWhenUsed/>
    <w:rsid w:val="00C61F01"/>
    <w:rPr>
      <w:vertAlign w:val="superscript"/>
    </w:rPr>
  </w:style>
  <w:style w:type="paragraph" w:styleId="NormalWeb">
    <w:name w:val="Normal (Web)"/>
    <w:basedOn w:val="Normal"/>
    <w:uiPriority w:val="99"/>
    <w:unhideWhenUsed/>
    <w:rsid w:val="00C61F01"/>
    <w:pPr>
      <w:spacing w:before="60" w:after="60" w:line="276" w:lineRule="auto"/>
      <w:jc w:val="left"/>
    </w:pPr>
    <w:rPr>
      <w:rFonts w:eastAsia="Times New Roman"/>
      <w:lang w:val="en-US"/>
    </w:rPr>
  </w:style>
  <w:style w:type="character" w:customStyle="1" w:styleId="eop">
    <w:name w:val="eop"/>
    <w:basedOn w:val="DefaultParagraphFont"/>
    <w:locked/>
    <w:rsid w:val="00C61F01"/>
  </w:style>
  <w:style w:type="numbering" w:customStyle="1" w:styleId="adeListeNumeinfach">
    <w:name w:val="ade_Liste_Num_einfach"/>
    <w:basedOn w:val="NoList"/>
    <w:uiPriority w:val="99"/>
    <w:locked/>
    <w:rsid w:val="00C61F01"/>
    <w:pPr>
      <w:numPr>
        <w:numId w:val="9"/>
      </w:numPr>
    </w:pPr>
  </w:style>
  <w:style w:type="character" w:customStyle="1" w:styleId="Heading7Char">
    <w:name w:val="Heading 7 Char"/>
    <w:link w:val="Heading7"/>
    <w:uiPriority w:val="9"/>
    <w:semiHidden/>
    <w:rsid w:val="00646368"/>
    <w:rPr>
      <w:rFonts w:ascii="Cambria" w:eastAsia="MS Gothic" w:hAnsi="Cambria" w:cs="Times New Roman"/>
      <w:i/>
      <w:iCs/>
      <w:color w:val="243F60"/>
      <w:sz w:val="24"/>
      <w:szCs w:val="24"/>
    </w:rPr>
  </w:style>
  <w:style w:type="character" w:customStyle="1" w:styleId="Heading8Char">
    <w:name w:val="Heading 8 Char"/>
    <w:link w:val="Heading8"/>
    <w:uiPriority w:val="9"/>
    <w:semiHidden/>
    <w:rsid w:val="00646368"/>
    <w:rPr>
      <w:rFonts w:ascii="Cambria" w:eastAsia="MS Gothic" w:hAnsi="Cambria" w:cs="Times New Roman"/>
      <w:color w:val="272727"/>
      <w:sz w:val="21"/>
      <w:szCs w:val="21"/>
    </w:rPr>
  </w:style>
  <w:style w:type="character" w:customStyle="1" w:styleId="Heading9Char">
    <w:name w:val="Heading 9 Char"/>
    <w:link w:val="Heading9"/>
    <w:uiPriority w:val="9"/>
    <w:semiHidden/>
    <w:rsid w:val="00646368"/>
    <w:rPr>
      <w:rFonts w:ascii="Cambria" w:eastAsia="MS Gothic" w:hAnsi="Cambria" w:cs="Times New Roman"/>
      <w:i/>
      <w:iCs/>
      <w:color w:val="272727"/>
      <w:sz w:val="21"/>
      <w:szCs w:val="21"/>
    </w:rPr>
  </w:style>
  <w:style w:type="numbering" w:styleId="ArticleSection">
    <w:name w:val="Outline List 3"/>
    <w:basedOn w:val="NoList"/>
    <w:semiHidden/>
    <w:unhideWhenUsed/>
    <w:locked/>
    <w:rsid w:val="00FA760D"/>
    <w:pPr>
      <w:numPr>
        <w:numId w:val="10"/>
      </w:numPr>
    </w:pPr>
  </w:style>
  <w:style w:type="table" w:styleId="PlainTable1">
    <w:name w:val="Plain Table 1"/>
    <w:basedOn w:val="TableNormal"/>
    <w:uiPriority w:val="41"/>
    <w:locked/>
    <w:rsid w:val="00D9698D"/>
    <w:tblPr/>
    <w:tblStylePr w:type="firstRow">
      <w:rPr>
        <w:b/>
        <w:bCs/>
      </w:rPr>
    </w:tblStylePr>
    <w:tblStylePr w:type="lastRow">
      <w:rPr>
        <w:b/>
        <w:bCs/>
      </w:rPr>
    </w:tblStylePr>
    <w:tblStylePr w:type="firstCol">
      <w:rPr>
        <w:b/>
        <w:bCs/>
      </w:rPr>
    </w:tblStylePr>
    <w:tblStylePr w:type="lastCol">
      <w:rPr>
        <w:b/>
        <w:bCs/>
      </w:rPr>
    </w:tblStylePr>
  </w:style>
  <w:style w:type="table" w:customStyle="1" w:styleId="PlainTable21">
    <w:name w:val="Plain Table 21"/>
    <w:basedOn w:val="TableNormal"/>
    <w:next w:val="PlainTable2"/>
    <w:uiPriority w:val="42"/>
    <w:rsid w:val="00225F2B"/>
    <w:rPr>
      <w:kern w:val="2"/>
    </w:rPr>
    <w:tblPr/>
    <w:tblStylePr w:type="firstRow">
      <w:rPr>
        <w:b/>
        <w:bCs/>
      </w:rPr>
    </w:tblStylePr>
    <w:tblStylePr w:type="lastRow">
      <w:rPr>
        <w:b/>
        <w:bCs/>
      </w:rPr>
    </w:tblStylePr>
    <w:tblStylePr w:type="firstCol">
      <w:rPr>
        <w:b/>
        <w:bCs/>
      </w:rPr>
    </w:tblStylePr>
    <w:tblStylePr w:type="lastCol">
      <w:rPr>
        <w:b/>
        <w:bCs/>
      </w:rPr>
    </w:tblStylePr>
  </w:style>
  <w:style w:type="table" w:styleId="GridTable2">
    <w:name w:val="Grid Table 2"/>
    <w:basedOn w:val="TableNormal"/>
    <w:uiPriority w:val="47"/>
    <w:locked/>
    <w:rsid w:val="00B362D2"/>
    <w:tblPr/>
    <w:tblStylePr w:type="firstRow">
      <w:rPr>
        <w:b/>
        <w:bCs/>
      </w:rPr>
    </w:tblStylePr>
    <w:tblStylePr w:type="lastRow">
      <w:rPr>
        <w:b/>
        <w:bCs/>
      </w:rPr>
    </w:tblStylePr>
    <w:tblStylePr w:type="firstCol">
      <w:rPr>
        <w:b/>
        <w:bCs/>
      </w:rPr>
    </w:tblStylePr>
    <w:tblStylePr w:type="lastCol">
      <w:rPr>
        <w:b/>
        <w:bCs/>
      </w:rPr>
    </w:tblStylePr>
  </w:style>
  <w:style w:type="table" w:styleId="GridTable1Light">
    <w:name w:val="Grid Table 1 Light"/>
    <w:basedOn w:val="TableNormal"/>
    <w:uiPriority w:val="46"/>
    <w:locked/>
    <w:rsid w:val="00B362D2"/>
    <w:tblPr/>
    <w:tblStylePr w:type="firstRow">
      <w:rPr>
        <w:b/>
        <w:bCs/>
      </w:rPr>
    </w:tblStylePr>
    <w:tblStylePr w:type="lastRow">
      <w:rPr>
        <w:b/>
        <w:bCs/>
      </w:rPr>
    </w:tblStylePr>
    <w:tblStylePr w:type="firstCol">
      <w:rPr>
        <w:b/>
        <w:bCs/>
      </w:rPr>
    </w:tblStylePr>
    <w:tblStylePr w:type="lastCol">
      <w:rPr>
        <w:b/>
        <w:bCs/>
      </w:rPr>
    </w:tblStylePr>
  </w:style>
  <w:style w:type="paragraph" w:customStyle="1" w:styleId="Heading5COM">
    <w:name w:val="Heading 5_COM"/>
    <w:basedOn w:val="Normal"/>
    <w:link w:val="Heading5COMChar"/>
    <w:autoRedefine/>
    <w:qFormat/>
    <w:locked/>
    <w:rsid w:val="00D92ECF"/>
    <w:pPr>
      <w:keepNext/>
      <w:tabs>
        <w:tab w:val="left" w:pos="1080"/>
      </w:tabs>
      <w:spacing w:before="240"/>
      <w:ind w:left="2232" w:hanging="792"/>
      <w:outlineLvl w:val="0"/>
    </w:pPr>
    <w:rPr>
      <w:rFonts w:eastAsia="MS Gothic"/>
      <w:bCs/>
    </w:rPr>
  </w:style>
  <w:style w:type="character" w:customStyle="1" w:styleId="Heading5COMChar">
    <w:name w:val="Heading 5_COM Char"/>
    <w:link w:val="Heading5COM"/>
    <w:rsid w:val="00012BC1"/>
    <w:rPr>
      <w:rFonts w:ascii="Times New Roman" w:eastAsia="MS Gothic" w:hAnsi="Times New Roman" w:cs="Times New Roman"/>
      <w:bCs/>
      <w:sz w:val="24"/>
      <w:szCs w:val="24"/>
      <w:lang w:val="en-GB" w:eastAsia="en-US"/>
    </w:rPr>
  </w:style>
  <w:style w:type="table" w:styleId="GridTable3">
    <w:name w:val="Grid Table 3"/>
    <w:basedOn w:val="TableNormal"/>
    <w:uiPriority w:val="48"/>
    <w:locked/>
    <w:rsid w:val="00E6221A"/>
    <w:tblPr/>
    <w:tblStylePr w:type="firstRow">
      <w:rPr>
        <w:b/>
        <w:bCs/>
      </w:rPr>
    </w:tblStylePr>
    <w:tblStylePr w:type="lastRow">
      <w:rPr>
        <w:b/>
        <w:bCs/>
      </w:rPr>
    </w:tblStylePr>
    <w:tblStylePr w:type="firstCol">
      <w:pPr>
        <w:jc w:val="right"/>
      </w:pPr>
      <w:rPr>
        <w:i/>
        <w:iCs/>
      </w:rPr>
    </w:tblStylePr>
    <w:tblStylePr w:type="lastCol">
      <w:rPr>
        <w:i/>
        <w:iCs/>
      </w:rPr>
    </w:tblStylePr>
  </w:style>
  <w:style w:type="paragraph" w:customStyle="1" w:styleId="Languesfaisantfoi">
    <w:name w:val="Langues faisant foi"/>
    <w:basedOn w:val="Normal"/>
    <w:next w:val="Normal"/>
    <w:rsid w:val="004B773C"/>
    <w:pPr>
      <w:spacing w:before="360"/>
      <w:jc w:val="center"/>
    </w:pPr>
    <w:rPr>
      <w:szCs w:val="22"/>
    </w:rPr>
  </w:style>
  <w:style w:type="table" w:styleId="ListTable3-Accent1">
    <w:name w:val="List Table 3 Accent 1"/>
    <w:basedOn w:val="TableNormal"/>
    <w:uiPriority w:val="48"/>
    <w:locked/>
    <w:tblPr/>
    <w:tblStylePr w:type="firstRow">
      <w:rPr>
        <w:b/>
        <w:bCs/>
        <w:color w:val="FFFFFF"/>
      </w:rPr>
    </w:tblStylePr>
    <w:tblStylePr w:type="lastRow">
      <w:rPr>
        <w:b/>
        <w:bCs/>
      </w:rPr>
    </w:tblStylePr>
    <w:tblStylePr w:type="firstCol">
      <w:rPr>
        <w:b/>
        <w:bCs/>
      </w:rPr>
    </w:tblStylePr>
    <w:tblStylePr w:type="lastCol">
      <w:rPr>
        <w:b/>
        <w:bCs/>
      </w:rPr>
    </w:tblStylePr>
  </w:style>
  <w:style w:type="table" w:styleId="ListTable4-Accent1">
    <w:name w:val="List Table 4 Accent 1"/>
    <w:basedOn w:val="TableNormal"/>
    <w:uiPriority w:val="49"/>
    <w:locked/>
    <w:rsid w:val="000F6068"/>
    <w:tblPr/>
    <w:tblStylePr w:type="firstRow">
      <w:rPr>
        <w:b/>
        <w:bCs/>
        <w:color w:val="FFFFFF"/>
      </w:rPr>
    </w:tblStylePr>
    <w:tblStylePr w:type="lastRow">
      <w:rPr>
        <w:b/>
        <w:bCs/>
      </w:rPr>
    </w:tblStylePr>
    <w:tblStylePr w:type="firstCol">
      <w:rPr>
        <w:b/>
        <w:bCs/>
      </w:rPr>
    </w:tblStylePr>
    <w:tblStylePr w:type="lastCol">
      <w:rPr>
        <w:b/>
        <w:bCs/>
      </w:rPr>
    </w:tblStylePr>
  </w:style>
  <w:style w:type="table" w:styleId="GridTable4-Accent1">
    <w:name w:val="Grid Table 4 Accent 1"/>
    <w:basedOn w:val="TableNormal"/>
    <w:uiPriority w:val="49"/>
    <w:locked/>
    <w:rsid w:val="007B4849"/>
    <w:tblPr/>
    <w:tblStylePr w:type="firstRow">
      <w:rPr>
        <w:b/>
        <w:bCs/>
        <w:color w:val="FFFFFF"/>
      </w:rPr>
    </w:tblStylePr>
    <w:tblStylePr w:type="lastRow">
      <w:rPr>
        <w:b/>
        <w:bCs/>
      </w:rPr>
    </w:tblStylePr>
    <w:tblStylePr w:type="firstCol">
      <w:rPr>
        <w:b/>
        <w:bCs/>
      </w:rPr>
    </w:tblStylePr>
    <w:tblStylePr w:type="lastCol">
      <w:rPr>
        <w:b/>
        <w:bCs/>
      </w:rPr>
    </w:tblStylePr>
  </w:style>
  <w:style w:type="table" w:styleId="GridTable5Dark-Accent1">
    <w:name w:val="Grid Table 5 Dark Accent 1"/>
    <w:basedOn w:val="TableNormal"/>
    <w:uiPriority w:val="50"/>
    <w:locked/>
    <w:rsid w:val="00E84E6B"/>
    <w:tblPr/>
    <w:tblStylePr w:type="firstRow">
      <w:rPr>
        <w:b/>
        <w:bCs/>
        <w:color w:val="FFFFFF"/>
      </w:rPr>
    </w:tblStylePr>
    <w:tblStylePr w:type="lastRow">
      <w:rPr>
        <w:b/>
        <w:bCs/>
        <w:color w:val="FFFFFF"/>
      </w:rPr>
    </w:tblStylePr>
    <w:tblStylePr w:type="firstCol">
      <w:rPr>
        <w:b/>
        <w:bCs/>
        <w:color w:val="FFFFFF"/>
      </w:rPr>
    </w:tblStylePr>
    <w:tblStylePr w:type="lastCol">
      <w:rPr>
        <w:b/>
        <w:bCs/>
        <w:color w:val="FFFFFF"/>
      </w:rPr>
    </w:tblStylePr>
  </w:style>
  <w:style w:type="table" w:styleId="PlainTable5">
    <w:name w:val="Plain Table 5"/>
    <w:basedOn w:val="TableNormal"/>
    <w:uiPriority w:val="45"/>
    <w:locked/>
    <w:rsid w:val="00E84E6B"/>
    <w:tblPr/>
    <w:tblStylePr w:type="firstRow">
      <w:rPr>
        <w:rFonts w:ascii="Times New Roman Bold" w:eastAsia="MS Gothic" w:hAnsi="Times New Roman Bold" w:cs="Times New Roman"/>
        <w:i/>
        <w:iCs/>
        <w:sz w:val="26"/>
      </w:rPr>
    </w:tblStylePr>
    <w:tblStylePr w:type="lastRow">
      <w:rPr>
        <w:rFonts w:ascii="Times New Roman Bold" w:eastAsia="MS Gothic" w:hAnsi="Times New Roman Bold" w:cs="Times New Roman"/>
        <w:i/>
        <w:iCs/>
        <w:sz w:val="26"/>
      </w:rPr>
    </w:tblStylePr>
    <w:tblStylePr w:type="firstCol">
      <w:pPr>
        <w:jc w:val="right"/>
      </w:pPr>
      <w:rPr>
        <w:rFonts w:ascii="Times New Roman Bold" w:eastAsia="MS Gothic" w:hAnsi="Times New Roman Bold" w:cs="Times New Roman"/>
        <w:i/>
        <w:iCs/>
        <w:sz w:val="26"/>
      </w:rPr>
    </w:tblStylePr>
    <w:tblStylePr w:type="lastCol">
      <w:rPr>
        <w:rFonts w:ascii="Times New Roman Bold" w:eastAsia="MS Gothic" w:hAnsi="Times New Roman Bold" w:cs="Times New Roman"/>
        <w:i/>
        <w:iCs/>
        <w:sz w:val="26"/>
      </w:rPr>
    </w:tblStylePr>
  </w:style>
  <w:style w:type="table" w:styleId="GridTable1Light-Accent1">
    <w:name w:val="Grid Table 1 Light Accent 1"/>
    <w:basedOn w:val="TableNormal"/>
    <w:uiPriority w:val="46"/>
    <w:locked/>
    <w:rsid w:val="00CE7331"/>
    <w:tblPr/>
    <w:tblStylePr w:type="firstRow">
      <w:rPr>
        <w:b/>
        <w:bCs/>
      </w:rPr>
    </w:tblStylePr>
    <w:tblStylePr w:type="lastRow">
      <w:rPr>
        <w:b/>
        <w:bCs/>
      </w:rPr>
    </w:tblStylePr>
    <w:tblStylePr w:type="firstCol">
      <w:rPr>
        <w:b/>
        <w:bCs/>
      </w:rPr>
    </w:tblStylePr>
    <w:tblStylePr w:type="lastCol">
      <w:rPr>
        <w:b/>
        <w:bCs/>
      </w:rPr>
    </w:tblStylePr>
  </w:style>
  <w:style w:type="table" w:styleId="GridTable6Colorful-Accent1">
    <w:name w:val="Grid Table 6 Colorful Accent 1"/>
    <w:basedOn w:val="TableNormal"/>
    <w:uiPriority w:val="51"/>
    <w:locked/>
    <w:rsid w:val="00E84E6B"/>
    <w:rPr>
      <w:color w:val="365F91"/>
    </w:rPr>
    <w:tblPr/>
    <w:tblStylePr w:type="firstRow">
      <w:rPr>
        <w:b/>
        <w:bCs/>
      </w:rPr>
    </w:tblStylePr>
    <w:tblStylePr w:type="lastRow">
      <w:rPr>
        <w:b/>
        <w:bCs/>
      </w:rPr>
    </w:tblStylePr>
    <w:tblStylePr w:type="firstCol">
      <w:rPr>
        <w:b/>
        <w:bCs/>
      </w:rPr>
    </w:tblStylePr>
    <w:tblStylePr w:type="lastCol">
      <w:rPr>
        <w:b/>
        <w:bCs/>
      </w:rPr>
    </w:tblStylePr>
  </w:style>
  <w:style w:type="table" w:styleId="PlainTable2">
    <w:name w:val="Plain Table 2"/>
    <w:basedOn w:val="TableNormal"/>
    <w:uiPriority w:val="42"/>
    <w:locked/>
    <w:rsid w:val="00225F2B"/>
    <w:tblPr/>
    <w:tblStylePr w:type="firstRow">
      <w:rPr>
        <w:b/>
        <w:bCs/>
      </w:rPr>
    </w:tblStylePr>
    <w:tblStylePr w:type="lastRow">
      <w:rPr>
        <w:b/>
        <w:bCs/>
      </w:rPr>
    </w:tblStylePr>
    <w:tblStylePr w:type="firstCol">
      <w:rPr>
        <w:b/>
        <w:bCs/>
      </w:rPr>
    </w:tblStylePr>
    <w:tblStylePr w:type="lastCol">
      <w:rPr>
        <w:b/>
        <w:bCs/>
      </w:rPr>
    </w:tblStylePr>
  </w:style>
  <w:style w:type="table" w:styleId="GridTable4-Accent5">
    <w:name w:val="Grid Table 4 Accent 5"/>
    <w:basedOn w:val="TableNormal"/>
    <w:uiPriority w:val="49"/>
    <w:locked/>
    <w:rsid w:val="00225F2B"/>
    <w:tblPr/>
    <w:tblStylePr w:type="firstRow">
      <w:rPr>
        <w:b/>
        <w:bCs/>
        <w:color w:val="FFFFFF"/>
      </w:rPr>
    </w:tblStylePr>
    <w:tblStylePr w:type="lastRow">
      <w:rPr>
        <w:b/>
        <w:bCs/>
      </w:rPr>
    </w:tblStylePr>
    <w:tblStylePr w:type="firstCol">
      <w:rPr>
        <w:b/>
        <w:bCs/>
      </w:rPr>
    </w:tblStylePr>
    <w:tblStylePr w:type="lastCol">
      <w:rPr>
        <w:b/>
        <w:bCs/>
      </w:rPr>
    </w:tblStylePr>
  </w:style>
  <w:style w:type="table" w:styleId="GridTable5Dark-Accent5">
    <w:name w:val="Grid Table 5 Dark Accent 5"/>
    <w:basedOn w:val="TableNormal"/>
    <w:uiPriority w:val="50"/>
    <w:locked/>
    <w:rsid w:val="00225F2B"/>
    <w:tblPr/>
    <w:tblStylePr w:type="firstRow">
      <w:rPr>
        <w:b/>
        <w:bCs/>
        <w:color w:val="FFFFFF"/>
      </w:rPr>
    </w:tblStylePr>
    <w:tblStylePr w:type="lastRow">
      <w:rPr>
        <w:b/>
        <w:bCs/>
        <w:color w:val="FFFFFF"/>
      </w:rPr>
    </w:tblStylePr>
    <w:tblStylePr w:type="firstCol">
      <w:rPr>
        <w:b/>
        <w:bCs/>
        <w:color w:val="FFFFFF"/>
      </w:rPr>
    </w:tblStylePr>
    <w:tblStylePr w:type="lastCol">
      <w:rPr>
        <w:b/>
        <w:bCs/>
        <w:color w:val="FFFFFF"/>
      </w:rPr>
    </w:tblStylePr>
  </w:style>
  <w:style w:type="table" w:styleId="ListTable4-Accent5">
    <w:name w:val="List Table 4 Accent 5"/>
    <w:basedOn w:val="TableNormal"/>
    <w:uiPriority w:val="49"/>
    <w:locked/>
    <w:rsid w:val="00FC6D5B"/>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styleId="GridTable1Light-Accent5">
    <w:name w:val="Grid Table 1 Light Accent 5"/>
    <w:basedOn w:val="TableNormal"/>
    <w:uiPriority w:val="46"/>
    <w:locked/>
    <w:rsid w:val="00FC6D5B"/>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qFormat/>
    <w:rsid w:val="003C1993"/>
    <w:pPr>
      <w:spacing w:after="160" w:line="240" w:lineRule="exact"/>
    </w:pPr>
    <w:rPr>
      <w:rFonts w:ascii="Calibri" w:hAnsi="Calibri" w:cs="Arial"/>
      <w:kern w:val="2"/>
      <w:sz w:val="22"/>
      <w:szCs w:val="22"/>
      <w:vertAlign w:val="superscript"/>
      <w:lang w:val="en-IE"/>
    </w:rPr>
  </w:style>
  <w:style w:type="table" w:customStyle="1" w:styleId="simpletable1">
    <w:name w:val="simple table1"/>
    <w:basedOn w:val="TableNormal"/>
    <w:next w:val="TableGrid"/>
    <w:uiPriority w:val="39"/>
    <w:rsid w:val="00AD08D2"/>
    <w:pPr>
      <w:jc w:val="both"/>
    </w:pPr>
    <w:rPr>
      <w:rFonts w:ascii="Arial" w:hAnsi="Arial"/>
      <w:color w:val="242828"/>
    </w:rPr>
    <w:tblPr/>
  </w:style>
  <w:style w:type="table" w:customStyle="1" w:styleId="RicardoTable1">
    <w:name w:val="Ricardo Table1"/>
    <w:basedOn w:val="TableNormal"/>
    <w:uiPriority w:val="99"/>
    <w:unhideWhenUsed/>
    <w:rsid w:val="00057910"/>
    <w:pPr>
      <w:spacing w:before="60" w:after="60" w:line="259" w:lineRule="auto"/>
      <w:jc w:val="both"/>
    </w:pPr>
    <w:rPr>
      <w:rFonts w:ascii="Arial" w:eastAsia="MS PGothic" w:hAnsi="Arial"/>
      <w:color w:val="242828"/>
      <w:lang w:val="en-GB" w:eastAsia="en-GB"/>
    </w:rPr>
    <w:tblPr>
      <w:tblBorders>
        <w:bottom w:val="single" w:sz="4" w:space="0" w:color="1A4596"/>
        <w:insideH w:val="single" w:sz="4" w:space="0" w:color="1A4596"/>
        <w:insideV w:val="single" w:sz="4" w:space="0" w:color="1A4596"/>
      </w:tblBorders>
    </w:tblPr>
    <w:tcPr>
      <w:vAlign w:val="center"/>
    </w:tcPr>
    <w:tblStylePr w:type="firstRow">
      <w:pPr>
        <w:keepNext/>
        <w:wordWrap/>
        <w:jc w:val="left"/>
      </w:pPr>
      <w:rPr>
        <w:rFonts w:ascii="Arial" w:hAnsi="Arial"/>
        <w:b/>
        <w:color w:val="FFFFFF"/>
        <w:sz w:val="20"/>
      </w:rPr>
      <w:tblPr/>
      <w:trPr>
        <w:tblHeader/>
      </w:trPr>
      <w:tcPr>
        <w:tcBorders>
          <w:insideH w:val="outset" w:sz="6" w:space="0" w:color="FFFFFF"/>
          <w:insideV w:val="outset" w:sz="6" w:space="0" w:color="FFFFFF"/>
        </w:tcBorders>
        <w:shd w:val="clear" w:color="auto" w:fill="1A4596"/>
      </w:tcPr>
    </w:tblStylePr>
  </w:style>
  <w:style w:type="table" w:customStyle="1" w:styleId="RicardoTable2">
    <w:name w:val="Ricardo Table2"/>
    <w:basedOn w:val="TableNormal"/>
    <w:uiPriority w:val="99"/>
    <w:unhideWhenUsed/>
    <w:rsid w:val="00433915"/>
    <w:pPr>
      <w:spacing w:before="60" w:after="60" w:line="259" w:lineRule="auto"/>
      <w:jc w:val="both"/>
    </w:pPr>
    <w:rPr>
      <w:rFonts w:ascii="Arial" w:eastAsia="MS PGothic" w:hAnsi="Arial"/>
      <w:color w:val="242828"/>
      <w:lang w:val="en-GB" w:eastAsia="en-GB"/>
    </w:rPr>
    <w:tblPr>
      <w:tblBorders>
        <w:bottom w:val="single" w:sz="4" w:space="0" w:color="1A4596"/>
        <w:insideH w:val="single" w:sz="4" w:space="0" w:color="1A4596"/>
        <w:insideV w:val="single" w:sz="4" w:space="0" w:color="1A4596"/>
      </w:tblBorders>
    </w:tblPr>
    <w:tcPr>
      <w:vAlign w:val="center"/>
    </w:tcPr>
    <w:tblStylePr w:type="firstRow">
      <w:pPr>
        <w:keepNext/>
        <w:wordWrap/>
        <w:jc w:val="left"/>
      </w:pPr>
      <w:rPr>
        <w:rFonts w:ascii="Arial" w:hAnsi="Arial"/>
        <w:b/>
        <w:color w:val="FFFFFF"/>
        <w:sz w:val="20"/>
      </w:rPr>
      <w:tblPr/>
      <w:trPr>
        <w:tblHeader/>
      </w:trPr>
      <w:tcPr>
        <w:tcBorders>
          <w:insideH w:val="outset" w:sz="6" w:space="0" w:color="FFFFFF"/>
          <w:insideV w:val="outset" w:sz="6" w:space="0" w:color="FFFFFF"/>
        </w:tcBorders>
        <w:shd w:val="clear" w:color="auto" w:fill="1A4596"/>
      </w:tcPr>
    </w:tblStylePr>
  </w:style>
  <w:style w:type="paragraph" w:customStyle="1" w:styleId="SecondaryColourPalette3">
    <w:name w:val="Secondary Colour Palette 3"/>
    <w:basedOn w:val="Normal"/>
    <w:next w:val="Normal"/>
    <w:link w:val="SecondaryColourPalette3Char"/>
    <w:uiPriority w:val="2"/>
    <w:unhideWhenUsed/>
    <w:rsid w:val="00975B74"/>
    <w:rPr>
      <w:rFonts w:ascii="Arial" w:eastAsiaTheme="minorHAnsi" w:hAnsi="Arial" w:cs="Arial"/>
      <w:color w:val="FECC16"/>
      <w:sz w:val="20"/>
      <w:szCs w:val="20"/>
    </w:rPr>
  </w:style>
  <w:style w:type="character" w:customStyle="1" w:styleId="SecondaryColourPalette3Char">
    <w:name w:val="Secondary Colour Palette 3 Char"/>
    <w:basedOn w:val="DefaultParagraphFont"/>
    <w:link w:val="SecondaryColourPalette3"/>
    <w:uiPriority w:val="2"/>
    <w:rsid w:val="00975B74"/>
    <w:rPr>
      <w:rFonts w:ascii="Arial" w:eastAsiaTheme="minorHAnsi" w:hAnsi="Arial"/>
      <w:color w:val="FECC16"/>
      <w:lang w:val="en-GB" w:eastAsia="en-US"/>
    </w:rPr>
  </w:style>
  <w:style w:type="paragraph" w:customStyle="1" w:styleId="Tabletitle">
    <w:name w:val="Table title"/>
    <w:basedOn w:val="Normal"/>
    <w:link w:val="TabletitleChar"/>
    <w:qFormat/>
    <w:rsid w:val="00D8226D"/>
    <w:pPr>
      <w:keepNext/>
      <w:numPr>
        <w:numId w:val="17"/>
      </w:numPr>
      <w:ind w:left="851"/>
    </w:pPr>
    <w:rPr>
      <w:i/>
      <w:sz w:val="22"/>
    </w:rPr>
  </w:style>
  <w:style w:type="character" w:customStyle="1" w:styleId="TabletitleChar">
    <w:name w:val="Table title Char"/>
    <w:basedOn w:val="DefaultParagraphFont"/>
    <w:link w:val="Tabletitle"/>
    <w:rsid w:val="00244D65"/>
    <w:rPr>
      <w:rFonts w:ascii="Times New Roman" w:hAnsi="Times New Roman" w:cs="Times New Roman"/>
      <w:i/>
      <w:sz w:val="22"/>
      <w:szCs w:val="24"/>
      <w:lang w:val="en-GB" w:eastAsia="en-US"/>
    </w:rPr>
  </w:style>
  <w:style w:type="paragraph" w:customStyle="1" w:styleId="Figuretitle">
    <w:name w:val="Figure title"/>
    <w:basedOn w:val="Tabletitle"/>
    <w:link w:val="FiguretitleChar"/>
    <w:qFormat/>
    <w:rsid w:val="003B5FC8"/>
    <w:pPr>
      <w:numPr>
        <w:numId w:val="16"/>
      </w:numPr>
    </w:pPr>
  </w:style>
  <w:style w:type="character" w:customStyle="1" w:styleId="FiguretitleChar">
    <w:name w:val="Figure title Char"/>
    <w:basedOn w:val="TabletitleChar"/>
    <w:link w:val="Figuretitle"/>
    <w:rsid w:val="003B5FC8"/>
    <w:rPr>
      <w:rFonts w:ascii="Times New Roman" w:hAnsi="Times New Roman" w:cs="Times New Roman"/>
      <w:i/>
      <w:sz w:val="22"/>
      <w:szCs w:val="24"/>
      <w:lang w:val="en-GB" w:eastAsia="en-US"/>
    </w:rPr>
  </w:style>
  <w:style w:type="paragraph" w:styleId="TableofFigures">
    <w:name w:val="table of figures"/>
    <w:basedOn w:val="Normal"/>
    <w:next w:val="Normal"/>
    <w:uiPriority w:val="99"/>
    <w:unhideWhenUsed/>
    <w:rsid w:val="00C72F80"/>
    <w:pPr>
      <w:spacing w:after="0"/>
    </w:pPr>
  </w:style>
  <w:style w:type="table" w:customStyle="1" w:styleId="RicardoTable3">
    <w:name w:val="Ricardo Table3"/>
    <w:basedOn w:val="TableNormal"/>
    <w:uiPriority w:val="99"/>
    <w:unhideWhenUsed/>
    <w:rsid w:val="009E3FF4"/>
    <w:pPr>
      <w:spacing w:before="60" w:after="60" w:line="259" w:lineRule="auto"/>
      <w:jc w:val="both"/>
    </w:pPr>
    <w:rPr>
      <w:rFonts w:ascii="Arial" w:eastAsia="MS PGothic" w:hAnsi="Arial" w:cstheme="minorBidi"/>
      <w:color w:val="242828"/>
      <w:lang w:val="en-GB" w:eastAsia="en-GB"/>
    </w:rPr>
    <w:tblPr/>
    <w:tblStylePr w:type="firstRow">
      <w:pPr>
        <w:keepNext/>
        <w:wordWrap/>
        <w:jc w:val="left"/>
      </w:pPr>
      <w:rPr>
        <w:rFonts w:ascii="Arial" w:hAnsi="Arial"/>
        <w:b/>
        <w:color w:val="FFFFFF"/>
        <w:sz w:val="20"/>
      </w:rPr>
    </w:tblStylePr>
  </w:style>
  <w:style w:type="character" w:customStyle="1" w:styleId="UnresolvedMention10">
    <w:name w:val="Unresolved Mention1"/>
    <w:uiPriority w:val="99"/>
    <w:semiHidden/>
    <w:unhideWhenUsed/>
    <w:rsid w:val="00D8226D"/>
    <w:rPr>
      <w:color w:val="605E5C"/>
      <w:shd w:val="clear" w:color="auto" w:fill="E1DFDD"/>
    </w:rPr>
  </w:style>
  <w:style w:type="character" w:customStyle="1" w:styleId="Mention10">
    <w:name w:val="Mention1"/>
    <w:uiPriority w:val="99"/>
    <w:unhideWhenUsed/>
    <w:rsid w:val="00D8226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949672">
      <w:bodyDiv w:val="1"/>
      <w:marLeft w:val="0"/>
      <w:marRight w:val="0"/>
      <w:marTop w:val="0"/>
      <w:marBottom w:val="0"/>
      <w:divBdr>
        <w:top w:val="none" w:sz="0" w:space="0" w:color="auto"/>
        <w:left w:val="none" w:sz="0" w:space="0" w:color="auto"/>
        <w:bottom w:val="none" w:sz="0" w:space="0" w:color="auto"/>
        <w:right w:val="none" w:sz="0" w:space="0" w:color="auto"/>
      </w:divBdr>
      <w:divsChild>
        <w:div w:id="278881971">
          <w:marLeft w:val="0"/>
          <w:marRight w:val="0"/>
          <w:marTop w:val="0"/>
          <w:marBottom w:val="0"/>
          <w:divBdr>
            <w:top w:val="none" w:sz="0" w:space="0" w:color="auto"/>
            <w:left w:val="none" w:sz="0" w:space="0" w:color="auto"/>
            <w:bottom w:val="none" w:sz="0" w:space="0" w:color="auto"/>
            <w:right w:val="none" w:sz="0" w:space="0" w:color="auto"/>
          </w:divBdr>
          <w:divsChild>
            <w:div w:id="866214936">
              <w:marLeft w:val="-75"/>
              <w:marRight w:val="0"/>
              <w:marTop w:val="30"/>
              <w:marBottom w:val="30"/>
              <w:divBdr>
                <w:top w:val="none" w:sz="0" w:space="0" w:color="auto"/>
                <w:left w:val="none" w:sz="0" w:space="0" w:color="auto"/>
                <w:bottom w:val="none" w:sz="0" w:space="0" w:color="auto"/>
                <w:right w:val="none" w:sz="0" w:space="0" w:color="auto"/>
              </w:divBdr>
              <w:divsChild>
                <w:div w:id="59330156">
                  <w:marLeft w:val="0"/>
                  <w:marRight w:val="0"/>
                  <w:marTop w:val="0"/>
                  <w:marBottom w:val="0"/>
                  <w:divBdr>
                    <w:top w:val="none" w:sz="0" w:space="0" w:color="auto"/>
                    <w:left w:val="none" w:sz="0" w:space="0" w:color="auto"/>
                    <w:bottom w:val="none" w:sz="0" w:space="0" w:color="auto"/>
                    <w:right w:val="none" w:sz="0" w:space="0" w:color="auto"/>
                  </w:divBdr>
                  <w:divsChild>
                    <w:div w:id="23990733">
                      <w:marLeft w:val="0"/>
                      <w:marRight w:val="0"/>
                      <w:marTop w:val="0"/>
                      <w:marBottom w:val="0"/>
                      <w:divBdr>
                        <w:top w:val="none" w:sz="0" w:space="0" w:color="auto"/>
                        <w:left w:val="none" w:sz="0" w:space="0" w:color="auto"/>
                        <w:bottom w:val="none" w:sz="0" w:space="0" w:color="auto"/>
                        <w:right w:val="none" w:sz="0" w:space="0" w:color="auto"/>
                      </w:divBdr>
                    </w:div>
                  </w:divsChild>
                </w:div>
                <w:div w:id="194660598">
                  <w:marLeft w:val="0"/>
                  <w:marRight w:val="0"/>
                  <w:marTop w:val="0"/>
                  <w:marBottom w:val="0"/>
                  <w:divBdr>
                    <w:top w:val="none" w:sz="0" w:space="0" w:color="auto"/>
                    <w:left w:val="none" w:sz="0" w:space="0" w:color="auto"/>
                    <w:bottom w:val="none" w:sz="0" w:space="0" w:color="auto"/>
                    <w:right w:val="none" w:sz="0" w:space="0" w:color="auto"/>
                  </w:divBdr>
                  <w:divsChild>
                    <w:div w:id="258299367">
                      <w:marLeft w:val="0"/>
                      <w:marRight w:val="0"/>
                      <w:marTop w:val="0"/>
                      <w:marBottom w:val="0"/>
                      <w:divBdr>
                        <w:top w:val="none" w:sz="0" w:space="0" w:color="auto"/>
                        <w:left w:val="none" w:sz="0" w:space="0" w:color="auto"/>
                        <w:bottom w:val="none" w:sz="0" w:space="0" w:color="auto"/>
                        <w:right w:val="none" w:sz="0" w:space="0" w:color="auto"/>
                      </w:divBdr>
                    </w:div>
                    <w:div w:id="296763500">
                      <w:marLeft w:val="0"/>
                      <w:marRight w:val="0"/>
                      <w:marTop w:val="0"/>
                      <w:marBottom w:val="0"/>
                      <w:divBdr>
                        <w:top w:val="none" w:sz="0" w:space="0" w:color="auto"/>
                        <w:left w:val="none" w:sz="0" w:space="0" w:color="auto"/>
                        <w:bottom w:val="none" w:sz="0" w:space="0" w:color="auto"/>
                        <w:right w:val="none" w:sz="0" w:space="0" w:color="auto"/>
                      </w:divBdr>
                    </w:div>
                    <w:div w:id="311368013">
                      <w:marLeft w:val="0"/>
                      <w:marRight w:val="0"/>
                      <w:marTop w:val="0"/>
                      <w:marBottom w:val="0"/>
                      <w:divBdr>
                        <w:top w:val="none" w:sz="0" w:space="0" w:color="auto"/>
                        <w:left w:val="none" w:sz="0" w:space="0" w:color="auto"/>
                        <w:bottom w:val="none" w:sz="0" w:space="0" w:color="auto"/>
                        <w:right w:val="none" w:sz="0" w:space="0" w:color="auto"/>
                      </w:divBdr>
                    </w:div>
                    <w:div w:id="928808370">
                      <w:marLeft w:val="0"/>
                      <w:marRight w:val="0"/>
                      <w:marTop w:val="0"/>
                      <w:marBottom w:val="0"/>
                      <w:divBdr>
                        <w:top w:val="none" w:sz="0" w:space="0" w:color="auto"/>
                        <w:left w:val="none" w:sz="0" w:space="0" w:color="auto"/>
                        <w:bottom w:val="none" w:sz="0" w:space="0" w:color="auto"/>
                        <w:right w:val="none" w:sz="0" w:space="0" w:color="auto"/>
                      </w:divBdr>
                    </w:div>
                  </w:divsChild>
                </w:div>
                <w:div w:id="300042938">
                  <w:marLeft w:val="0"/>
                  <w:marRight w:val="0"/>
                  <w:marTop w:val="0"/>
                  <w:marBottom w:val="0"/>
                  <w:divBdr>
                    <w:top w:val="none" w:sz="0" w:space="0" w:color="auto"/>
                    <w:left w:val="none" w:sz="0" w:space="0" w:color="auto"/>
                    <w:bottom w:val="none" w:sz="0" w:space="0" w:color="auto"/>
                    <w:right w:val="none" w:sz="0" w:space="0" w:color="auto"/>
                  </w:divBdr>
                  <w:divsChild>
                    <w:div w:id="1850437477">
                      <w:marLeft w:val="0"/>
                      <w:marRight w:val="0"/>
                      <w:marTop w:val="0"/>
                      <w:marBottom w:val="0"/>
                      <w:divBdr>
                        <w:top w:val="none" w:sz="0" w:space="0" w:color="auto"/>
                        <w:left w:val="none" w:sz="0" w:space="0" w:color="auto"/>
                        <w:bottom w:val="none" w:sz="0" w:space="0" w:color="auto"/>
                        <w:right w:val="none" w:sz="0" w:space="0" w:color="auto"/>
                      </w:divBdr>
                    </w:div>
                    <w:div w:id="2010667476">
                      <w:marLeft w:val="0"/>
                      <w:marRight w:val="0"/>
                      <w:marTop w:val="0"/>
                      <w:marBottom w:val="0"/>
                      <w:divBdr>
                        <w:top w:val="none" w:sz="0" w:space="0" w:color="auto"/>
                        <w:left w:val="none" w:sz="0" w:space="0" w:color="auto"/>
                        <w:bottom w:val="none" w:sz="0" w:space="0" w:color="auto"/>
                        <w:right w:val="none" w:sz="0" w:space="0" w:color="auto"/>
                      </w:divBdr>
                    </w:div>
                    <w:div w:id="2032949203">
                      <w:marLeft w:val="0"/>
                      <w:marRight w:val="0"/>
                      <w:marTop w:val="0"/>
                      <w:marBottom w:val="0"/>
                      <w:divBdr>
                        <w:top w:val="none" w:sz="0" w:space="0" w:color="auto"/>
                        <w:left w:val="none" w:sz="0" w:space="0" w:color="auto"/>
                        <w:bottom w:val="none" w:sz="0" w:space="0" w:color="auto"/>
                        <w:right w:val="none" w:sz="0" w:space="0" w:color="auto"/>
                      </w:divBdr>
                    </w:div>
                  </w:divsChild>
                </w:div>
                <w:div w:id="300421650">
                  <w:marLeft w:val="0"/>
                  <w:marRight w:val="0"/>
                  <w:marTop w:val="0"/>
                  <w:marBottom w:val="0"/>
                  <w:divBdr>
                    <w:top w:val="none" w:sz="0" w:space="0" w:color="auto"/>
                    <w:left w:val="none" w:sz="0" w:space="0" w:color="auto"/>
                    <w:bottom w:val="none" w:sz="0" w:space="0" w:color="auto"/>
                    <w:right w:val="none" w:sz="0" w:space="0" w:color="auto"/>
                  </w:divBdr>
                  <w:divsChild>
                    <w:div w:id="17246980">
                      <w:marLeft w:val="0"/>
                      <w:marRight w:val="0"/>
                      <w:marTop w:val="0"/>
                      <w:marBottom w:val="0"/>
                      <w:divBdr>
                        <w:top w:val="none" w:sz="0" w:space="0" w:color="auto"/>
                        <w:left w:val="none" w:sz="0" w:space="0" w:color="auto"/>
                        <w:bottom w:val="none" w:sz="0" w:space="0" w:color="auto"/>
                        <w:right w:val="none" w:sz="0" w:space="0" w:color="auto"/>
                      </w:divBdr>
                    </w:div>
                    <w:div w:id="126632026">
                      <w:marLeft w:val="0"/>
                      <w:marRight w:val="0"/>
                      <w:marTop w:val="0"/>
                      <w:marBottom w:val="0"/>
                      <w:divBdr>
                        <w:top w:val="none" w:sz="0" w:space="0" w:color="auto"/>
                        <w:left w:val="none" w:sz="0" w:space="0" w:color="auto"/>
                        <w:bottom w:val="none" w:sz="0" w:space="0" w:color="auto"/>
                        <w:right w:val="none" w:sz="0" w:space="0" w:color="auto"/>
                      </w:divBdr>
                    </w:div>
                    <w:div w:id="176848807">
                      <w:marLeft w:val="0"/>
                      <w:marRight w:val="0"/>
                      <w:marTop w:val="0"/>
                      <w:marBottom w:val="0"/>
                      <w:divBdr>
                        <w:top w:val="none" w:sz="0" w:space="0" w:color="auto"/>
                        <w:left w:val="none" w:sz="0" w:space="0" w:color="auto"/>
                        <w:bottom w:val="none" w:sz="0" w:space="0" w:color="auto"/>
                        <w:right w:val="none" w:sz="0" w:space="0" w:color="auto"/>
                      </w:divBdr>
                    </w:div>
                    <w:div w:id="304049412">
                      <w:marLeft w:val="0"/>
                      <w:marRight w:val="0"/>
                      <w:marTop w:val="0"/>
                      <w:marBottom w:val="0"/>
                      <w:divBdr>
                        <w:top w:val="none" w:sz="0" w:space="0" w:color="auto"/>
                        <w:left w:val="none" w:sz="0" w:space="0" w:color="auto"/>
                        <w:bottom w:val="none" w:sz="0" w:space="0" w:color="auto"/>
                        <w:right w:val="none" w:sz="0" w:space="0" w:color="auto"/>
                      </w:divBdr>
                    </w:div>
                    <w:div w:id="1064454573">
                      <w:marLeft w:val="0"/>
                      <w:marRight w:val="0"/>
                      <w:marTop w:val="0"/>
                      <w:marBottom w:val="0"/>
                      <w:divBdr>
                        <w:top w:val="none" w:sz="0" w:space="0" w:color="auto"/>
                        <w:left w:val="none" w:sz="0" w:space="0" w:color="auto"/>
                        <w:bottom w:val="none" w:sz="0" w:space="0" w:color="auto"/>
                        <w:right w:val="none" w:sz="0" w:space="0" w:color="auto"/>
                      </w:divBdr>
                    </w:div>
                    <w:div w:id="1730496595">
                      <w:marLeft w:val="0"/>
                      <w:marRight w:val="0"/>
                      <w:marTop w:val="0"/>
                      <w:marBottom w:val="0"/>
                      <w:divBdr>
                        <w:top w:val="none" w:sz="0" w:space="0" w:color="auto"/>
                        <w:left w:val="none" w:sz="0" w:space="0" w:color="auto"/>
                        <w:bottom w:val="none" w:sz="0" w:space="0" w:color="auto"/>
                        <w:right w:val="none" w:sz="0" w:space="0" w:color="auto"/>
                      </w:divBdr>
                    </w:div>
                  </w:divsChild>
                </w:div>
                <w:div w:id="421145543">
                  <w:marLeft w:val="0"/>
                  <w:marRight w:val="0"/>
                  <w:marTop w:val="0"/>
                  <w:marBottom w:val="0"/>
                  <w:divBdr>
                    <w:top w:val="none" w:sz="0" w:space="0" w:color="auto"/>
                    <w:left w:val="none" w:sz="0" w:space="0" w:color="auto"/>
                    <w:bottom w:val="none" w:sz="0" w:space="0" w:color="auto"/>
                    <w:right w:val="none" w:sz="0" w:space="0" w:color="auto"/>
                  </w:divBdr>
                  <w:divsChild>
                    <w:div w:id="1549804977">
                      <w:marLeft w:val="0"/>
                      <w:marRight w:val="0"/>
                      <w:marTop w:val="0"/>
                      <w:marBottom w:val="0"/>
                      <w:divBdr>
                        <w:top w:val="none" w:sz="0" w:space="0" w:color="auto"/>
                        <w:left w:val="none" w:sz="0" w:space="0" w:color="auto"/>
                        <w:bottom w:val="none" w:sz="0" w:space="0" w:color="auto"/>
                        <w:right w:val="none" w:sz="0" w:space="0" w:color="auto"/>
                      </w:divBdr>
                    </w:div>
                  </w:divsChild>
                </w:div>
                <w:div w:id="457843531">
                  <w:marLeft w:val="0"/>
                  <w:marRight w:val="0"/>
                  <w:marTop w:val="0"/>
                  <w:marBottom w:val="0"/>
                  <w:divBdr>
                    <w:top w:val="none" w:sz="0" w:space="0" w:color="auto"/>
                    <w:left w:val="none" w:sz="0" w:space="0" w:color="auto"/>
                    <w:bottom w:val="none" w:sz="0" w:space="0" w:color="auto"/>
                    <w:right w:val="none" w:sz="0" w:space="0" w:color="auto"/>
                  </w:divBdr>
                  <w:divsChild>
                    <w:div w:id="1291475648">
                      <w:marLeft w:val="0"/>
                      <w:marRight w:val="0"/>
                      <w:marTop w:val="0"/>
                      <w:marBottom w:val="0"/>
                      <w:divBdr>
                        <w:top w:val="none" w:sz="0" w:space="0" w:color="auto"/>
                        <w:left w:val="none" w:sz="0" w:space="0" w:color="auto"/>
                        <w:bottom w:val="none" w:sz="0" w:space="0" w:color="auto"/>
                        <w:right w:val="none" w:sz="0" w:space="0" w:color="auto"/>
                      </w:divBdr>
                    </w:div>
                  </w:divsChild>
                </w:div>
                <w:div w:id="466582208">
                  <w:marLeft w:val="0"/>
                  <w:marRight w:val="0"/>
                  <w:marTop w:val="0"/>
                  <w:marBottom w:val="0"/>
                  <w:divBdr>
                    <w:top w:val="none" w:sz="0" w:space="0" w:color="auto"/>
                    <w:left w:val="none" w:sz="0" w:space="0" w:color="auto"/>
                    <w:bottom w:val="none" w:sz="0" w:space="0" w:color="auto"/>
                    <w:right w:val="none" w:sz="0" w:space="0" w:color="auto"/>
                  </w:divBdr>
                  <w:divsChild>
                    <w:div w:id="295647213">
                      <w:marLeft w:val="0"/>
                      <w:marRight w:val="0"/>
                      <w:marTop w:val="0"/>
                      <w:marBottom w:val="0"/>
                      <w:divBdr>
                        <w:top w:val="none" w:sz="0" w:space="0" w:color="auto"/>
                        <w:left w:val="none" w:sz="0" w:space="0" w:color="auto"/>
                        <w:bottom w:val="none" w:sz="0" w:space="0" w:color="auto"/>
                        <w:right w:val="none" w:sz="0" w:space="0" w:color="auto"/>
                      </w:divBdr>
                    </w:div>
                  </w:divsChild>
                </w:div>
                <w:div w:id="468398115">
                  <w:marLeft w:val="0"/>
                  <w:marRight w:val="0"/>
                  <w:marTop w:val="0"/>
                  <w:marBottom w:val="0"/>
                  <w:divBdr>
                    <w:top w:val="none" w:sz="0" w:space="0" w:color="auto"/>
                    <w:left w:val="none" w:sz="0" w:space="0" w:color="auto"/>
                    <w:bottom w:val="none" w:sz="0" w:space="0" w:color="auto"/>
                    <w:right w:val="none" w:sz="0" w:space="0" w:color="auto"/>
                  </w:divBdr>
                  <w:divsChild>
                    <w:div w:id="381174672">
                      <w:marLeft w:val="0"/>
                      <w:marRight w:val="0"/>
                      <w:marTop w:val="0"/>
                      <w:marBottom w:val="0"/>
                      <w:divBdr>
                        <w:top w:val="none" w:sz="0" w:space="0" w:color="auto"/>
                        <w:left w:val="none" w:sz="0" w:space="0" w:color="auto"/>
                        <w:bottom w:val="none" w:sz="0" w:space="0" w:color="auto"/>
                        <w:right w:val="none" w:sz="0" w:space="0" w:color="auto"/>
                      </w:divBdr>
                    </w:div>
                    <w:div w:id="576016135">
                      <w:marLeft w:val="0"/>
                      <w:marRight w:val="0"/>
                      <w:marTop w:val="0"/>
                      <w:marBottom w:val="0"/>
                      <w:divBdr>
                        <w:top w:val="none" w:sz="0" w:space="0" w:color="auto"/>
                        <w:left w:val="none" w:sz="0" w:space="0" w:color="auto"/>
                        <w:bottom w:val="none" w:sz="0" w:space="0" w:color="auto"/>
                        <w:right w:val="none" w:sz="0" w:space="0" w:color="auto"/>
                      </w:divBdr>
                    </w:div>
                    <w:div w:id="1676299016">
                      <w:marLeft w:val="0"/>
                      <w:marRight w:val="0"/>
                      <w:marTop w:val="0"/>
                      <w:marBottom w:val="0"/>
                      <w:divBdr>
                        <w:top w:val="none" w:sz="0" w:space="0" w:color="auto"/>
                        <w:left w:val="none" w:sz="0" w:space="0" w:color="auto"/>
                        <w:bottom w:val="none" w:sz="0" w:space="0" w:color="auto"/>
                        <w:right w:val="none" w:sz="0" w:space="0" w:color="auto"/>
                      </w:divBdr>
                    </w:div>
                    <w:div w:id="1827890470">
                      <w:marLeft w:val="0"/>
                      <w:marRight w:val="0"/>
                      <w:marTop w:val="0"/>
                      <w:marBottom w:val="0"/>
                      <w:divBdr>
                        <w:top w:val="none" w:sz="0" w:space="0" w:color="auto"/>
                        <w:left w:val="none" w:sz="0" w:space="0" w:color="auto"/>
                        <w:bottom w:val="none" w:sz="0" w:space="0" w:color="auto"/>
                        <w:right w:val="none" w:sz="0" w:space="0" w:color="auto"/>
                      </w:divBdr>
                    </w:div>
                  </w:divsChild>
                </w:div>
                <w:div w:id="1435437892">
                  <w:marLeft w:val="0"/>
                  <w:marRight w:val="0"/>
                  <w:marTop w:val="0"/>
                  <w:marBottom w:val="0"/>
                  <w:divBdr>
                    <w:top w:val="none" w:sz="0" w:space="0" w:color="auto"/>
                    <w:left w:val="none" w:sz="0" w:space="0" w:color="auto"/>
                    <w:bottom w:val="none" w:sz="0" w:space="0" w:color="auto"/>
                    <w:right w:val="none" w:sz="0" w:space="0" w:color="auto"/>
                  </w:divBdr>
                  <w:divsChild>
                    <w:div w:id="1925529143">
                      <w:marLeft w:val="0"/>
                      <w:marRight w:val="0"/>
                      <w:marTop w:val="0"/>
                      <w:marBottom w:val="0"/>
                      <w:divBdr>
                        <w:top w:val="none" w:sz="0" w:space="0" w:color="auto"/>
                        <w:left w:val="none" w:sz="0" w:space="0" w:color="auto"/>
                        <w:bottom w:val="none" w:sz="0" w:space="0" w:color="auto"/>
                        <w:right w:val="none" w:sz="0" w:space="0" w:color="auto"/>
                      </w:divBdr>
                    </w:div>
                  </w:divsChild>
                </w:div>
                <w:div w:id="1470438415">
                  <w:marLeft w:val="0"/>
                  <w:marRight w:val="0"/>
                  <w:marTop w:val="0"/>
                  <w:marBottom w:val="0"/>
                  <w:divBdr>
                    <w:top w:val="none" w:sz="0" w:space="0" w:color="auto"/>
                    <w:left w:val="none" w:sz="0" w:space="0" w:color="auto"/>
                    <w:bottom w:val="none" w:sz="0" w:space="0" w:color="auto"/>
                    <w:right w:val="none" w:sz="0" w:space="0" w:color="auto"/>
                  </w:divBdr>
                  <w:divsChild>
                    <w:div w:id="1270576972">
                      <w:marLeft w:val="0"/>
                      <w:marRight w:val="0"/>
                      <w:marTop w:val="0"/>
                      <w:marBottom w:val="0"/>
                      <w:divBdr>
                        <w:top w:val="none" w:sz="0" w:space="0" w:color="auto"/>
                        <w:left w:val="none" w:sz="0" w:space="0" w:color="auto"/>
                        <w:bottom w:val="none" w:sz="0" w:space="0" w:color="auto"/>
                        <w:right w:val="none" w:sz="0" w:space="0" w:color="auto"/>
                      </w:divBdr>
                    </w:div>
                  </w:divsChild>
                </w:div>
                <w:div w:id="1547138425">
                  <w:marLeft w:val="0"/>
                  <w:marRight w:val="0"/>
                  <w:marTop w:val="0"/>
                  <w:marBottom w:val="0"/>
                  <w:divBdr>
                    <w:top w:val="none" w:sz="0" w:space="0" w:color="auto"/>
                    <w:left w:val="none" w:sz="0" w:space="0" w:color="auto"/>
                    <w:bottom w:val="none" w:sz="0" w:space="0" w:color="auto"/>
                    <w:right w:val="none" w:sz="0" w:space="0" w:color="auto"/>
                  </w:divBdr>
                  <w:divsChild>
                    <w:div w:id="353729944">
                      <w:marLeft w:val="0"/>
                      <w:marRight w:val="0"/>
                      <w:marTop w:val="0"/>
                      <w:marBottom w:val="0"/>
                      <w:divBdr>
                        <w:top w:val="none" w:sz="0" w:space="0" w:color="auto"/>
                        <w:left w:val="none" w:sz="0" w:space="0" w:color="auto"/>
                        <w:bottom w:val="none" w:sz="0" w:space="0" w:color="auto"/>
                        <w:right w:val="none" w:sz="0" w:space="0" w:color="auto"/>
                      </w:divBdr>
                    </w:div>
                    <w:div w:id="1557740498">
                      <w:marLeft w:val="0"/>
                      <w:marRight w:val="0"/>
                      <w:marTop w:val="0"/>
                      <w:marBottom w:val="0"/>
                      <w:divBdr>
                        <w:top w:val="none" w:sz="0" w:space="0" w:color="auto"/>
                        <w:left w:val="none" w:sz="0" w:space="0" w:color="auto"/>
                        <w:bottom w:val="none" w:sz="0" w:space="0" w:color="auto"/>
                        <w:right w:val="none" w:sz="0" w:space="0" w:color="auto"/>
                      </w:divBdr>
                    </w:div>
                  </w:divsChild>
                </w:div>
                <w:div w:id="1947545026">
                  <w:marLeft w:val="0"/>
                  <w:marRight w:val="0"/>
                  <w:marTop w:val="0"/>
                  <w:marBottom w:val="0"/>
                  <w:divBdr>
                    <w:top w:val="none" w:sz="0" w:space="0" w:color="auto"/>
                    <w:left w:val="none" w:sz="0" w:space="0" w:color="auto"/>
                    <w:bottom w:val="none" w:sz="0" w:space="0" w:color="auto"/>
                    <w:right w:val="none" w:sz="0" w:space="0" w:color="auto"/>
                  </w:divBdr>
                  <w:divsChild>
                    <w:div w:id="1311834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753330">
          <w:marLeft w:val="0"/>
          <w:marRight w:val="0"/>
          <w:marTop w:val="0"/>
          <w:marBottom w:val="0"/>
          <w:divBdr>
            <w:top w:val="none" w:sz="0" w:space="0" w:color="auto"/>
            <w:left w:val="none" w:sz="0" w:space="0" w:color="auto"/>
            <w:bottom w:val="none" w:sz="0" w:space="0" w:color="auto"/>
            <w:right w:val="none" w:sz="0" w:space="0" w:color="auto"/>
          </w:divBdr>
          <w:divsChild>
            <w:div w:id="2138797268">
              <w:marLeft w:val="-75"/>
              <w:marRight w:val="0"/>
              <w:marTop w:val="30"/>
              <w:marBottom w:val="30"/>
              <w:divBdr>
                <w:top w:val="none" w:sz="0" w:space="0" w:color="auto"/>
                <w:left w:val="none" w:sz="0" w:space="0" w:color="auto"/>
                <w:bottom w:val="none" w:sz="0" w:space="0" w:color="auto"/>
                <w:right w:val="none" w:sz="0" w:space="0" w:color="auto"/>
              </w:divBdr>
              <w:divsChild>
                <w:div w:id="1126582">
                  <w:marLeft w:val="0"/>
                  <w:marRight w:val="0"/>
                  <w:marTop w:val="0"/>
                  <w:marBottom w:val="0"/>
                  <w:divBdr>
                    <w:top w:val="none" w:sz="0" w:space="0" w:color="auto"/>
                    <w:left w:val="none" w:sz="0" w:space="0" w:color="auto"/>
                    <w:bottom w:val="none" w:sz="0" w:space="0" w:color="auto"/>
                    <w:right w:val="none" w:sz="0" w:space="0" w:color="auto"/>
                  </w:divBdr>
                  <w:divsChild>
                    <w:div w:id="659771514">
                      <w:marLeft w:val="0"/>
                      <w:marRight w:val="0"/>
                      <w:marTop w:val="0"/>
                      <w:marBottom w:val="0"/>
                      <w:divBdr>
                        <w:top w:val="none" w:sz="0" w:space="0" w:color="auto"/>
                        <w:left w:val="none" w:sz="0" w:space="0" w:color="auto"/>
                        <w:bottom w:val="none" w:sz="0" w:space="0" w:color="auto"/>
                        <w:right w:val="none" w:sz="0" w:space="0" w:color="auto"/>
                      </w:divBdr>
                    </w:div>
                  </w:divsChild>
                </w:div>
                <w:div w:id="1215966711">
                  <w:marLeft w:val="0"/>
                  <w:marRight w:val="0"/>
                  <w:marTop w:val="0"/>
                  <w:marBottom w:val="0"/>
                  <w:divBdr>
                    <w:top w:val="none" w:sz="0" w:space="0" w:color="auto"/>
                    <w:left w:val="none" w:sz="0" w:space="0" w:color="auto"/>
                    <w:bottom w:val="none" w:sz="0" w:space="0" w:color="auto"/>
                    <w:right w:val="none" w:sz="0" w:space="0" w:color="auto"/>
                  </w:divBdr>
                  <w:divsChild>
                    <w:div w:id="188763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9966078">
          <w:marLeft w:val="0"/>
          <w:marRight w:val="0"/>
          <w:marTop w:val="0"/>
          <w:marBottom w:val="0"/>
          <w:divBdr>
            <w:top w:val="none" w:sz="0" w:space="0" w:color="auto"/>
            <w:left w:val="none" w:sz="0" w:space="0" w:color="auto"/>
            <w:bottom w:val="none" w:sz="0" w:space="0" w:color="auto"/>
            <w:right w:val="none" w:sz="0" w:space="0" w:color="auto"/>
          </w:divBdr>
          <w:divsChild>
            <w:div w:id="126092139">
              <w:marLeft w:val="0"/>
              <w:marRight w:val="0"/>
              <w:marTop w:val="0"/>
              <w:marBottom w:val="0"/>
              <w:divBdr>
                <w:top w:val="none" w:sz="0" w:space="0" w:color="auto"/>
                <w:left w:val="none" w:sz="0" w:space="0" w:color="auto"/>
                <w:bottom w:val="none" w:sz="0" w:space="0" w:color="auto"/>
                <w:right w:val="none" w:sz="0" w:space="0" w:color="auto"/>
              </w:divBdr>
            </w:div>
            <w:div w:id="1313489708">
              <w:marLeft w:val="0"/>
              <w:marRight w:val="0"/>
              <w:marTop w:val="0"/>
              <w:marBottom w:val="0"/>
              <w:divBdr>
                <w:top w:val="none" w:sz="0" w:space="0" w:color="auto"/>
                <w:left w:val="none" w:sz="0" w:space="0" w:color="auto"/>
                <w:bottom w:val="none" w:sz="0" w:space="0" w:color="auto"/>
                <w:right w:val="none" w:sz="0" w:space="0" w:color="auto"/>
              </w:divBdr>
            </w:div>
            <w:div w:id="1527716189">
              <w:marLeft w:val="0"/>
              <w:marRight w:val="0"/>
              <w:marTop w:val="0"/>
              <w:marBottom w:val="0"/>
              <w:divBdr>
                <w:top w:val="none" w:sz="0" w:space="0" w:color="auto"/>
                <w:left w:val="none" w:sz="0" w:space="0" w:color="auto"/>
                <w:bottom w:val="none" w:sz="0" w:space="0" w:color="auto"/>
                <w:right w:val="none" w:sz="0" w:space="0" w:color="auto"/>
              </w:divBdr>
            </w:div>
            <w:div w:id="1605187796">
              <w:marLeft w:val="0"/>
              <w:marRight w:val="0"/>
              <w:marTop w:val="0"/>
              <w:marBottom w:val="0"/>
              <w:divBdr>
                <w:top w:val="none" w:sz="0" w:space="0" w:color="auto"/>
                <w:left w:val="none" w:sz="0" w:space="0" w:color="auto"/>
                <w:bottom w:val="none" w:sz="0" w:space="0" w:color="auto"/>
                <w:right w:val="none" w:sz="0" w:space="0" w:color="auto"/>
              </w:divBdr>
            </w:div>
            <w:div w:id="1709069180">
              <w:marLeft w:val="0"/>
              <w:marRight w:val="0"/>
              <w:marTop w:val="0"/>
              <w:marBottom w:val="0"/>
              <w:divBdr>
                <w:top w:val="none" w:sz="0" w:space="0" w:color="auto"/>
                <w:left w:val="none" w:sz="0" w:space="0" w:color="auto"/>
                <w:bottom w:val="none" w:sz="0" w:space="0" w:color="auto"/>
                <w:right w:val="none" w:sz="0" w:space="0" w:color="auto"/>
              </w:divBdr>
            </w:div>
            <w:div w:id="1709716977">
              <w:marLeft w:val="0"/>
              <w:marRight w:val="0"/>
              <w:marTop w:val="0"/>
              <w:marBottom w:val="0"/>
              <w:divBdr>
                <w:top w:val="none" w:sz="0" w:space="0" w:color="auto"/>
                <w:left w:val="none" w:sz="0" w:space="0" w:color="auto"/>
                <w:bottom w:val="none" w:sz="0" w:space="0" w:color="auto"/>
                <w:right w:val="none" w:sz="0" w:space="0" w:color="auto"/>
              </w:divBdr>
            </w:div>
            <w:div w:id="1943105851">
              <w:marLeft w:val="0"/>
              <w:marRight w:val="0"/>
              <w:marTop w:val="0"/>
              <w:marBottom w:val="0"/>
              <w:divBdr>
                <w:top w:val="none" w:sz="0" w:space="0" w:color="auto"/>
                <w:left w:val="none" w:sz="0" w:space="0" w:color="auto"/>
                <w:bottom w:val="none" w:sz="0" w:space="0" w:color="auto"/>
                <w:right w:val="none" w:sz="0" w:space="0" w:color="auto"/>
              </w:divBdr>
            </w:div>
          </w:divsChild>
        </w:div>
        <w:div w:id="1564637453">
          <w:marLeft w:val="0"/>
          <w:marRight w:val="0"/>
          <w:marTop w:val="0"/>
          <w:marBottom w:val="0"/>
          <w:divBdr>
            <w:top w:val="none" w:sz="0" w:space="0" w:color="auto"/>
            <w:left w:val="none" w:sz="0" w:space="0" w:color="auto"/>
            <w:bottom w:val="none" w:sz="0" w:space="0" w:color="auto"/>
            <w:right w:val="none" w:sz="0" w:space="0" w:color="auto"/>
          </w:divBdr>
        </w:div>
        <w:div w:id="2057775603">
          <w:marLeft w:val="0"/>
          <w:marRight w:val="0"/>
          <w:marTop w:val="0"/>
          <w:marBottom w:val="0"/>
          <w:divBdr>
            <w:top w:val="none" w:sz="0" w:space="0" w:color="auto"/>
            <w:left w:val="none" w:sz="0" w:space="0" w:color="auto"/>
            <w:bottom w:val="none" w:sz="0" w:space="0" w:color="auto"/>
            <w:right w:val="none" w:sz="0" w:space="0" w:color="auto"/>
          </w:divBdr>
        </w:div>
      </w:divsChild>
    </w:div>
    <w:div w:id="32000022">
      <w:bodyDiv w:val="1"/>
      <w:marLeft w:val="0"/>
      <w:marRight w:val="0"/>
      <w:marTop w:val="0"/>
      <w:marBottom w:val="0"/>
      <w:divBdr>
        <w:top w:val="none" w:sz="0" w:space="0" w:color="auto"/>
        <w:left w:val="none" w:sz="0" w:space="0" w:color="auto"/>
        <w:bottom w:val="none" w:sz="0" w:space="0" w:color="auto"/>
        <w:right w:val="none" w:sz="0" w:space="0" w:color="auto"/>
      </w:divBdr>
      <w:divsChild>
        <w:div w:id="150222858">
          <w:marLeft w:val="0"/>
          <w:marRight w:val="0"/>
          <w:marTop w:val="0"/>
          <w:marBottom w:val="0"/>
          <w:divBdr>
            <w:top w:val="none" w:sz="0" w:space="0" w:color="auto"/>
            <w:left w:val="none" w:sz="0" w:space="0" w:color="auto"/>
            <w:bottom w:val="none" w:sz="0" w:space="0" w:color="auto"/>
            <w:right w:val="none" w:sz="0" w:space="0" w:color="auto"/>
          </w:divBdr>
          <w:divsChild>
            <w:div w:id="2058779443">
              <w:marLeft w:val="-75"/>
              <w:marRight w:val="0"/>
              <w:marTop w:val="30"/>
              <w:marBottom w:val="30"/>
              <w:divBdr>
                <w:top w:val="none" w:sz="0" w:space="0" w:color="auto"/>
                <w:left w:val="none" w:sz="0" w:space="0" w:color="auto"/>
                <w:bottom w:val="none" w:sz="0" w:space="0" w:color="auto"/>
                <w:right w:val="none" w:sz="0" w:space="0" w:color="auto"/>
              </w:divBdr>
              <w:divsChild>
                <w:div w:id="148180534">
                  <w:marLeft w:val="0"/>
                  <w:marRight w:val="0"/>
                  <w:marTop w:val="0"/>
                  <w:marBottom w:val="0"/>
                  <w:divBdr>
                    <w:top w:val="none" w:sz="0" w:space="0" w:color="auto"/>
                    <w:left w:val="none" w:sz="0" w:space="0" w:color="auto"/>
                    <w:bottom w:val="none" w:sz="0" w:space="0" w:color="auto"/>
                    <w:right w:val="none" w:sz="0" w:space="0" w:color="auto"/>
                  </w:divBdr>
                  <w:divsChild>
                    <w:div w:id="5596995">
                      <w:marLeft w:val="0"/>
                      <w:marRight w:val="0"/>
                      <w:marTop w:val="0"/>
                      <w:marBottom w:val="0"/>
                      <w:divBdr>
                        <w:top w:val="none" w:sz="0" w:space="0" w:color="auto"/>
                        <w:left w:val="none" w:sz="0" w:space="0" w:color="auto"/>
                        <w:bottom w:val="none" w:sz="0" w:space="0" w:color="auto"/>
                        <w:right w:val="none" w:sz="0" w:space="0" w:color="auto"/>
                      </w:divBdr>
                    </w:div>
                    <w:div w:id="757214019">
                      <w:marLeft w:val="0"/>
                      <w:marRight w:val="0"/>
                      <w:marTop w:val="0"/>
                      <w:marBottom w:val="0"/>
                      <w:divBdr>
                        <w:top w:val="none" w:sz="0" w:space="0" w:color="auto"/>
                        <w:left w:val="none" w:sz="0" w:space="0" w:color="auto"/>
                        <w:bottom w:val="none" w:sz="0" w:space="0" w:color="auto"/>
                        <w:right w:val="none" w:sz="0" w:space="0" w:color="auto"/>
                      </w:divBdr>
                    </w:div>
                    <w:div w:id="1786653899">
                      <w:marLeft w:val="0"/>
                      <w:marRight w:val="0"/>
                      <w:marTop w:val="0"/>
                      <w:marBottom w:val="0"/>
                      <w:divBdr>
                        <w:top w:val="none" w:sz="0" w:space="0" w:color="auto"/>
                        <w:left w:val="none" w:sz="0" w:space="0" w:color="auto"/>
                        <w:bottom w:val="none" w:sz="0" w:space="0" w:color="auto"/>
                        <w:right w:val="none" w:sz="0" w:space="0" w:color="auto"/>
                      </w:divBdr>
                    </w:div>
                    <w:div w:id="1928686575">
                      <w:marLeft w:val="0"/>
                      <w:marRight w:val="0"/>
                      <w:marTop w:val="0"/>
                      <w:marBottom w:val="0"/>
                      <w:divBdr>
                        <w:top w:val="none" w:sz="0" w:space="0" w:color="auto"/>
                        <w:left w:val="none" w:sz="0" w:space="0" w:color="auto"/>
                        <w:bottom w:val="none" w:sz="0" w:space="0" w:color="auto"/>
                        <w:right w:val="none" w:sz="0" w:space="0" w:color="auto"/>
                      </w:divBdr>
                    </w:div>
                  </w:divsChild>
                </w:div>
                <w:div w:id="171070223">
                  <w:marLeft w:val="0"/>
                  <w:marRight w:val="0"/>
                  <w:marTop w:val="0"/>
                  <w:marBottom w:val="0"/>
                  <w:divBdr>
                    <w:top w:val="none" w:sz="0" w:space="0" w:color="auto"/>
                    <w:left w:val="none" w:sz="0" w:space="0" w:color="auto"/>
                    <w:bottom w:val="none" w:sz="0" w:space="0" w:color="auto"/>
                    <w:right w:val="none" w:sz="0" w:space="0" w:color="auto"/>
                  </w:divBdr>
                  <w:divsChild>
                    <w:div w:id="69739419">
                      <w:marLeft w:val="0"/>
                      <w:marRight w:val="0"/>
                      <w:marTop w:val="0"/>
                      <w:marBottom w:val="0"/>
                      <w:divBdr>
                        <w:top w:val="none" w:sz="0" w:space="0" w:color="auto"/>
                        <w:left w:val="none" w:sz="0" w:space="0" w:color="auto"/>
                        <w:bottom w:val="none" w:sz="0" w:space="0" w:color="auto"/>
                        <w:right w:val="none" w:sz="0" w:space="0" w:color="auto"/>
                      </w:divBdr>
                    </w:div>
                    <w:div w:id="144205304">
                      <w:marLeft w:val="0"/>
                      <w:marRight w:val="0"/>
                      <w:marTop w:val="0"/>
                      <w:marBottom w:val="0"/>
                      <w:divBdr>
                        <w:top w:val="none" w:sz="0" w:space="0" w:color="auto"/>
                        <w:left w:val="none" w:sz="0" w:space="0" w:color="auto"/>
                        <w:bottom w:val="none" w:sz="0" w:space="0" w:color="auto"/>
                        <w:right w:val="none" w:sz="0" w:space="0" w:color="auto"/>
                      </w:divBdr>
                    </w:div>
                    <w:div w:id="803621443">
                      <w:marLeft w:val="0"/>
                      <w:marRight w:val="0"/>
                      <w:marTop w:val="0"/>
                      <w:marBottom w:val="0"/>
                      <w:divBdr>
                        <w:top w:val="none" w:sz="0" w:space="0" w:color="auto"/>
                        <w:left w:val="none" w:sz="0" w:space="0" w:color="auto"/>
                        <w:bottom w:val="none" w:sz="0" w:space="0" w:color="auto"/>
                        <w:right w:val="none" w:sz="0" w:space="0" w:color="auto"/>
                      </w:divBdr>
                    </w:div>
                    <w:div w:id="849369444">
                      <w:marLeft w:val="0"/>
                      <w:marRight w:val="0"/>
                      <w:marTop w:val="0"/>
                      <w:marBottom w:val="0"/>
                      <w:divBdr>
                        <w:top w:val="none" w:sz="0" w:space="0" w:color="auto"/>
                        <w:left w:val="none" w:sz="0" w:space="0" w:color="auto"/>
                        <w:bottom w:val="none" w:sz="0" w:space="0" w:color="auto"/>
                        <w:right w:val="none" w:sz="0" w:space="0" w:color="auto"/>
                      </w:divBdr>
                    </w:div>
                    <w:div w:id="1089426359">
                      <w:marLeft w:val="0"/>
                      <w:marRight w:val="0"/>
                      <w:marTop w:val="0"/>
                      <w:marBottom w:val="0"/>
                      <w:divBdr>
                        <w:top w:val="none" w:sz="0" w:space="0" w:color="auto"/>
                        <w:left w:val="none" w:sz="0" w:space="0" w:color="auto"/>
                        <w:bottom w:val="none" w:sz="0" w:space="0" w:color="auto"/>
                        <w:right w:val="none" w:sz="0" w:space="0" w:color="auto"/>
                      </w:divBdr>
                    </w:div>
                    <w:div w:id="1099184010">
                      <w:marLeft w:val="0"/>
                      <w:marRight w:val="0"/>
                      <w:marTop w:val="0"/>
                      <w:marBottom w:val="0"/>
                      <w:divBdr>
                        <w:top w:val="none" w:sz="0" w:space="0" w:color="auto"/>
                        <w:left w:val="none" w:sz="0" w:space="0" w:color="auto"/>
                        <w:bottom w:val="none" w:sz="0" w:space="0" w:color="auto"/>
                        <w:right w:val="none" w:sz="0" w:space="0" w:color="auto"/>
                      </w:divBdr>
                    </w:div>
                  </w:divsChild>
                </w:div>
                <w:div w:id="874586224">
                  <w:marLeft w:val="0"/>
                  <w:marRight w:val="0"/>
                  <w:marTop w:val="0"/>
                  <w:marBottom w:val="0"/>
                  <w:divBdr>
                    <w:top w:val="none" w:sz="0" w:space="0" w:color="auto"/>
                    <w:left w:val="none" w:sz="0" w:space="0" w:color="auto"/>
                    <w:bottom w:val="none" w:sz="0" w:space="0" w:color="auto"/>
                    <w:right w:val="none" w:sz="0" w:space="0" w:color="auto"/>
                  </w:divBdr>
                  <w:divsChild>
                    <w:div w:id="2077387097">
                      <w:marLeft w:val="0"/>
                      <w:marRight w:val="0"/>
                      <w:marTop w:val="0"/>
                      <w:marBottom w:val="0"/>
                      <w:divBdr>
                        <w:top w:val="none" w:sz="0" w:space="0" w:color="auto"/>
                        <w:left w:val="none" w:sz="0" w:space="0" w:color="auto"/>
                        <w:bottom w:val="none" w:sz="0" w:space="0" w:color="auto"/>
                        <w:right w:val="none" w:sz="0" w:space="0" w:color="auto"/>
                      </w:divBdr>
                    </w:div>
                  </w:divsChild>
                </w:div>
                <w:div w:id="950015080">
                  <w:marLeft w:val="0"/>
                  <w:marRight w:val="0"/>
                  <w:marTop w:val="0"/>
                  <w:marBottom w:val="0"/>
                  <w:divBdr>
                    <w:top w:val="none" w:sz="0" w:space="0" w:color="auto"/>
                    <w:left w:val="none" w:sz="0" w:space="0" w:color="auto"/>
                    <w:bottom w:val="none" w:sz="0" w:space="0" w:color="auto"/>
                    <w:right w:val="none" w:sz="0" w:space="0" w:color="auto"/>
                  </w:divBdr>
                  <w:divsChild>
                    <w:div w:id="505368967">
                      <w:marLeft w:val="0"/>
                      <w:marRight w:val="0"/>
                      <w:marTop w:val="0"/>
                      <w:marBottom w:val="0"/>
                      <w:divBdr>
                        <w:top w:val="none" w:sz="0" w:space="0" w:color="auto"/>
                        <w:left w:val="none" w:sz="0" w:space="0" w:color="auto"/>
                        <w:bottom w:val="none" w:sz="0" w:space="0" w:color="auto"/>
                        <w:right w:val="none" w:sz="0" w:space="0" w:color="auto"/>
                      </w:divBdr>
                    </w:div>
                  </w:divsChild>
                </w:div>
                <w:div w:id="1019626798">
                  <w:marLeft w:val="0"/>
                  <w:marRight w:val="0"/>
                  <w:marTop w:val="0"/>
                  <w:marBottom w:val="0"/>
                  <w:divBdr>
                    <w:top w:val="none" w:sz="0" w:space="0" w:color="auto"/>
                    <w:left w:val="none" w:sz="0" w:space="0" w:color="auto"/>
                    <w:bottom w:val="none" w:sz="0" w:space="0" w:color="auto"/>
                    <w:right w:val="none" w:sz="0" w:space="0" w:color="auto"/>
                  </w:divBdr>
                  <w:divsChild>
                    <w:div w:id="537011057">
                      <w:marLeft w:val="0"/>
                      <w:marRight w:val="0"/>
                      <w:marTop w:val="0"/>
                      <w:marBottom w:val="0"/>
                      <w:divBdr>
                        <w:top w:val="none" w:sz="0" w:space="0" w:color="auto"/>
                        <w:left w:val="none" w:sz="0" w:space="0" w:color="auto"/>
                        <w:bottom w:val="none" w:sz="0" w:space="0" w:color="auto"/>
                        <w:right w:val="none" w:sz="0" w:space="0" w:color="auto"/>
                      </w:divBdr>
                    </w:div>
                    <w:div w:id="1545868828">
                      <w:marLeft w:val="0"/>
                      <w:marRight w:val="0"/>
                      <w:marTop w:val="0"/>
                      <w:marBottom w:val="0"/>
                      <w:divBdr>
                        <w:top w:val="none" w:sz="0" w:space="0" w:color="auto"/>
                        <w:left w:val="none" w:sz="0" w:space="0" w:color="auto"/>
                        <w:bottom w:val="none" w:sz="0" w:space="0" w:color="auto"/>
                        <w:right w:val="none" w:sz="0" w:space="0" w:color="auto"/>
                      </w:divBdr>
                    </w:div>
                    <w:div w:id="1779181061">
                      <w:marLeft w:val="0"/>
                      <w:marRight w:val="0"/>
                      <w:marTop w:val="0"/>
                      <w:marBottom w:val="0"/>
                      <w:divBdr>
                        <w:top w:val="none" w:sz="0" w:space="0" w:color="auto"/>
                        <w:left w:val="none" w:sz="0" w:space="0" w:color="auto"/>
                        <w:bottom w:val="none" w:sz="0" w:space="0" w:color="auto"/>
                        <w:right w:val="none" w:sz="0" w:space="0" w:color="auto"/>
                      </w:divBdr>
                    </w:div>
                  </w:divsChild>
                </w:div>
                <w:div w:id="1075861492">
                  <w:marLeft w:val="0"/>
                  <w:marRight w:val="0"/>
                  <w:marTop w:val="0"/>
                  <w:marBottom w:val="0"/>
                  <w:divBdr>
                    <w:top w:val="none" w:sz="0" w:space="0" w:color="auto"/>
                    <w:left w:val="none" w:sz="0" w:space="0" w:color="auto"/>
                    <w:bottom w:val="none" w:sz="0" w:space="0" w:color="auto"/>
                    <w:right w:val="none" w:sz="0" w:space="0" w:color="auto"/>
                  </w:divBdr>
                  <w:divsChild>
                    <w:div w:id="1905333915">
                      <w:marLeft w:val="0"/>
                      <w:marRight w:val="0"/>
                      <w:marTop w:val="0"/>
                      <w:marBottom w:val="0"/>
                      <w:divBdr>
                        <w:top w:val="none" w:sz="0" w:space="0" w:color="auto"/>
                        <w:left w:val="none" w:sz="0" w:space="0" w:color="auto"/>
                        <w:bottom w:val="none" w:sz="0" w:space="0" w:color="auto"/>
                        <w:right w:val="none" w:sz="0" w:space="0" w:color="auto"/>
                      </w:divBdr>
                    </w:div>
                  </w:divsChild>
                </w:div>
                <w:div w:id="1142310890">
                  <w:marLeft w:val="0"/>
                  <w:marRight w:val="0"/>
                  <w:marTop w:val="0"/>
                  <w:marBottom w:val="0"/>
                  <w:divBdr>
                    <w:top w:val="none" w:sz="0" w:space="0" w:color="auto"/>
                    <w:left w:val="none" w:sz="0" w:space="0" w:color="auto"/>
                    <w:bottom w:val="none" w:sz="0" w:space="0" w:color="auto"/>
                    <w:right w:val="none" w:sz="0" w:space="0" w:color="auto"/>
                  </w:divBdr>
                  <w:divsChild>
                    <w:div w:id="1664239836">
                      <w:marLeft w:val="0"/>
                      <w:marRight w:val="0"/>
                      <w:marTop w:val="0"/>
                      <w:marBottom w:val="0"/>
                      <w:divBdr>
                        <w:top w:val="none" w:sz="0" w:space="0" w:color="auto"/>
                        <w:left w:val="none" w:sz="0" w:space="0" w:color="auto"/>
                        <w:bottom w:val="none" w:sz="0" w:space="0" w:color="auto"/>
                        <w:right w:val="none" w:sz="0" w:space="0" w:color="auto"/>
                      </w:divBdr>
                    </w:div>
                  </w:divsChild>
                </w:div>
                <w:div w:id="1680304149">
                  <w:marLeft w:val="0"/>
                  <w:marRight w:val="0"/>
                  <w:marTop w:val="0"/>
                  <w:marBottom w:val="0"/>
                  <w:divBdr>
                    <w:top w:val="none" w:sz="0" w:space="0" w:color="auto"/>
                    <w:left w:val="none" w:sz="0" w:space="0" w:color="auto"/>
                    <w:bottom w:val="none" w:sz="0" w:space="0" w:color="auto"/>
                    <w:right w:val="none" w:sz="0" w:space="0" w:color="auto"/>
                  </w:divBdr>
                  <w:divsChild>
                    <w:div w:id="1878543461">
                      <w:marLeft w:val="0"/>
                      <w:marRight w:val="0"/>
                      <w:marTop w:val="0"/>
                      <w:marBottom w:val="0"/>
                      <w:divBdr>
                        <w:top w:val="none" w:sz="0" w:space="0" w:color="auto"/>
                        <w:left w:val="none" w:sz="0" w:space="0" w:color="auto"/>
                        <w:bottom w:val="none" w:sz="0" w:space="0" w:color="auto"/>
                        <w:right w:val="none" w:sz="0" w:space="0" w:color="auto"/>
                      </w:divBdr>
                    </w:div>
                  </w:divsChild>
                </w:div>
                <w:div w:id="1821076547">
                  <w:marLeft w:val="0"/>
                  <w:marRight w:val="0"/>
                  <w:marTop w:val="0"/>
                  <w:marBottom w:val="0"/>
                  <w:divBdr>
                    <w:top w:val="none" w:sz="0" w:space="0" w:color="auto"/>
                    <w:left w:val="none" w:sz="0" w:space="0" w:color="auto"/>
                    <w:bottom w:val="none" w:sz="0" w:space="0" w:color="auto"/>
                    <w:right w:val="none" w:sz="0" w:space="0" w:color="auto"/>
                  </w:divBdr>
                  <w:divsChild>
                    <w:div w:id="778451796">
                      <w:marLeft w:val="0"/>
                      <w:marRight w:val="0"/>
                      <w:marTop w:val="0"/>
                      <w:marBottom w:val="0"/>
                      <w:divBdr>
                        <w:top w:val="none" w:sz="0" w:space="0" w:color="auto"/>
                        <w:left w:val="none" w:sz="0" w:space="0" w:color="auto"/>
                        <w:bottom w:val="none" w:sz="0" w:space="0" w:color="auto"/>
                        <w:right w:val="none" w:sz="0" w:space="0" w:color="auto"/>
                      </w:divBdr>
                    </w:div>
                    <w:div w:id="2108033631">
                      <w:marLeft w:val="0"/>
                      <w:marRight w:val="0"/>
                      <w:marTop w:val="0"/>
                      <w:marBottom w:val="0"/>
                      <w:divBdr>
                        <w:top w:val="none" w:sz="0" w:space="0" w:color="auto"/>
                        <w:left w:val="none" w:sz="0" w:space="0" w:color="auto"/>
                        <w:bottom w:val="none" w:sz="0" w:space="0" w:color="auto"/>
                        <w:right w:val="none" w:sz="0" w:space="0" w:color="auto"/>
                      </w:divBdr>
                    </w:div>
                  </w:divsChild>
                </w:div>
                <w:div w:id="1856652893">
                  <w:marLeft w:val="0"/>
                  <w:marRight w:val="0"/>
                  <w:marTop w:val="0"/>
                  <w:marBottom w:val="0"/>
                  <w:divBdr>
                    <w:top w:val="none" w:sz="0" w:space="0" w:color="auto"/>
                    <w:left w:val="none" w:sz="0" w:space="0" w:color="auto"/>
                    <w:bottom w:val="none" w:sz="0" w:space="0" w:color="auto"/>
                    <w:right w:val="none" w:sz="0" w:space="0" w:color="auto"/>
                  </w:divBdr>
                  <w:divsChild>
                    <w:div w:id="395978946">
                      <w:marLeft w:val="0"/>
                      <w:marRight w:val="0"/>
                      <w:marTop w:val="0"/>
                      <w:marBottom w:val="0"/>
                      <w:divBdr>
                        <w:top w:val="none" w:sz="0" w:space="0" w:color="auto"/>
                        <w:left w:val="none" w:sz="0" w:space="0" w:color="auto"/>
                        <w:bottom w:val="none" w:sz="0" w:space="0" w:color="auto"/>
                        <w:right w:val="none" w:sz="0" w:space="0" w:color="auto"/>
                      </w:divBdr>
                    </w:div>
                    <w:div w:id="1095898791">
                      <w:marLeft w:val="0"/>
                      <w:marRight w:val="0"/>
                      <w:marTop w:val="0"/>
                      <w:marBottom w:val="0"/>
                      <w:divBdr>
                        <w:top w:val="none" w:sz="0" w:space="0" w:color="auto"/>
                        <w:left w:val="none" w:sz="0" w:space="0" w:color="auto"/>
                        <w:bottom w:val="none" w:sz="0" w:space="0" w:color="auto"/>
                        <w:right w:val="none" w:sz="0" w:space="0" w:color="auto"/>
                      </w:divBdr>
                    </w:div>
                    <w:div w:id="1724718839">
                      <w:marLeft w:val="0"/>
                      <w:marRight w:val="0"/>
                      <w:marTop w:val="0"/>
                      <w:marBottom w:val="0"/>
                      <w:divBdr>
                        <w:top w:val="none" w:sz="0" w:space="0" w:color="auto"/>
                        <w:left w:val="none" w:sz="0" w:space="0" w:color="auto"/>
                        <w:bottom w:val="none" w:sz="0" w:space="0" w:color="auto"/>
                        <w:right w:val="none" w:sz="0" w:space="0" w:color="auto"/>
                      </w:divBdr>
                    </w:div>
                    <w:div w:id="1770468794">
                      <w:marLeft w:val="0"/>
                      <w:marRight w:val="0"/>
                      <w:marTop w:val="0"/>
                      <w:marBottom w:val="0"/>
                      <w:divBdr>
                        <w:top w:val="none" w:sz="0" w:space="0" w:color="auto"/>
                        <w:left w:val="none" w:sz="0" w:space="0" w:color="auto"/>
                        <w:bottom w:val="none" w:sz="0" w:space="0" w:color="auto"/>
                        <w:right w:val="none" w:sz="0" w:space="0" w:color="auto"/>
                      </w:divBdr>
                    </w:div>
                  </w:divsChild>
                </w:div>
                <w:div w:id="1932740788">
                  <w:marLeft w:val="0"/>
                  <w:marRight w:val="0"/>
                  <w:marTop w:val="0"/>
                  <w:marBottom w:val="0"/>
                  <w:divBdr>
                    <w:top w:val="none" w:sz="0" w:space="0" w:color="auto"/>
                    <w:left w:val="none" w:sz="0" w:space="0" w:color="auto"/>
                    <w:bottom w:val="none" w:sz="0" w:space="0" w:color="auto"/>
                    <w:right w:val="none" w:sz="0" w:space="0" w:color="auto"/>
                  </w:divBdr>
                  <w:divsChild>
                    <w:div w:id="1785228782">
                      <w:marLeft w:val="0"/>
                      <w:marRight w:val="0"/>
                      <w:marTop w:val="0"/>
                      <w:marBottom w:val="0"/>
                      <w:divBdr>
                        <w:top w:val="none" w:sz="0" w:space="0" w:color="auto"/>
                        <w:left w:val="none" w:sz="0" w:space="0" w:color="auto"/>
                        <w:bottom w:val="none" w:sz="0" w:space="0" w:color="auto"/>
                        <w:right w:val="none" w:sz="0" w:space="0" w:color="auto"/>
                      </w:divBdr>
                    </w:div>
                  </w:divsChild>
                </w:div>
                <w:div w:id="2050493500">
                  <w:marLeft w:val="0"/>
                  <w:marRight w:val="0"/>
                  <w:marTop w:val="0"/>
                  <w:marBottom w:val="0"/>
                  <w:divBdr>
                    <w:top w:val="none" w:sz="0" w:space="0" w:color="auto"/>
                    <w:left w:val="none" w:sz="0" w:space="0" w:color="auto"/>
                    <w:bottom w:val="none" w:sz="0" w:space="0" w:color="auto"/>
                    <w:right w:val="none" w:sz="0" w:space="0" w:color="auto"/>
                  </w:divBdr>
                  <w:divsChild>
                    <w:div w:id="198732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3449488">
          <w:marLeft w:val="0"/>
          <w:marRight w:val="0"/>
          <w:marTop w:val="0"/>
          <w:marBottom w:val="0"/>
          <w:divBdr>
            <w:top w:val="none" w:sz="0" w:space="0" w:color="auto"/>
            <w:left w:val="none" w:sz="0" w:space="0" w:color="auto"/>
            <w:bottom w:val="none" w:sz="0" w:space="0" w:color="auto"/>
            <w:right w:val="none" w:sz="0" w:space="0" w:color="auto"/>
          </w:divBdr>
          <w:divsChild>
            <w:div w:id="634024536">
              <w:marLeft w:val="0"/>
              <w:marRight w:val="0"/>
              <w:marTop w:val="0"/>
              <w:marBottom w:val="0"/>
              <w:divBdr>
                <w:top w:val="none" w:sz="0" w:space="0" w:color="auto"/>
                <w:left w:val="none" w:sz="0" w:space="0" w:color="auto"/>
                <w:bottom w:val="none" w:sz="0" w:space="0" w:color="auto"/>
                <w:right w:val="none" w:sz="0" w:space="0" w:color="auto"/>
              </w:divBdr>
            </w:div>
            <w:div w:id="841167245">
              <w:marLeft w:val="0"/>
              <w:marRight w:val="0"/>
              <w:marTop w:val="0"/>
              <w:marBottom w:val="0"/>
              <w:divBdr>
                <w:top w:val="none" w:sz="0" w:space="0" w:color="auto"/>
                <w:left w:val="none" w:sz="0" w:space="0" w:color="auto"/>
                <w:bottom w:val="none" w:sz="0" w:space="0" w:color="auto"/>
                <w:right w:val="none" w:sz="0" w:space="0" w:color="auto"/>
              </w:divBdr>
            </w:div>
            <w:div w:id="866480383">
              <w:marLeft w:val="0"/>
              <w:marRight w:val="0"/>
              <w:marTop w:val="0"/>
              <w:marBottom w:val="0"/>
              <w:divBdr>
                <w:top w:val="none" w:sz="0" w:space="0" w:color="auto"/>
                <w:left w:val="none" w:sz="0" w:space="0" w:color="auto"/>
                <w:bottom w:val="none" w:sz="0" w:space="0" w:color="auto"/>
                <w:right w:val="none" w:sz="0" w:space="0" w:color="auto"/>
              </w:divBdr>
            </w:div>
            <w:div w:id="1109197744">
              <w:marLeft w:val="0"/>
              <w:marRight w:val="0"/>
              <w:marTop w:val="0"/>
              <w:marBottom w:val="0"/>
              <w:divBdr>
                <w:top w:val="none" w:sz="0" w:space="0" w:color="auto"/>
                <w:left w:val="none" w:sz="0" w:space="0" w:color="auto"/>
                <w:bottom w:val="none" w:sz="0" w:space="0" w:color="auto"/>
                <w:right w:val="none" w:sz="0" w:space="0" w:color="auto"/>
              </w:divBdr>
            </w:div>
            <w:div w:id="1302729514">
              <w:marLeft w:val="0"/>
              <w:marRight w:val="0"/>
              <w:marTop w:val="0"/>
              <w:marBottom w:val="0"/>
              <w:divBdr>
                <w:top w:val="none" w:sz="0" w:space="0" w:color="auto"/>
                <w:left w:val="none" w:sz="0" w:space="0" w:color="auto"/>
                <w:bottom w:val="none" w:sz="0" w:space="0" w:color="auto"/>
                <w:right w:val="none" w:sz="0" w:space="0" w:color="auto"/>
              </w:divBdr>
            </w:div>
            <w:div w:id="1426262338">
              <w:marLeft w:val="0"/>
              <w:marRight w:val="0"/>
              <w:marTop w:val="0"/>
              <w:marBottom w:val="0"/>
              <w:divBdr>
                <w:top w:val="none" w:sz="0" w:space="0" w:color="auto"/>
                <w:left w:val="none" w:sz="0" w:space="0" w:color="auto"/>
                <w:bottom w:val="none" w:sz="0" w:space="0" w:color="auto"/>
                <w:right w:val="none" w:sz="0" w:space="0" w:color="auto"/>
              </w:divBdr>
            </w:div>
            <w:div w:id="1864588617">
              <w:marLeft w:val="0"/>
              <w:marRight w:val="0"/>
              <w:marTop w:val="0"/>
              <w:marBottom w:val="0"/>
              <w:divBdr>
                <w:top w:val="none" w:sz="0" w:space="0" w:color="auto"/>
                <w:left w:val="none" w:sz="0" w:space="0" w:color="auto"/>
                <w:bottom w:val="none" w:sz="0" w:space="0" w:color="auto"/>
                <w:right w:val="none" w:sz="0" w:space="0" w:color="auto"/>
              </w:divBdr>
            </w:div>
          </w:divsChild>
        </w:div>
        <w:div w:id="1581521882">
          <w:marLeft w:val="0"/>
          <w:marRight w:val="0"/>
          <w:marTop w:val="0"/>
          <w:marBottom w:val="0"/>
          <w:divBdr>
            <w:top w:val="none" w:sz="0" w:space="0" w:color="auto"/>
            <w:left w:val="none" w:sz="0" w:space="0" w:color="auto"/>
            <w:bottom w:val="none" w:sz="0" w:space="0" w:color="auto"/>
            <w:right w:val="none" w:sz="0" w:space="0" w:color="auto"/>
          </w:divBdr>
        </w:div>
        <w:div w:id="1599023453">
          <w:marLeft w:val="0"/>
          <w:marRight w:val="0"/>
          <w:marTop w:val="0"/>
          <w:marBottom w:val="0"/>
          <w:divBdr>
            <w:top w:val="none" w:sz="0" w:space="0" w:color="auto"/>
            <w:left w:val="none" w:sz="0" w:space="0" w:color="auto"/>
            <w:bottom w:val="none" w:sz="0" w:space="0" w:color="auto"/>
            <w:right w:val="none" w:sz="0" w:space="0" w:color="auto"/>
          </w:divBdr>
          <w:divsChild>
            <w:div w:id="86117422">
              <w:marLeft w:val="-75"/>
              <w:marRight w:val="0"/>
              <w:marTop w:val="30"/>
              <w:marBottom w:val="30"/>
              <w:divBdr>
                <w:top w:val="none" w:sz="0" w:space="0" w:color="auto"/>
                <w:left w:val="none" w:sz="0" w:space="0" w:color="auto"/>
                <w:bottom w:val="none" w:sz="0" w:space="0" w:color="auto"/>
                <w:right w:val="none" w:sz="0" w:space="0" w:color="auto"/>
              </w:divBdr>
              <w:divsChild>
                <w:div w:id="1619994996">
                  <w:marLeft w:val="0"/>
                  <w:marRight w:val="0"/>
                  <w:marTop w:val="0"/>
                  <w:marBottom w:val="0"/>
                  <w:divBdr>
                    <w:top w:val="none" w:sz="0" w:space="0" w:color="auto"/>
                    <w:left w:val="none" w:sz="0" w:space="0" w:color="auto"/>
                    <w:bottom w:val="none" w:sz="0" w:space="0" w:color="auto"/>
                    <w:right w:val="none" w:sz="0" w:space="0" w:color="auto"/>
                  </w:divBdr>
                  <w:divsChild>
                    <w:div w:id="1299339186">
                      <w:marLeft w:val="0"/>
                      <w:marRight w:val="0"/>
                      <w:marTop w:val="0"/>
                      <w:marBottom w:val="0"/>
                      <w:divBdr>
                        <w:top w:val="none" w:sz="0" w:space="0" w:color="auto"/>
                        <w:left w:val="none" w:sz="0" w:space="0" w:color="auto"/>
                        <w:bottom w:val="none" w:sz="0" w:space="0" w:color="auto"/>
                        <w:right w:val="none" w:sz="0" w:space="0" w:color="auto"/>
                      </w:divBdr>
                    </w:div>
                  </w:divsChild>
                </w:div>
                <w:div w:id="1878738069">
                  <w:marLeft w:val="0"/>
                  <w:marRight w:val="0"/>
                  <w:marTop w:val="0"/>
                  <w:marBottom w:val="0"/>
                  <w:divBdr>
                    <w:top w:val="none" w:sz="0" w:space="0" w:color="auto"/>
                    <w:left w:val="none" w:sz="0" w:space="0" w:color="auto"/>
                    <w:bottom w:val="none" w:sz="0" w:space="0" w:color="auto"/>
                    <w:right w:val="none" w:sz="0" w:space="0" w:color="auto"/>
                  </w:divBdr>
                  <w:divsChild>
                    <w:div w:id="1598057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991636">
          <w:marLeft w:val="0"/>
          <w:marRight w:val="0"/>
          <w:marTop w:val="0"/>
          <w:marBottom w:val="0"/>
          <w:divBdr>
            <w:top w:val="none" w:sz="0" w:space="0" w:color="auto"/>
            <w:left w:val="none" w:sz="0" w:space="0" w:color="auto"/>
            <w:bottom w:val="none" w:sz="0" w:space="0" w:color="auto"/>
            <w:right w:val="none" w:sz="0" w:space="0" w:color="auto"/>
          </w:divBdr>
        </w:div>
      </w:divsChild>
    </w:div>
    <w:div w:id="54862226">
      <w:bodyDiv w:val="1"/>
      <w:marLeft w:val="0"/>
      <w:marRight w:val="0"/>
      <w:marTop w:val="0"/>
      <w:marBottom w:val="0"/>
      <w:divBdr>
        <w:top w:val="none" w:sz="0" w:space="0" w:color="auto"/>
        <w:left w:val="none" w:sz="0" w:space="0" w:color="auto"/>
        <w:bottom w:val="none" w:sz="0" w:space="0" w:color="auto"/>
        <w:right w:val="none" w:sz="0" w:space="0" w:color="auto"/>
      </w:divBdr>
    </w:div>
    <w:div w:id="76439315">
      <w:bodyDiv w:val="1"/>
      <w:marLeft w:val="0"/>
      <w:marRight w:val="0"/>
      <w:marTop w:val="0"/>
      <w:marBottom w:val="0"/>
      <w:divBdr>
        <w:top w:val="none" w:sz="0" w:space="0" w:color="auto"/>
        <w:left w:val="none" w:sz="0" w:space="0" w:color="auto"/>
        <w:bottom w:val="none" w:sz="0" w:space="0" w:color="auto"/>
        <w:right w:val="none" w:sz="0" w:space="0" w:color="auto"/>
      </w:divBdr>
    </w:div>
    <w:div w:id="108744037">
      <w:bodyDiv w:val="1"/>
      <w:marLeft w:val="0"/>
      <w:marRight w:val="0"/>
      <w:marTop w:val="0"/>
      <w:marBottom w:val="0"/>
      <w:divBdr>
        <w:top w:val="none" w:sz="0" w:space="0" w:color="auto"/>
        <w:left w:val="none" w:sz="0" w:space="0" w:color="auto"/>
        <w:bottom w:val="none" w:sz="0" w:space="0" w:color="auto"/>
        <w:right w:val="none" w:sz="0" w:space="0" w:color="auto"/>
      </w:divBdr>
    </w:div>
    <w:div w:id="109781835">
      <w:bodyDiv w:val="1"/>
      <w:marLeft w:val="0"/>
      <w:marRight w:val="0"/>
      <w:marTop w:val="0"/>
      <w:marBottom w:val="0"/>
      <w:divBdr>
        <w:top w:val="none" w:sz="0" w:space="0" w:color="auto"/>
        <w:left w:val="none" w:sz="0" w:space="0" w:color="auto"/>
        <w:bottom w:val="none" w:sz="0" w:space="0" w:color="auto"/>
        <w:right w:val="none" w:sz="0" w:space="0" w:color="auto"/>
      </w:divBdr>
    </w:div>
    <w:div w:id="125241940">
      <w:bodyDiv w:val="1"/>
      <w:marLeft w:val="0"/>
      <w:marRight w:val="0"/>
      <w:marTop w:val="0"/>
      <w:marBottom w:val="0"/>
      <w:divBdr>
        <w:top w:val="none" w:sz="0" w:space="0" w:color="auto"/>
        <w:left w:val="none" w:sz="0" w:space="0" w:color="auto"/>
        <w:bottom w:val="none" w:sz="0" w:space="0" w:color="auto"/>
        <w:right w:val="none" w:sz="0" w:space="0" w:color="auto"/>
      </w:divBdr>
      <w:divsChild>
        <w:div w:id="417139539">
          <w:marLeft w:val="0"/>
          <w:marRight w:val="0"/>
          <w:marTop w:val="0"/>
          <w:marBottom w:val="0"/>
          <w:divBdr>
            <w:top w:val="none" w:sz="0" w:space="0" w:color="auto"/>
            <w:left w:val="none" w:sz="0" w:space="0" w:color="auto"/>
            <w:bottom w:val="none" w:sz="0" w:space="0" w:color="auto"/>
            <w:right w:val="none" w:sz="0" w:space="0" w:color="auto"/>
          </w:divBdr>
          <w:divsChild>
            <w:div w:id="25185346">
              <w:marLeft w:val="-75"/>
              <w:marRight w:val="0"/>
              <w:marTop w:val="30"/>
              <w:marBottom w:val="30"/>
              <w:divBdr>
                <w:top w:val="none" w:sz="0" w:space="0" w:color="auto"/>
                <w:left w:val="none" w:sz="0" w:space="0" w:color="auto"/>
                <w:bottom w:val="none" w:sz="0" w:space="0" w:color="auto"/>
                <w:right w:val="none" w:sz="0" w:space="0" w:color="auto"/>
              </w:divBdr>
              <w:divsChild>
                <w:div w:id="16854994">
                  <w:marLeft w:val="0"/>
                  <w:marRight w:val="0"/>
                  <w:marTop w:val="0"/>
                  <w:marBottom w:val="0"/>
                  <w:divBdr>
                    <w:top w:val="none" w:sz="0" w:space="0" w:color="auto"/>
                    <w:left w:val="none" w:sz="0" w:space="0" w:color="auto"/>
                    <w:bottom w:val="none" w:sz="0" w:space="0" w:color="auto"/>
                    <w:right w:val="none" w:sz="0" w:space="0" w:color="auto"/>
                  </w:divBdr>
                  <w:divsChild>
                    <w:div w:id="342711155">
                      <w:marLeft w:val="0"/>
                      <w:marRight w:val="0"/>
                      <w:marTop w:val="0"/>
                      <w:marBottom w:val="0"/>
                      <w:divBdr>
                        <w:top w:val="none" w:sz="0" w:space="0" w:color="auto"/>
                        <w:left w:val="none" w:sz="0" w:space="0" w:color="auto"/>
                        <w:bottom w:val="none" w:sz="0" w:space="0" w:color="auto"/>
                        <w:right w:val="none" w:sz="0" w:space="0" w:color="auto"/>
                      </w:divBdr>
                    </w:div>
                  </w:divsChild>
                </w:div>
                <w:div w:id="84812844">
                  <w:marLeft w:val="0"/>
                  <w:marRight w:val="0"/>
                  <w:marTop w:val="0"/>
                  <w:marBottom w:val="0"/>
                  <w:divBdr>
                    <w:top w:val="none" w:sz="0" w:space="0" w:color="auto"/>
                    <w:left w:val="none" w:sz="0" w:space="0" w:color="auto"/>
                    <w:bottom w:val="none" w:sz="0" w:space="0" w:color="auto"/>
                    <w:right w:val="none" w:sz="0" w:space="0" w:color="auto"/>
                  </w:divBdr>
                  <w:divsChild>
                    <w:div w:id="1972783723">
                      <w:marLeft w:val="0"/>
                      <w:marRight w:val="0"/>
                      <w:marTop w:val="0"/>
                      <w:marBottom w:val="0"/>
                      <w:divBdr>
                        <w:top w:val="none" w:sz="0" w:space="0" w:color="auto"/>
                        <w:left w:val="none" w:sz="0" w:space="0" w:color="auto"/>
                        <w:bottom w:val="none" w:sz="0" w:space="0" w:color="auto"/>
                        <w:right w:val="none" w:sz="0" w:space="0" w:color="auto"/>
                      </w:divBdr>
                    </w:div>
                  </w:divsChild>
                </w:div>
                <w:div w:id="144519769">
                  <w:marLeft w:val="0"/>
                  <w:marRight w:val="0"/>
                  <w:marTop w:val="0"/>
                  <w:marBottom w:val="0"/>
                  <w:divBdr>
                    <w:top w:val="none" w:sz="0" w:space="0" w:color="auto"/>
                    <w:left w:val="none" w:sz="0" w:space="0" w:color="auto"/>
                    <w:bottom w:val="none" w:sz="0" w:space="0" w:color="auto"/>
                    <w:right w:val="none" w:sz="0" w:space="0" w:color="auto"/>
                  </w:divBdr>
                  <w:divsChild>
                    <w:div w:id="1650862156">
                      <w:marLeft w:val="0"/>
                      <w:marRight w:val="0"/>
                      <w:marTop w:val="0"/>
                      <w:marBottom w:val="0"/>
                      <w:divBdr>
                        <w:top w:val="none" w:sz="0" w:space="0" w:color="auto"/>
                        <w:left w:val="none" w:sz="0" w:space="0" w:color="auto"/>
                        <w:bottom w:val="none" w:sz="0" w:space="0" w:color="auto"/>
                        <w:right w:val="none" w:sz="0" w:space="0" w:color="auto"/>
                      </w:divBdr>
                    </w:div>
                  </w:divsChild>
                </w:div>
                <w:div w:id="160656900">
                  <w:marLeft w:val="0"/>
                  <w:marRight w:val="0"/>
                  <w:marTop w:val="0"/>
                  <w:marBottom w:val="0"/>
                  <w:divBdr>
                    <w:top w:val="none" w:sz="0" w:space="0" w:color="auto"/>
                    <w:left w:val="none" w:sz="0" w:space="0" w:color="auto"/>
                    <w:bottom w:val="none" w:sz="0" w:space="0" w:color="auto"/>
                    <w:right w:val="none" w:sz="0" w:space="0" w:color="auto"/>
                  </w:divBdr>
                  <w:divsChild>
                    <w:div w:id="1609465275">
                      <w:marLeft w:val="0"/>
                      <w:marRight w:val="0"/>
                      <w:marTop w:val="0"/>
                      <w:marBottom w:val="0"/>
                      <w:divBdr>
                        <w:top w:val="none" w:sz="0" w:space="0" w:color="auto"/>
                        <w:left w:val="none" w:sz="0" w:space="0" w:color="auto"/>
                        <w:bottom w:val="none" w:sz="0" w:space="0" w:color="auto"/>
                        <w:right w:val="none" w:sz="0" w:space="0" w:color="auto"/>
                      </w:divBdr>
                    </w:div>
                  </w:divsChild>
                </w:div>
                <w:div w:id="175534692">
                  <w:marLeft w:val="0"/>
                  <w:marRight w:val="0"/>
                  <w:marTop w:val="0"/>
                  <w:marBottom w:val="0"/>
                  <w:divBdr>
                    <w:top w:val="none" w:sz="0" w:space="0" w:color="auto"/>
                    <w:left w:val="none" w:sz="0" w:space="0" w:color="auto"/>
                    <w:bottom w:val="none" w:sz="0" w:space="0" w:color="auto"/>
                    <w:right w:val="none" w:sz="0" w:space="0" w:color="auto"/>
                  </w:divBdr>
                  <w:divsChild>
                    <w:div w:id="818812770">
                      <w:marLeft w:val="0"/>
                      <w:marRight w:val="0"/>
                      <w:marTop w:val="0"/>
                      <w:marBottom w:val="0"/>
                      <w:divBdr>
                        <w:top w:val="none" w:sz="0" w:space="0" w:color="auto"/>
                        <w:left w:val="none" w:sz="0" w:space="0" w:color="auto"/>
                        <w:bottom w:val="none" w:sz="0" w:space="0" w:color="auto"/>
                        <w:right w:val="none" w:sz="0" w:space="0" w:color="auto"/>
                      </w:divBdr>
                    </w:div>
                  </w:divsChild>
                </w:div>
                <w:div w:id="269315270">
                  <w:marLeft w:val="0"/>
                  <w:marRight w:val="0"/>
                  <w:marTop w:val="0"/>
                  <w:marBottom w:val="0"/>
                  <w:divBdr>
                    <w:top w:val="none" w:sz="0" w:space="0" w:color="auto"/>
                    <w:left w:val="none" w:sz="0" w:space="0" w:color="auto"/>
                    <w:bottom w:val="none" w:sz="0" w:space="0" w:color="auto"/>
                    <w:right w:val="none" w:sz="0" w:space="0" w:color="auto"/>
                  </w:divBdr>
                  <w:divsChild>
                    <w:div w:id="564493274">
                      <w:marLeft w:val="0"/>
                      <w:marRight w:val="0"/>
                      <w:marTop w:val="0"/>
                      <w:marBottom w:val="0"/>
                      <w:divBdr>
                        <w:top w:val="none" w:sz="0" w:space="0" w:color="auto"/>
                        <w:left w:val="none" w:sz="0" w:space="0" w:color="auto"/>
                        <w:bottom w:val="none" w:sz="0" w:space="0" w:color="auto"/>
                        <w:right w:val="none" w:sz="0" w:space="0" w:color="auto"/>
                      </w:divBdr>
                    </w:div>
                  </w:divsChild>
                </w:div>
                <w:div w:id="280495718">
                  <w:marLeft w:val="0"/>
                  <w:marRight w:val="0"/>
                  <w:marTop w:val="0"/>
                  <w:marBottom w:val="0"/>
                  <w:divBdr>
                    <w:top w:val="none" w:sz="0" w:space="0" w:color="auto"/>
                    <w:left w:val="none" w:sz="0" w:space="0" w:color="auto"/>
                    <w:bottom w:val="none" w:sz="0" w:space="0" w:color="auto"/>
                    <w:right w:val="none" w:sz="0" w:space="0" w:color="auto"/>
                  </w:divBdr>
                  <w:divsChild>
                    <w:div w:id="1971862286">
                      <w:marLeft w:val="0"/>
                      <w:marRight w:val="0"/>
                      <w:marTop w:val="0"/>
                      <w:marBottom w:val="0"/>
                      <w:divBdr>
                        <w:top w:val="none" w:sz="0" w:space="0" w:color="auto"/>
                        <w:left w:val="none" w:sz="0" w:space="0" w:color="auto"/>
                        <w:bottom w:val="none" w:sz="0" w:space="0" w:color="auto"/>
                        <w:right w:val="none" w:sz="0" w:space="0" w:color="auto"/>
                      </w:divBdr>
                    </w:div>
                  </w:divsChild>
                </w:div>
                <w:div w:id="334235701">
                  <w:marLeft w:val="0"/>
                  <w:marRight w:val="0"/>
                  <w:marTop w:val="0"/>
                  <w:marBottom w:val="0"/>
                  <w:divBdr>
                    <w:top w:val="none" w:sz="0" w:space="0" w:color="auto"/>
                    <w:left w:val="none" w:sz="0" w:space="0" w:color="auto"/>
                    <w:bottom w:val="none" w:sz="0" w:space="0" w:color="auto"/>
                    <w:right w:val="none" w:sz="0" w:space="0" w:color="auto"/>
                  </w:divBdr>
                  <w:divsChild>
                    <w:div w:id="983049960">
                      <w:marLeft w:val="0"/>
                      <w:marRight w:val="0"/>
                      <w:marTop w:val="0"/>
                      <w:marBottom w:val="0"/>
                      <w:divBdr>
                        <w:top w:val="none" w:sz="0" w:space="0" w:color="auto"/>
                        <w:left w:val="none" w:sz="0" w:space="0" w:color="auto"/>
                        <w:bottom w:val="none" w:sz="0" w:space="0" w:color="auto"/>
                        <w:right w:val="none" w:sz="0" w:space="0" w:color="auto"/>
                      </w:divBdr>
                    </w:div>
                  </w:divsChild>
                </w:div>
                <w:div w:id="352536885">
                  <w:marLeft w:val="0"/>
                  <w:marRight w:val="0"/>
                  <w:marTop w:val="0"/>
                  <w:marBottom w:val="0"/>
                  <w:divBdr>
                    <w:top w:val="none" w:sz="0" w:space="0" w:color="auto"/>
                    <w:left w:val="none" w:sz="0" w:space="0" w:color="auto"/>
                    <w:bottom w:val="none" w:sz="0" w:space="0" w:color="auto"/>
                    <w:right w:val="none" w:sz="0" w:space="0" w:color="auto"/>
                  </w:divBdr>
                  <w:divsChild>
                    <w:div w:id="48000498">
                      <w:marLeft w:val="0"/>
                      <w:marRight w:val="0"/>
                      <w:marTop w:val="0"/>
                      <w:marBottom w:val="0"/>
                      <w:divBdr>
                        <w:top w:val="none" w:sz="0" w:space="0" w:color="auto"/>
                        <w:left w:val="none" w:sz="0" w:space="0" w:color="auto"/>
                        <w:bottom w:val="none" w:sz="0" w:space="0" w:color="auto"/>
                        <w:right w:val="none" w:sz="0" w:space="0" w:color="auto"/>
                      </w:divBdr>
                    </w:div>
                  </w:divsChild>
                </w:div>
                <w:div w:id="532306266">
                  <w:marLeft w:val="0"/>
                  <w:marRight w:val="0"/>
                  <w:marTop w:val="0"/>
                  <w:marBottom w:val="0"/>
                  <w:divBdr>
                    <w:top w:val="none" w:sz="0" w:space="0" w:color="auto"/>
                    <w:left w:val="none" w:sz="0" w:space="0" w:color="auto"/>
                    <w:bottom w:val="none" w:sz="0" w:space="0" w:color="auto"/>
                    <w:right w:val="none" w:sz="0" w:space="0" w:color="auto"/>
                  </w:divBdr>
                  <w:divsChild>
                    <w:div w:id="2050907750">
                      <w:marLeft w:val="0"/>
                      <w:marRight w:val="0"/>
                      <w:marTop w:val="0"/>
                      <w:marBottom w:val="0"/>
                      <w:divBdr>
                        <w:top w:val="none" w:sz="0" w:space="0" w:color="auto"/>
                        <w:left w:val="none" w:sz="0" w:space="0" w:color="auto"/>
                        <w:bottom w:val="none" w:sz="0" w:space="0" w:color="auto"/>
                        <w:right w:val="none" w:sz="0" w:space="0" w:color="auto"/>
                      </w:divBdr>
                    </w:div>
                  </w:divsChild>
                </w:div>
                <w:div w:id="568855403">
                  <w:marLeft w:val="0"/>
                  <w:marRight w:val="0"/>
                  <w:marTop w:val="0"/>
                  <w:marBottom w:val="0"/>
                  <w:divBdr>
                    <w:top w:val="none" w:sz="0" w:space="0" w:color="auto"/>
                    <w:left w:val="none" w:sz="0" w:space="0" w:color="auto"/>
                    <w:bottom w:val="none" w:sz="0" w:space="0" w:color="auto"/>
                    <w:right w:val="none" w:sz="0" w:space="0" w:color="auto"/>
                  </w:divBdr>
                  <w:divsChild>
                    <w:div w:id="997196190">
                      <w:marLeft w:val="0"/>
                      <w:marRight w:val="0"/>
                      <w:marTop w:val="0"/>
                      <w:marBottom w:val="0"/>
                      <w:divBdr>
                        <w:top w:val="none" w:sz="0" w:space="0" w:color="auto"/>
                        <w:left w:val="none" w:sz="0" w:space="0" w:color="auto"/>
                        <w:bottom w:val="none" w:sz="0" w:space="0" w:color="auto"/>
                        <w:right w:val="none" w:sz="0" w:space="0" w:color="auto"/>
                      </w:divBdr>
                    </w:div>
                  </w:divsChild>
                </w:div>
                <w:div w:id="601911344">
                  <w:marLeft w:val="0"/>
                  <w:marRight w:val="0"/>
                  <w:marTop w:val="0"/>
                  <w:marBottom w:val="0"/>
                  <w:divBdr>
                    <w:top w:val="none" w:sz="0" w:space="0" w:color="auto"/>
                    <w:left w:val="none" w:sz="0" w:space="0" w:color="auto"/>
                    <w:bottom w:val="none" w:sz="0" w:space="0" w:color="auto"/>
                    <w:right w:val="none" w:sz="0" w:space="0" w:color="auto"/>
                  </w:divBdr>
                  <w:divsChild>
                    <w:div w:id="481964193">
                      <w:marLeft w:val="0"/>
                      <w:marRight w:val="0"/>
                      <w:marTop w:val="0"/>
                      <w:marBottom w:val="0"/>
                      <w:divBdr>
                        <w:top w:val="none" w:sz="0" w:space="0" w:color="auto"/>
                        <w:left w:val="none" w:sz="0" w:space="0" w:color="auto"/>
                        <w:bottom w:val="none" w:sz="0" w:space="0" w:color="auto"/>
                        <w:right w:val="none" w:sz="0" w:space="0" w:color="auto"/>
                      </w:divBdr>
                    </w:div>
                  </w:divsChild>
                </w:div>
                <w:div w:id="623849684">
                  <w:marLeft w:val="0"/>
                  <w:marRight w:val="0"/>
                  <w:marTop w:val="0"/>
                  <w:marBottom w:val="0"/>
                  <w:divBdr>
                    <w:top w:val="none" w:sz="0" w:space="0" w:color="auto"/>
                    <w:left w:val="none" w:sz="0" w:space="0" w:color="auto"/>
                    <w:bottom w:val="none" w:sz="0" w:space="0" w:color="auto"/>
                    <w:right w:val="none" w:sz="0" w:space="0" w:color="auto"/>
                  </w:divBdr>
                  <w:divsChild>
                    <w:div w:id="1240747551">
                      <w:marLeft w:val="0"/>
                      <w:marRight w:val="0"/>
                      <w:marTop w:val="0"/>
                      <w:marBottom w:val="0"/>
                      <w:divBdr>
                        <w:top w:val="none" w:sz="0" w:space="0" w:color="auto"/>
                        <w:left w:val="none" w:sz="0" w:space="0" w:color="auto"/>
                        <w:bottom w:val="none" w:sz="0" w:space="0" w:color="auto"/>
                        <w:right w:val="none" w:sz="0" w:space="0" w:color="auto"/>
                      </w:divBdr>
                    </w:div>
                  </w:divsChild>
                </w:div>
                <w:div w:id="631983656">
                  <w:marLeft w:val="0"/>
                  <w:marRight w:val="0"/>
                  <w:marTop w:val="0"/>
                  <w:marBottom w:val="0"/>
                  <w:divBdr>
                    <w:top w:val="none" w:sz="0" w:space="0" w:color="auto"/>
                    <w:left w:val="none" w:sz="0" w:space="0" w:color="auto"/>
                    <w:bottom w:val="none" w:sz="0" w:space="0" w:color="auto"/>
                    <w:right w:val="none" w:sz="0" w:space="0" w:color="auto"/>
                  </w:divBdr>
                  <w:divsChild>
                    <w:div w:id="465390625">
                      <w:marLeft w:val="0"/>
                      <w:marRight w:val="0"/>
                      <w:marTop w:val="0"/>
                      <w:marBottom w:val="0"/>
                      <w:divBdr>
                        <w:top w:val="none" w:sz="0" w:space="0" w:color="auto"/>
                        <w:left w:val="none" w:sz="0" w:space="0" w:color="auto"/>
                        <w:bottom w:val="none" w:sz="0" w:space="0" w:color="auto"/>
                        <w:right w:val="none" w:sz="0" w:space="0" w:color="auto"/>
                      </w:divBdr>
                    </w:div>
                  </w:divsChild>
                </w:div>
                <w:div w:id="747069597">
                  <w:marLeft w:val="0"/>
                  <w:marRight w:val="0"/>
                  <w:marTop w:val="0"/>
                  <w:marBottom w:val="0"/>
                  <w:divBdr>
                    <w:top w:val="none" w:sz="0" w:space="0" w:color="auto"/>
                    <w:left w:val="none" w:sz="0" w:space="0" w:color="auto"/>
                    <w:bottom w:val="none" w:sz="0" w:space="0" w:color="auto"/>
                    <w:right w:val="none" w:sz="0" w:space="0" w:color="auto"/>
                  </w:divBdr>
                  <w:divsChild>
                    <w:div w:id="393084989">
                      <w:marLeft w:val="0"/>
                      <w:marRight w:val="0"/>
                      <w:marTop w:val="0"/>
                      <w:marBottom w:val="0"/>
                      <w:divBdr>
                        <w:top w:val="none" w:sz="0" w:space="0" w:color="auto"/>
                        <w:left w:val="none" w:sz="0" w:space="0" w:color="auto"/>
                        <w:bottom w:val="none" w:sz="0" w:space="0" w:color="auto"/>
                        <w:right w:val="none" w:sz="0" w:space="0" w:color="auto"/>
                      </w:divBdr>
                    </w:div>
                  </w:divsChild>
                </w:div>
                <w:div w:id="807016285">
                  <w:marLeft w:val="0"/>
                  <w:marRight w:val="0"/>
                  <w:marTop w:val="0"/>
                  <w:marBottom w:val="0"/>
                  <w:divBdr>
                    <w:top w:val="none" w:sz="0" w:space="0" w:color="auto"/>
                    <w:left w:val="none" w:sz="0" w:space="0" w:color="auto"/>
                    <w:bottom w:val="none" w:sz="0" w:space="0" w:color="auto"/>
                    <w:right w:val="none" w:sz="0" w:space="0" w:color="auto"/>
                  </w:divBdr>
                  <w:divsChild>
                    <w:div w:id="207304672">
                      <w:marLeft w:val="0"/>
                      <w:marRight w:val="0"/>
                      <w:marTop w:val="0"/>
                      <w:marBottom w:val="0"/>
                      <w:divBdr>
                        <w:top w:val="none" w:sz="0" w:space="0" w:color="auto"/>
                        <w:left w:val="none" w:sz="0" w:space="0" w:color="auto"/>
                        <w:bottom w:val="none" w:sz="0" w:space="0" w:color="auto"/>
                        <w:right w:val="none" w:sz="0" w:space="0" w:color="auto"/>
                      </w:divBdr>
                    </w:div>
                  </w:divsChild>
                </w:div>
                <w:div w:id="846677344">
                  <w:marLeft w:val="0"/>
                  <w:marRight w:val="0"/>
                  <w:marTop w:val="0"/>
                  <w:marBottom w:val="0"/>
                  <w:divBdr>
                    <w:top w:val="none" w:sz="0" w:space="0" w:color="auto"/>
                    <w:left w:val="none" w:sz="0" w:space="0" w:color="auto"/>
                    <w:bottom w:val="none" w:sz="0" w:space="0" w:color="auto"/>
                    <w:right w:val="none" w:sz="0" w:space="0" w:color="auto"/>
                  </w:divBdr>
                  <w:divsChild>
                    <w:div w:id="91824578">
                      <w:marLeft w:val="0"/>
                      <w:marRight w:val="0"/>
                      <w:marTop w:val="0"/>
                      <w:marBottom w:val="0"/>
                      <w:divBdr>
                        <w:top w:val="none" w:sz="0" w:space="0" w:color="auto"/>
                        <w:left w:val="none" w:sz="0" w:space="0" w:color="auto"/>
                        <w:bottom w:val="none" w:sz="0" w:space="0" w:color="auto"/>
                        <w:right w:val="none" w:sz="0" w:space="0" w:color="auto"/>
                      </w:divBdr>
                    </w:div>
                  </w:divsChild>
                </w:div>
                <w:div w:id="925069458">
                  <w:marLeft w:val="0"/>
                  <w:marRight w:val="0"/>
                  <w:marTop w:val="0"/>
                  <w:marBottom w:val="0"/>
                  <w:divBdr>
                    <w:top w:val="none" w:sz="0" w:space="0" w:color="auto"/>
                    <w:left w:val="none" w:sz="0" w:space="0" w:color="auto"/>
                    <w:bottom w:val="none" w:sz="0" w:space="0" w:color="auto"/>
                    <w:right w:val="none" w:sz="0" w:space="0" w:color="auto"/>
                  </w:divBdr>
                  <w:divsChild>
                    <w:div w:id="2125343355">
                      <w:marLeft w:val="0"/>
                      <w:marRight w:val="0"/>
                      <w:marTop w:val="0"/>
                      <w:marBottom w:val="0"/>
                      <w:divBdr>
                        <w:top w:val="none" w:sz="0" w:space="0" w:color="auto"/>
                        <w:left w:val="none" w:sz="0" w:space="0" w:color="auto"/>
                        <w:bottom w:val="none" w:sz="0" w:space="0" w:color="auto"/>
                        <w:right w:val="none" w:sz="0" w:space="0" w:color="auto"/>
                      </w:divBdr>
                    </w:div>
                  </w:divsChild>
                </w:div>
                <w:div w:id="933587490">
                  <w:marLeft w:val="0"/>
                  <w:marRight w:val="0"/>
                  <w:marTop w:val="0"/>
                  <w:marBottom w:val="0"/>
                  <w:divBdr>
                    <w:top w:val="none" w:sz="0" w:space="0" w:color="auto"/>
                    <w:left w:val="none" w:sz="0" w:space="0" w:color="auto"/>
                    <w:bottom w:val="none" w:sz="0" w:space="0" w:color="auto"/>
                    <w:right w:val="none" w:sz="0" w:space="0" w:color="auto"/>
                  </w:divBdr>
                  <w:divsChild>
                    <w:div w:id="1976713952">
                      <w:marLeft w:val="0"/>
                      <w:marRight w:val="0"/>
                      <w:marTop w:val="0"/>
                      <w:marBottom w:val="0"/>
                      <w:divBdr>
                        <w:top w:val="none" w:sz="0" w:space="0" w:color="auto"/>
                        <w:left w:val="none" w:sz="0" w:space="0" w:color="auto"/>
                        <w:bottom w:val="none" w:sz="0" w:space="0" w:color="auto"/>
                        <w:right w:val="none" w:sz="0" w:space="0" w:color="auto"/>
                      </w:divBdr>
                    </w:div>
                  </w:divsChild>
                </w:div>
                <w:div w:id="1046299742">
                  <w:marLeft w:val="0"/>
                  <w:marRight w:val="0"/>
                  <w:marTop w:val="0"/>
                  <w:marBottom w:val="0"/>
                  <w:divBdr>
                    <w:top w:val="none" w:sz="0" w:space="0" w:color="auto"/>
                    <w:left w:val="none" w:sz="0" w:space="0" w:color="auto"/>
                    <w:bottom w:val="none" w:sz="0" w:space="0" w:color="auto"/>
                    <w:right w:val="none" w:sz="0" w:space="0" w:color="auto"/>
                  </w:divBdr>
                  <w:divsChild>
                    <w:div w:id="1340742479">
                      <w:marLeft w:val="0"/>
                      <w:marRight w:val="0"/>
                      <w:marTop w:val="0"/>
                      <w:marBottom w:val="0"/>
                      <w:divBdr>
                        <w:top w:val="none" w:sz="0" w:space="0" w:color="auto"/>
                        <w:left w:val="none" w:sz="0" w:space="0" w:color="auto"/>
                        <w:bottom w:val="none" w:sz="0" w:space="0" w:color="auto"/>
                        <w:right w:val="none" w:sz="0" w:space="0" w:color="auto"/>
                      </w:divBdr>
                    </w:div>
                  </w:divsChild>
                </w:div>
                <w:div w:id="1076702627">
                  <w:marLeft w:val="0"/>
                  <w:marRight w:val="0"/>
                  <w:marTop w:val="0"/>
                  <w:marBottom w:val="0"/>
                  <w:divBdr>
                    <w:top w:val="none" w:sz="0" w:space="0" w:color="auto"/>
                    <w:left w:val="none" w:sz="0" w:space="0" w:color="auto"/>
                    <w:bottom w:val="none" w:sz="0" w:space="0" w:color="auto"/>
                    <w:right w:val="none" w:sz="0" w:space="0" w:color="auto"/>
                  </w:divBdr>
                  <w:divsChild>
                    <w:div w:id="63766820">
                      <w:marLeft w:val="0"/>
                      <w:marRight w:val="0"/>
                      <w:marTop w:val="0"/>
                      <w:marBottom w:val="0"/>
                      <w:divBdr>
                        <w:top w:val="none" w:sz="0" w:space="0" w:color="auto"/>
                        <w:left w:val="none" w:sz="0" w:space="0" w:color="auto"/>
                        <w:bottom w:val="none" w:sz="0" w:space="0" w:color="auto"/>
                        <w:right w:val="none" w:sz="0" w:space="0" w:color="auto"/>
                      </w:divBdr>
                    </w:div>
                  </w:divsChild>
                </w:div>
                <w:div w:id="1080755706">
                  <w:marLeft w:val="0"/>
                  <w:marRight w:val="0"/>
                  <w:marTop w:val="0"/>
                  <w:marBottom w:val="0"/>
                  <w:divBdr>
                    <w:top w:val="none" w:sz="0" w:space="0" w:color="auto"/>
                    <w:left w:val="none" w:sz="0" w:space="0" w:color="auto"/>
                    <w:bottom w:val="none" w:sz="0" w:space="0" w:color="auto"/>
                    <w:right w:val="none" w:sz="0" w:space="0" w:color="auto"/>
                  </w:divBdr>
                  <w:divsChild>
                    <w:div w:id="1824463438">
                      <w:marLeft w:val="0"/>
                      <w:marRight w:val="0"/>
                      <w:marTop w:val="0"/>
                      <w:marBottom w:val="0"/>
                      <w:divBdr>
                        <w:top w:val="none" w:sz="0" w:space="0" w:color="auto"/>
                        <w:left w:val="none" w:sz="0" w:space="0" w:color="auto"/>
                        <w:bottom w:val="none" w:sz="0" w:space="0" w:color="auto"/>
                        <w:right w:val="none" w:sz="0" w:space="0" w:color="auto"/>
                      </w:divBdr>
                    </w:div>
                  </w:divsChild>
                </w:div>
                <w:div w:id="1098908527">
                  <w:marLeft w:val="0"/>
                  <w:marRight w:val="0"/>
                  <w:marTop w:val="0"/>
                  <w:marBottom w:val="0"/>
                  <w:divBdr>
                    <w:top w:val="none" w:sz="0" w:space="0" w:color="auto"/>
                    <w:left w:val="none" w:sz="0" w:space="0" w:color="auto"/>
                    <w:bottom w:val="none" w:sz="0" w:space="0" w:color="auto"/>
                    <w:right w:val="none" w:sz="0" w:space="0" w:color="auto"/>
                  </w:divBdr>
                  <w:divsChild>
                    <w:div w:id="829101009">
                      <w:marLeft w:val="0"/>
                      <w:marRight w:val="0"/>
                      <w:marTop w:val="0"/>
                      <w:marBottom w:val="0"/>
                      <w:divBdr>
                        <w:top w:val="none" w:sz="0" w:space="0" w:color="auto"/>
                        <w:left w:val="none" w:sz="0" w:space="0" w:color="auto"/>
                        <w:bottom w:val="none" w:sz="0" w:space="0" w:color="auto"/>
                        <w:right w:val="none" w:sz="0" w:space="0" w:color="auto"/>
                      </w:divBdr>
                    </w:div>
                  </w:divsChild>
                </w:div>
                <w:div w:id="1103914068">
                  <w:marLeft w:val="0"/>
                  <w:marRight w:val="0"/>
                  <w:marTop w:val="0"/>
                  <w:marBottom w:val="0"/>
                  <w:divBdr>
                    <w:top w:val="none" w:sz="0" w:space="0" w:color="auto"/>
                    <w:left w:val="none" w:sz="0" w:space="0" w:color="auto"/>
                    <w:bottom w:val="none" w:sz="0" w:space="0" w:color="auto"/>
                    <w:right w:val="none" w:sz="0" w:space="0" w:color="auto"/>
                  </w:divBdr>
                  <w:divsChild>
                    <w:div w:id="409273162">
                      <w:marLeft w:val="0"/>
                      <w:marRight w:val="0"/>
                      <w:marTop w:val="0"/>
                      <w:marBottom w:val="0"/>
                      <w:divBdr>
                        <w:top w:val="none" w:sz="0" w:space="0" w:color="auto"/>
                        <w:left w:val="none" w:sz="0" w:space="0" w:color="auto"/>
                        <w:bottom w:val="none" w:sz="0" w:space="0" w:color="auto"/>
                        <w:right w:val="none" w:sz="0" w:space="0" w:color="auto"/>
                      </w:divBdr>
                    </w:div>
                  </w:divsChild>
                </w:div>
                <w:div w:id="1199584140">
                  <w:marLeft w:val="0"/>
                  <w:marRight w:val="0"/>
                  <w:marTop w:val="0"/>
                  <w:marBottom w:val="0"/>
                  <w:divBdr>
                    <w:top w:val="none" w:sz="0" w:space="0" w:color="auto"/>
                    <w:left w:val="none" w:sz="0" w:space="0" w:color="auto"/>
                    <w:bottom w:val="none" w:sz="0" w:space="0" w:color="auto"/>
                    <w:right w:val="none" w:sz="0" w:space="0" w:color="auto"/>
                  </w:divBdr>
                  <w:divsChild>
                    <w:div w:id="2118865307">
                      <w:marLeft w:val="0"/>
                      <w:marRight w:val="0"/>
                      <w:marTop w:val="0"/>
                      <w:marBottom w:val="0"/>
                      <w:divBdr>
                        <w:top w:val="none" w:sz="0" w:space="0" w:color="auto"/>
                        <w:left w:val="none" w:sz="0" w:space="0" w:color="auto"/>
                        <w:bottom w:val="none" w:sz="0" w:space="0" w:color="auto"/>
                        <w:right w:val="none" w:sz="0" w:space="0" w:color="auto"/>
                      </w:divBdr>
                    </w:div>
                  </w:divsChild>
                </w:div>
                <w:div w:id="1205829187">
                  <w:marLeft w:val="0"/>
                  <w:marRight w:val="0"/>
                  <w:marTop w:val="0"/>
                  <w:marBottom w:val="0"/>
                  <w:divBdr>
                    <w:top w:val="none" w:sz="0" w:space="0" w:color="auto"/>
                    <w:left w:val="none" w:sz="0" w:space="0" w:color="auto"/>
                    <w:bottom w:val="none" w:sz="0" w:space="0" w:color="auto"/>
                    <w:right w:val="none" w:sz="0" w:space="0" w:color="auto"/>
                  </w:divBdr>
                  <w:divsChild>
                    <w:div w:id="1429229982">
                      <w:marLeft w:val="0"/>
                      <w:marRight w:val="0"/>
                      <w:marTop w:val="0"/>
                      <w:marBottom w:val="0"/>
                      <w:divBdr>
                        <w:top w:val="none" w:sz="0" w:space="0" w:color="auto"/>
                        <w:left w:val="none" w:sz="0" w:space="0" w:color="auto"/>
                        <w:bottom w:val="none" w:sz="0" w:space="0" w:color="auto"/>
                        <w:right w:val="none" w:sz="0" w:space="0" w:color="auto"/>
                      </w:divBdr>
                    </w:div>
                  </w:divsChild>
                </w:div>
                <w:div w:id="1218397832">
                  <w:marLeft w:val="0"/>
                  <w:marRight w:val="0"/>
                  <w:marTop w:val="0"/>
                  <w:marBottom w:val="0"/>
                  <w:divBdr>
                    <w:top w:val="none" w:sz="0" w:space="0" w:color="auto"/>
                    <w:left w:val="none" w:sz="0" w:space="0" w:color="auto"/>
                    <w:bottom w:val="none" w:sz="0" w:space="0" w:color="auto"/>
                    <w:right w:val="none" w:sz="0" w:space="0" w:color="auto"/>
                  </w:divBdr>
                  <w:divsChild>
                    <w:div w:id="1145969998">
                      <w:marLeft w:val="0"/>
                      <w:marRight w:val="0"/>
                      <w:marTop w:val="0"/>
                      <w:marBottom w:val="0"/>
                      <w:divBdr>
                        <w:top w:val="none" w:sz="0" w:space="0" w:color="auto"/>
                        <w:left w:val="none" w:sz="0" w:space="0" w:color="auto"/>
                        <w:bottom w:val="none" w:sz="0" w:space="0" w:color="auto"/>
                        <w:right w:val="none" w:sz="0" w:space="0" w:color="auto"/>
                      </w:divBdr>
                    </w:div>
                  </w:divsChild>
                </w:div>
                <w:div w:id="1257861769">
                  <w:marLeft w:val="0"/>
                  <w:marRight w:val="0"/>
                  <w:marTop w:val="0"/>
                  <w:marBottom w:val="0"/>
                  <w:divBdr>
                    <w:top w:val="none" w:sz="0" w:space="0" w:color="auto"/>
                    <w:left w:val="none" w:sz="0" w:space="0" w:color="auto"/>
                    <w:bottom w:val="none" w:sz="0" w:space="0" w:color="auto"/>
                    <w:right w:val="none" w:sz="0" w:space="0" w:color="auto"/>
                  </w:divBdr>
                  <w:divsChild>
                    <w:div w:id="1065294712">
                      <w:marLeft w:val="0"/>
                      <w:marRight w:val="0"/>
                      <w:marTop w:val="0"/>
                      <w:marBottom w:val="0"/>
                      <w:divBdr>
                        <w:top w:val="none" w:sz="0" w:space="0" w:color="auto"/>
                        <w:left w:val="none" w:sz="0" w:space="0" w:color="auto"/>
                        <w:bottom w:val="none" w:sz="0" w:space="0" w:color="auto"/>
                        <w:right w:val="none" w:sz="0" w:space="0" w:color="auto"/>
                      </w:divBdr>
                    </w:div>
                  </w:divsChild>
                </w:div>
                <w:div w:id="1264340552">
                  <w:marLeft w:val="0"/>
                  <w:marRight w:val="0"/>
                  <w:marTop w:val="0"/>
                  <w:marBottom w:val="0"/>
                  <w:divBdr>
                    <w:top w:val="none" w:sz="0" w:space="0" w:color="auto"/>
                    <w:left w:val="none" w:sz="0" w:space="0" w:color="auto"/>
                    <w:bottom w:val="none" w:sz="0" w:space="0" w:color="auto"/>
                    <w:right w:val="none" w:sz="0" w:space="0" w:color="auto"/>
                  </w:divBdr>
                  <w:divsChild>
                    <w:div w:id="506680378">
                      <w:marLeft w:val="0"/>
                      <w:marRight w:val="0"/>
                      <w:marTop w:val="0"/>
                      <w:marBottom w:val="0"/>
                      <w:divBdr>
                        <w:top w:val="none" w:sz="0" w:space="0" w:color="auto"/>
                        <w:left w:val="none" w:sz="0" w:space="0" w:color="auto"/>
                        <w:bottom w:val="none" w:sz="0" w:space="0" w:color="auto"/>
                        <w:right w:val="none" w:sz="0" w:space="0" w:color="auto"/>
                      </w:divBdr>
                    </w:div>
                  </w:divsChild>
                </w:div>
                <w:div w:id="1270237367">
                  <w:marLeft w:val="0"/>
                  <w:marRight w:val="0"/>
                  <w:marTop w:val="0"/>
                  <w:marBottom w:val="0"/>
                  <w:divBdr>
                    <w:top w:val="none" w:sz="0" w:space="0" w:color="auto"/>
                    <w:left w:val="none" w:sz="0" w:space="0" w:color="auto"/>
                    <w:bottom w:val="none" w:sz="0" w:space="0" w:color="auto"/>
                    <w:right w:val="none" w:sz="0" w:space="0" w:color="auto"/>
                  </w:divBdr>
                  <w:divsChild>
                    <w:div w:id="945121012">
                      <w:marLeft w:val="0"/>
                      <w:marRight w:val="0"/>
                      <w:marTop w:val="0"/>
                      <w:marBottom w:val="0"/>
                      <w:divBdr>
                        <w:top w:val="none" w:sz="0" w:space="0" w:color="auto"/>
                        <w:left w:val="none" w:sz="0" w:space="0" w:color="auto"/>
                        <w:bottom w:val="none" w:sz="0" w:space="0" w:color="auto"/>
                        <w:right w:val="none" w:sz="0" w:space="0" w:color="auto"/>
                      </w:divBdr>
                    </w:div>
                  </w:divsChild>
                </w:div>
                <w:div w:id="1272668214">
                  <w:marLeft w:val="0"/>
                  <w:marRight w:val="0"/>
                  <w:marTop w:val="0"/>
                  <w:marBottom w:val="0"/>
                  <w:divBdr>
                    <w:top w:val="none" w:sz="0" w:space="0" w:color="auto"/>
                    <w:left w:val="none" w:sz="0" w:space="0" w:color="auto"/>
                    <w:bottom w:val="none" w:sz="0" w:space="0" w:color="auto"/>
                    <w:right w:val="none" w:sz="0" w:space="0" w:color="auto"/>
                  </w:divBdr>
                  <w:divsChild>
                    <w:div w:id="85349364">
                      <w:marLeft w:val="0"/>
                      <w:marRight w:val="0"/>
                      <w:marTop w:val="0"/>
                      <w:marBottom w:val="0"/>
                      <w:divBdr>
                        <w:top w:val="none" w:sz="0" w:space="0" w:color="auto"/>
                        <w:left w:val="none" w:sz="0" w:space="0" w:color="auto"/>
                        <w:bottom w:val="none" w:sz="0" w:space="0" w:color="auto"/>
                        <w:right w:val="none" w:sz="0" w:space="0" w:color="auto"/>
                      </w:divBdr>
                    </w:div>
                  </w:divsChild>
                </w:div>
                <w:div w:id="1346444830">
                  <w:marLeft w:val="0"/>
                  <w:marRight w:val="0"/>
                  <w:marTop w:val="0"/>
                  <w:marBottom w:val="0"/>
                  <w:divBdr>
                    <w:top w:val="none" w:sz="0" w:space="0" w:color="auto"/>
                    <w:left w:val="none" w:sz="0" w:space="0" w:color="auto"/>
                    <w:bottom w:val="none" w:sz="0" w:space="0" w:color="auto"/>
                    <w:right w:val="none" w:sz="0" w:space="0" w:color="auto"/>
                  </w:divBdr>
                  <w:divsChild>
                    <w:div w:id="1443574493">
                      <w:marLeft w:val="0"/>
                      <w:marRight w:val="0"/>
                      <w:marTop w:val="0"/>
                      <w:marBottom w:val="0"/>
                      <w:divBdr>
                        <w:top w:val="none" w:sz="0" w:space="0" w:color="auto"/>
                        <w:left w:val="none" w:sz="0" w:space="0" w:color="auto"/>
                        <w:bottom w:val="none" w:sz="0" w:space="0" w:color="auto"/>
                        <w:right w:val="none" w:sz="0" w:space="0" w:color="auto"/>
                      </w:divBdr>
                    </w:div>
                  </w:divsChild>
                </w:div>
                <w:div w:id="1411730402">
                  <w:marLeft w:val="0"/>
                  <w:marRight w:val="0"/>
                  <w:marTop w:val="0"/>
                  <w:marBottom w:val="0"/>
                  <w:divBdr>
                    <w:top w:val="none" w:sz="0" w:space="0" w:color="auto"/>
                    <w:left w:val="none" w:sz="0" w:space="0" w:color="auto"/>
                    <w:bottom w:val="none" w:sz="0" w:space="0" w:color="auto"/>
                    <w:right w:val="none" w:sz="0" w:space="0" w:color="auto"/>
                  </w:divBdr>
                  <w:divsChild>
                    <w:div w:id="644896416">
                      <w:marLeft w:val="0"/>
                      <w:marRight w:val="0"/>
                      <w:marTop w:val="0"/>
                      <w:marBottom w:val="0"/>
                      <w:divBdr>
                        <w:top w:val="none" w:sz="0" w:space="0" w:color="auto"/>
                        <w:left w:val="none" w:sz="0" w:space="0" w:color="auto"/>
                        <w:bottom w:val="none" w:sz="0" w:space="0" w:color="auto"/>
                        <w:right w:val="none" w:sz="0" w:space="0" w:color="auto"/>
                      </w:divBdr>
                    </w:div>
                  </w:divsChild>
                </w:div>
                <w:div w:id="1438256981">
                  <w:marLeft w:val="0"/>
                  <w:marRight w:val="0"/>
                  <w:marTop w:val="0"/>
                  <w:marBottom w:val="0"/>
                  <w:divBdr>
                    <w:top w:val="none" w:sz="0" w:space="0" w:color="auto"/>
                    <w:left w:val="none" w:sz="0" w:space="0" w:color="auto"/>
                    <w:bottom w:val="none" w:sz="0" w:space="0" w:color="auto"/>
                    <w:right w:val="none" w:sz="0" w:space="0" w:color="auto"/>
                  </w:divBdr>
                  <w:divsChild>
                    <w:div w:id="456414036">
                      <w:marLeft w:val="0"/>
                      <w:marRight w:val="0"/>
                      <w:marTop w:val="0"/>
                      <w:marBottom w:val="0"/>
                      <w:divBdr>
                        <w:top w:val="none" w:sz="0" w:space="0" w:color="auto"/>
                        <w:left w:val="none" w:sz="0" w:space="0" w:color="auto"/>
                        <w:bottom w:val="none" w:sz="0" w:space="0" w:color="auto"/>
                        <w:right w:val="none" w:sz="0" w:space="0" w:color="auto"/>
                      </w:divBdr>
                    </w:div>
                  </w:divsChild>
                </w:div>
                <w:div w:id="1443649036">
                  <w:marLeft w:val="0"/>
                  <w:marRight w:val="0"/>
                  <w:marTop w:val="0"/>
                  <w:marBottom w:val="0"/>
                  <w:divBdr>
                    <w:top w:val="none" w:sz="0" w:space="0" w:color="auto"/>
                    <w:left w:val="none" w:sz="0" w:space="0" w:color="auto"/>
                    <w:bottom w:val="none" w:sz="0" w:space="0" w:color="auto"/>
                    <w:right w:val="none" w:sz="0" w:space="0" w:color="auto"/>
                  </w:divBdr>
                  <w:divsChild>
                    <w:div w:id="173884323">
                      <w:marLeft w:val="0"/>
                      <w:marRight w:val="0"/>
                      <w:marTop w:val="0"/>
                      <w:marBottom w:val="0"/>
                      <w:divBdr>
                        <w:top w:val="none" w:sz="0" w:space="0" w:color="auto"/>
                        <w:left w:val="none" w:sz="0" w:space="0" w:color="auto"/>
                        <w:bottom w:val="none" w:sz="0" w:space="0" w:color="auto"/>
                        <w:right w:val="none" w:sz="0" w:space="0" w:color="auto"/>
                      </w:divBdr>
                    </w:div>
                  </w:divsChild>
                </w:div>
                <w:div w:id="1468284099">
                  <w:marLeft w:val="0"/>
                  <w:marRight w:val="0"/>
                  <w:marTop w:val="0"/>
                  <w:marBottom w:val="0"/>
                  <w:divBdr>
                    <w:top w:val="none" w:sz="0" w:space="0" w:color="auto"/>
                    <w:left w:val="none" w:sz="0" w:space="0" w:color="auto"/>
                    <w:bottom w:val="none" w:sz="0" w:space="0" w:color="auto"/>
                    <w:right w:val="none" w:sz="0" w:space="0" w:color="auto"/>
                  </w:divBdr>
                  <w:divsChild>
                    <w:div w:id="1471021912">
                      <w:marLeft w:val="0"/>
                      <w:marRight w:val="0"/>
                      <w:marTop w:val="0"/>
                      <w:marBottom w:val="0"/>
                      <w:divBdr>
                        <w:top w:val="none" w:sz="0" w:space="0" w:color="auto"/>
                        <w:left w:val="none" w:sz="0" w:space="0" w:color="auto"/>
                        <w:bottom w:val="none" w:sz="0" w:space="0" w:color="auto"/>
                        <w:right w:val="none" w:sz="0" w:space="0" w:color="auto"/>
                      </w:divBdr>
                    </w:div>
                  </w:divsChild>
                </w:div>
                <w:div w:id="1477651613">
                  <w:marLeft w:val="0"/>
                  <w:marRight w:val="0"/>
                  <w:marTop w:val="0"/>
                  <w:marBottom w:val="0"/>
                  <w:divBdr>
                    <w:top w:val="none" w:sz="0" w:space="0" w:color="auto"/>
                    <w:left w:val="none" w:sz="0" w:space="0" w:color="auto"/>
                    <w:bottom w:val="none" w:sz="0" w:space="0" w:color="auto"/>
                    <w:right w:val="none" w:sz="0" w:space="0" w:color="auto"/>
                  </w:divBdr>
                  <w:divsChild>
                    <w:div w:id="1973169307">
                      <w:marLeft w:val="0"/>
                      <w:marRight w:val="0"/>
                      <w:marTop w:val="0"/>
                      <w:marBottom w:val="0"/>
                      <w:divBdr>
                        <w:top w:val="none" w:sz="0" w:space="0" w:color="auto"/>
                        <w:left w:val="none" w:sz="0" w:space="0" w:color="auto"/>
                        <w:bottom w:val="none" w:sz="0" w:space="0" w:color="auto"/>
                        <w:right w:val="none" w:sz="0" w:space="0" w:color="auto"/>
                      </w:divBdr>
                    </w:div>
                  </w:divsChild>
                </w:div>
                <w:div w:id="1565675570">
                  <w:marLeft w:val="0"/>
                  <w:marRight w:val="0"/>
                  <w:marTop w:val="0"/>
                  <w:marBottom w:val="0"/>
                  <w:divBdr>
                    <w:top w:val="none" w:sz="0" w:space="0" w:color="auto"/>
                    <w:left w:val="none" w:sz="0" w:space="0" w:color="auto"/>
                    <w:bottom w:val="none" w:sz="0" w:space="0" w:color="auto"/>
                    <w:right w:val="none" w:sz="0" w:space="0" w:color="auto"/>
                  </w:divBdr>
                  <w:divsChild>
                    <w:div w:id="1882861267">
                      <w:marLeft w:val="0"/>
                      <w:marRight w:val="0"/>
                      <w:marTop w:val="0"/>
                      <w:marBottom w:val="0"/>
                      <w:divBdr>
                        <w:top w:val="none" w:sz="0" w:space="0" w:color="auto"/>
                        <w:left w:val="none" w:sz="0" w:space="0" w:color="auto"/>
                        <w:bottom w:val="none" w:sz="0" w:space="0" w:color="auto"/>
                        <w:right w:val="none" w:sz="0" w:space="0" w:color="auto"/>
                      </w:divBdr>
                    </w:div>
                  </w:divsChild>
                </w:div>
                <w:div w:id="1618297092">
                  <w:marLeft w:val="0"/>
                  <w:marRight w:val="0"/>
                  <w:marTop w:val="0"/>
                  <w:marBottom w:val="0"/>
                  <w:divBdr>
                    <w:top w:val="none" w:sz="0" w:space="0" w:color="auto"/>
                    <w:left w:val="none" w:sz="0" w:space="0" w:color="auto"/>
                    <w:bottom w:val="none" w:sz="0" w:space="0" w:color="auto"/>
                    <w:right w:val="none" w:sz="0" w:space="0" w:color="auto"/>
                  </w:divBdr>
                  <w:divsChild>
                    <w:div w:id="683551916">
                      <w:marLeft w:val="0"/>
                      <w:marRight w:val="0"/>
                      <w:marTop w:val="0"/>
                      <w:marBottom w:val="0"/>
                      <w:divBdr>
                        <w:top w:val="none" w:sz="0" w:space="0" w:color="auto"/>
                        <w:left w:val="none" w:sz="0" w:space="0" w:color="auto"/>
                        <w:bottom w:val="none" w:sz="0" w:space="0" w:color="auto"/>
                        <w:right w:val="none" w:sz="0" w:space="0" w:color="auto"/>
                      </w:divBdr>
                    </w:div>
                  </w:divsChild>
                </w:div>
                <w:div w:id="1622223438">
                  <w:marLeft w:val="0"/>
                  <w:marRight w:val="0"/>
                  <w:marTop w:val="0"/>
                  <w:marBottom w:val="0"/>
                  <w:divBdr>
                    <w:top w:val="none" w:sz="0" w:space="0" w:color="auto"/>
                    <w:left w:val="none" w:sz="0" w:space="0" w:color="auto"/>
                    <w:bottom w:val="none" w:sz="0" w:space="0" w:color="auto"/>
                    <w:right w:val="none" w:sz="0" w:space="0" w:color="auto"/>
                  </w:divBdr>
                  <w:divsChild>
                    <w:div w:id="1133449256">
                      <w:marLeft w:val="0"/>
                      <w:marRight w:val="0"/>
                      <w:marTop w:val="0"/>
                      <w:marBottom w:val="0"/>
                      <w:divBdr>
                        <w:top w:val="none" w:sz="0" w:space="0" w:color="auto"/>
                        <w:left w:val="none" w:sz="0" w:space="0" w:color="auto"/>
                        <w:bottom w:val="none" w:sz="0" w:space="0" w:color="auto"/>
                        <w:right w:val="none" w:sz="0" w:space="0" w:color="auto"/>
                      </w:divBdr>
                    </w:div>
                  </w:divsChild>
                </w:div>
                <w:div w:id="1627394127">
                  <w:marLeft w:val="0"/>
                  <w:marRight w:val="0"/>
                  <w:marTop w:val="0"/>
                  <w:marBottom w:val="0"/>
                  <w:divBdr>
                    <w:top w:val="none" w:sz="0" w:space="0" w:color="auto"/>
                    <w:left w:val="none" w:sz="0" w:space="0" w:color="auto"/>
                    <w:bottom w:val="none" w:sz="0" w:space="0" w:color="auto"/>
                    <w:right w:val="none" w:sz="0" w:space="0" w:color="auto"/>
                  </w:divBdr>
                  <w:divsChild>
                    <w:div w:id="1940722245">
                      <w:marLeft w:val="0"/>
                      <w:marRight w:val="0"/>
                      <w:marTop w:val="0"/>
                      <w:marBottom w:val="0"/>
                      <w:divBdr>
                        <w:top w:val="none" w:sz="0" w:space="0" w:color="auto"/>
                        <w:left w:val="none" w:sz="0" w:space="0" w:color="auto"/>
                        <w:bottom w:val="none" w:sz="0" w:space="0" w:color="auto"/>
                        <w:right w:val="none" w:sz="0" w:space="0" w:color="auto"/>
                      </w:divBdr>
                    </w:div>
                  </w:divsChild>
                </w:div>
                <w:div w:id="1634091522">
                  <w:marLeft w:val="0"/>
                  <w:marRight w:val="0"/>
                  <w:marTop w:val="0"/>
                  <w:marBottom w:val="0"/>
                  <w:divBdr>
                    <w:top w:val="none" w:sz="0" w:space="0" w:color="auto"/>
                    <w:left w:val="none" w:sz="0" w:space="0" w:color="auto"/>
                    <w:bottom w:val="none" w:sz="0" w:space="0" w:color="auto"/>
                    <w:right w:val="none" w:sz="0" w:space="0" w:color="auto"/>
                  </w:divBdr>
                  <w:divsChild>
                    <w:div w:id="1775710320">
                      <w:marLeft w:val="0"/>
                      <w:marRight w:val="0"/>
                      <w:marTop w:val="0"/>
                      <w:marBottom w:val="0"/>
                      <w:divBdr>
                        <w:top w:val="none" w:sz="0" w:space="0" w:color="auto"/>
                        <w:left w:val="none" w:sz="0" w:space="0" w:color="auto"/>
                        <w:bottom w:val="none" w:sz="0" w:space="0" w:color="auto"/>
                        <w:right w:val="none" w:sz="0" w:space="0" w:color="auto"/>
                      </w:divBdr>
                    </w:div>
                  </w:divsChild>
                </w:div>
                <w:div w:id="1702319092">
                  <w:marLeft w:val="0"/>
                  <w:marRight w:val="0"/>
                  <w:marTop w:val="0"/>
                  <w:marBottom w:val="0"/>
                  <w:divBdr>
                    <w:top w:val="none" w:sz="0" w:space="0" w:color="auto"/>
                    <w:left w:val="none" w:sz="0" w:space="0" w:color="auto"/>
                    <w:bottom w:val="none" w:sz="0" w:space="0" w:color="auto"/>
                    <w:right w:val="none" w:sz="0" w:space="0" w:color="auto"/>
                  </w:divBdr>
                  <w:divsChild>
                    <w:div w:id="762340538">
                      <w:marLeft w:val="0"/>
                      <w:marRight w:val="0"/>
                      <w:marTop w:val="0"/>
                      <w:marBottom w:val="0"/>
                      <w:divBdr>
                        <w:top w:val="none" w:sz="0" w:space="0" w:color="auto"/>
                        <w:left w:val="none" w:sz="0" w:space="0" w:color="auto"/>
                        <w:bottom w:val="none" w:sz="0" w:space="0" w:color="auto"/>
                        <w:right w:val="none" w:sz="0" w:space="0" w:color="auto"/>
                      </w:divBdr>
                    </w:div>
                  </w:divsChild>
                </w:div>
                <w:div w:id="1737582599">
                  <w:marLeft w:val="0"/>
                  <w:marRight w:val="0"/>
                  <w:marTop w:val="0"/>
                  <w:marBottom w:val="0"/>
                  <w:divBdr>
                    <w:top w:val="none" w:sz="0" w:space="0" w:color="auto"/>
                    <w:left w:val="none" w:sz="0" w:space="0" w:color="auto"/>
                    <w:bottom w:val="none" w:sz="0" w:space="0" w:color="auto"/>
                    <w:right w:val="none" w:sz="0" w:space="0" w:color="auto"/>
                  </w:divBdr>
                  <w:divsChild>
                    <w:div w:id="1119373923">
                      <w:marLeft w:val="0"/>
                      <w:marRight w:val="0"/>
                      <w:marTop w:val="0"/>
                      <w:marBottom w:val="0"/>
                      <w:divBdr>
                        <w:top w:val="none" w:sz="0" w:space="0" w:color="auto"/>
                        <w:left w:val="none" w:sz="0" w:space="0" w:color="auto"/>
                        <w:bottom w:val="none" w:sz="0" w:space="0" w:color="auto"/>
                        <w:right w:val="none" w:sz="0" w:space="0" w:color="auto"/>
                      </w:divBdr>
                    </w:div>
                  </w:divsChild>
                </w:div>
                <w:div w:id="1786727929">
                  <w:marLeft w:val="0"/>
                  <w:marRight w:val="0"/>
                  <w:marTop w:val="0"/>
                  <w:marBottom w:val="0"/>
                  <w:divBdr>
                    <w:top w:val="none" w:sz="0" w:space="0" w:color="auto"/>
                    <w:left w:val="none" w:sz="0" w:space="0" w:color="auto"/>
                    <w:bottom w:val="none" w:sz="0" w:space="0" w:color="auto"/>
                    <w:right w:val="none" w:sz="0" w:space="0" w:color="auto"/>
                  </w:divBdr>
                  <w:divsChild>
                    <w:div w:id="1378163219">
                      <w:marLeft w:val="0"/>
                      <w:marRight w:val="0"/>
                      <w:marTop w:val="0"/>
                      <w:marBottom w:val="0"/>
                      <w:divBdr>
                        <w:top w:val="none" w:sz="0" w:space="0" w:color="auto"/>
                        <w:left w:val="none" w:sz="0" w:space="0" w:color="auto"/>
                        <w:bottom w:val="none" w:sz="0" w:space="0" w:color="auto"/>
                        <w:right w:val="none" w:sz="0" w:space="0" w:color="auto"/>
                      </w:divBdr>
                    </w:div>
                  </w:divsChild>
                </w:div>
                <w:div w:id="1798984210">
                  <w:marLeft w:val="0"/>
                  <w:marRight w:val="0"/>
                  <w:marTop w:val="0"/>
                  <w:marBottom w:val="0"/>
                  <w:divBdr>
                    <w:top w:val="none" w:sz="0" w:space="0" w:color="auto"/>
                    <w:left w:val="none" w:sz="0" w:space="0" w:color="auto"/>
                    <w:bottom w:val="none" w:sz="0" w:space="0" w:color="auto"/>
                    <w:right w:val="none" w:sz="0" w:space="0" w:color="auto"/>
                  </w:divBdr>
                  <w:divsChild>
                    <w:div w:id="1869878933">
                      <w:marLeft w:val="0"/>
                      <w:marRight w:val="0"/>
                      <w:marTop w:val="0"/>
                      <w:marBottom w:val="0"/>
                      <w:divBdr>
                        <w:top w:val="none" w:sz="0" w:space="0" w:color="auto"/>
                        <w:left w:val="none" w:sz="0" w:space="0" w:color="auto"/>
                        <w:bottom w:val="none" w:sz="0" w:space="0" w:color="auto"/>
                        <w:right w:val="none" w:sz="0" w:space="0" w:color="auto"/>
                      </w:divBdr>
                    </w:div>
                  </w:divsChild>
                </w:div>
                <w:div w:id="1909610716">
                  <w:marLeft w:val="0"/>
                  <w:marRight w:val="0"/>
                  <w:marTop w:val="0"/>
                  <w:marBottom w:val="0"/>
                  <w:divBdr>
                    <w:top w:val="none" w:sz="0" w:space="0" w:color="auto"/>
                    <w:left w:val="none" w:sz="0" w:space="0" w:color="auto"/>
                    <w:bottom w:val="none" w:sz="0" w:space="0" w:color="auto"/>
                    <w:right w:val="none" w:sz="0" w:space="0" w:color="auto"/>
                  </w:divBdr>
                  <w:divsChild>
                    <w:div w:id="389498975">
                      <w:marLeft w:val="0"/>
                      <w:marRight w:val="0"/>
                      <w:marTop w:val="0"/>
                      <w:marBottom w:val="0"/>
                      <w:divBdr>
                        <w:top w:val="none" w:sz="0" w:space="0" w:color="auto"/>
                        <w:left w:val="none" w:sz="0" w:space="0" w:color="auto"/>
                        <w:bottom w:val="none" w:sz="0" w:space="0" w:color="auto"/>
                        <w:right w:val="none" w:sz="0" w:space="0" w:color="auto"/>
                      </w:divBdr>
                    </w:div>
                  </w:divsChild>
                </w:div>
                <w:div w:id="1922567609">
                  <w:marLeft w:val="0"/>
                  <w:marRight w:val="0"/>
                  <w:marTop w:val="0"/>
                  <w:marBottom w:val="0"/>
                  <w:divBdr>
                    <w:top w:val="none" w:sz="0" w:space="0" w:color="auto"/>
                    <w:left w:val="none" w:sz="0" w:space="0" w:color="auto"/>
                    <w:bottom w:val="none" w:sz="0" w:space="0" w:color="auto"/>
                    <w:right w:val="none" w:sz="0" w:space="0" w:color="auto"/>
                  </w:divBdr>
                  <w:divsChild>
                    <w:div w:id="373191668">
                      <w:marLeft w:val="0"/>
                      <w:marRight w:val="0"/>
                      <w:marTop w:val="0"/>
                      <w:marBottom w:val="0"/>
                      <w:divBdr>
                        <w:top w:val="none" w:sz="0" w:space="0" w:color="auto"/>
                        <w:left w:val="none" w:sz="0" w:space="0" w:color="auto"/>
                        <w:bottom w:val="none" w:sz="0" w:space="0" w:color="auto"/>
                        <w:right w:val="none" w:sz="0" w:space="0" w:color="auto"/>
                      </w:divBdr>
                    </w:div>
                  </w:divsChild>
                </w:div>
                <w:div w:id="1972053807">
                  <w:marLeft w:val="0"/>
                  <w:marRight w:val="0"/>
                  <w:marTop w:val="0"/>
                  <w:marBottom w:val="0"/>
                  <w:divBdr>
                    <w:top w:val="none" w:sz="0" w:space="0" w:color="auto"/>
                    <w:left w:val="none" w:sz="0" w:space="0" w:color="auto"/>
                    <w:bottom w:val="none" w:sz="0" w:space="0" w:color="auto"/>
                    <w:right w:val="none" w:sz="0" w:space="0" w:color="auto"/>
                  </w:divBdr>
                  <w:divsChild>
                    <w:div w:id="1078287162">
                      <w:marLeft w:val="0"/>
                      <w:marRight w:val="0"/>
                      <w:marTop w:val="0"/>
                      <w:marBottom w:val="0"/>
                      <w:divBdr>
                        <w:top w:val="none" w:sz="0" w:space="0" w:color="auto"/>
                        <w:left w:val="none" w:sz="0" w:space="0" w:color="auto"/>
                        <w:bottom w:val="none" w:sz="0" w:space="0" w:color="auto"/>
                        <w:right w:val="none" w:sz="0" w:space="0" w:color="auto"/>
                      </w:divBdr>
                    </w:div>
                  </w:divsChild>
                </w:div>
                <w:div w:id="2039619498">
                  <w:marLeft w:val="0"/>
                  <w:marRight w:val="0"/>
                  <w:marTop w:val="0"/>
                  <w:marBottom w:val="0"/>
                  <w:divBdr>
                    <w:top w:val="none" w:sz="0" w:space="0" w:color="auto"/>
                    <w:left w:val="none" w:sz="0" w:space="0" w:color="auto"/>
                    <w:bottom w:val="none" w:sz="0" w:space="0" w:color="auto"/>
                    <w:right w:val="none" w:sz="0" w:space="0" w:color="auto"/>
                  </w:divBdr>
                  <w:divsChild>
                    <w:div w:id="1375425381">
                      <w:marLeft w:val="0"/>
                      <w:marRight w:val="0"/>
                      <w:marTop w:val="0"/>
                      <w:marBottom w:val="0"/>
                      <w:divBdr>
                        <w:top w:val="none" w:sz="0" w:space="0" w:color="auto"/>
                        <w:left w:val="none" w:sz="0" w:space="0" w:color="auto"/>
                        <w:bottom w:val="none" w:sz="0" w:space="0" w:color="auto"/>
                        <w:right w:val="none" w:sz="0" w:space="0" w:color="auto"/>
                      </w:divBdr>
                    </w:div>
                  </w:divsChild>
                </w:div>
                <w:div w:id="2040233365">
                  <w:marLeft w:val="0"/>
                  <w:marRight w:val="0"/>
                  <w:marTop w:val="0"/>
                  <w:marBottom w:val="0"/>
                  <w:divBdr>
                    <w:top w:val="none" w:sz="0" w:space="0" w:color="auto"/>
                    <w:left w:val="none" w:sz="0" w:space="0" w:color="auto"/>
                    <w:bottom w:val="none" w:sz="0" w:space="0" w:color="auto"/>
                    <w:right w:val="none" w:sz="0" w:space="0" w:color="auto"/>
                  </w:divBdr>
                  <w:divsChild>
                    <w:div w:id="2108690890">
                      <w:marLeft w:val="0"/>
                      <w:marRight w:val="0"/>
                      <w:marTop w:val="0"/>
                      <w:marBottom w:val="0"/>
                      <w:divBdr>
                        <w:top w:val="none" w:sz="0" w:space="0" w:color="auto"/>
                        <w:left w:val="none" w:sz="0" w:space="0" w:color="auto"/>
                        <w:bottom w:val="none" w:sz="0" w:space="0" w:color="auto"/>
                        <w:right w:val="none" w:sz="0" w:space="0" w:color="auto"/>
                      </w:divBdr>
                    </w:div>
                  </w:divsChild>
                </w:div>
                <w:div w:id="2118481833">
                  <w:marLeft w:val="0"/>
                  <w:marRight w:val="0"/>
                  <w:marTop w:val="0"/>
                  <w:marBottom w:val="0"/>
                  <w:divBdr>
                    <w:top w:val="none" w:sz="0" w:space="0" w:color="auto"/>
                    <w:left w:val="none" w:sz="0" w:space="0" w:color="auto"/>
                    <w:bottom w:val="none" w:sz="0" w:space="0" w:color="auto"/>
                    <w:right w:val="none" w:sz="0" w:space="0" w:color="auto"/>
                  </w:divBdr>
                  <w:divsChild>
                    <w:div w:id="145752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7695004">
          <w:marLeft w:val="0"/>
          <w:marRight w:val="0"/>
          <w:marTop w:val="0"/>
          <w:marBottom w:val="0"/>
          <w:divBdr>
            <w:top w:val="none" w:sz="0" w:space="0" w:color="auto"/>
            <w:left w:val="none" w:sz="0" w:space="0" w:color="auto"/>
            <w:bottom w:val="none" w:sz="0" w:space="0" w:color="auto"/>
            <w:right w:val="none" w:sz="0" w:space="0" w:color="auto"/>
          </w:divBdr>
        </w:div>
      </w:divsChild>
    </w:div>
    <w:div w:id="144393850">
      <w:bodyDiv w:val="1"/>
      <w:marLeft w:val="0"/>
      <w:marRight w:val="0"/>
      <w:marTop w:val="0"/>
      <w:marBottom w:val="0"/>
      <w:divBdr>
        <w:top w:val="none" w:sz="0" w:space="0" w:color="auto"/>
        <w:left w:val="none" w:sz="0" w:space="0" w:color="auto"/>
        <w:bottom w:val="none" w:sz="0" w:space="0" w:color="auto"/>
        <w:right w:val="none" w:sz="0" w:space="0" w:color="auto"/>
      </w:divBdr>
    </w:div>
    <w:div w:id="145900638">
      <w:bodyDiv w:val="1"/>
      <w:marLeft w:val="0"/>
      <w:marRight w:val="0"/>
      <w:marTop w:val="0"/>
      <w:marBottom w:val="0"/>
      <w:divBdr>
        <w:top w:val="none" w:sz="0" w:space="0" w:color="auto"/>
        <w:left w:val="none" w:sz="0" w:space="0" w:color="auto"/>
        <w:bottom w:val="none" w:sz="0" w:space="0" w:color="auto"/>
        <w:right w:val="none" w:sz="0" w:space="0" w:color="auto"/>
      </w:divBdr>
    </w:div>
    <w:div w:id="160320469">
      <w:bodyDiv w:val="1"/>
      <w:marLeft w:val="0"/>
      <w:marRight w:val="0"/>
      <w:marTop w:val="0"/>
      <w:marBottom w:val="0"/>
      <w:divBdr>
        <w:top w:val="none" w:sz="0" w:space="0" w:color="auto"/>
        <w:left w:val="none" w:sz="0" w:space="0" w:color="auto"/>
        <w:bottom w:val="none" w:sz="0" w:space="0" w:color="auto"/>
        <w:right w:val="none" w:sz="0" w:space="0" w:color="auto"/>
      </w:divBdr>
    </w:div>
    <w:div w:id="164366745">
      <w:bodyDiv w:val="1"/>
      <w:marLeft w:val="0"/>
      <w:marRight w:val="0"/>
      <w:marTop w:val="0"/>
      <w:marBottom w:val="0"/>
      <w:divBdr>
        <w:top w:val="none" w:sz="0" w:space="0" w:color="auto"/>
        <w:left w:val="none" w:sz="0" w:space="0" w:color="auto"/>
        <w:bottom w:val="none" w:sz="0" w:space="0" w:color="auto"/>
        <w:right w:val="none" w:sz="0" w:space="0" w:color="auto"/>
      </w:divBdr>
    </w:div>
    <w:div w:id="242180297">
      <w:bodyDiv w:val="1"/>
      <w:marLeft w:val="0"/>
      <w:marRight w:val="0"/>
      <w:marTop w:val="0"/>
      <w:marBottom w:val="0"/>
      <w:divBdr>
        <w:top w:val="none" w:sz="0" w:space="0" w:color="auto"/>
        <w:left w:val="none" w:sz="0" w:space="0" w:color="auto"/>
        <w:bottom w:val="none" w:sz="0" w:space="0" w:color="auto"/>
        <w:right w:val="none" w:sz="0" w:space="0" w:color="auto"/>
      </w:divBdr>
    </w:div>
    <w:div w:id="242566299">
      <w:bodyDiv w:val="1"/>
      <w:marLeft w:val="0"/>
      <w:marRight w:val="0"/>
      <w:marTop w:val="0"/>
      <w:marBottom w:val="0"/>
      <w:divBdr>
        <w:top w:val="none" w:sz="0" w:space="0" w:color="auto"/>
        <w:left w:val="none" w:sz="0" w:space="0" w:color="auto"/>
        <w:bottom w:val="none" w:sz="0" w:space="0" w:color="auto"/>
        <w:right w:val="none" w:sz="0" w:space="0" w:color="auto"/>
      </w:divBdr>
    </w:div>
    <w:div w:id="248730734">
      <w:bodyDiv w:val="1"/>
      <w:marLeft w:val="0"/>
      <w:marRight w:val="0"/>
      <w:marTop w:val="0"/>
      <w:marBottom w:val="0"/>
      <w:divBdr>
        <w:top w:val="none" w:sz="0" w:space="0" w:color="auto"/>
        <w:left w:val="none" w:sz="0" w:space="0" w:color="auto"/>
        <w:bottom w:val="none" w:sz="0" w:space="0" w:color="auto"/>
        <w:right w:val="none" w:sz="0" w:space="0" w:color="auto"/>
      </w:divBdr>
    </w:div>
    <w:div w:id="256670517">
      <w:bodyDiv w:val="1"/>
      <w:marLeft w:val="0"/>
      <w:marRight w:val="0"/>
      <w:marTop w:val="0"/>
      <w:marBottom w:val="0"/>
      <w:divBdr>
        <w:top w:val="none" w:sz="0" w:space="0" w:color="auto"/>
        <w:left w:val="none" w:sz="0" w:space="0" w:color="auto"/>
        <w:bottom w:val="none" w:sz="0" w:space="0" w:color="auto"/>
        <w:right w:val="none" w:sz="0" w:space="0" w:color="auto"/>
      </w:divBdr>
    </w:div>
    <w:div w:id="262687217">
      <w:bodyDiv w:val="1"/>
      <w:marLeft w:val="0"/>
      <w:marRight w:val="0"/>
      <w:marTop w:val="0"/>
      <w:marBottom w:val="0"/>
      <w:divBdr>
        <w:top w:val="none" w:sz="0" w:space="0" w:color="auto"/>
        <w:left w:val="none" w:sz="0" w:space="0" w:color="auto"/>
        <w:bottom w:val="none" w:sz="0" w:space="0" w:color="auto"/>
        <w:right w:val="none" w:sz="0" w:space="0" w:color="auto"/>
      </w:divBdr>
    </w:div>
    <w:div w:id="266041396">
      <w:bodyDiv w:val="1"/>
      <w:marLeft w:val="0"/>
      <w:marRight w:val="0"/>
      <w:marTop w:val="0"/>
      <w:marBottom w:val="0"/>
      <w:divBdr>
        <w:top w:val="none" w:sz="0" w:space="0" w:color="auto"/>
        <w:left w:val="none" w:sz="0" w:space="0" w:color="auto"/>
        <w:bottom w:val="none" w:sz="0" w:space="0" w:color="auto"/>
        <w:right w:val="none" w:sz="0" w:space="0" w:color="auto"/>
      </w:divBdr>
      <w:divsChild>
        <w:div w:id="14693454">
          <w:marLeft w:val="0"/>
          <w:marRight w:val="0"/>
          <w:marTop w:val="0"/>
          <w:marBottom w:val="0"/>
          <w:divBdr>
            <w:top w:val="none" w:sz="0" w:space="0" w:color="auto"/>
            <w:left w:val="none" w:sz="0" w:space="0" w:color="auto"/>
            <w:bottom w:val="none" w:sz="0" w:space="0" w:color="auto"/>
            <w:right w:val="none" w:sz="0" w:space="0" w:color="auto"/>
          </w:divBdr>
          <w:divsChild>
            <w:div w:id="1465392991">
              <w:marLeft w:val="0"/>
              <w:marRight w:val="0"/>
              <w:marTop w:val="0"/>
              <w:marBottom w:val="0"/>
              <w:divBdr>
                <w:top w:val="none" w:sz="0" w:space="0" w:color="auto"/>
                <w:left w:val="none" w:sz="0" w:space="0" w:color="auto"/>
                <w:bottom w:val="none" w:sz="0" w:space="0" w:color="auto"/>
                <w:right w:val="none" w:sz="0" w:space="0" w:color="auto"/>
              </w:divBdr>
            </w:div>
          </w:divsChild>
        </w:div>
        <w:div w:id="60835489">
          <w:marLeft w:val="0"/>
          <w:marRight w:val="0"/>
          <w:marTop w:val="0"/>
          <w:marBottom w:val="0"/>
          <w:divBdr>
            <w:top w:val="none" w:sz="0" w:space="0" w:color="auto"/>
            <w:left w:val="none" w:sz="0" w:space="0" w:color="auto"/>
            <w:bottom w:val="none" w:sz="0" w:space="0" w:color="auto"/>
            <w:right w:val="none" w:sz="0" w:space="0" w:color="auto"/>
          </w:divBdr>
          <w:divsChild>
            <w:div w:id="1702171616">
              <w:marLeft w:val="0"/>
              <w:marRight w:val="0"/>
              <w:marTop w:val="0"/>
              <w:marBottom w:val="0"/>
              <w:divBdr>
                <w:top w:val="none" w:sz="0" w:space="0" w:color="auto"/>
                <w:left w:val="none" w:sz="0" w:space="0" w:color="auto"/>
                <w:bottom w:val="none" w:sz="0" w:space="0" w:color="auto"/>
                <w:right w:val="none" w:sz="0" w:space="0" w:color="auto"/>
              </w:divBdr>
            </w:div>
          </w:divsChild>
        </w:div>
        <w:div w:id="93021302">
          <w:marLeft w:val="0"/>
          <w:marRight w:val="0"/>
          <w:marTop w:val="0"/>
          <w:marBottom w:val="0"/>
          <w:divBdr>
            <w:top w:val="none" w:sz="0" w:space="0" w:color="auto"/>
            <w:left w:val="none" w:sz="0" w:space="0" w:color="auto"/>
            <w:bottom w:val="none" w:sz="0" w:space="0" w:color="auto"/>
            <w:right w:val="none" w:sz="0" w:space="0" w:color="auto"/>
          </w:divBdr>
          <w:divsChild>
            <w:div w:id="263155536">
              <w:marLeft w:val="0"/>
              <w:marRight w:val="0"/>
              <w:marTop w:val="0"/>
              <w:marBottom w:val="0"/>
              <w:divBdr>
                <w:top w:val="none" w:sz="0" w:space="0" w:color="auto"/>
                <w:left w:val="none" w:sz="0" w:space="0" w:color="auto"/>
                <w:bottom w:val="none" w:sz="0" w:space="0" w:color="auto"/>
                <w:right w:val="none" w:sz="0" w:space="0" w:color="auto"/>
              </w:divBdr>
            </w:div>
          </w:divsChild>
        </w:div>
        <w:div w:id="105660297">
          <w:marLeft w:val="0"/>
          <w:marRight w:val="0"/>
          <w:marTop w:val="0"/>
          <w:marBottom w:val="0"/>
          <w:divBdr>
            <w:top w:val="none" w:sz="0" w:space="0" w:color="auto"/>
            <w:left w:val="none" w:sz="0" w:space="0" w:color="auto"/>
            <w:bottom w:val="none" w:sz="0" w:space="0" w:color="auto"/>
            <w:right w:val="none" w:sz="0" w:space="0" w:color="auto"/>
          </w:divBdr>
          <w:divsChild>
            <w:div w:id="470681153">
              <w:marLeft w:val="0"/>
              <w:marRight w:val="0"/>
              <w:marTop w:val="0"/>
              <w:marBottom w:val="0"/>
              <w:divBdr>
                <w:top w:val="none" w:sz="0" w:space="0" w:color="auto"/>
                <w:left w:val="none" w:sz="0" w:space="0" w:color="auto"/>
                <w:bottom w:val="none" w:sz="0" w:space="0" w:color="auto"/>
                <w:right w:val="none" w:sz="0" w:space="0" w:color="auto"/>
              </w:divBdr>
            </w:div>
          </w:divsChild>
        </w:div>
        <w:div w:id="164172749">
          <w:marLeft w:val="0"/>
          <w:marRight w:val="0"/>
          <w:marTop w:val="0"/>
          <w:marBottom w:val="0"/>
          <w:divBdr>
            <w:top w:val="none" w:sz="0" w:space="0" w:color="auto"/>
            <w:left w:val="none" w:sz="0" w:space="0" w:color="auto"/>
            <w:bottom w:val="none" w:sz="0" w:space="0" w:color="auto"/>
            <w:right w:val="none" w:sz="0" w:space="0" w:color="auto"/>
          </w:divBdr>
          <w:divsChild>
            <w:div w:id="1428042772">
              <w:marLeft w:val="0"/>
              <w:marRight w:val="0"/>
              <w:marTop w:val="0"/>
              <w:marBottom w:val="0"/>
              <w:divBdr>
                <w:top w:val="none" w:sz="0" w:space="0" w:color="auto"/>
                <w:left w:val="none" w:sz="0" w:space="0" w:color="auto"/>
                <w:bottom w:val="none" w:sz="0" w:space="0" w:color="auto"/>
                <w:right w:val="none" w:sz="0" w:space="0" w:color="auto"/>
              </w:divBdr>
            </w:div>
          </w:divsChild>
        </w:div>
        <w:div w:id="184832595">
          <w:marLeft w:val="0"/>
          <w:marRight w:val="0"/>
          <w:marTop w:val="0"/>
          <w:marBottom w:val="0"/>
          <w:divBdr>
            <w:top w:val="none" w:sz="0" w:space="0" w:color="auto"/>
            <w:left w:val="none" w:sz="0" w:space="0" w:color="auto"/>
            <w:bottom w:val="none" w:sz="0" w:space="0" w:color="auto"/>
            <w:right w:val="none" w:sz="0" w:space="0" w:color="auto"/>
          </w:divBdr>
          <w:divsChild>
            <w:div w:id="985666882">
              <w:marLeft w:val="0"/>
              <w:marRight w:val="0"/>
              <w:marTop w:val="0"/>
              <w:marBottom w:val="0"/>
              <w:divBdr>
                <w:top w:val="none" w:sz="0" w:space="0" w:color="auto"/>
                <w:left w:val="none" w:sz="0" w:space="0" w:color="auto"/>
                <w:bottom w:val="none" w:sz="0" w:space="0" w:color="auto"/>
                <w:right w:val="none" w:sz="0" w:space="0" w:color="auto"/>
              </w:divBdr>
            </w:div>
          </w:divsChild>
        </w:div>
        <w:div w:id="187574085">
          <w:marLeft w:val="0"/>
          <w:marRight w:val="0"/>
          <w:marTop w:val="0"/>
          <w:marBottom w:val="0"/>
          <w:divBdr>
            <w:top w:val="none" w:sz="0" w:space="0" w:color="auto"/>
            <w:left w:val="none" w:sz="0" w:space="0" w:color="auto"/>
            <w:bottom w:val="none" w:sz="0" w:space="0" w:color="auto"/>
            <w:right w:val="none" w:sz="0" w:space="0" w:color="auto"/>
          </w:divBdr>
          <w:divsChild>
            <w:div w:id="30807579">
              <w:marLeft w:val="0"/>
              <w:marRight w:val="0"/>
              <w:marTop w:val="0"/>
              <w:marBottom w:val="0"/>
              <w:divBdr>
                <w:top w:val="none" w:sz="0" w:space="0" w:color="auto"/>
                <w:left w:val="none" w:sz="0" w:space="0" w:color="auto"/>
                <w:bottom w:val="none" w:sz="0" w:space="0" w:color="auto"/>
                <w:right w:val="none" w:sz="0" w:space="0" w:color="auto"/>
              </w:divBdr>
            </w:div>
          </w:divsChild>
        </w:div>
        <w:div w:id="219899785">
          <w:marLeft w:val="0"/>
          <w:marRight w:val="0"/>
          <w:marTop w:val="0"/>
          <w:marBottom w:val="0"/>
          <w:divBdr>
            <w:top w:val="none" w:sz="0" w:space="0" w:color="auto"/>
            <w:left w:val="none" w:sz="0" w:space="0" w:color="auto"/>
            <w:bottom w:val="none" w:sz="0" w:space="0" w:color="auto"/>
            <w:right w:val="none" w:sz="0" w:space="0" w:color="auto"/>
          </w:divBdr>
          <w:divsChild>
            <w:div w:id="53160880">
              <w:marLeft w:val="0"/>
              <w:marRight w:val="0"/>
              <w:marTop w:val="0"/>
              <w:marBottom w:val="0"/>
              <w:divBdr>
                <w:top w:val="none" w:sz="0" w:space="0" w:color="auto"/>
                <w:left w:val="none" w:sz="0" w:space="0" w:color="auto"/>
                <w:bottom w:val="none" w:sz="0" w:space="0" w:color="auto"/>
                <w:right w:val="none" w:sz="0" w:space="0" w:color="auto"/>
              </w:divBdr>
            </w:div>
          </w:divsChild>
        </w:div>
        <w:div w:id="254940902">
          <w:marLeft w:val="0"/>
          <w:marRight w:val="0"/>
          <w:marTop w:val="0"/>
          <w:marBottom w:val="0"/>
          <w:divBdr>
            <w:top w:val="none" w:sz="0" w:space="0" w:color="auto"/>
            <w:left w:val="none" w:sz="0" w:space="0" w:color="auto"/>
            <w:bottom w:val="none" w:sz="0" w:space="0" w:color="auto"/>
            <w:right w:val="none" w:sz="0" w:space="0" w:color="auto"/>
          </w:divBdr>
          <w:divsChild>
            <w:div w:id="342437131">
              <w:marLeft w:val="0"/>
              <w:marRight w:val="0"/>
              <w:marTop w:val="0"/>
              <w:marBottom w:val="0"/>
              <w:divBdr>
                <w:top w:val="none" w:sz="0" w:space="0" w:color="auto"/>
                <w:left w:val="none" w:sz="0" w:space="0" w:color="auto"/>
                <w:bottom w:val="none" w:sz="0" w:space="0" w:color="auto"/>
                <w:right w:val="none" w:sz="0" w:space="0" w:color="auto"/>
              </w:divBdr>
            </w:div>
          </w:divsChild>
        </w:div>
        <w:div w:id="260451238">
          <w:marLeft w:val="0"/>
          <w:marRight w:val="0"/>
          <w:marTop w:val="0"/>
          <w:marBottom w:val="0"/>
          <w:divBdr>
            <w:top w:val="none" w:sz="0" w:space="0" w:color="auto"/>
            <w:left w:val="none" w:sz="0" w:space="0" w:color="auto"/>
            <w:bottom w:val="none" w:sz="0" w:space="0" w:color="auto"/>
            <w:right w:val="none" w:sz="0" w:space="0" w:color="auto"/>
          </w:divBdr>
          <w:divsChild>
            <w:div w:id="390228723">
              <w:marLeft w:val="0"/>
              <w:marRight w:val="0"/>
              <w:marTop w:val="0"/>
              <w:marBottom w:val="0"/>
              <w:divBdr>
                <w:top w:val="none" w:sz="0" w:space="0" w:color="auto"/>
                <w:left w:val="none" w:sz="0" w:space="0" w:color="auto"/>
                <w:bottom w:val="none" w:sz="0" w:space="0" w:color="auto"/>
                <w:right w:val="none" w:sz="0" w:space="0" w:color="auto"/>
              </w:divBdr>
            </w:div>
          </w:divsChild>
        </w:div>
        <w:div w:id="310327994">
          <w:marLeft w:val="0"/>
          <w:marRight w:val="0"/>
          <w:marTop w:val="0"/>
          <w:marBottom w:val="0"/>
          <w:divBdr>
            <w:top w:val="none" w:sz="0" w:space="0" w:color="auto"/>
            <w:left w:val="none" w:sz="0" w:space="0" w:color="auto"/>
            <w:bottom w:val="none" w:sz="0" w:space="0" w:color="auto"/>
            <w:right w:val="none" w:sz="0" w:space="0" w:color="auto"/>
          </w:divBdr>
          <w:divsChild>
            <w:div w:id="1026638876">
              <w:marLeft w:val="0"/>
              <w:marRight w:val="0"/>
              <w:marTop w:val="0"/>
              <w:marBottom w:val="0"/>
              <w:divBdr>
                <w:top w:val="none" w:sz="0" w:space="0" w:color="auto"/>
                <w:left w:val="none" w:sz="0" w:space="0" w:color="auto"/>
                <w:bottom w:val="none" w:sz="0" w:space="0" w:color="auto"/>
                <w:right w:val="none" w:sz="0" w:space="0" w:color="auto"/>
              </w:divBdr>
            </w:div>
          </w:divsChild>
        </w:div>
        <w:div w:id="325864202">
          <w:marLeft w:val="0"/>
          <w:marRight w:val="0"/>
          <w:marTop w:val="0"/>
          <w:marBottom w:val="0"/>
          <w:divBdr>
            <w:top w:val="none" w:sz="0" w:space="0" w:color="auto"/>
            <w:left w:val="none" w:sz="0" w:space="0" w:color="auto"/>
            <w:bottom w:val="none" w:sz="0" w:space="0" w:color="auto"/>
            <w:right w:val="none" w:sz="0" w:space="0" w:color="auto"/>
          </w:divBdr>
          <w:divsChild>
            <w:div w:id="164170610">
              <w:marLeft w:val="0"/>
              <w:marRight w:val="0"/>
              <w:marTop w:val="0"/>
              <w:marBottom w:val="0"/>
              <w:divBdr>
                <w:top w:val="none" w:sz="0" w:space="0" w:color="auto"/>
                <w:left w:val="none" w:sz="0" w:space="0" w:color="auto"/>
                <w:bottom w:val="none" w:sz="0" w:space="0" w:color="auto"/>
                <w:right w:val="none" w:sz="0" w:space="0" w:color="auto"/>
              </w:divBdr>
            </w:div>
          </w:divsChild>
        </w:div>
        <w:div w:id="576525235">
          <w:marLeft w:val="0"/>
          <w:marRight w:val="0"/>
          <w:marTop w:val="0"/>
          <w:marBottom w:val="0"/>
          <w:divBdr>
            <w:top w:val="none" w:sz="0" w:space="0" w:color="auto"/>
            <w:left w:val="none" w:sz="0" w:space="0" w:color="auto"/>
            <w:bottom w:val="none" w:sz="0" w:space="0" w:color="auto"/>
            <w:right w:val="none" w:sz="0" w:space="0" w:color="auto"/>
          </w:divBdr>
          <w:divsChild>
            <w:div w:id="1373336852">
              <w:marLeft w:val="0"/>
              <w:marRight w:val="0"/>
              <w:marTop w:val="0"/>
              <w:marBottom w:val="0"/>
              <w:divBdr>
                <w:top w:val="none" w:sz="0" w:space="0" w:color="auto"/>
                <w:left w:val="none" w:sz="0" w:space="0" w:color="auto"/>
                <w:bottom w:val="none" w:sz="0" w:space="0" w:color="auto"/>
                <w:right w:val="none" w:sz="0" w:space="0" w:color="auto"/>
              </w:divBdr>
            </w:div>
          </w:divsChild>
        </w:div>
        <w:div w:id="577402225">
          <w:marLeft w:val="0"/>
          <w:marRight w:val="0"/>
          <w:marTop w:val="0"/>
          <w:marBottom w:val="0"/>
          <w:divBdr>
            <w:top w:val="none" w:sz="0" w:space="0" w:color="auto"/>
            <w:left w:val="none" w:sz="0" w:space="0" w:color="auto"/>
            <w:bottom w:val="none" w:sz="0" w:space="0" w:color="auto"/>
            <w:right w:val="none" w:sz="0" w:space="0" w:color="auto"/>
          </w:divBdr>
          <w:divsChild>
            <w:div w:id="928583575">
              <w:marLeft w:val="0"/>
              <w:marRight w:val="0"/>
              <w:marTop w:val="0"/>
              <w:marBottom w:val="0"/>
              <w:divBdr>
                <w:top w:val="none" w:sz="0" w:space="0" w:color="auto"/>
                <w:left w:val="none" w:sz="0" w:space="0" w:color="auto"/>
                <w:bottom w:val="none" w:sz="0" w:space="0" w:color="auto"/>
                <w:right w:val="none" w:sz="0" w:space="0" w:color="auto"/>
              </w:divBdr>
            </w:div>
          </w:divsChild>
        </w:div>
        <w:div w:id="664940525">
          <w:marLeft w:val="0"/>
          <w:marRight w:val="0"/>
          <w:marTop w:val="0"/>
          <w:marBottom w:val="0"/>
          <w:divBdr>
            <w:top w:val="none" w:sz="0" w:space="0" w:color="auto"/>
            <w:left w:val="none" w:sz="0" w:space="0" w:color="auto"/>
            <w:bottom w:val="none" w:sz="0" w:space="0" w:color="auto"/>
            <w:right w:val="none" w:sz="0" w:space="0" w:color="auto"/>
          </w:divBdr>
          <w:divsChild>
            <w:div w:id="248538036">
              <w:marLeft w:val="0"/>
              <w:marRight w:val="0"/>
              <w:marTop w:val="0"/>
              <w:marBottom w:val="0"/>
              <w:divBdr>
                <w:top w:val="none" w:sz="0" w:space="0" w:color="auto"/>
                <w:left w:val="none" w:sz="0" w:space="0" w:color="auto"/>
                <w:bottom w:val="none" w:sz="0" w:space="0" w:color="auto"/>
                <w:right w:val="none" w:sz="0" w:space="0" w:color="auto"/>
              </w:divBdr>
            </w:div>
          </w:divsChild>
        </w:div>
        <w:div w:id="912278356">
          <w:marLeft w:val="0"/>
          <w:marRight w:val="0"/>
          <w:marTop w:val="0"/>
          <w:marBottom w:val="0"/>
          <w:divBdr>
            <w:top w:val="none" w:sz="0" w:space="0" w:color="auto"/>
            <w:left w:val="none" w:sz="0" w:space="0" w:color="auto"/>
            <w:bottom w:val="none" w:sz="0" w:space="0" w:color="auto"/>
            <w:right w:val="none" w:sz="0" w:space="0" w:color="auto"/>
          </w:divBdr>
          <w:divsChild>
            <w:div w:id="1264416247">
              <w:marLeft w:val="0"/>
              <w:marRight w:val="0"/>
              <w:marTop w:val="0"/>
              <w:marBottom w:val="0"/>
              <w:divBdr>
                <w:top w:val="none" w:sz="0" w:space="0" w:color="auto"/>
                <w:left w:val="none" w:sz="0" w:space="0" w:color="auto"/>
                <w:bottom w:val="none" w:sz="0" w:space="0" w:color="auto"/>
                <w:right w:val="none" w:sz="0" w:space="0" w:color="auto"/>
              </w:divBdr>
            </w:div>
          </w:divsChild>
        </w:div>
        <w:div w:id="1021321444">
          <w:marLeft w:val="0"/>
          <w:marRight w:val="0"/>
          <w:marTop w:val="0"/>
          <w:marBottom w:val="0"/>
          <w:divBdr>
            <w:top w:val="none" w:sz="0" w:space="0" w:color="auto"/>
            <w:left w:val="none" w:sz="0" w:space="0" w:color="auto"/>
            <w:bottom w:val="none" w:sz="0" w:space="0" w:color="auto"/>
            <w:right w:val="none" w:sz="0" w:space="0" w:color="auto"/>
          </w:divBdr>
          <w:divsChild>
            <w:div w:id="600839845">
              <w:marLeft w:val="0"/>
              <w:marRight w:val="0"/>
              <w:marTop w:val="0"/>
              <w:marBottom w:val="0"/>
              <w:divBdr>
                <w:top w:val="none" w:sz="0" w:space="0" w:color="auto"/>
                <w:left w:val="none" w:sz="0" w:space="0" w:color="auto"/>
                <w:bottom w:val="none" w:sz="0" w:space="0" w:color="auto"/>
                <w:right w:val="none" w:sz="0" w:space="0" w:color="auto"/>
              </w:divBdr>
            </w:div>
          </w:divsChild>
        </w:div>
        <w:div w:id="1070809996">
          <w:marLeft w:val="0"/>
          <w:marRight w:val="0"/>
          <w:marTop w:val="0"/>
          <w:marBottom w:val="0"/>
          <w:divBdr>
            <w:top w:val="none" w:sz="0" w:space="0" w:color="auto"/>
            <w:left w:val="none" w:sz="0" w:space="0" w:color="auto"/>
            <w:bottom w:val="none" w:sz="0" w:space="0" w:color="auto"/>
            <w:right w:val="none" w:sz="0" w:space="0" w:color="auto"/>
          </w:divBdr>
          <w:divsChild>
            <w:div w:id="1343433866">
              <w:marLeft w:val="0"/>
              <w:marRight w:val="0"/>
              <w:marTop w:val="0"/>
              <w:marBottom w:val="0"/>
              <w:divBdr>
                <w:top w:val="none" w:sz="0" w:space="0" w:color="auto"/>
                <w:left w:val="none" w:sz="0" w:space="0" w:color="auto"/>
                <w:bottom w:val="none" w:sz="0" w:space="0" w:color="auto"/>
                <w:right w:val="none" w:sz="0" w:space="0" w:color="auto"/>
              </w:divBdr>
            </w:div>
          </w:divsChild>
        </w:div>
        <w:div w:id="1720351413">
          <w:marLeft w:val="0"/>
          <w:marRight w:val="0"/>
          <w:marTop w:val="0"/>
          <w:marBottom w:val="0"/>
          <w:divBdr>
            <w:top w:val="none" w:sz="0" w:space="0" w:color="auto"/>
            <w:left w:val="none" w:sz="0" w:space="0" w:color="auto"/>
            <w:bottom w:val="none" w:sz="0" w:space="0" w:color="auto"/>
            <w:right w:val="none" w:sz="0" w:space="0" w:color="auto"/>
          </w:divBdr>
          <w:divsChild>
            <w:div w:id="1577472492">
              <w:marLeft w:val="0"/>
              <w:marRight w:val="0"/>
              <w:marTop w:val="0"/>
              <w:marBottom w:val="0"/>
              <w:divBdr>
                <w:top w:val="none" w:sz="0" w:space="0" w:color="auto"/>
                <w:left w:val="none" w:sz="0" w:space="0" w:color="auto"/>
                <w:bottom w:val="none" w:sz="0" w:space="0" w:color="auto"/>
                <w:right w:val="none" w:sz="0" w:space="0" w:color="auto"/>
              </w:divBdr>
            </w:div>
          </w:divsChild>
        </w:div>
        <w:div w:id="1758553698">
          <w:marLeft w:val="0"/>
          <w:marRight w:val="0"/>
          <w:marTop w:val="0"/>
          <w:marBottom w:val="0"/>
          <w:divBdr>
            <w:top w:val="none" w:sz="0" w:space="0" w:color="auto"/>
            <w:left w:val="none" w:sz="0" w:space="0" w:color="auto"/>
            <w:bottom w:val="none" w:sz="0" w:space="0" w:color="auto"/>
            <w:right w:val="none" w:sz="0" w:space="0" w:color="auto"/>
          </w:divBdr>
          <w:divsChild>
            <w:div w:id="273639894">
              <w:marLeft w:val="0"/>
              <w:marRight w:val="0"/>
              <w:marTop w:val="0"/>
              <w:marBottom w:val="0"/>
              <w:divBdr>
                <w:top w:val="none" w:sz="0" w:space="0" w:color="auto"/>
                <w:left w:val="none" w:sz="0" w:space="0" w:color="auto"/>
                <w:bottom w:val="none" w:sz="0" w:space="0" w:color="auto"/>
                <w:right w:val="none" w:sz="0" w:space="0" w:color="auto"/>
              </w:divBdr>
            </w:div>
          </w:divsChild>
        </w:div>
        <w:div w:id="1762022870">
          <w:marLeft w:val="0"/>
          <w:marRight w:val="0"/>
          <w:marTop w:val="0"/>
          <w:marBottom w:val="0"/>
          <w:divBdr>
            <w:top w:val="none" w:sz="0" w:space="0" w:color="auto"/>
            <w:left w:val="none" w:sz="0" w:space="0" w:color="auto"/>
            <w:bottom w:val="none" w:sz="0" w:space="0" w:color="auto"/>
            <w:right w:val="none" w:sz="0" w:space="0" w:color="auto"/>
          </w:divBdr>
          <w:divsChild>
            <w:div w:id="816384767">
              <w:marLeft w:val="0"/>
              <w:marRight w:val="0"/>
              <w:marTop w:val="0"/>
              <w:marBottom w:val="0"/>
              <w:divBdr>
                <w:top w:val="none" w:sz="0" w:space="0" w:color="auto"/>
                <w:left w:val="none" w:sz="0" w:space="0" w:color="auto"/>
                <w:bottom w:val="none" w:sz="0" w:space="0" w:color="auto"/>
                <w:right w:val="none" w:sz="0" w:space="0" w:color="auto"/>
              </w:divBdr>
            </w:div>
          </w:divsChild>
        </w:div>
        <w:div w:id="1848247602">
          <w:marLeft w:val="0"/>
          <w:marRight w:val="0"/>
          <w:marTop w:val="0"/>
          <w:marBottom w:val="0"/>
          <w:divBdr>
            <w:top w:val="none" w:sz="0" w:space="0" w:color="auto"/>
            <w:left w:val="none" w:sz="0" w:space="0" w:color="auto"/>
            <w:bottom w:val="none" w:sz="0" w:space="0" w:color="auto"/>
            <w:right w:val="none" w:sz="0" w:space="0" w:color="auto"/>
          </w:divBdr>
          <w:divsChild>
            <w:div w:id="1727755375">
              <w:marLeft w:val="0"/>
              <w:marRight w:val="0"/>
              <w:marTop w:val="0"/>
              <w:marBottom w:val="0"/>
              <w:divBdr>
                <w:top w:val="none" w:sz="0" w:space="0" w:color="auto"/>
                <w:left w:val="none" w:sz="0" w:space="0" w:color="auto"/>
                <w:bottom w:val="none" w:sz="0" w:space="0" w:color="auto"/>
                <w:right w:val="none" w:sz="0" w:space="0" w:color="auto"/>
              </w:divBdr>
            </w:div>
          </w:divsChild>
        </w:div>
        <w:div w:id="1948659967">
          <w:marLeft w:val="0"/>
          <w:marRight w:val="0"/>
          <w:marTop w:val="0"/>
          <w:marBottom w:val="0"/>
          <w:divBdr>
            <w:top w:val="none" w:sz="0" w:space="0" w:color="auto"/>
            <w:left w:val="none" w:sz="0" w:space="0" w:color="auto"/>
            <w:bottom w:val="none" w:sz="0" w:space="0" w:color="auto"/>
            <w:right w:val="none" w:sz="0" w:space="0" w:color="auto"/>
          </w:divBdr>
          <w:divsChild>
            <w:div w:id="1791433903">
              <w:marLeft w:val="0"/>
              <w:marRight w:val="0"/>
              <w:marTop w:val="0"/>
              <w:marBottom w:val="0"/>
              <w:divBdr>
                <w:top w:val="none" w:sz="0" w:space="0" w:color="auto"/>
                <w:left w:val="none" w:sz="0" w:space="0" w:color="auto"/>
                <w:bottom w:val="none" w:sz="0" w:space="0" w:color="auto"/>
                <w:right w:val="none" w:sz="0" w:space="0" w:color="auto"/>
              </w:divBdr>
            </w:div>
          </w:divsChild>
        </w:div>
        <w:div w:id="1950963090">
          <w:marLeft w:val="0"/>
          <w:marRight w:val="0"/>
          <w:marTop w:val="0"/>
          <w:marBottom w:val="0"/>
          <w:divBdr>
            <w:top w:val="none" w:sz="0" w:space="0" w:color="auto"/>
            <w:left w:val="none" w:sz="0" w:space="0" w:color="auto"/>
            <w:bottom w:val="none" w:sz="0" w:space="0" w:color="auto"/>
            <w:right w:val="none" w:sz="0" w:space="0" w:color="auto"/>
          </w:divBdr>
          <w:divsChild>
            <w:div w:id="798259865">
              <w:marLeft w:val="0"/>
              <w:marRight w:val="0"/>
              <w:marTop w:val="0"/>
              <w:marBottom w:val="0"/>
              <w:divBdr>
                <w:top w:val="none" w:sz="0" w:space="0" w:color="auto"/>
                <w:left w:val="none" w:sz="0" w:space="0" w:color="auto"/>
                <w:bottom w:val="none" w:sz="0" w:space="0" w:color="auto"/>
                <w:right w:val="none" w:sz="0" w:space="0" w:color="auto"/>
              </w:divBdr>
            </w:div>
          </w:divsChild>
        </w:div>
        <w:div w:id="1969385775">
          <w:marLeft w:val="0"/>
          <w:marRight w:val="0"/>
          <w:marTop w:val="0"/>
          <w:marBottom w:val="0"/>
          <w:divBdr>
            <w:top w:val="none" w:sz="0" w:space="0" w:color="auto"/>
            <w:left w:val="none" w:sz="0" w:space="0" w:color="auto"/>
            <w:bottom w:val="none" w:sz="0" w:space="0" w:color="auto"/>
            <w:right w:val="none" w:sz="0" w:space="0" w:color="auto"/>
          </w:divBdr>
          <w:divsChild>
            <w:div w:id="491676051">
              <w:marLeft w:val="0"/>
              <w:marRight w:val="0"/>
              <w:marTop w:val="0"/>
              <w:marBottom w:val="0"/>
              <w:divBdr>
                <w:top w:val="none" w:sz="0" w:space="0" w:color="auto"/>
                <w:left w:val="none" w:sz="0" w:space="0" w:color="auto"/>
                <w:bottom w:val="none" w:sz="0" w:space="0" w:color="auto"/>
                <w:right w:val="none" w:sz="0" w:space="0" w:color="auto"/>
              </w:divBdr>
            </w:div>
          </w:divsChild>
        </w:div>
        <w:div w:id="2016496166">
          <w:marLeft w:val="0"/>
          <w:marRight w:val="0"/>
          <w:marTop w:val="0"/>
          <w:marBottom w:val="0"/>
          <w:divBdr>
            <w:top w:val="none" w:sz="0" w:space="0" w:color="auto"/>
            <w:left w:val="none" w:sz="0" w:space="0" w:color="auto"/>
            <w:bottom w:val="none" w:sz="0" w:space="0" w:color="auto"/>
            <w:right w:val="none" w:sz="0" w:space="0" w:color="auto"/>
          </w:divBdr>
          <w:divsChild>
            <w:div w:id="589386768">
              <w:marLeft w:val="0"/>
              <w:marRight w:val="0"/>
              <w:marTop w:val="0"/>
              <w:marBottom w:val="0"/>
              <w:divBdr>
                <w:top w:val="none" w:sz="0" w:space="0" w:color="auto"/>
                <w:left w:val="none" w:sz="0" w:space="0" w:color="auto"/>
                <w:bottom w:val="none" w:sz="0" w:space="0" w:color="auto"/>
                <w:right w:val="none" w:sz="0" w:space="0" w:color="auto"/>
              </w:divBdr>
            </w:div>
          </w:divsChild>
        </w:div>
        <w:div w:id="2106803430">
          <w:marLeft w:val="0"/>
          <w:marRight w:val="0"/>
          <w:marTop w:val="0"/>
          <w:marBottom w:val="0"/>
          <w:divBdr>
            <w:top w:val="none" w:sz="0" w:space="0" w:color="auto"/>
            <w:left w:val="none" w:sz="0" w:space="0" w:color="auto"/>
            <w:bottom w:val="none" w:sz="0" w:space="0" w:color="auto"/>
            <w:right w:val="none" w:sz="0" w:space="0" w:color="auto"/>
          </w:divBdr>
          <w:divsChild>
            <w:div w:id="457795755">
              <w:marLeft w:val="0"/>
              <w:marRight w:val="0"/>
              <w:marTop w:val="0"/>
              <w:marBottom w:val="0"/>
              <w:divBdr>
                <w:top w:val="none" w:sz="0" w:space="0" w:color="auto"/>
                <w:left w:val="none" w:sz="0" w:space="0" w:color="auto"/>
                <w:bottom w:val="none" w:sz="0" w:space="0" w:color="auto"/>
                <w:right w:val="none" w:sz="0" w:space="0" w:color="auto"/>
              </w:divBdr>
            </w:div>
          </w:divsChild>
        </w:div>
        <w:div w:id="2108846920">
          <w:marLeft w:val="0"/>
          <w:marRight w:val="0"/>
          <w:marTop w:val="0"/>
          <w:marBottom w:val="0"/>
          <w:divBdr>
            <w:top w:val="none" w:sz="0" w:space="0" w:color="auto"/>
            <w:left w:val="none" w:sz="0" w:space="0" w:color="auto"/>
            <w:bottom w:val="none" w:sz="0" w:space="0" w:color="auto"/>
            <w:right w:val="none" w:sz="0" w:space="0" w:color="auto"/>
          </w:divBdr>
          <w:divsChild>
            <w:div w:id="2131705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390458">
      <w:bodyDiv w:val="1"/>
      <w:marLeft w:val="0"/>
      <w:marRight w:val="0"/>
      <w:marTop w:val="0"/>
      <w:marBottom w:val="0"/>
      <w:divBdr>
        <w:top w:val="none" w:sz="0" w:space="0" w:color="auto"/>
        <w:left w:val="none" w:sz="0" w:space="0" w:color="auto"/>
        <w:bottom w:val="none" w:sz="0" w:space="0" w:color="auto"/>
        <w:right w:val="none" w:sz="0" w:space="0" w:color="auto"/>
      </w:divBdr>
      <w:divsChild>
        <w:div w:id="484009914">
          <w:marLeft w:val="0"/>
          <w:marRight w:val="0"/>
          <w:marTop w:val="0"/>
          <w:marBottom w:val="0"/>
          <w:divBdr>
            <w:top w:val="none" w:sz="0" w:space="0" w:color="auto"/>
            <w:left w:val="none" w:sz="0" w:space="0" w:color="auto"/>
            <w:bottom w:val="none" w:sz="0" w:space="0" w:color="auto"/>
            <w:right w:val="none" w:sz="0" w:space="0" w:color="auto"/>
          </w:divBdr>
          <w:divsChild>
            <w:div w:id="1677926970">
              <w:marLeft w:val="0"/>
              <w:marRight w:val="0"/>
              <w:marTop w:val="30"/>
              <w:marBottom w:val="30"/>
              <w:divBdr>
                <w:top w:val="none" w:sz="0" w:space="0" w:color="auto"/>
                <w:left w:val="none" w:sz="0" w:space="0" w:color="auto"/>
                <w:bottom w:val="none" w:sz="0" w:space="0" w:color="auto"/>
                <w:right w:val="none" w:sz="0" w:space="0" w:color="auto"/>
              </w:divBdr>
              <w:divsChild>
                <w:div w:id="416753733">
                  <w:marLeft w:val="0"/>
                  <w:marRight w:val="0"/>
                  <w:marTop w:val="0"/>
                  <w:marBottom w:val="0"/>
                  <w:divBdr>
                    <w:top w:val="none" w:sz="0" w:space="0" w:color="auto"/>
                    <w:left w:val="none" w:sz="0" w:space="0" w:color="auto"/>
                    <w:bottom w:val="none" w:sz="0" w:space="0" w:color="auto"/>
                    <w:right w:val="none" w:sz="0" w:space="0" w:color="auto"/>
                  </w:divBdr>
                  <w:divsChild>
                    <w:div w:id="2024045981">
                      <w:marLeft w:val="0"/>
                      <w:marRight w:val="0"/>
                      <w:marTop w:val="0"/>
                      <w:marBottom w:val="0"/>
                      <w:divBdr>
                        <w:top w:val="none" w:sz="0" w:space="0" w:color="auto"/>
                        <w:left w:val="none" w:sz="0" w:space="0" w:color="auto"/>
                        <w:bottom w:val="none" w:sz="0" w:space="0" w:color="auto"/>
                        <w:right w:val="none" w:sz="0" w:space="0" w:color="auto"/>
                      </w:divBdr>
                    </w:div>
                  </w:divsChild>
                </w:div>
                <w:div w:id="1519082272">
                  <w:marLeft w:val="0"/>
                  <w:marRight w:val="0"/>
                  <w:marTop w:val="0"/>
                  <w:marBottom w:val="0"/>
                  <w:divBdr>
                    <w:top w:val="none" w:sz="0" w:space="0" w:color="auto"/>
                    <w:left w:val="none" w:sz="0" w:space="0" w:color="auto"/>
                    <w:bottom w:val="none" w:sz="0" w:space="0" w:color="auto"/>
                    <w:right w:val="none" w:sz="0" w:space="0" w:color="auto"/>
                  </w:divBdr>
                  <w:divsChild>
                    <w:div w:id="385490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7821307">
          <w:marLeft w:val="0"/>
          <w:marRight w:val="0"/>
          <w:marTop w:val="0"/>
          <w:marBottom w:val="0"/>
          <w:divBdr>
            <w:top w:val="none" w:sz="0" w:space="0" w:color="auto"/>
            <w:left w:val="none" w:sz="0" w:space="0" w:color="auto"/>
            <w:bottom w:val="none" w:sz="0" w:space="0" w:color="auto"/>
            <w:right w:val="none" w:sz="0" w:space="0" w:color="auto"/>
          </w:divBdr>
        </w:div>
        <w:div w:id="788360586">
          <w:marLeft w:val="0"/>
          <w:marRight w:val="0"/>
          <w:marTop w:val="0"/>
          <w:marBottom w:val="0"/>
          <w:divBdr>
            <w:top w:val="none" w:sz="0" w:space="0" w:color="auto"/>
            <w:left w:val="none" w:sz="0" w:space="0" w:color="auto"/>
            <w:bottom w:val="none" w:sz="0" w:space="0" w:color="auto"/>
            <w:right w:val="none" w:sz="0" w:space="0" w:color="auto"/>
          </w:divBdr>
          <w:divsChild>
            <w:div w:id="1635911231">
              <w:marLeft w:val="0"/>
              <w:marRight w:val="0"/>
              <w:marTop w:val="30"/>
              <w:marBottom w:val="30"/>
              <w:divBdr>
                <w:top w:val="none" w:sz="0" w:space="0" w:color="auto"/>
                <w:left w:val="none" w:sz="0" w:space="0" w:color="auto"/>
                <w:bottom w:val="none" w:sz="0" w:space="0" w:color="auto"/>
                <w:right w:val="none" w:sz="0" w:space="0" w:color="auto"/>
              </w:divBdr>
              <w:divsChild>
                <w:div w:id="183784411">
                  <w:marLeft w:val="0"/>
                  <w:marRight w:val="0"/>
                  <w:marTop w:val="0"/>
                  <w:marBottom w:val="0"/>
                  <w:divBdr>
                    <w:top w:val="none" w:sz="0" w:space="0" w:color="auto"/>
                    <w:left w:val="none" w:sz="0" w:space="0" w:color="auto"/>
                    <w:bottom w:val="none" w:sz="0" w:space="0" w:color="auto"/>
                    <w:right w:val="none" w:sz="0" w:space="0" w:color="auto"/>
                  </w:divBdr>
                  <w:divsChild>
                    <w:div w:id="768044467">
                      <w:marLeft w:val="0"/>
                      <w:marRight w:val="0"/>
                      <w:marTop w:val="0"/>
                      <w:marBottom w:val="0"/>
                      <w:divBdr>
                        <w:top w:val="none" w:sz="0" w:space="0" w:color="auto"/>
                        <w:left w:val="none" w:sz="0" w:space="0" w:color="auto"/>
                        <w:bottom w:val="none" w:sz="0" w:space="0" w:color="auto"/>
                        <w:right w:val="none" w:sz="0" w:space="0" w:color="auto"/>
                      </w:divBdr>
                    </w:div>
                  </w:divsChild>
                </w:div>
                <w:div w:id="260141808">
                  <w:marLeft w:val="0"/>
                  <w:marRight w:val="0"/>
                  <w:marTop w:val="0"/>
                  <w:marBottom w:val="0"/>
                  <w:divBdr>
                    <w:top w:val="none" w:sz="0" w:space="0" w:color="auto"/>
                    <w:left w:val="none" w:sz="0" w:space="0" w:color="auto"/>
                    <w:bottom w:val="none" w:sz="0" w:space="0" w:color="auto"/>
                    <w:right w:val="none" w:sz="0" w:space="0" w:color="auto"/>
                  </w:divBdr>
                  <w:divsChild>
                    <w:div w:id="1923638269">
                      <w:marLeft w:val="0"/>
                      <w:marRight w:val="0"/>
                      <w:marTop w:val="0"/>
                      <w:marBottom w:val="0"/>
                      <w:divBdr>
                        <w:top w:val="none" w:sz="0" w:space="0" w:color="auto"/>
                        <w:left w:val="none" w:sz="0" w:space="0" w:color="auto"/>
                        <w:bottom w:val="none" w:sz="0" w:space="0" w:color="auto"/>
                        <w:right w:val="none" w:sz="0" w:space="0" w:color="auto"/>
                      </w:divBdr>
                    </w:div>
                  </w:divsChild>
                </w:div>
                <w:div w:id="690033335">
                  <w:marLeft w:val="0"/>
                  <w:marRight w:val="0"/>
                  <w:marTop w:val="0"/>
                  <w:marBottom w:val="0"/>
                  <w:divBdr>
                    <w:top w:val="none" w:sz="0" w:space="0" w:color="auto"/>
                    <w:left w:val="none" w:sz="0" w:space="0" w:color="auto"/>
                    <w:bottom w:val="none" w:sz="0" w:space="0" w:color="auto"/>
                    <w:right w:val="none" w:sz="0" w:space="0" w:color="auto"/>
                  </w:divBdr>
                  <w:divsChild>
                    <w:div w:id="585386070">
                      <w:marLeft w:val="0"/>
                      <w:marRight w:val="0"/>
                      <w:marTop w:val="0"/>
                      <w:marBottom w:val="0"/>
                      <w:divBdr>
                        <w:top w:val="none" w:sz="0" w:space="0" w:color="auto"/>
                        <w:left w:val="none" w:sz="0" w:space="0" w:color="auto"/>
                        <w:bottom w:val="none" w:sz="0" w:space="0" w:color="auto"/>
                        <w:right w:val="none" w:sz="0" w:space="0" w:color="auto"/>
                      </w:divBdr>
                    </w:div>
                  </w:divsChild>
                </w:div>
                <w:div w:id="1157263868">
                  <w:marLeft w:val="0"/>
                  <w:marRight w:val="0"/>
                  <w:marTop w:val="0"/>
                  <w:marBottom w:val="0"/>
                  <w:divBdr>
                    <w:top w:val="none" w:sz="0" w:space="0" w:color="auto"/>
                    <w:left w:val="none" w:sz="0" w:space="0" w:color="auto"/>
                    <w:bottom w:val="none" w:sz="0" w:space="0" w:color="auto"/>
                    <w:right w:val="none" w:sz="0" w:space="0" w:color="auto"/>
                  </w:divBdr>
                  <w:divsChild>
                    <w:div w:id="89663322">
                      <w:marLeft w:val="0"/>
                      <w:marRight w:val="0"/>
                      <w:marTop w:val="0"/>
                      <w:marBottom w:val="0"/>
                      <w:divBdr>
                        <w:top w:val="none" w:sz="0" w:space="0" w:color="auto"/>
                        <w:left w:val="none" w:sz="0" w:space="0" w:color="auto"/>
                        <w:bottom w:val="none" w:sz="0" w:space="0" w:color="auto"/>
                        <w:right w:val="none" w:sz="0" w:space="0" w:color="auto"/>
                      </w:divBdr>
                    </w:div>
                  </w:divsChild>
                </w:div>
                <w:div w:id="1191266186">
                  <w:marLeft w:val="0"/>
                  <w:marRight w:val="0"/>
                  <w:marTop w:val="0"/>
                  <w:marBottom w:val="0"/>
                  <w:divBdr>
                    <w:top w:val="none" w:sz="0" w:space="0" w:color="auto"/>
                    <w:left w:val="none" w:sz="0" w:space="0" w:color="auto"/>
                    <w:bottom w:val="none" w:sz="0" w:space="0" w:color="auto"/>
                    <w:right w:val="none" w:sz="0" w:space="0" w:color="auto"/>
                  </w:divBdr>
                  <w:divsChild>
                    <w:div w:id="2101025522">
                      <w:marLeft w:val="0"/>
                      <w:marRight w:val="0"/>
                      <w:marTop w:val="0"/>
                      <w:marBottom w:val="0"/>
                      <w:divBdr>
                        <w:top w:val="none" w:sz="0" w:space="0" w:color="auto"/>
                        <w:left w:val="none" w:sz="0" w:space="0" w:color="auto"/>
                        <w:bottom w:val="none" w:sz="0" w:space="0" w:color="auto"/>
                        <w:right w:val="none" w:sz="0" w:space="0" w:color="auto"/>
                      </w:divBdr>
                    </w:div>
                  </w:divsChild>
                </w:div>
                <w:div w:id="1277449363">
                  <w:marLeft w:val="0"/>
                  <w:marRight w:val="0"/>
                  <w:marTop w:val="0"/>
                  <w:marBottom w:val="0"/>
                  <w:divBdr>
                    <w:top w:val="none" w:sz="0" w:space="0" w:color="auto"/>
                    <w:left w:val="none" w:sz="0" w:space="0" w:color="auto"/>
                    <w:bottom w:val="none" w:sz="0" w:space="0" w:color="auto"/>
                    <w:right w:val="none" w:sz="0" w:space="0" w:color="auto"/>
                  </w:divBdr>
                  <w:divsChild>
                    <w:div w:id="1646085510">
                      <w:marLeft w:val="0"/>
                      <w:marRight w:val="0"/>
                      <w:marTop w:val="0"/>
                      <w:marBottom w:val="0"/>
                      <w:divBdr>
                        <w:top w:val="none" w:sz="0" w:space="0" w:color="auto"/>
                        <w:left w:val="none" w:sz="0" w:space="0" w:color="auto"/>
                        <w:bottom w:val="none" w:sz="0" w:space="0" w:color="auto"/>
                        <w:right w:val="none" w:sz="0" w:space="0" w:color="auto"/>
                      </w:divBdr>
                    </w:div>
                  </w:divsChild>
                </w:div>
                <w:div w:id="1883786744">
                  <w:marLeft w:val="0"/>
                  <w:marRight w:val="0"/>
                  <w:marTop w:val="0"/>
                  <w:marBottom w:val="0"/>
                  <w:divBdr>
                    <w:top w:val="none" w:sz="0" w:space="0" w:color="auto"/>
                    <w:left w:val="none" w:sz="0" w:space="0" w:color="auto"/>
                    <w:bottom w:val="none" w:sz="0" w:space="0" w:color="auto"/>
                    <w:right w:val="none" w:sz="0" w:space="0" w:color="auto"/>
                  </w:divBdr>
                  <w:divsChild>
                    <w:div w:id="171842438">
                      <w:marLeft w:val="0"/>
                      <w:marRight w:val="0"/>
                      <w:marTop w:val="0"/>
                      <w:marBottom w:val="0"/>
                      <w:divBdr>
                        <w:top w:val="none" w:sz="0" w:space="0" w:color="auto"/>
                        <w:left w:val="none" w:sz="0" w:space="0" w:color="auto"/>
                        <w:bottom w:val="none" w:sz="0" w:space="0" w:color="auto"/>
                        <w:right w:val="none" w:sz="0" w:space="0" w:color="auto"/>
                      </w:divBdr>
                    </w:div>
                  </w:divsChild>
                </w:div>
                <w:div w:id="2070300646">
                  <w:marLeft w:val="0"/>
                  <w:marRight w:val="0"/>
                  <w:marTop w:val="0"/>
                  <w:marBottom w:val="0"/>
                  <w:divBdr>
                    <w:top w:val="none" w:sz="0" w:space="0" w:color="auto"/>
                    <w:left w:val="none" w:sz="0" w:space="0" w:color="auto"/>
                    <w:bottom w:val="none" w:sz="0" w:space="0" w:color="auto"/>
                    <w:right w:val="none" w:sz="0" w:space="0" w:color="auto"/>
                  </w:divBdr>
                  <w:divsChild>
                    <w:div w:id="705375712">
                      <w:marLeft w:val="0"/>
                      <w:marRight w:val="0"/>
                      <w:marTop w:val="0"/>
                      <w:marBottom w:val="0"/>
                      <w:divBdr>
                        <w:top w:val="none" w:sz="0" w:space="0" w:color="auto"/>
                        <w:left w:val="none" w:sz="0" w:space="0" w:color="auto"/>
                        <w:bottom w:val="none" w:sz="0" w:space="0" w:color="auto"/>
                        <w:right w:val="none" w:sz="0" w:space="0" w:color="auto"/>
                      </w:divBdr>
                    </w:div>
                  </w:divsChild>
                </w:div>
                <w:div w:id="2120484121">
                  <w:marLeft w:val="0"/>
                  <w:marRight w:val="0"/>
                  <w:marTop w:val="0"/>
                  <w:marBottom w:val="0"/>
                  <w:divBdr>
                    <w:top w:val="none" w:sz="0" w:space="0" w:color="auto"/>
                    <w:left w:val="none" w:sz="0" w:space="0" w:color="auto"/>
                    <w:bottom w:val="none" w:sz="0" w:space="0" w:color="auto"/>
                    <w:right w:val="none" w:sz="0" w:space="0" w:color="auto"/>
                  </w:divBdr>
                  <w:divsChild>
                    <w:div w:id="837039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459388">
          <w:marLeft w:val="0"/>
          <w:marRight w:val="0"/>
          <w:marTop w:val="0"/>
          <w:marBottom w:val="0"/>
          <w:divBdr>
            <w:top w:val="none" w:sz="0" w:space="0" w:color="auto"/>
            <w:left w:val="none" w:sz="0" w:space="0" w:color="auto"/>
            <w:bottom w:val="none" w:sz="0" w:space="0" w:color="auto"/>
            <w:right w:val="none" w:sz="0" w:space="0" w:color="auto"/>
          </w:divBdr>
          <w:divsChild>
            <w:div w:id="180439570">
              <w:marLeft w:val="0"/>
              <w:marRight w:val="0"/>
              <w:marTop w:val="30"/>
              <w:marBottom w:val="30"/>
              <w:divBdr>
                <w:top w:val="none" w:sz="0" w:space="0" w:color="auto"/>
                <w:left w:val="none" w:sz="0" w:space="0" w:color="auto"/>
                <w:bottom w:val="none" w:sz="0" w:space="0" w:color="auto"/>
                <w:right w:val="none" w:sz="0" w:space="0" w:color="auto"/>
              </w:divBdr>
              <w:divsChild>
                <w:div w:id="739522119">
                  <w:marLeft w:val="0"/>
                  <w:marRight w:val="0"/>
                  <w:marTop w:val="0"/>
                  <w:marBottom w:val="0"/>
                  <w:divBdr>
                    <w:top w:val="none" w:sz="0" w:space="0" w:color="auto"/>
                    <w:left w:val="none" w:sz="0" w:space="0" w:color="auto"/>
                    <w:bottom w:val="none" w:sz="0" w:space="0" w:color="auto"/>
                    <w:right w:val="none" w:sz="0" w:space="0" w:color="auto"/>
                  </w:divBdr>
                  <w:divsChild>
                    <w:div w:id="1280452238">
                      <w:marLeft w:val="0"/>
                      <w:marRight w:val="0"/>
                      <w:marTop w:val="0"/>
                      <w:marBottom w:val="0"/>
                      <w:divBdr>
                        <w:top w:val="none" w:sz="0" w:space="0" w:color="auto"/>
                        <w:left w:val="none" w:sz="0" w:space="0" w:color="auto"/>
                        <w:bottom w:val="none" w:sz="0" w:space="0" w:color="auto"/>
                        <w:right w:val="none" w:sz="0" w:space="0" w:color="auto"/>
                      </w:divBdr>
                    </w:div>
                  </w:divsChild>
                </w:div>
                <w:div w:id="835146246">
                  <w:marLeft w:val="0"/>
                  <w:marRight w:val="0"/>
                  <w:marTop w:val="0"/>
                  <w:marBottom w:val="0"/>
                  <w:divBdr>
                    <w:top w:val="none" w:sz="0" w:space="0" w:color="auto"/>
                    <w:left w:val="none" w:sz="0" w:space="0" w:color="auto"/>
                    <w:bottom w:val="none" w:sz="0" w:space="0" w:color="auto"/>
                    <w:right w:val="none" w:sz="0" w:space="0" w:color="auto"/>
                  </w:divBdr>
                  <w:divsChild>
                    <w:div w:id="1259296178">
                      <w:marLeft w:val="0"/>
                      <w:marRight w:val="0"/>
                      <w:marTop w:val="0"/>
                      <w:marBottom w:val="0"/>
                      <w:divBdr>
                        <w:top w:val="none" w:sz="0" w:space="0" w:color="auto"/>
                        <w:left w:val="none" w:sz="0" w:space="0" w:color="auto"/>
                        <w:bottom w:val="none" w:sz="0" w:space="0" w:color="auto"/>
                        <w:right w:val="none" w:sz="0" w:space="0" w:color="auto"/>
                      </w:divBdr>
                    </w:div>
                  </w:divsChild>
                </w:div>
                <w:div w:id="872961354">
                  <w:marLeft w:val="0"/>
                  <w:marRight w:val="0"/>
                  <w:marTop w:val="0"/>
                  <w:marBottom w:val="0"/>
                  <w:divBdr>
                    <w:top w:val="none" w:sz="0" w:space="0" w:color="auto"/>
                    <w:left w:val="none" w:sz="0" w:space="0" w:color="auto"/>
                    <w:bottom w:val="none" w:sz="0" w:space="0" w:color="auto"/>
                    <w:right w:val="none" w:sz="0" w:space="0" w:color="auto"/>
                  </w:divBdr>
                  <w:divsChild>
                    <w:div w:id="2018189559">
                      <w:marLeft w:val="0"/>
                      <w:marRight w:val="0"/>
                      <w:marTop w:val="0"/>
                      <w:marBottom w:val="0"/>
                      <w:divBdr>
                        <w:top w:val="none" w:sz="0" w:space="0" w:color="auto"/>
                        <w:left w:val="none" w:sz="0" w:space="0" w:color="auto"/>
                        <w:bottom w:val="none" w:sz="0" w:space="0" w:color="auto"/>
                        <w:right w:val="none" w:sz="0" w:space="0" w:color="auto"/>
                      </w:divBdr>
                    </w:div>
                  </w:divsChild>
                </w:div>
                <w:div w:id="1136989138">
                  <w:marLeft w:val="0"/>
                  <w:marRight w:val="0"/>
                  <w:marTop w:val="0"/>
                  <w:marBottom w:val="0"/>
                  <w:divBdr>
                    <w:top w:val="none" w:sz="0" w:space="0" w:color="auto"/>
                    <w:left w:val="none" w:sz="0" w:space="0" w:color="auto"/>
                    <w:bottom w:val="none" w:sz="0" w:space="0" w:color="auto"/>
                    <w:right w:val="none" w:sz="0" w:space="0" w:color="auto"/>
                  </w:divBdr>
                  <w:divsChild>
                    <w:div w:id="1174220174">
                      <w:marLeft w:val="0"/>
                      <w:marRight w:val="0"/>
                      <w:marTop w:val="0"/>
                      <w:marBottom w:val="0"/>
                      <w:divBdr>
                        <w:top w:val="none" w:sz="0" w:space="0" w:color="auto"/>
                        <w:left w:val="none" w:sz="0" w:space="0" w:color="auto"/>
                        <w:bottom w:val="none" w:sz="0" w:space="0" w:color="auto"/>
                        <w:right w:val="none" w:sz="0" w:space="0" w:color="auto"/>
                      </w:divBdr>
                    </w:div>
                  </w:divsChild>
                </w:div>
                <w:div w:id="1741126493">
                  <w:marLeft w:val="0"/>
                  <w:marRight w:val="0"/>
                  <w:marTop w:val="0"/>
                  <w:marBottom w:val="0"/>
                  <w:divBdr>
                    <w:top w:val="none" w:sz="0" w:space="0" w:color="auto"/>
                    <w:left w:val="none" w:sz="0" w:space="0" w:color="auto"/>
                    <w:bottom w:val="none" w:sz="0" w:space="0" w:color="auto"/>
                    <w:right w:val="none" w:sz="0" w:space="0" w:color="auto"/>
                  </w:divBdr>
                  <w:divsChild>
                    <w:div w:id="1404912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135151">
          <w:marLeft w:val="0"/>
          <w:marRight w:val="0"/>
          <w:marTop w:val="0"/>
          <w:marBottom w:val="0"/>
          <w:divBdr>
            <w:top w:val="none" w:sz="0" w:space="0" w:color="auto"/>
            <w:left w:val="none" w:sz="0" w:space="0" w:color="auto"/>
            <w:bottom w:val="none" w:sz="0" w:space="0" w:color="auto"/>
            <w:right w:val="none" w:sz="0" w:space="0" w:color="auto"/>
          </w:divBdr>
        </w:div>
        <w:div w:id="1271551143">
          <w:marLeft w:val="0"/>
          <w:marRight w:val="0"/>
          <w:marTop w:val="0"/>
          <w:marBottom w:val="0"/>
          <w:divBdr>
            <w:top w:val="none" w:sz="0" w:space="0" w:color="auto"/>
            <w:left w:val="none" w:sz="0" w:space="0" w:color="auto"/>
            <w:bottom w:val="none" w:sz="0" w:space="0" w:color="auto"/>
            <w:right w:val="none" w:sz="0" w:space="0" w:color="auto"/>
          </w:divBdr>
        </w:div>
        <w:div w:id="1507934976">
          <w:marLeft w:val="0"/>
          <w:marRight w:val="0"/>
          <w:marTop w:val="0"/>
          <w:marBottom w:val="0"/>
          <w:divBdr>
            <w:top w:val="none" w:sz="0" w:space="0" w:color="auto"/>
            <w:left w:val="none" w:sz="0" w:space="0" w:color="auto"/>
            <w:bottom w:val="none" w:sz="0" w:space="0" w:color="auto"/>
            <w:right w:val="none" w:sz="0" w:space="0" w:color="auto"/>
          </w:divBdr>
          <w:divsChild>
            <w:div w:id="583492354">
              <w:marLeft w:val="0"/>
              <w:marRight w:val="0"/>
              <w:marTop w:val="30"/>
              <w:marBottom w:val="30"/>
              <w:divBdr>
                <w:top w:val="none" w:sz="0" w:space="0" w:color="auto"/>
                <w:left w:val="none" w:sz="0" w:space="0" w:color="auto"/>
                <w:bottom w:val="none" w:sz="0" w:space="0" w:color="auto"/>
                <w:right w:val="none" w:sz="0" w:space="0" w:color="auto"/>
              </w:divBdr>
              <w:divsChild>
                <w:div w:id="181016951">
                  <w:marLeft w:val="0"/>
                  <w:marRight w:val="0"/>
                  <w:marTop w:val="0"/>
                  <w:marBottom w:val="0"/>
                  <w:divBdr>
                    <w:top w:val="none" w:sz="0" w:space="0" w:color="auto"/>
                    <w:left w:val="none" w:sz="0" w:space="0" w:color="auto"/>
                    <w:bottom w:val="none" w:sz="0" w:space="0" w:color="auto"/>
                    <w:right w:val="none" w:sz="0" w:space="0" w:color="auto"/>
                  </w:divBdr>
                  <w:divsChild>
                    <w:div w:id="1675104461">
                      <w:marLeft w:val="0"/>
                      <w:marRight w:val="0"/>
                      <w:marTop w:val="0"/>
                      <w:marBottom w:val="0"/>
                      <w:divBdr>
                        <w:top w:val="none" w:sz="0" w:space="0" w:color="auto"/>
                        <w:left w:val="none" w:sz="0" w:space="0" w:color="auto"/>
                        <w:bottom w:val="none" w:sz="0" w:space="0" w:color="auto"/>
                        <w:right w:val="none" w:sz="0" w:space="0" w:color="auto"/>
                      </w:divBdr>
                    </w:div>
                  </w:divsChild>
                </w:div>
                <w:div w:id="401879713">
                  <w:marLeft w:val="0"/>
                  <w:marRight w:val="0"/>
                  <w:marTop w:val="0"/>
                  <w:marBottom w:val="0"/>
                  <w:divBdr>
                    <w:top w:val="none" w:sz="0" w:space="0" w:color="auto"/>
                    <w:left w:val="none" w:sz="0" w:space="0" w:color="auto"/>
                    <w:bottom w:val="none" w:sz="0" w:space="0" w:color="auto"/>
                    <w:right w:val="none" w:sz="0" w:space="0" w:color="auto"/>
                  </w:divBdr>
                  <w:divsChild>
                    <w:div w:id="324207213">
                      <w:marLeft w:val="0"/>
                      <w:marRight w:val="0"/>
                      <w:marTop w:val="0"/>
                      <w:marBottom w:val="0"/>
                      <w:divBdr>
                        <w:top w:val="none" w:sz="0" w:space="0" w:color="auto"/>
                        <w:left w:val="none" w:sz="0" w:space="0" w:color="auto"/>
                        <w:bottom w:val="none" w:sz="0" w:space="0" w:color="auto"/>
                        <w:right w:val="none" w:sz="0" w:space="0" w:color="auto"/>
                      </w:divBdr>
                    </w:div>
                  </w:divsChild>
                </w:div>
                <w:div w:id="525367869">
                  <w:marLeft w:val="0"/>
                  <w:marRight w:val="0"/>
                  <w:marTop w:val="0"/>
                  <w:marBottom w:val="0"/>
                  <w:divBdr>
                    <w:top w:val="none" w:sz="0" w:space="0" w:color="auto"/>
                    <w:left w:val="none" w:sz="0" w:space="0" w:color="auto"/>
                    <w:bottom w:val="none" w:sz="0" w:space="0" w:color="auto"/>
                    <w:right w:val="none" w:sz="0" w:space="0" w:color="auto"/>
                  </w:divBdr>
                  <w:divsChild>
                    <w:div w:id="1712269242">
                      <w:marLeft w:val="0"/>
                      <w:marRight w:val="0"/>
                      <w:marTop w:val="0"/>
                      <w:marBottom w:val="0"/>
                      <w:divBdr>
                        <w:top w:val="none" w:sz="0" w:space="0" w:color="auto"/>
                        <w:left w:val="none" w:sz="0" w:space="0" w:color="auto"/>
                        <w:bottom w:val="none" w:sz="0" w:space="0" w:color="auto"/>
                        <w:right w:val="none" w:sz="0" w:space="0" w:color="auto"/>
                      </w:divBdr>
                    </w:div>
                  </w:divsChild>
                </w:div>
                <w:div w:id="571356780">
                  <w:marLeft w:val="0"/>
                  <w:marRight w:val="0"/>
                  <w:marTop w:val="0"/>
                  <w:marBottom w:val="0"/>
                  <w:divBdr>
                    <w:top w:val="none" w:sz="0" w:space="0" w:color="auto"/>
                    <w:left w:val="none" w:sz="0" w:space="0" w:color="auto"/>
                    <w:bottom w:val="none" w:sz="0" w:space="0" w:color="auto"/>
                    <w:right w:val="none" w:sz="0" w:space="0" w:color="auto"/>
                  </w:divBdr>
                  <w:divsChild>
                    <w:div w:id="2002006837">
                      <w:marLeft w:val="0"/>
                      <w:marRight w:val="0"/>
                      <w:marTop w:val="0"/>
                      <w:marBottom w:val="0"/>
                      <w:divBdr>
                        <w:top w:val="none" w:sz="0" w:space="0" w:color="auto"/>
                        <w:left w:val="none" w:sz="0" w:space="0" w:color="auto"/>
                        <w:bottom w:val="none" w:sz="0" w:space="0" w:color="auto"/>
                        <w:right w:val="none" w:sz="0" w:space="0" w:color="auto"/>
                      </w:divBdr>
                    </w:div>
                  </w:divsChild>
                </w:div>
                <w:div w:id="584539370">
                  <w:marLeft w:val="0"/>
                  <w:marRight w:val="0"/>
                  <w:marTop w:val="0"/>
                  <w:marBottom w:val="0"/>
                  <w:divBdr>
                    <w:top w:val="none" w:sz="0" w:space="0" w:color="auto"/>
                    <w:left w:val="none" w:sz="0" w:space="0" w:color="auto"/>
                    <w:bottom w:val="none" w:sz="0" w:space="0" w:color="auto"/>
                    <w:right w:val="none" w:sz="0" w:space="0" w:color="auto"/>
                  </w:divBdr>
                  <w:divsChild>
                    <w:div w:id="919100753">
                      <w:marLeft w:val="0"/>
                      <w:marRight w:val="0"/>
                      <w:marTop w:val="0"/>
                      <w:marBottom w:val="0"/>
                      <w:divBdr>
                        <w:top w:val="none" w:sz="0" w:space="0" w:color="auto"/>
                        <w:left w:val="none" w:sz="0" w:space="0" w:color="auto"/>
                        <w:bottom w:val="none" w:sz="0" w:space="0" w:color="auto"/>
                        <w:right w:val="none" w:sz="0" w:space="0" w:color="auto"/>
                      </w:divBdr>
                    </w:div>
                  </w:divsChild>
                </w:div>
                <w:div w:id="888884235">
                  <w:marLeft w:val="0"/>
                  <w:marRight w:val="0"/>
                  <w:marTop w:val="0"/>
                  <w:marBottom w:val="0"/>
                  <w:divBdr>
                    <w:top w:val="none" w:sz="0" w:space="0" w:color="auto"/>
                    <w:left w:val="none" w:sz="0" w:space="0" w:color="auto"/>
                    <w:bottom w:val="none" w:sz="0" w:space="0" w:color="auto"/>
                    <w:right w:val="none" w:sz="0" w:space="0" w:color="auto"/>
                  </w:divBdr>
                  <w:divsChild>
                    <w:div w:id="662394003">
                      <w:marLeft w:val="0"/>
                      <w:marRight w:val="0"/>
                      <w:marTop w:val="0"/>
                      <w:marBottom w:val="0"/>
                      <w:divBdr>
                        <w:top w:val="none" w:sz="0" w:space="0" w:color="auto"/>
                        <w:left w:val="none" w:sz="0" w:space="0" w:color="auto"/>
                        <w:bottom w:val="none" w:sz="0" w:space="0" w:color="auto"/>
                        <w:right w:val="none" w:sz="0" w:space="0" w:color="auto"/>
                      </w:divBdr>
                    </w:div>
                  </w:divsChild>
                </w:div>
                <w:div w:id="1045445794">
                  <w:marLeft w:val="0"/>
                  <w:marRight w:val="0"/>
                  <w:marTop w:val="0"/>
                  <w:marBottom w:val="0"/>
                  <w:divBdr>
                    <w:top w:val="none" w:sz="0" w:space="0" w:color="auto"/>
                    <w:left w:val="none" w:sz="0" w:space="0" w:color="auto"/>
                    <w:bottom w:val="none" w:sz="0" w:space="0" w:color="auto"/>
                    <w:right w:val="none" w:sz="0" w:space="0" w:color="auto"/>
                  </w:divBdr>
                  <w:divsChild>
                    <w:div w:id="1385064974">
                      <w:marLeft w:val="0"/>
                      <w:marRight w:val="0"/>
                      <w:marTop w:val="0"/>
                      <w:marBottom w:val="0"/>
                      <w:divBdr>
                        <w:top w:val="none" w:sz="0" w:space="0" w:color="auto"/>
                        <w:left w:val="none" w:sz="0" w:space="0" w:color="auto"/>
                        <w:bottom w:val="none" w:sz="0" w:space="0" w:color="auto"/>
                        <w:right w:val="none" w:sz="0" w:space="0" w:color="auto"/>
                      </w:divBdr>
                    </w:div>
                  </w:divsChild>
                </w:div>
                <w:div w:id="1275862437">
                  <w:marLeft w:val="0"/>
                  <w:marRight w:val="0"/>
                  <w:marTop w:val="0"/>
                  <w:marBottom w:val="0"/>
                  <w:divBdr>
                    <w:top w:val="none" w:sz="0" w:space="0" w:color="auto"/>
                    <w:left w:val="none" w:sz="0" w:space="0" w:color="auto"/>
                    <w:bottom w:val="none" w:sz="0" w:space="0" w:color="auto"/>
                    <w:right w:val="none" w:sz="0" w:space="0" w:color="auto"/>
                  </w:divBdr>
                  <w:divsChild>
                    <w:div w:id="2113696468">
                      <w:marLeft w:val="0"/>
                      <w:marRight w:val="0"/>
                      <w:marTop w:val="0"/>
                      <w:marBottom w:val="0"/>
                      <w:divBdr>
                        <w:top w:val="none" w:sz="0" w:space="0" w:color="auto"/>
                        <w:left w:val="none" w:sz="0" w:space="0" w:color="auto"/>
                        <w:bottom w:val="none" w:sz="0" w:space="0" w:color="auto"/>
                        <w:right w:val="none" w:sz="0" w:space="0" w:color="auto"/>
                      </w:divBdr>
                    </w:div>
                  </w:divsChild>
                </w:div>
                <w:div w:id="1355884086">
                  <w:marLeft w:val="0"/>
                  <w:marRight w:val="0"/>
                  <w:marTop w:val="0"/>
                  <w:marBottom w:val="0"/>
                  <w:divBdr>
                    <w:top w:val="none" w:sz="0" w:space="0" w:color="auto"/>
                    <w:left w:val="none" w:sz="0" w:space="0" w:color="auto"/>
                    <w:bottom w:val="none" w:sz="0" w:space="0" w:color="auto"/>
                    <w:right w:val="none" w:sz="0" w:space="0" w:color="auto"/>
                  </w:divBdr>
                  <w:divsChild>
                    <w:div w:id="735906435">
                      <w:marLeft w:val="0"/>
                      <w:marRight w:val="0"/>
                      <w:marTop w:val="0"/>
                      <w:marBottom w:val="0"/>
                      <w:divBdr>
                        <w:top w:val="none" w:sz="0" w:space="0" w:color="auto"/>
                        <w:left w:val="none" w:sz="0" w:space="0" w:color="auto"/>
                        <w:bottom w:val="none" w:sz="0" w:space="0" w:color="auto"/>
                        <w:right w:val="none" w:sz="0" w:space="0" w:color="auto"/>
                      </w:divBdr>
                    </w:div>
                  </w:divsChild>
                </w:div>
                <w:div w:id="1463886671">
                  <w:marLeft w:val="0"/>
                  <w:marRight w:val="0"/>
                  <w:marTop w:val="0"/>
                  <w:marBottom w:val="0"/>
                  <w:divBdr>
                    <w:top w:val="none" w:sz="0" w:space="0" w:color="auto"/>
                    <w:left w:val="none" w:sz="0" w:space="0" w:color="auto"/>
                    <w:bottom w:val="none" w:sz="0" w:space="0" w:color="auto"/>
                    <w:right w:val="none" w:sz="0" w:space="0" w:color="auto"/>
                  </w:divBdr>
                  <w:divsChild>
                    <w:div w:id="1461992431">
                      <w:marLeft w:val="0"/>
                      <w:marRight w:val="0"/>
                      <w:marTop w:val="0"/>
                      <w:marBottom w:val="0"/>
                      <w:divBdr>
                        <w:top w:val="none" w:sz="0" w:space="0" w:color="auto"/>
                        <w:left w:val="none" w:sz="0" w:space="0" w:color="auto"/>
                        <w:bottom w:val="none" w:sz="0" w:space="0" w:color="auto"/>
                        <w:right w:val="none" w:sz="0" w:space="0" w:color="auto"/>
                      </w:divBdr>
                    </w:div>
                  </w:divsChild>
                </w:div>
                <w:div w:id="1502114174">
                  <w:marLeft w:val="0"/>
                  <w:marRight w:val="0"/>
                  <w:marTop w:val="0"/>
                  <w:marBottom w:val="0"/>
                  <w:divBdr>
                    <w:top w:val="none" w:sz="0" w:space="0" w:color="auto"/>
                    <w:left w:val="none" w:sz="0" w:space="0" w:color="auto"/>
                    <w:bottom w:val="none" w:sz="0" w:space="0" w:color="auto"/>
                    <w:right w:val="none" w:sz="0" w:space="0" w:color="auto"/>
                  </w:divBdr>
                  <w:divsChild>
                    <w:div w:id="2045523680">
                      <w:marLeft w:val="0"/>
                      <w:marRight w:val="0"/>
                      <w:marTop w:val="0"/>
                      <w:marBottom w:val="0"/>
                      <w:divBdr>
                        <w:top w:val="none" w:sz="0" w:space="0" w:color="auto"/>
                        <w:left w:val="none" w:sz="0" w:space="0" w:color="auto"/>
                        <w:bottom w:val="none" w:sz="0" w:space="0" w:color="auto"/>
                        <w:right w:val="none" w:sz="0" w:space="0" w:color="auto"/>
                      </w:divBdr>
                    </w:div>
                  </w:divsChild>
                </w:div>
                <w:div w:id="1521973990">
                  <w:marLeft w:val="0"/>
                  <w:marRight w:val="0"/>
                  <w:marTop w:val="0"/>
                  <w:marBottom w:val="0"/>
                  <w:divBdr>
                    <w:top w:val="none" w:sz="0" w:space="0" w:color="auto"/>
                    <w:left w:val="none" w:sz="0" w:space="0" w:color="auto"/>
                    <w:bottom w:val="none" w:sz="0" w:space="0" w:color="auto"/>
                    <w:right w:val="none" w:sz="0" w:space="0" w:color="auto"/>
                  </w:divBdr>
                  <w:divsChild>
                    <w:div w:id="318074179">
                      <w:marLeft w:val="0"/>
                      <w:marRight w:val="0"/>
                      <w:marTop w:val="0"/>
                      <w:marBottom w:val="0"/>
                      <w:divBdr>
                        <w:top w:val="none" w:sz="0" w:space="0" w:color="auto"/>
                        <w:left w:val="none" w:sz="0" w:space="0" w:color="auto"/>
                        <w:bottom w:val="none" w:sz="0" w:space="0" w:color="auto"/>
                        <w:right w:val="none" w:sz="0" w:space="0" w:color="auto"/>
                      </w:divBdr>
                    </w:div>
                  </w:divsChild>
                </w:div>
                <w:div w:id="2030569935">
                  <w:marLeft w:val="0"/>
                  <w:marRight w:val="0"/>
                  <w:marTop w:val="0"/>
                  <w:marBottom w:val="0"/>
                  <w:divBdr>
                    <w:top w:val="none" w:sz="0" w:space="0" w:color="auto"/>
                    <w:left w:val="none" w:sz="0" w:space="0" w:color="auto"/>
                    <w:bottom w:val="none" w:sz="0" w:space="0" w:color="auto"/>
                    <w:right w:val="none" w:sz="0" w:space="0" w:color="auto"/>
                  </w:divBdr>
                  <w:divsChild>
                    <w:div w:id="1321543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0333295">
          <w:marLeft w:val="0"/>
          <w:marRight w:val="0"/>
          <w:marTop w:val="0"/>
          <w:marBottom w:val="0"/>
          <w:divBdr>
            <w:top w:val="none" w:sz="0" w:space="0" w:color="auto"/>
            <w:left w:val="none" w:sz="0" w:space="0" w:color="auto"/>
            <w:bottom w:val="none" w:sz="0" w:space="0" w:color="auto"/>
            <w:right w:val="none" w:sz="0" w:space="0" w:color="auto"/>
          </w:divBdr>
        </w:div>
        <w:div w:id="1620795910">
          <w:marLeft w:val="0"/>
          <w:marRight w:val="0"/>
          <w:marTop w:val="0"/>
          <w:marBottom w:val="0"/>
          <w:divBdr>
            <w:top w:val="none" w:sz="0" w:space="0" w:color="auto"/>
            <w:left w:val="none" w:sz="0" w:space="0" w:color="auto"/>
            <w:bottom w:val="none" w:sz="0" w:space="0" w:color="auto"/>
            <w:right w:val="none" w:sz="0" w:space="0" w:color="auto"/>
          </w:divBdr>
        </w:div>
        <w:div w:id="1658613358">
          <w:marLeft w:val="0"/>
          <w:marRight w:val="0"/>
          <w:marTop w:val="0"/>
          <w:marBottom w:val="0"/>
          <w:divBdr>
            <w:top w:val="none" w:sz="0" w:space="0" w:color="auto"/>
            <w:left w:val="none" w:sz="0" w:space="0" w:color="auto"/>
            <w:bottom w:val="none" w:sz="0" w:space="0" w:color="auto"/>
            <w:right w:val="none" w:sz="0" w:space="0" w:color="auto"/>
          </w:divBdr>
          <w:divsChild>
            <w:div w:id="1327711966">
              <w:marLeft w:val="0"/>
              <w:marRight w:val="0"/>
              <w:marTop w:val="30"/>
              <w:marBottom w:val="30"/>
              <w:divBdr>
                <w:top w:val="none" w:sz="0" w:space="0" w:color="auto"/>
                <w:left w:val="none" w:sz="0" w:space="0" w:color="auto"/>
                <w:bottom w:val="none" w:sz="0" w:space="0" w:color="auto"/>
                <w:right w:val="none" w:sz="0" w:space="0" w:color="auto"/>
              </w:divBdr>
              <w:divsChild>
                <w:div w:id="860629547">
                  <w:marLeft w:val="0"/>
                  <w:marRight w:val="0"/>
                  <w:marTop w:val="0"/>
                  <w:marBottom w:val="0"/>
                  <w:divBdr>
                    <w:top w:val="none" w:sz="0" w:space="0" w:color="auto"/>
                    <w:left w:val="none" w:sz="0" w:space="0" w:color="auto"/>
                    <w:bottom w:val="none" w:sz="0" w:space="0" w:color="auto"/>
                    <w:right w:val="none" w:sz="0" w:space="0" w:color="auto"/>
                  </w:divBdr>
                  <w:divsChild>
                    <w:div w:id="1629362162">
                      <w:marLeft w:val="0"/>
                      <w:marRight w:val="0"/>
                      <w:marTop w:val="0"/>
                      <w:marBottom w:val="0"/>
                      <w:divBdr>
                        <w:top w:val="none" w:sz="0" w:space="0" w:color="auto"/>
                        <w:left w:val="none" w:sz="0" w:space="0" w:color="auto"/>
                        <w:bottom w:val="none" w:sz="0" w:space="0" w:color="auto"/>
                        <w:right w:val="none" w:sz="0" w:space="0" w:color="auto"/>
                      </w:divBdr>
                    </w:div>
                  </w:divsChild>
                </w:div>
                <w:div w:id="1111700526">
                  <w:marLeft w:val="0"/>
                  <w:marRight w:val="0"/>
                  <w:marTop w:val="0"/>
                  <w:marBottom w:val="0"/>
                  <w:divBdr>
                    <w:top w:val="none" w:sz="0" w:space="0" w:color="auto"/>
                    <w:left w:val="none" w:sz="0" w:space="0" w:color="auto"/>
                    <w:bottom w:val="none" w:sz="0" w:space="0" w:color="auto"/>
                    <w:right w:val="none" w:sz="0" w:space="0" w:color="auto"/>
                  </w:divBdr>
                  <w:divsChild>
                    <w:div w:id="1477071492">
                      <w:marLeft w:val="0"/>
                      <w:marRight w:val="0"/>
                      <w:marTop w:val="0"/>
                      <w:marBottom w:val="0"/>
                      <w:divBdr>
                        <w:top w:val="none" w:sz="0" w:space="0" w:color="auto"/>
                        <w:left w:val="none" w:sz="0" w:space="0" w:color="auto"/>
                        <w:bottom w:val="none" w:sz="0" w:space="0" w:color="auto"/>
                        <w:right w:val="none" w:sz="0" w:space="0" w:color="auto"/>
                      </w:divBdr>
                    </w:div>
                  </w:divsChild>
                </w:div>
                <w:div w:id="1692098696">
                  <w:marLeft w:val="0"/>
                  <w:marRight w:val="0"/>
                  <w:marTop w:val="0"/>
                  <w:marBottom w:val="0"/>
                  <w:divBdr>
                    <w:top w:val="none" w:sz="0" w:space="0" w:color="auto"/>
                    <w:left w:val="none" w:sz="0" w:space="0" w:color="auto"/>
                    <w:bottom w:val="none" w:sz="0" w:space="0" w:color="auto"/>
                    <w:right w:val="none" w:sz="0" w:space="0" w:color="auto"/>
                  </w:divBdr>
                  <w:divsChild>
                    <w:div w:id="184885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627538">
          <w:marLeft w:val="0"/>
          <w:marRight w:val="0"/>
          <w:marTop w:val="0"/>
          <w:marBottom w:val="0"/>
          <w:divBdr>
            <w:top w:val="none" w:sz="0" w:space="0" w:color="auto"/>
            <w:left w:val="none" w:sz="0" w:space="0" w:color="auto"/>
            <w:bottom w:val="none" w:sz="0" w:space="0" w:color="auto"/>
            <w:right w:val="none" w:sz="0" w:space="0" w:color="auto"/>
          </w:divBdr>
          <w:divsChild>
            <w:div w:id="756244649">
              <w:marLeft w:val="0"/>
              <w:marRight w:val="0"/>
              <w:marTop w:val="30"/>
              <w:marBottom w:val="30"/>
              <w:divBdr>
                <w:top w:val="none" w:sz="0" w:space="0" w:color="auto"/>
                <w:left w:val="none" w:sz="0" w:space="0" w:color="auto"/>
                <w:bottom w:val="none" w:sz="0" w:space="0" w:color="auto"/>
                <w:right w:val="none" w:sz="0" w:space="0" w:color="auto"/>
              </w:divBdr>
              <w:divsChild>
                <w:div w:id="14353025">
                  <w:marLeft w:val="0"/>
                  <w:marRight w:val="0"/>
                  <w:marTop w:val="0"/>
                  <w:marBottom w:val="0"/>
                  <w:divBdr>
                    <w:top w:val="none" w:sz="0" w:space="0" w:color="auto"/>
                    <w:left w:val="none" w:sz="0" w:space="0" w:color="auto"/>
                    <w:bottom w:val="none" w:sz="0" w:space="0" w:color="auto"/>
                    <w:right w:val="none" w:sz="0" w:space="0" w:color="auto"/>
                  </w:divBdr>
                  <w:divsChild>
                    <w:div w:id="511644897">
                      <w:marLeft w:val="0"/>
                      <w:marRight w:val="0"/>
                      <w:marTop w:val="0"/>
                      <w:marBottom w:val="0"/>
                      <w:divBdr>
                        <w:top w:val="none" w:sz="0" w:space="0" w:color="auto"/>
                        <w:left w:val="none" w:sz="0" w:space="0" w:color="auto"/>
                        <w:bottom w:val="none" w:sz="0" w:space="0" w:color="auto"/>
                        <w:right w:val="none" w:sz="0" w:space="0" w:color="auto"/>
                      </w:divBdr>
                    </w:div>
                  </w:divsChild>
                </w:div>
                <w:div w:id="173764889">
                  <w:marLeft w:val="0"/>
                  <w:marRight w:val="0"/>
                  <w:marTop w:val="0"/>
                  <w:marBottom w:val="0"/>
                  <w:divBdr>
                    <w:top w:val="none" w:sz="0" w:space="0" w:color="auto"/>
                    <w:left w:val="none" w:sz="0" w:space="0" w:color="auto"/>
                    <w:bottom w:val="none" w:sz="0" w:space="0" w:color="auto"/>
                    <w:right w:val="none" w:sz="0" w:space="0" w:color="auto"/>
                  </w:divBdr>
                  <w:divsChild>
                    <w:div w:id="1392540130">
                      <w:marLeft w:val="0"/>
                      <w:marRight w:val="0"/>
                      <w:marTop w:val="0"/>
                      <w:marBottom w:val="0"/>
                      <w:divBdr>
                        <w:top w:val="none" w:sz="0" w:space="0" w:color="auto"/>
                        <w:left w:val="none" w:sz="0" w:space="0" w:color="auto"/>
                        <w:bottom w:val="none" w:sz="0" w:space="0" w:color="auto"/>
                        <w:right w:val="none" w:sz="0" w:space="0" w:color="auto"/>
                      </w:divBdr>
                    </w:div>
                  </w:divsChild>
                </w:div>
                <w:div w:id="488130783">
                  <w:marLeft w:val="0"/>
                  <w:marRight w:val="0"/>
                  <w:marTop w:val="0"/>
                  <w:marBottom w:val="0"/>
                  <w:divBdr>
                    <w:top w:val="none" w:sz="0" w:space="0" w:color="auto"/>
                    <w:left w:val="none" w:sz="0" w:space="0" w:color="auto"/>
                    <w:bottom w:val="none" w:sz="0" w:space="0" w:color="auto"/>
                    <w:right w:val="none" w:sz="0" w:space="0" w:color="auto"/>
                  </w:divBdr>
                  <w:divsChild>
                    <w:div w:id="2076009213">
                      <w:marLeft w:val="0"/>
                      <w:marRight w:val="0"/>
                      <w:marTop w:val="0"/>
                      <w:marBottom w:val="0"/>
                      <w:divBdr>
                        <w:top w:val="none" w:sz="0" w:space="0" w:color="auto"/>
                        <w:left w:val="none" w:sz="0" w:space="0" w:color="auto"/>
                        <w:bottom w:val="none" w:sz="0" w:space="0" w:color="auto"/>
                        <w:right w:val="none" w:sz="0" w:space="0" w:color="auto"/>
                      </w:divBdr>
                    </w:div>
                  </w:divsChild>
                </w:div>
                <w:div w:id="951277971">
                  <w:marLeft w:val="0"/>
                  <w:marRight w:val="0"/>
                  <w:marTop w:val="0"/>
                  <w:marBottom w:val="0"/>
                  <w:divBdr>
                    <w:top w:val="none" w:sz="0" w:space="0" w:color="auto"/>
                    <w:left w:val="none" w:sz="0" w:space="0" w:color="auto"/>
                    <w:bottom w:val="none" w:sz="0" w:space="0" w:color="auto"/>
                    <w:right w:val="none" w:sz="0" w:space="0" w:color="auto"/>
                  </w:divBdr>
                  <w:divsChild>
                    <w:div w:id="1800880354">
                      <w:marLeft w:val="0"/>
                      <w:marRight w:val="0"/>
                      <w:marTop w:val="0"/>
                      <w:marBottom w:val="0"/>
                      <w:divBdr>
                        <w:top w:val="none" w:sz="0" w:space="0" w:color="auto"/>
                        <w:left w:val="none" w:sz="0" w:space="0" w:color="auto"/>
                        <w:bottom w:val="none" w:sz="0" w:space="0" w:color="auto"/>
                        <w:right w:val="none" w:sz="0" w:space="0" w:color="auto"/>
                      </w:divBdr>
                    </w:div>
                  </w:divsChild>
                </w:div>
                <w:div w:id="1801219502">
                  <w:marLeft w:val="0"/>
                  <w:marRight w:val="0"/>
                  <w:marTop w:val="0"/>
                  <w:marBottom w:val="0"/>
                  <w:divBdr>
                    <w:top w:val="none" w:sz="0" w:space="0" w:color="auto"/>
                    <w:left w:val="none" w:sz="0" w:space="0" w:color="auto"/>
                    <w:bottom w:val="none" w:sz="0" w:space="0" w:color="auto"/>
                    <w:right w:val="none" w:sz="0" w:space="0" w:color="auto"/>
                  </w:divBdr>
                  <w:divsChild>
                    <w:div w:id="1308822238">
                      <w:marLeft w:val="0"/>
                      <w:marRight w:val="0"/>
                      <w:marTop w:val="0"/>
                      <w:marBottom w:val="0"/>
                      <w:divBdr>
                        <w:top w:val="none" w:sz="0" w:space="0" w:color="auto"/>
                        <w:left w:val="none" w:sz="0" w:space="0" w:color="auto"/>
                        <w:bottom w:val="none" w:sz="0" w:space="0" w:color="auto"/>
                        <w:right w:val="none" w:sz="0" w:space="0" w:color="auto"/>
                      </w:divBdr>
                    </w:div>
                    <w:div w:id="197259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917035">
          <w:marLeft w:val="0"/>
          <w:marRight w:val="0"/>
          <w:marTop w:val="0"/>
          <w:marBottom w:val="0"/>
          <w:divBdr>
            <w:top w:val="none" w:sz="0" w:space="0" w:color="auto"/>
            <w:left w:val="none" w:sz="0" w:space="0" w:color="auto"/>
            <w:bottom w:val="none" w:sz="0" w:space="0" w:color="auto"/>
            <w:right w:val="none" w:sz="0" w:space="0" w:color="auto"/>
          </w:divBdr>
        </w:div>
        <w:div w:id="2097902905">
          <w:marLeft w:val="0"/>
          <w:marRight w:val="0"/>
          <w:marTop w:val="0"/>
          <w:marBottom w:val="0"/>
          <w:divBdr>
            <w:top w:val="none" w:sz="0" w:space="0" w:color="auto"/>
            <w:left w:val="none" w:sz="0" w:space="0" w:color="auto"/>
            <w:bottom w:val="none" w:sz="0" w:space="0" w:color="auto"/>
            <w:right w:val="none" w:sz="0" w:space="0" w:color="auto"/>
          </w:divBdr>
        </w:div>
      </w:divsChild>
    </w:div>
    <w:div w:id="293759496">
      <w:bodyDiv w:val="1"/>
      <w:marLeft w:val="0"/>
      <w:marRight w:val="0"/>
      <w:marTop w:val="0"/>
      <w:marBottom w:val="0"/>
      <w:divBdr>
        <w:top w:val="none" w:sz="0" w:space="0" w:color="auto"/>
        <w:left w:val="none" w:sz="0" w:space="0" w:color="auto"/>
        <w:bottom w:val="none" w:sz="0" w:space="0" w:color="auto"/>
        <w:right w:val="none" w:sz="0" w:space="0" w:color="auto"/>
      </w:divBdr>
      <w:divsChild>
        <w:div w:id="30224826">
          <w:marLeft w:val="0"/>
          <w:marRight w:val="0"/>
          <w:marTop w:val="0"/>
          <w:marBottom w:val="0"/>
          <w:divBdr>
            <w:top w:val="none" w:sz="0" w:space="0" w:color="auto"/>
            <w:left w:val="none" w:sz="0" w:space="0" w:color="auto"/>
            <w:bottom w:val="none" w:sz="0" w:space="0" w:color="auto"/>
            <w:right w:val="none" w:sz="0" w:space="0" w:color="auto"/>
          </w:divBdr>
          <w:divsChild>
            <w:div w:id="1743017516">
              <w:marLeft w:val="0"/>
              <w:marRight w:val="0"/>
              <w:marTop w:val="0"/>
              <w:marBottom w:val="0"/>
              <w:divBdr>
                <w:top w:val="none" w:sz="0" w:space="0" w:color="auto"/>
                <w:left w:val="none" w:sz="0" w:space="0" w:color="auto"/>
                <w:bottom w:val="none" w:sz="0" w:space="0" w:color="auto"/>
                <w:right w:val="none" w:sz="0" w:space="0" w:color="auto"/>
              </w:divBdr>
            </w:div>
          </w:divsChild>
        </w:div>
        <w:div w:id="54087291">
          <w:marLeft w:val="0"/>
          <w:marRight w:val="0"/>
          <w:marTop w:val="0"/>
          <w:marBottom w:val="0"/>
          <w:divBdr>
            <w:top w:val="none" w:sz="0" w:space="0" w:color="auto"/>
            <w:left w:val="none" w:sz="0" w:space="0" w:color="auto"/>
            <w:bottom w:val="none" w:sz="0" w:space="0" w:color="auto"/>
            <w:right w:val="none" w:sz="0" w:space="0" w:color="auto"/>
          </w:divBdr>
          <w:divsChild>
            <w:div w:id="272444919">
              <w:marLeft w:val="0"/>
              <w:marRight w:val="0"/>
              <w:marTop w:val="0"/>
              <w:marBottom w:val="0"/>
              <w:divBdr>
                <w:top w:val="none" w:sz="0" w:space="0" w:color="auto"/>
                <w:left w:val="none" w:sz="0" w:space="0" w:color="auto"/>
                <w:bottom w:val="none" w:sz="0" w:space="0" w:color="auto"/>
                <w:right w:val="none" w:sz="0" w:space="0" w:color="auto"/>
              </w:divBdr>
            </w:div>
          </w:divsChild>
        </w:div>
        <w:div w:id="85544555">
          <w:marLeft w:val="0"/>
          <w:marRight w:val="0"/>
          <w:marTop w:val="0"/>
          <w:marBottom w:val="0"/>
          <w:divBdr>
            <w:top w:val="none" w:sz="0" w:space="0" w:color="auto"/>
            <w:left w:val="none" w:sz="0" w:space="0" w:color="auto"/>
            <w:bottom w:val="none" w:sz="0" w:space="0" w:color="auto"/>
            <w:right w:val="none" w:sz="0" w:space="0" w:color="auto"/>
          </w:divBdr>
          <w:divsChild>
            <w:div w:id="1375235840">
              <w:marLeft w:val="0"/>
              <w:marRight w:val="0"/>
              <w:marTop w:val="0"/>
              <w:marBottom w:val="0"/>
              <w:divBdr>
                <w:top w:val="none" w:sz="0" w:space="0" w:color="auto"/>
                <w:left w:val="none" w:sz="0" w:space="0" w:color="auto"/>
                <w:bottom w:val="none" w:sz="0" w:space="0" w:color="auto"/>
                <w:right w:val="none" w:sz="0" w:space="0" w:color="auto"/>
              </w:divBdr>
            </w:div>
          </w:divsChild>
        </w:div>
        <w:div w:id="109590849">
          <w:marLeft w:val="0"/>
          <w:marRight w:val="0"/>
          <w:marTop w:val="0"/>
          <w:marBottom w:val="0"/>
          <w:divBdr>
            <w:top w:val="none" w:sz="0" w:space="0" w:color="auto"/>
            <w:left w:val="none" w:sz="0" w:space="0" w:color="auto"/>
            <w:bottom w:val="none" w:sz="0" w:space="0" w:color="auto"/>
            <w:right w:val="none" w:sz="0" w:space="0" w:color="auto"/>
          </w:divBdr>
          <w:divsChild>
            <w:div w:id="1852527041">
              <w:marLeft w:val="0"/>
              <w:marRight w:val="0"/>
              <w:marTop w:val="0"/>
              <w:marBottom w:val="0"/>
              <w:divBdr>
                <w:top w:val="none" w:sz="0" w:space="0" w:color="auto"/>
                <w:left w:val="none" w:sz="0" w:space="0" w:color="auto"/>
                <w:bottom w:val="none" w:sz="0" w:space="0" w:color="auto"/>
                <w:right w:val="none" w:sz="0" w:space="0" w:color="auto"/>
              </w:divBdr>
            </w:div>
          </w:divsChild>
        </w:div>
        <w:div w:id="129135586">
          <w:marLeft w:val="0"/>
          <w:marRight w:val="0"/>
          <w:marTop w:val="0"/>
          <w:marBottom w:val="0"/>
          <w:divBdr>
            <w:top w:val="none" w:sz="0" w:space="0" w:color="auto"/>
            <w:left w:val="none" w:sz="0" w:space="0" w:color="auto"/>
            <w:bottom w:val="none" w:sz="0" w:space="0" w:color="auto"/>
            <w:right w:val="none" w:sz="0" w:space="0" w:color="auto"/>
          </w:divBdr>
          <w:divsChild>
            <w:div w:id="855269309">
              <w:marLeft w:val="0"/>
              <w:marRight w:val="0"/>
              <w:marTop w:val="0"/>
              <w:marBottom w:val="0"/>
              <w:divBdr>
                <w:top w:val="none" w:sz="0" w:space="0" w:color="auto"/>
                <w:left w:val="none" w:sz="0" w:space="0" w:color="auto"/>
                <w:bottom w:val="none" w:sz="0" w:space="0" w:color="auto"/>
                <w:right w:val="none" w:sz="0" w:space="0" w:color="auto"/>
              </w:divBdr>
            </w:div>
          </w:divsChild>
        </w:div>
        <w:div w:id="179584474">
          <w:marLeft w:val="0"/>
          <w:marRight w:val="0"/>
          <w:marTop w:val="0"/>
          <w:marBottom w:val="0"/>
          <w:divBdr>
            <w:top w:val="none" w:sz="0" w:space="0" w:color="auto"/>
            <w:left w:val="none" w:sz="0" w:space="0" w:color="auto"/>
            <w:bottom w:val="none" w:sz="0" w:space="0" w:color="auto"/>
            <w:right w:val="none" w:sz="0" w:space="0" w:color="auto"/>
          </w:divBdr>
          <w:divsChild>
            <w:div w:id="463621756">
              <w:marLeft w:val="0"/>
              <w:marRight w:val="0"/>
              <w:marTop w:val="0"/>
              <w:marBottom w:val="0"/>
              <w:divBdr>
                <w:top w:val="none" w:sz="0" w:space="0" w:color="auto"/>
                <w:left w:val="none" w:sz="0" w:space="0" w:color="auto"/>
                <w:bottom w:val="none" w:sz="0" w:space="0" w:color="auto"/>
                <w:right w:val="none" w:sz="0" w:space="0" w:color="auto"/>
              </w:divBdr>
            </w:div>
          </w:divsChild>
        </w:div>
        <w:div w:id="225384337">
          <w:marLeft w:val="0"/>
          <w:marRight w:val="0"/>
          <w:marTop w:val="0"/>
          <w:marBottom w:val="0"/>
          <w:divBdr>
            <w:top w:val="none" w:sz="0" w:space="0" w:color="auto"/>
            <w:left w:val="none" w:sz="0" w:space="0" w:color="auto"/>
            <w:bottom w:val="none" w:sz="0" w:space="0" w:color="auto"/>
            <w:right w:val="none" w:sz="0" w:space="0" w:color="auto"/>
          </w:divBdr>
          <w:divsChild>
            <w:div w:id="609508993">
              <w:marLeft w:val="0"/>
              <w:marRight w:val="0"/>
              <w:marTop w:val="0"/>
              <w:marBottom w:val="0"/>
              <w:divBdr>
                <w:top w:val="none" w:sz="0" w:space="0" w:color="auto"/>
                <w:left w:val="none" w:sz="0" w:space="0" w:color="auto"/>
                <w:bottom w:val="none" w:sz="0" w:space="0" w:color="auto"/>
                <w:right w:val="none" w:sz="0" w:space="0" w:color="auto"/>
              </w:divBdr>
            </w:div>
          </w:divsChild>
        </w:div>
        <w:div w:id="306471841">
          <w:marLeft w:val="0"/>
          <w:marRight w:val="0"/>
          <w:marTop w:val="0"/>
          <w:marBottom w:val="0"/>
          <w:divBdr>
            <w:top w:val="none" w:sz="0" w:space="0" w:color="auto"/>
            <w:left w:val="none" w:sz="0" w:space="0" w:color="auto"/>
            <w:bottom w:val="none" w:sz="0" w:space="0" w:color="auto"/>
            <w:right w:val="none" w:sz="0" w:space="0" w:color="auto"/>
          </w:divBdr>
          <w:divsChild>
            <w:div w:id="1677151171">
              <w:marLeft w:val="0"/>
              <w:marRight w:val="0"/>
              <w:marTop w:val="0"/>
              <w:marBottom w:val="0"/>
              <w:divBdr>
                <w:top w:val="none" w:sz="0" w:space="0" w:color="auto"/>
                <w:left w:val="none" w:sz="0" w:space="0" w:color="auto"/>
                <w:bottom w:val="none" w:sz="0" w:space="0" w:color="auto"/>
                <w:right w:val="none" w:sz="0" w:space="0" w:color="auto"/>
              </w:divBdr>
            </w:div>
          </w:divsChild>
        </w:div>
        <w:div w:id="380055670">
          <w:marLeft w:val="0"/>
          <w:marRight w:val="0"/>
          <w:marTop w:val="0"/>
          <w:marBottom w:val="0"/>
          <w:divBdr>
            <w:top w:val="none" w:sz="0" w:space="0" w:color="auto"/>
            <w:left w:val="none" w:sz="0" w:space="0" w:color="auto"/>
            <w:bottom w:val="none" w:sz="0" w:space="0" w:color="auto"/>
            <w:right w:val="none" w:sz="0" w:space="0" w:color="auto"/>
          </w:divBdr>
          <w:divsChild>
            <w:div w:id="579489224">
              <w:marLeft w:val="0"/>
              <w:marRight w:val="0"/>
              <w:marTop w:val="0"/>
              <w:marBottom w:val="0"/>
              <w:divBdr>
                <w:top w:val="none" w:sz="0" w:space="0" w:color="auto"/>
                <w:left w:val="none" w:sz="0" w:space="0" w:color="auto"/>
                <w:bottom w:val="none" w:sz="0" w:space="0" w:color="auto"/>
                <w:right w:val="none" w:sz="0" w:space="0" w:color="auto"/>
              </w:divBdr>
            </w:div>
          </w:divsChild>
        </w:div>
        <w:div w:id="402218754">
          <w:marLeft w:val="0"/>
          <w:marRight w:val="0"/>
          <w:marTop w:val="0"/>
          <w:marBottom w:val="0"/>
          <w:divBdr>
            <w:top w:val="none" w:sz="0" w:space="0" w:color="auto"/>
            <w:left w:val="none" w:sz="0" w:space="0" w:color="auto"/>
            <w:bottom w:val="none" w:sz="0" w:space="0" w:color="auto"/>
            <w:right w:val="none" w:sz="0" w:space="0" w:color="auto"/>
          </w:divBdr>
          <w:divsChild>
            <w:div w:id="827206216">
              <w:marLeft w:val="0"/>
              <w:marRight w:val="0"/>
              <w:marTop w:val="0"/>
              <w:marBottom w:val="0"/>
              <w:divBdr>
                <w:top w:val="none" w:sz="0" w:space="0" w:color="auto"/>
                <w:left w:val="none" w:sz="0" w:space="0" w:color="auto"/>
                <w:bottom w:val="none" w:sz="0" w:space="0" w:color="auto"/>
                <w:right w:val="none" w:sz="0" w:space="0" w:color="auto"/>
              </w:divBdr>
            </w:div>
          </w:divsChild>
        </w:div>
        <w:div w:id="403530121">
          <w:marLeft w:val="0"/>
          <w:marRight w:val="0"/>
          <w:marTop w:val="0"/>
          <w:marBottom w:val="0"/>
          <w:divBdr>
            <w:top w:val="none" w:sz="0" w:space="0" w:color="auto"/>
            <w:left w:val="none" w:sz="0" w:space="0" w:color="auto"/>
            <w:bottom w:val="none" w:sz="0" w:space="0" w:color="auto"/>
            <w:right w:val="none" w:sz="0" w:space="0" w:color="auto"/>
          </w:divBdr>
          <w:divsChild>
            <w:div w:id="259875607">
              <w:marLeft w:val="0"/>
              <w:marRight w:val="0"/>
              <w:marTop w:val="0"/>
              <w:marBottom w:val="0"/>
              <w:divBdr>
                <w:top w:val="none" w:sz="0" w:space="0" w:color="auto"/>
                <w:left w:val="none" w:sz="0" w:space="0" w:color="auto"/>
                <w:bottom w:val="none" w:sz="0" w:space="0" w:color="auto"/>
                <w:right w:val="none" w:sz="0" w:space="0" w:color="auto"/>
              </w:divBdr>
            </w:div>
          </w:divsChild>
        </w:div>
        <w:div w:id="445002592">
          <w:marLeft w:val="0"/>
          <w:marRight w:val="0"/>
          <w:marTop w:val="0"/>
          <w:marBottom w:val="0"/>
          <w:divBdr>
            <w:top w:val="none" w:sz="0" w:space="0" w:color="auto"/>
            <w:left w:val="none" w:sz="0" w:space="0" w:color="auto"/>
            <w:bottom w:val="none" w:sz="0" w:space="0" w:color="auto"/>
            <w:right w:val="none" w:sz="0" w:space="0" w:color="auto"/>
          </w:divBdr>
          <w:divsChild>
            <w:div w:id="1741637838">
              <w:marLeft w:val="0"/>
              <w:marRight w:val="0"/>
              <w:marTop w:val="0"/>
              <w:marBottom w:val="0"/>
              <w:divBdr>
                <w:top w:val="none" w:sz="0" w:space="0" w:color="auto"/>
                <w:left w:val="none" w:sz="0" w:space="0" w:color="auto"/>
                <w:bottom w:val="none" w:sz="0" w:space="0" w:color="auto"/>
                <w:right w:val="none" w:sz="0" w:space="0" w:color="auto"/>
              </w:divBdr>
            </w:div>
          </w:divsChild>
        </w:div>
        <w:div w:id="459541374">
          <w:marLeft w:val="0"/>
          <w:marRight w:val="0"/>
          <w:marTop w:val="0"/>
          <w:marBottom w:val="0"/>
          <w:divBdr>
            <w:top w:val="none" w:sz="0" w:space="0" w:color="auto"/>
            <w:left w:val="none" w:sz="0" w:space="0" w:color="auto"/>
            <w:bottom w:val="none" w:sz="0" w:space="0" w:color="auto"/>
            <w:right w:val="none" w:sz="0" w:space="0" w:color="auto"/>
          </w:divBdr>
          <w:divsChild>
            <w:div w:id="1882941318">
              <w:marLeft w:val="0"/>
              <w:marRight w:val="0"/>
              <w:marTop w:val="0"/>
              <w:marBottom w:val="0"/>
              <w:divBdr>
                <w:top w:val="none" w:sz="0" w:space="0" w:color="auto"/>
                <w:left w:val="none" w:sz="0" w:space="0" w:color="auto"/>
                <w:bottom w:val="none" w:sz="0" w:space="0" w:color="auto"/>
                <w:right w:val="none" w:sz="0" w:space="0" w:color="auto"/>
              </w:divBdr>
            </w:div>
          </w:divsChild>
        </w:div>
        <w:div w:id="488404896">
          <w:marLeft w:val="0"/>
          <w:marRight w:val="0"/>
          <w:marTop w:val="0"/>
          <w:marBottom w:val="0"/>
          <w:divBdr>
            <w:top w:val="none" w:sz="0" w:space="0" w:color="auto"/>
            <w:left w:val="none" w:sz="0" w:space="0" w:color="auto"/>
            <w:bottom w:val="none" w:sz="0" w:space="0" w:color="auto"/>
            <w:right w:val="none" w:sz="0" w:space="0" w:color="auto"/>
          </w:divBdr>
          <w:divsChild>
            <w:div w:id="86729892">
              <w:marLeft w:val="0"/>
              <w:marRight w:val="0"/>
              <w:marTop w:val="0"/>
              <w:marBottom w:val="0"/>
              <w:divBdr>
                <w:top w:val="none" w:sz="0" w:space="0" w:color="auto"/>
                <w:left w:val="none" w:sz="0" w:space="0" w:color="auto"/>
                <w:bottom w:val="none" w:sz="0" w:space="0" w:color="auto"/>
                <w:right w:val="none" w:sz="0" w:space="0" w:color="auto"/>
              </w:divBdr>
            </w:div>
          </w:divsChild>
        </w:div>
        <w:div w:id="553662976">
          <w:marLeft w:val="0"/>
          <w:marRight w:val="0"/>
          <w:marTop w:val="0"/>
          <w:marBottom w:val="0"/>
          <w:divBdr>
            <w:top w:val="none" w:sz="0" w:space="0" w:color="auto"/>
            <w:left w:val="none" w:sz="0" w:space="0" w:color="auto"/>
            <w:bottom w:val="none" w:sz="0" w:space="0" w:color="auto"/>
            <w:right w:val="none" w:sz="0" w:space="0" w:color="auto"/>
          </w:divBdr>
          <w:divsChild>
            <w:div w:id="1364942015">
              <w:marLeft w:val="0"/>
              <w:marRight w:val="0"/>
              <w:marTop w:val="0"/>
              <w:marBottom w:val="0"/>
              <w:divBdr>
                <w:top w:val="none" w:sz="0" w:space="0" w:color="auto"/>
                <w:left w:val="none" w:sz="0" w:space="0" w:color="auto"/>
                <w:bottom w:val="none" w:sz="0" w:space="0" w:color="auto"/>
                <w:right w:val="none" w:sz="0" w:space="0" w:color="auto"/>
              </w:divBdr>
            </w:div>
          </w:divsChild>
        </w:div>
        <w:div w:id="589236009">
          <w:marLeft w:val="0"/>
          <w:marRight w:val="0"/>
          <w:marTop w:val="0"/>
          <w:marBottom w:val="0"/>
          <w:divBdr>
            <w:top w:val="none" w:sz="0" w:space="0" w:color="auto"/>
            <w:left w:val="none" w:sz="0" w:space="0" w:color="auto"/>
            <w:bottom w:val="none" w:sz="0" w:space="0" w:color="auto"/>
            <w:right w:val="none" w:sz="0" w:space="0" w:color="auto"/>
          </w:divBdr>
          <w:divsChild>
            <w:div w:id="1562446970">
              <w:marLeft w:val="0"/>
              <w:marRight w:val="0"/>
              <w:marTop w:val="0"/>
              <w:marBottom w:val="0"/>
              <w:divBdr>
                <w:top w:val="none" w:sz="0" w:space="0" w:color="auto"/>
                <w:left w:val="none" w:sz="0" w:space="0" w:color="auto"/>
                <w:bottom w:val="none" w:sz="0" w:space="0" w:color="auto"/>
                <w:right w:val="none" w:sz="0" w:space="0" w:color="auto"/>
              </w:divBdr>
            </w:div>
          </w:divsChild>
        </w:div>
        <w:div w:id="609362593">
          <w:marLeft w:val="0"/>
          <w:marRight w:val="0"/>
          <w:marTop w:val="0"/>
          <w:marBottom w:val="0"/>
          <w:divBdr>
            <w:top w:val="none" w:sz="0" w:space="0" w:color="auto"/>
            <w:left w:val="none" w:sz="0" w:space="0" w:color="auto"/>
            <w:bottom w:val="none" w:sz="0" w:space="0" w:color="auto"/>
            <w:right w:val="none" w:sz="0" w:space="0" w:color="auto"/>
          </w:divBdr>
          <w:divsChild>
            <w:div w:id="1115556579">
              <w:marLeft w:val="0"/>
              <w:marRight w:val="0"/>
              <w:marTop w:val="0"/>
              <w:marBottom w:val="0"/>
              <w:divBdr>
                <w:top w:val="none" w:sz="0" w:space="0" w:color="auto"/>
                <w:left w:val="none" w:sz="0" w:space="0" w:color="auto"/>
                <w:bottom w:val="none" w:sz="0" w:space="0" w:color="auto"/>
                <w:right w:val="none" w:sz="0" w:space="0" w:color="auto"/>
              </w:divBdr>
            </w:div>
          </w:divsChild>
        </w:div>
        <w:div w:id="617219995">
          <w:marLeft w:val="0"/>
          <w:marRight w:val="0"/>
          <w:marTop w:val="0"/>
          <w:marBottom w:val="0"/>
          <w:divBdr>
            <w:top w:val="none" w:sz="0" w:space="0" w:color="auto"/>
            <w:left w:val="none" w:sz="0" w:space="0" w:color="auto"/>
            <w:bottom w:val="none" w:sz="0" w:space="0" w:color="auto"/>
            <w:right w:val="none" w:sz="0" w:space="0" w:color="auto"/>
          </w:divBdr>
          <w:divsChild>
            <w:div w:id="844515354">
              <w:marLeft w:val="0"/>
              <w:marRight w:val="0"/>
              <w:marTop w:val="0"/>
              <w:marBottom w:val="0"/>
              <w:divBdr>
                <w:top w:val="none" w:sz="0" w:space="0" w:color="auto"/>
                <w:left w:val="none" w:sz="0" w:space="0" w:color="auto"/>
                <w:bottom w:val="none" w:sz="0" w:space="0" w:color="auto"/>
                <w:right w:val="none" w:sz="0" w:space="0" w:color="auto"/>
              </w:divBdr>
            </w:div>
          </w:divsChild>
        </w:div>
        <w:div w:id="618296458">
          <w:marLeft w:val="0"/>
          <w:marRight w:val="0"/>
          <w:marTop w:val="0"/>
          <w:marBottom w:val="0"/>
          <w:divBdr>
            <w:top w:val="none" w:sz="0" w:space="0" w:color="auto"/>
            <w:left w:val="none" w:sz="0" w:space="0" w:color="auto"/>
            <w:bottom w:val="none" w:sz="0" w:space="0" w:color="auto"/>
            <w:right w:val="none" w:sz="0" w:space="0" w:color="auto"/>
          </w:divBdr>
          <w:divsChild>
            <w:div w:id="2055502871">
              <w:marLeft w:val="0"/>
              <w:marRight w:val="0"/>
              <w:marTop w:val="0"/>
              <w:marBottom w:val="0"/>
              <w:divBdr>
                <w:top w:val="none" w:sz="0" w:space="0" w:color="auto"/>
                <w:left w:val="none" w:sz="0" w:space="0" w:color="auto"/>
                <w:bottom w:val="none" w:sz="0" w:space="0" w:color="auto"/>
                <w:right w:val="none" w:sz="0" w:space="0" w:color="auto"/>
              </w:divBdr>
            </w:div>
          </w:divsChild>
        </w:div>
        <w:div w:id="669870278">
          <w:marLeft w:val="0"/>
          <w:marRight w:val="0"/>
          <w:marTop w:val="0"/>
          <w:marBottom w:val="0"/>
          <w:divBdr>
            <w:top w:val="none" w:sz="0" w:space="0" w:color="auto"/>
            <w:left w:val="none" w:sz="0" w:space="0" w:color="auto"/>
            <w:bottom w:val="none" w:sz="0" w:space="0" w:color="auto"/>
            <w:right w:val="none" w:sz="0" w:space="0" w:color="auto"/>
          </w:divBdr>
          <w:divsChild>
            <w:div w:id="1113790854">
              <w:marLeft w:val="0"/>
              <w:marRight w:val="0"/>
              <w:marTop w:val="0"/>
              <w:marBottom w:val="0"/>
              <w:divBdr>
                <w:top w:val="none" w:sz="0" w:space="0" w:color="auto"/>
                <w:left w:val="none" w:sz="0" w:space="0" w:color="auto"/>
                <w:bottom w:val="none" w:sz="0" w:space="0" w:color="auto"/>
                <w:right w:val="none" w:sz="0" w:space="0" w:color="auto"/>
              </w:divBdr>
            </w:div>
          </w:divsChild>
        </w:div>
        <w:div w:id="713045380">
          <w:marLeft w:val="0"/>
          <w:marRight w:val="0"/>
          <w:marTop w:val="0"/>
          <w:marBottom w:val="0"/>
          <w:divBdr>
            <w:top w:val="none" w:sz="0" w:space="0" w:color="auto"/>
            <w:left w:val="none" w:sz="0" w:space="0" w:color="auto"/>
            <w:bottom w:val="none" w:sz="0" w:space="0" w:color="auto"/>
            <w:right w:val="none" w:sz="0" w:space="0" w:color="auto"/>
          </w:divBdr>
          <w:divsChild>
            <w:div w:id="1632394017">
              <w:marLeft w:val="0"/>
              <w:marRight w:val="0"/>
              <w:marTop w:val="0"/>
              <w:marBottom w:val="0"/>
              <w:divBdr>
                <w:top w:val="none" w:sz="0" w:space="0" w:color="auto"/>
                <w:left w:val="none" w:sz="0" w:space="0" w:color="auto"/>
                <w:bottom w:val="none" w:sz="0" w:space="0" w:color="auto"/>
                <w:right w:val="none" w:sz="0" w:space="0" w:color="auto"/>
              </w:divBdr>
            </w:div>
          </w:divsChild>
        </w:div>
        <w:div w:id="729113316">
          <w:marLeft w:val="0"/>
          <w:marRight w:val="0"/>
          <w:marTop w:val="0"/>
          <w:marBottom w:val="0"/>
          <w:divBdr>
            <w:top w:val="none" w:sz="0" w:space="0" w:color="auto"/>
            <w:left w:val="none" w:sz="0" w:space="0" w:color="auto"/>
            <w:bottom w:val="none" w:sz="0" w:space="0" w:color="auto"/>
            <w:right w:val="none" w:sz="0" w:space="0" w:color="auto"/>
          </w:divBdr>
          <w:divsChild>
            <w:div w:id="556665547">
              <w:marLeft w:val="0"/>
              <w:marRight w:val="0"/>
              <w:marTop w:val="0"/>
              <w:marBottom w:val="0"/>
              <w:divBdr>
                <w:top w:val="none" w:sz="0" w:space="0" w:color="auto"/>
                <w:left w:val="none" w:sz="0" w:space="0" w:color="auto"/>
                <w:bottom w:val="none" w:sz="0" w:space="0" w:color="auto"/>
                <w:right w:val="none" w:sz="0" w:space="0" w:color="auto"/>
              </w:divBdr>
            </w:div>
          </w:divsChild>
        </w:div>
        <w:div w:id="783698191">
          <w:marLeft w:val="0"/>
          <w:marRight w:val="0"/>
          <w:marTop w:val="0"/>
          <w:marBottom w:val="0"/>
          <w:divBdr>
            <w:top w:val="none" w:sz="0" w:space="0" w:color="auto"/>
            <w:left w:val="none" w:sz="0" w:space="0" w:color="auto"/>
            <w:bottom w:val="none" w:sz="0" w:space="0" w:color="auto"/>
            <w:right w:val="none" w:sz="0" w:space="0" w:color="auto"/>
          </w:divBdr>
          <w:divsChild>
            <w:div w:id="1840729395">
              <w:marLeft w:val="0"/>
              <w:marRight w:val="0"/>
              <w:marTop w:val="0"/>
              <w:marBottom w:val="0"/>
              <w:divBdr>
                <w:top w:val="none" w:sz="0" w:space="0" w:color="auto"/>
                <w:left w:val="none" w:sz="0" w:space="0" w:color="auto"/>
                <w:bottom w:val="none" w:sz="0" w:space="0" w:color="auto"/>
                <w:right w:val="none" w:sz="0" w:space="0" w:color="auto"/>
              </w:divBdr>
            </w:div>
          </w:divsChild>
        </w:div>
        <w:div w:id="858928048">
          <w:marLeft w:val="0"/>
          <w:marRight w:val="0"/>
          <w:marTop w:val="0"/>
          <w:marBottom w:val="0"/>
          <w:divBdr>
            <w:top w:val="none" w:sz="0" w:space="0" w:color="auto"/>
            <w:left w:val="none" w:sz="0" w:space="0" w:color="auto"/>
            <w:bottom w:val="none" w:sz="0" w:space="0" w:color="auto"/>
            <w:right w:val="none" w:sz="0" w:space="0" w:color="auto"/>
          </w:divBdr>
          <w:divsChild>
            <w:div w:id="820929384">
              <w:marLeft w:val="0"/>
              <w:marRight w:val="0"/>
              <w:marTop w:val="0"/>
              <w:marBottom w:val="0"/>
              <w:divBdr>
                <w:top w:val="none" w:sz="0" w:space="0" w:color="auto"/>
                <w:left w:val="none" w:sz="0" w:space="0" w:color="auto"/>
                <w:bottom w:val="none" w:sz="0" w:space="0" w:color="auto"/>
                <w:right w:val="none" w:sz="0" w:space="0" w:color="auto"/>
              </w:divBdr>
            </w:div>
          </w:divsChild>
        </w:div>
        <w:div w:id="903952069">
          <w:marLeft w:val="0"/>
          <w:marRight w:val="0"/>
          <w:marTop w:val="0"/>
          <w:marBottom w:val="0"/>
          <w:divBdr>
            <w:top w:val="none" w:sz="0" w:space="0" w:color="auto"/>
            <w:left w:val="none" w:sz="0" w:space="0" w:color="auto"/>
            <w:bottom w:val="none" w:sz="0" w:space="0" w:color="auto"/>
            <w:right w:val="none" w:sz="0" w:space="0" w:color="auto"/>
          </w:divBdr>
          <w:divsChild>
            <w:div w:id="2058116384">
              <w:marLeft w:val="0"/>
              <w:marRight w:val="0"/>
              <w:marTop w:val="0"/>
              <w:marBottom w:val="0"/>
              <w:divBdr>
                <w:top w:val="none" w:sz="0" w:space="0" w:color="auto"/>
                <w:left w:val="none" w:sz="0" w:space="0" w:color="auto"/>
                <w:bottom w:val="none" w:sz="0" w:space="0" w:color="auto"/>
                <w:right w:val="none" w:sz="0" w:space="0" w:color="auto"/>
              </w:divBdr>
            </w:div>
          </w:divsChild>
        </w:div>
        <w:div w:id="977488769">
          <w:marLeft w:val="0"/>
          <w:marRight w:val="0"/>
          <w:marTop w:val="0"/>
          <w:marBottom w:val="0"/>
          <w:divBdr>
            <w:top w:val="none" w:sz="0" w:space="0" w:color="auto"/>
            <w:left w:val="none" w:sz="0" w:space="0" w:color="auto"/>
            <w:bottom w:val="none" w:sz="0" w:space="0" w:color="auto"/>
            <w:right w:val="none" w:sz="0" w:space="0" w:color="auto"/>
          </w:divBdr>
          <w:divsChild>
            <w:div w:id="400101112">
              <w:marLeft w:val="0"/>
              <w:marRight w:val="0"/>
              <w:marTop w:val="0"/>
              <w:marBottom w:val="0"/>
              <w:divBdr>
                <w:top w:val="none" w:sz="0" w:space="0" w:color="auto"/>
                <w:left w:val="none" w:sz="0" w:space="0" w:color="auto"/>
                <w:bottom w:val="none" w:sz="0" w:space="0" w:color="auto"/>
                <w:right w:val="none" w:sz="0" w:space="0" w:color="auto"/>
              </w:divBdr>
            </w:div>
          </w:divsChild>
        </w:div>
        <w:div w:id="997197996">
          <w:marLeft w:val="0"/>
          <w:marRight w:val="0"/>
          <w:marTop w:val="0"/>
          <w:marBottom w:val="0"/>
          <w:divBdr>
            <w:top w:val="none" w:sz="0" w:space="0" w:color="auto"/>
            <w:left w:val="none" w:sz="0" w:space="0" w:color="auto"/>
            <w:bottom w:val="none" w:sz="0" w:space="0" w:color="auto"/>
            <w:right w:val="none" w:sz="0" w:space="0" w:color="auto"/>
          </w:divBdr>
          <w:divsChild>
            <w:div w:id="1916432180">
              <w:marLeft w:val="0"/>
              <w:marRight w:val="0"/>
              <w:marTop w:val="0"/>
              <w:marBottom w:val="0"/>
              <w:divBdr>
                <w:top w:val="none" w:sz="0" w:space="0" w:color="auto"/>
                <w:left w:val="none" w:sz="0" w:space="0" w:color="auto"/>
                <w:bottom w:val="none" w:sz="0" w:space="0" w:color="auto"/>
                <w:right w:val="none" w:sz="0" w:space="0" w:color="auto"/>
              </w:divBdr>
            </w:div>
          </w:divsChild>
        </w:div>
        <w:div w:id="1012024813">
          <w:marLeft w:val="0"/>
          <w:marRight w:val="0"/>
          <w:marTop w:val="0"/>
          <w:marBottom w:val="0"/>
          <w:divBdr>
            <w:top w:val="none" w:sz="0" w:space="0" w:color="auto"/>
            <w:left w:val="none" w:sz="0" w:space="0" w:color="auto"/>
            <w:bottom w:val="none" w:sz="0" w:space="0" w:color="auto"/>
            <w:right w:val="none" w:sz="0" w:space="0" w:color="auto"/>
          </w:divBdr>
          <w:divsChild>
            <w:div w:id="1516767004">
              <w:marLeft w:val="0"/>
              <w:marRight w:val="0"/>
              <w:marTop w:val="0"/>
              <w:marBottom w:val="0"/>
              <w:divBdr>
                <w:top w:val="none" w:sz="0" w:space="0" w:color="auto"/>
                <w:left w:val="none" w:sz="0" w:space="0" w:color="auto"/>
                <w:bottom w:val="none" w:sz="0" w:space="0" w:color="auto"/>
                <w:right w:val="none" w:sz="0" w:space="0" w:color="auto"/>
              </w:divBdr>
            </w:div>
          </w:divsChild>
        </w:div>
        <w:div w:id="1079910833">
          <w:marLeft w:val="0"/>
          <w:marRight w:val="0"/>
          <w:marTop w:val="0"/>
          <w:marBottom w:val="0"/>
          <w:divBdr>
            <w:top w:val="none" w:sz="0" w:space="0" w:color="auto"/>
            <w:left w:val="none" w:sz="0" w:space="0" w:color="auto"/>
            <w:bottom w:val="none" w:sz="0" w:space="0" w:color="auto"/>
            <w:right w:val="none" w:sz="0" w:space="0" w:color="auto"/>
          </w:divBdr>
          <w:divsChild>
            <w:div w:id="274756187">
              <w:marLeft w:val="0"/>
              <w:marRight w:val="0"/>
              <w:marTop w:val="0"/>
              <w:marBottom w:val="0"/>
              <w:divBdr>
                <w:top w:val="none" w:sz="0" w:space="0" w:color="auto"/>
                <w:left w:val="none" w:sz="0" w:space="0" w:color="auto"/>
                <w:bottom w:val="none" w:sz="0" w:space="0" w:color="auto"/>
                <w:right w:val="none" w:sz="0" w:space="0" w:color="auto"/>
              </w:divBdr>
            </w:div>
          </w:divsChild>
        </w:div>
        <w:div w:id="1140924180">
          <w:marLeft w:val="0"/>
          <w:marRight w:val="0"/>
          <w:marTop w:val="0"/>
          <w:marBottom w:val="0"/>
          <w:divBdr>
            <w:top w:val="none" w:sz="0" w:space="0" w:color="auto"/>
            <w:left w:val="none" w:sz="0" w:space="0" w:color="auto"/>
            <w:bottom w:val="none" w:sz="0" w:space="0" w:color="auto"/>
            <w:right w:val="none" w:sz="0" w:space="0" w:color="auto"/>
          </w:divBdr>
          <w:divsChild>
            <w:div w:id="1207794538">
              <w:marLeft w:val="0"/>
              <w:marRight w:val="0"/>
              <w:marTop w:val="0"/>
              <w:marBottom w:val="0"/>
              <w:divBdr>
                <w:top w:val="none" w:sz="0" w:space="0" w:color="auto"/>
                <w:left w:val="none" w:sz="0" w:space="0" w:color="auto"/>
                <w:bottom w:val="none" w:sz="0" w:space="0" w:color="auto"/>
                <w:right w:val="none" w:sz="0" w:space="0" w:color="auto"/>
              </w:divBdr>
            </w:div>
          </w:divsChild>
        </w:div>
        <w:div w:id="1148205866">
          <w:marLeft w:val="0"/>
          <w:marRight w:val="0"/>
          <w:marTop w:val="0"/>
          <w:marBottom w:val="0"/>
          <w:divBdr>
            <w:top w:val="none" w:sz="0" w:space="0" w:color="auto"/>
            <w:left w:val="none" w:sz="0" w:space="0" w:color="auto"/>
            <w:bottom w:val="none" w:sz="0" w:space="0" w:color="auto"/>
            <w:right w:val="none" w:sz="0" w:space="0" w:color="auto"/>
          </w:divBdr>
          <w:divsChild>
            <w:div w:id="1648169240">
              <w:marLeft w:val="0"/>
              <w:marRight w:val="0"/>
              <w:marTop w:val="0"/>
              <w:marBottom w:val="0"/>
              <w:divBdr>
                <w:top w:val="none" w:sz="0" w:space="0" w:color="auto"/>
                <w:left w:val="none" w:sz="0" w:space="0" w:color="auto"/>
                <w:bottom w:val="none" w:sz="0" w:space="0" w:color="auto"/>
                <w:right w:val="none" w:sz="0" w:space="0" w:color="auto"/>
              </w:divBdr>
            </w:div>
          </w:divsChild>
        </w:div>
        <w:div w:id="1188299598">
          <w:marLeft w:val="0"/>
          <w:marRight w:val="0"/>
          <w:marTop w:val="0"/>
          <w:marBottom w:val="0"/>
          <w:divBdr>
            <w:top w:val="none" w:sz="0" w:space="0" w:color="auto"/>
            <w:left w:val="none" w:sz="0" w:space="0" w:color="auto"/>
            <w:bottom w:val="none" w:sz="0" w:space="0" w:color="auto"/>
            <w:right w:val="none" w:sz="0" w:space="0" w:color="auto"/>
          </w:divBdr>
          <w:divsChild>
            <w:div w:id="157574660">
              <w:marLeft w:val="0"/>
              <w:marRight w:val="0"/>
              <w:marTop w:val="0"/>
              <w:marBottom w:val="0"/>
              <w:divBdr>
                <w:top w:val="none" w:sz="0" w:space="0" w:color="auto"/>
                <w:left w:val="none" w:sz="0" w:space="0" w:color="auto"/>
                <w:bottom w:val="none" w:sz="0" w:space="0" w:color="auto"/>
                <w:right w:val="none" w:sz="0" w:space="0" w:color="auto"/>
              </w:divBdr>
            </w:div>
          </w:divsChild>
        </w:div>
        <w:div w:id="1272207803">
          <w:marLeft w:val="0"/>
          <w:marRight w:val="0"/>
          <w:marTop w:val="0"/>
          <w:marBottom w:val="0"/>
          <w:divBdr>
            <w:top w:val="none" w:sz="0" w:space="0" w:color="auto"/>
            <w:left w:val="none" w:sz="0" w:space="0" w:color="auto"/>
            <w:bottom w:val="none" w:sz="0" w:space="0" w:color="auto"/>
            <w:right w:val="none" w:sz="0" w:space="0" w:color="auto"/>
          </w:divBdr>
          <w:divsChild>
            <w:div w:id="187766534">
              <w:marLeft w:val="0"/>
              <w:marRight w:val="0"/>
              <w:marTop w:val="0"/>
              <w:marBottom w:val="0"/>
              <w:divBdr>
                <w:top w:val="none" w:sz="0" w:space="0" w:color="auto"/>
                <w:left w:val="none" w:sz="0" w:space="0" w:color="auto"/>
                <w:bottom w:val="none" w:sz="0" w:space="0" w:color="auto"/>
                <w:right w:val="none" w:sz="0" w:space="0" w:color="auto"/>
              </w:divBdr>
            </w:div>
          </w:divsChild>
        </w:div>
        <w:div w:id="1282033535">
          <w:marLeft w:val="0"/>
          <w:marRight w:val="0"/>
          <w:marTop w:val="0"/>
          <w:marBottom w:val="0"/>
          <w:divBdr>
            <w:top w:val="none" w:sz="0" w:space="0" w:color="auto"/>
            <w:left w:val="none" w:sz="0" w:space="0" w:color="auto"/>
            <w:bottom w:val="none" w:sz="0" w:space="0" w:color="auto"/>
            <w:right w:val="none" w:sz="0" w:space="0" w:color="auto"/>
          </w:divBdr>
          <w:divsChild>
            <w:div w:id="1616714662">
              <w:marLeft w:val="0"/>
              <w:marRight w:val="0"/>
              <w:marTop w:val="0"/>
              <w:marBottom w:val="0"/>
              <w:divBdr>
                <w:top w:val="none" w:sz="0" w:space="0" w:color="auto"/>
                <w:left w:val="none" w:sz="0" w:space="0" w:color="auto"/>
                <w:bottom w:val="none" w:sz="0" w:space="0" w:color="auto"/>
                <w:right w:val="none" w:sz="0" w:space="0" w:color="auto"/>
              </w:divBdr>
            </w:div>
          </w:divsChild>
        </w:div>
        <w:div w:id="1378165898">
          <w:marLeft w:val="0"/>
          <w:marRight w:val="0"/>
          <w:marTop w:val="0"/>
          <w:marBottom w:val="0"/>
          <w:divBdr>
            <w:top w:val="none" w:sz="0" w:space="0" w:color="auto"/>
            <w:left w:val="none" w:sz="0" w:space="0" w:color="auto"/>
            <w:bottom w:val="none" w:sz="0" w:space="0" w:color="auto"/>
            <w:right w:val="none" w:sz="0" w:space="0" w:color="auto"/>
          </w:divBdr>
          <w:divsChild>
            <w:div w:id="955334913">
              <w:marLeft w:val="0"/>
              <w:marRight w:val="0"/>
              <w:marTop w:val="0"/>
              <w:marBottom w:val="0"/>
              <w:divBdr>
                <w:top w:val="none" w:sz="0" w:space="0" w:color="auto"/>
                <w:left w:val="none" w:sz="0" w:space="0" w:color="auto"/>
                <w:bottom w:val="none" w:sz="0" w:space="0" w:color="auto"/>
                <w:right w:val="none" w:sz="0" w:space="0" w:color="auto"/>
              </w:divBdr>
            </w:div>
          </w:divsChild>
        </w:div>
        <w:div w:id="1430542368">
          <w:marLeft w:val="0"/>
          <w:marRight w:val="0"/>
          <w:marTop w:val="0"/>
          <w:marBottom w:val="0"/>
          <w:divBdr>
            <w:top w:val="none" w:sz="0" w:space="0" w:color="auto"/>
            <w:left w:val="none" w:sz="0" w:space="0" w:color="auto"/>
            <w:bottom w:val="none" w:sz="0" w:space="0" w:color="auto"/>
            <w:right w:val="none" w:sz="0" w:space="0" w:color="auto"/>
          </w:divBdr>
          <w:divsChild>
            <w:div w:id="862594229">
              <w:marLeft w:val="0"/>
              <w:marRight w:val="0"/>
              <w:marTop w:val="0"/>
              <w:marBottom w:val="0"/>
              <w:divBdr>
                <w:top w:val="none" w:sz="0" w:space="0" w:color="auto"/>
                <w:left w:val="none" w:sz="0" w:space="0" w:color="auto"/>
                <w:bottom w:val="none" w:sz="0" w:space="0" w:color="auto"/>
                <w:right w:val="none" w:sz="0" w:space="0" w:color="auto"/>
              </w:divBdr>
            </w:div>
          </w:divsChild>
        </w:div>
        <w:div w:id="1559825909">
          <w:marLeft w:val="0"/>
          <w:marRight w:val="0"/>
          <w:marTop w:val="0"/>
          <w:marBottom w:val="0"/>
          <w:divBdr>
            <w:top w:val="none" w:sz="0" w:space="0" w:color="auto"/>
            <w:left w:val="none" w:sz="0" w:space="0" w:color="auto"/>
            <w:bottom w:val="none" w:sz="0" w:space="0" w:color="auto"/>
            <w:right w:val="none" w:sz="0" w:space="0" w:color="auto"/>
          </w:divBdr>
          <w:divsChild>
            <w:div w:id="2033916428">
              <w:marLeft w:val="0"/>
              <w:marRight w:val="0"/>
              <w:marTop w:val="0"/>
              <w:marBottom w:val="0"/>
              <w:divBdr>
                <w:top w:val="none" w:sz="0" w:space="0" w:color="auto"/>
                <w:left w:val="none" w:sz="0" w:space="0" w:color="auto"/>
                <w:bottom w:val="none" w:sz="0" w:space="0" w:color="auto"/>
                <w:right w:val="none" w:sz="0" w:space="0" w:color="auto"/>
              </w:divBdr>
            </w:div>
          </w:divsChild>
        </w:div>
        <w:div w:id="1595166114">
          <w:marLeft w:val="0"/>
          <w:marRight w:val="0"/>
          <w:marTop w:val="0"/>
          <w:marBottom w:val="0"/>
          <w:divBdr>
            <w:top w:val="none" w:sz="0" w:space="0" w:color="auto"/>
            <w:left w:val="none" w:sz="0" w:space="0" w:color="auto"/>
            <w:bottom w:val="none" w:sz="0" w:space="0" w:color="auto"/>
            <w:right w:val="none" w:sz="0" w:space="0" w:color="auto"/>
          </w:divBdr>
          <w:divsChild>
            <w:div w:id="215047140">
              <w:marLeft w:val="0"/>
              <w:marRight w:val="0"/>
              <w:marTop w:val="0"/>
              <w:marBottom w:val="0"/>
              <w:divBdr>
                <w:top w:val="none" w:sz="0" w:space="0" w:color="auto"/>
                <w:left w:val="none" w:sz="0" w:space="0" w:color="auto"/>
                <w:bottom w:val="none" w:sz="0" w:space="0" w:color="auto"/>
                <w:right w:val="none" w:sz="0" w:space="0" w:color="auto"/>
              </w:divBdr>
            </w:div>
          </w:divsChild>
        </w:div>
        <w:div w:id="1629430302">
          <w:marLeft w:val="0"/>
          <w:marRight w:val="0"/>
          <w:marTop w:val="0"/>
          <w:marBottom w:val="0"/>
          <w:divBdr>
            <w:top w:val="none" w:sz="0" w:space="0" w:color="auto"/>
            <w:left w:val="none" w:sz="0" w:space="0" w:color="auto"/>
            <w:bottom w:val="none" w:sz="0" w:space="0" w:color="auto"/>
            <w:right w:val="none" w:sz="0" w:space="0" w:color="auto"/>
          </w:divBdr>
          <w:divsChild>
            <w:div w:id="76095953">
              <w:marLeft w:val="0"/>
              <w:marRight w:val="0"/>
              <w:marTop w:val="0"/>
              <w:marBottom w:val="0"/>
              <w:divBdr>
                <w:top w:val="none" w:sz="0" w:space="0" w:color="auto"/>
                <w:left w:val="none" w:sz="0" w:space="0" w:color="auto"/>
                <w:bottom w:val="none" w:sz="0" w:space="0" w:color="auto"/>
                <w:right w:val="none" w:sz="0" w:space="0" w:color="auto"/>
              </w:divBdr>
            </w:div>
          </w:divsChild>
        </w:div>
        <w:div w:id="1714693389">
          <w:marLeft w:val="0"/>
          <w:marRight w:val="0"/>
          <w:marTop w:val="0"/>
          <w:marBottom w:val="0"/>
          <w:divBdr>
            <w:top w:val="none" w:sz="0" w:space="0" w:color="auto"/>
            <w:left w:val="none" w:sz="0" w:space="0" w:color="auto"/>
            <w:bottom w:val="none" w:sz="0" w:space="0" w:color="auto"/>
            <w:right w:val="none" w:sz="0" w:space="0" w:color="auto"/>
          </w:divBdr>
          <w:divsChild>
            <w:div w:id="1760132728">
              <w:marLeft w:val="0"/>
              <w:marRight w:val="0"/>
              <w:marTop w:val="0"/>
              <w:marBottom w:val="0"/>
              <w:divBdr>
                <w:top w:val="none" w:sz="0" w:space="0" w:color="auto"/>
                <w:left w:val="none" w:sz="0" w:space="0" w:color="auto"/>
                <w:bottom w:val="none" w:sz="0" w:space="0" w:color="auto"/>
                <w:right w:val="none" w:sz="0" w:space="0" w:color="auto"/>
              </w:divBdr>
            </w:div>
          </w:divsChild>
        </w:div>
        <w:div w:id="1820226466">
          <w:marLeft w:val="0"/>
          <w:marRight w:val="0"/>
          <w:marTop w:val="0"/>
          <w:marBottom w:val="0"/>
          <w:divBdr>
            <w:top w:val="none" w:sz="0" w:space="0" w:color="auto"/>
            <w:left w:val="none" w:sz="0" w:space="0" w:color="auto"/>
            <w:bottom w:val="none" w:sz="0" w:space="0" w:color="auto"/>
            <w:right w:val="none" w:sz="0" w:space="0" w:color="auto"/>
          </w:divBdr>
          <w:divsChild>
            <w:div w:id="1205215871">
              <w:marLeft w:val="0"/>
              <w:marRight w:val="0"/>
              <w:marTop w:val="0"/>
              <w:marBottom w:val="0"/>
              <w:divBdr>
                <w:top w:val="none" w:sz="0" w:space="0" w:color="auto"/>
                <w:left w:val="none" w:sz="0" w:space="0" w:color="auto"/>
                <w:bottom w:val="none" w:sz="0" w:space="0" w:color="auto"/>
                <w:right w:val="none" w:sz="0" w:space="0" w:color="auto"/>
              </w:divBdr>
            </w:div>
          </w:divsChild>
        </w:div>
        <w:div w:id="1868058827">
          <w:marLeft w:val="0"/>
          <w:marRight w:val="0"/>
          <w:marTop w:val="0"/>
          <w:marBottom w:val="0"/>
          <w:divBdr>
            <w:top w:val="none" w:sz="0" w:space="0" w:color="auto"/>
            <w:left w:val="none" w:sz="0" w:space="0" w:color="auto"/>
            <w:bottom w:val="none" w:sz="0" w:space="0" w:color="auto"/>
            <w:right w:val="none" w:sz="0" w:space="0" w:color="auto"/>
          </w:divBdr>
          <w:divsChild>
            <w:div w:id="767577787">
              <w:marLeft w:val="0"/>
              <w:marRight w:val="0"/>
              <w:marTop w:val="0"/>
              <w:marBottom w:val="0"/>
              <w:divBdr>
                <w:top w:val="none" w:sz="0" w:space="0" w:color="auto"/>
                <w:left w:val="none" w:sz="0" w:space="0" w:color="auto"/>
                <w:bottom w:val="none" w:sz="0" w:space="0" w:color="auto"/>
                <w:right w:val="none" w:sz="0" w:space="0" w:color="auto"/>
              </w:divBdr>
            </w:div>
          </w:divsChild>
        </w:div>
        <w:div w:id="1890413559">
          <w:marLeft w:val="0"/>
          <w:marRight w:val="0"/>
          <w:marTop w:val="0"/>
          <w:marBottom w:val="0"/>
          <w:divBdr>
            <w:top w:val="none" w:sz="0" w:space="0" w:color="auto"/>
            <w:left w:val="none" w:sz="0" w:space="0" w:color="auto"/>
            <w:bottom w:val="none" w:sz="0" w:space="0" w:color="auto"/>
            <w:right w:val="none" w:sz="0" w:space="0" w:color="auto"/>
          </w:divBdr>
          <w:divsChild>
            <w:div w:id="543563451">
              <w:marLeft w:val="0"/>
              <w:marRight w:val="0"/>
              <w:marTop w:val="0"/>
              <w:marBottom w:val="0"/>
              <w:divBdr>
                <w:top w:val="none" w:sz="0" w:space="0" w:color="auto"/>
                <w:left w:val="none" w:sz="0" w:space="0" w:color="auto"/>
                <w:bottom w:val="none" w:sz="0" w:space="0" w:color="auto"/>
                <w:right w:val="none" w:sz="0" w:space="0" w:color="auto"/>
              </w:divBdr>
            </w:div>
          </w:divsChild>
        </w:div>
        <w:div w:id="1892380047">
          <w:marLeft w:val="0"/>
          <w:marRight w:val="0"/>
          <w:marTop w:val="0"/>
          <w:marBottom w:val="0"/>
          <w:divBdr>
            <w:top w:val="none" w:sz="0" w:space="0" w:color="auto"/>
            <w:left w:val="none" w:sz="0" w:space="0" w:color="auto"/>
            <w:bottom w:val="none" w:sz="0" w:space="0" w:color="auto"/>
            <w:right w:val="none" w:sz="0" w:space="0" w:color="auto"/>
          </w:divBdr>
          <w:divsChild>
            <w:div w:id="855197664">
              <w:marLeft w:val="0"/>
              <w:marRight w:val="0"/>
              <w:marTop w:val="0"/>
              <w:marBottom w:val="0"/>
              <w:divBdr>
                <w:top w:val="none" w:sz="0" w:space="0" w:color="auto"/>
                <w:left w:val="none" w:sz="0" w:space="0" w:color="auto"/>
                <w:bottom w:val="none" w:sz="0" w:space="0" w:color="auto"/>
                <w:right w:val="none" w:sz="0" w:space="0" w:color="auto"/>
              </w:divBdr>
            </w:div>
          </w:divsChild>
        </w:div>
        <w:div w:id="1952055735">
          <w:marLeft w:val="0"/>
          <w:marRight w:val="0"/>
          <w:marTop w:val="0"/>
          <w:marBottom w:val="0"/>
          <w:divBdr>
            <w:top w:val="none" w:sz="0" w:space="0" w:color="auto"/>
            <w:left w:val="none" w:sz="0" w:space="0" w:color="auto"/>
            <w:bottom w:val="none" w:sz="0" w:space="0" w:color="auto"/>
            <w:right w:val="none" w:sz="0" w:space="0" w:color="auto"/>
          </w:divBdr>
          <w:divsChild>
            <w:div w:id="1197237471">
              <w:marLeft w:val="0"/>
              <w:marRight w:val="0"/>
              <w:marTop w:val="0"/>
              <w:marBottom w:val="0"/>
              <w:divBdr>
                <w:top w:val="none" w:sz="0" w:space="0" w:color="auto"/>
                <w:left w:val="none" w:sz="0" w:space="0" w:color="auto"/>
                <w:bottom w:val="none" w:sz="0" w:space="0" w:color="auto"/>
                <w:right w:val="none" w:sz="0" w:space="0" w:color="auto"/>
              </w:divBdr>
            </w:div>
          </w:divsChild>
        </w:div>
        <w:div w:id="1973438279">
          <w:marLeft w:val="0"/>
          <w:marRight w:val="0"/>
          <w:marTop w:val="0"/>
          <w:marBottom w:val="0"/>
          <w:divBdr>
            <w:top w:val="none" w:sz="0" w:space="0" w:color="auto"/>
            <w:left w:val="none" w:sz="0" w:space="0" w:color="auto"/>
            <w:bottom w:val="none" w:sz="0" w:space="0" w:color="auto"/>
            <w:right w:val="none" w:sz="0" w:space="0" w:color="auto"/>
          </w:divBdr>
          <w:divsChild>
            <w:div w:id="60255436">
              <w:marLeft w:val="0"/>
              <w:marRight w:val="0"/>
              <w:marTop w:val="0"/>
              <w:marBottom w:val="0"/>
              <w:divBdr>
                <w:top w:val="none" w:sz="0" w:space="0" w:color="auto"/>
                <w:left w:val="none" w:sz="0" w:space="0" w:color="auto"/>
                <w:bottom w:val="none" w:sz="0" w:space="0" w:color="auto"/>
                <w:right w:val="none" w:sz="0" w:space="0" w:color="auto"/>
              </w:divBdr>
            </w:div>
          </w:divsChild>
        </w:div>
        <w:div w:id="2059936531">
          <w:marLeft w:val="0"/>
          <w:marRight w:val="0"/>
          <w:marTop w:val="0"/>
          <w:marBottom w:val="0"/>
          <w:divBdr>
            <w:top w:val="none" w:sz="0" w:space="0" w:color="auto"/>
            <w:left w:val="none" w:sz="0" w:space="0" w:color="auto"/>
            <w:bottom w:val="none" w:sz="0" w:space="0" w:color="auto"/>
            <w:right w:val="none" w:sz="0" w:space="0" w:color="auto"/>
          </w:divBdr>
          <w:divsChild>
            <w:div w:id="246621336">
              <w:marLeft w:val="0"/>
              <w:marRight w:val="0"/>
              <w:marTop w:val="0"/>
              <w:marBottom w:val="0"/>
              <w:divBdr>
                <w:top w:val="none" w:sz="0" w:space="0" w:color="auto"/>
                <w:left w:val="none" w:sz="0" w:space="0" w:color="auto"/>
                <w:bottom w:val="none" w:sz="0" w:space="0" w:color="auto"/>
                <w:right w:val="none" w:sz="0" w:space="0" w:color="auto"/>
              </w:divBdr>
            </w:div>
          </w:divsChild>
        </w:div>
        <w:div w:id="2077045494">
          <w:marLeft w:val="0"/>
          <w:marRight w:val="0"/>
          <w:marTop w:val="0"/>
          <w:marBottom w:val="0"/>
          <w:divBdr>
            <w:top w:val="none" w:sz="0" w:space="0" w:color="auto"/>
            <w:left w:val="none" w:sz="0" w:space="0" w:color="auto"/>
            <w:bottom w:val="none" w:sz="0" w:space="0" w:color="auto"/>
            <w:right w:val="none" w:sz="0" w:space="0" w:color="auto"/>
          </w:divBdr>
          <w:divsChild>
            <w:div w:id="1722561433">
              <w:marLeft w:val="0"/>
              <w:marRight w:val="0"/>
              <w:marTop w:val="0"/>
              <w:marBottom w:val="0"/>
              <w:divBdr>
                <w:top w:val="none" w:sz="0" w:space="0" w:color="auto"/>
                <w:left w:val="none" w:sz="0" w:space="0" w:color="auto"/>
                <w:bottom w:val="none" w:sz="0" w:space="0" w:color="auto"/>
                <w:right w:val="none" w:sz="0" w:space="0" w:color="auto"/>
              </w:divBdr>
            </w:div>
          </w:divsChild>
        </w:div>
        <w:div w:id="2083789714">
          <w:marLeft w:val="0"/>
          <w:marRight w:val="0"/>
          <w:marTop w:val="0"/>
          <w:marBottom w:val="0"/>
          <w:divBdr>
            <w:top w:val="none" w:sz="0" w:space="0" w:color="auto"/>
            <w:left w:val="none" w:sz="0" w:space="0" w:color="auto"/>
            <w:bottom w:val="none" w:sz="0" w:space="0" w:color="auto"/>
            <w:right w:val="none" w:sz="0" w:space="0" w:color="auto"/>
          </w:divBdr>
          <w:divsChild>
            <w:div w:id="167063028">
              <w:marLeft w:val="0"/>
              <w:marRight w:val="0"/>
              <w:marTop w:val="0"/>
              <w:marBottom w:val="0"/>
              <w:divBdr>
                <w:top w:val="none" w:sz="0" w:space="0" w:color="auto"/>
                <w:left w:val="none" w:sz="0" w:space="0" w:color="auto"/>
                <w:bottom w:val="none" w:sz="0" w:space="0" w:color="auto"/>
                <w:right w:val="none" w:sz="0" w:space="0" w:color="auto"/>
              </w:divBdr>
            </w:div>
          </w:divsChild>
        </w:div>
        <w:div w:id="2084139201">
          <w:marLeft w:val="0"/>
          <w:marRight w:val="0"/>
          <w:marTop w:val="0"/>
          <w:marBottom w:val="0"/>
          <w:divBdr>
            <w:top w:val="none" w:sz="0" w:space="0" w:color="auto"/>
            <w:left w:val="none" w:sz="0" w:space="0" w:color="auto"/>
            <w:bottom w:val="none" w:sz="0" w:space="0" w:color="auto"/>
            <w:right w:val="none" w:sz="0" w:space="0" w:color="auto"/>
          </w:divBdr>
          <w:divsChild>
            <w:div w:id="1430001679">
              <w:marLeft w:val="0"/>
              <w:marRight w:val="0"/>
              <w:marTop w:val="0"/>
              <w:marBottom w:val="0"/>
              <w:divBdr>
                <w:top w:val="none" w:sz="0" w:space="0" w:color="auto"/>
                <w:left w:val="none" w:sz="0" w:space="0" w:color="auto"/>
                <w:bottom w:val="none" w:sz="0" w:space="0" w:color="auto"/>
                <w:right w:val="none" w:sz="0" w:space="0" w:color="auto"/>
              </w:divBdr>
            </w:div>
          </w:divsChild>
        </w:div>
        <w:div w:id="2105296257">
          <w:marLeft w:val="0"/>
          <w:marRight w:val="0"/>
          <w:marTop w:val="0"/>
          <w:marBottom w:val="0"/>
          <w:divBdr>
            <w:top w:val="none" w:sz="0" w:space="0" w:color="auto"/>
            <w:left w:val="none" w:sz="0" w:space="0" w:color="auto"/>
            <w:bottom w:val="none" w:sz="0" w:space="0" w:color="auto"/>
            <w:right w:val="none" w:sz="0" w:space="0" w:color="auto"/>
          </w:divBdr>
          <w:divsChild>
            <w:div w:id="991639235">
              <w:marLeft w:val="0"/>
              <w:marRight w:val="0"/>
              <w:marTop w:val="0"/>
              <w:marBottom w:val="0"/>
              <w:divBdr>
                <w:top w:val="none" w:sz="0" w:space="0" w:color="auto"/>
                <w:left w:val="none" w:sz="0" w:space="0" w:color="auto"/>
                <w:bottom w:val="none" w:sz="0" w:space="0" w:color="auto"/>
                <w:right w:val="none" w:sz="0" w:space="0" w:color="auto"/>
              </w:divBdr>
            </w:div>
          </w:divsChild>
        </w:div>
        <w:div w:id="2111317600">
          <w:marLeft w:val="0"/>
          <w:marRight w:val="0"/>
          <w:marTop w:val="0"/>
          <w:marBottom w:val="0"/>
          <w:divBdr>
            <w:top w:val="none" w:sz="0" w:space="0" w:color="auto"/>
            <w:left w:val="none" w:sz="0" w:space="0" w:color="auto"/>
            <w:bottom w:val="none" w:sz="0" w:space="0" w:color="auto"/>
            <w:right w:val="none" w:sz="0" w:space="0" w:color="auto"/>
          </w:divBdr>
          <w:divsChild>
            <w:div w:id="1009063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8405465">
      <w:bodyDiv w:val="1"/>
      <w:marLeft w:val="0"/>
      <w:marRight w:val="0"/>
      <w:marTop w:val="0"/>
      <w:marBottom w:val="0"/>
      <w:divBdr>
        <w:top w:val="none" w:sz="0" w:space="0" w:color="auto"/>
        <w:left w:val="none" w:sz="0" w:space="0" w:color="auto"/>
        <w:bottom w:val="none" w:sz="0" w:space="0" w:color="auto"/>
        <w:right w:val="none" w:sz="0" w:space="0" w:color="auto"/>
      </w:divBdr>
    </w:div>
    <w:div w:id="336226111">
      <w:bodyDiv w:val="1"/>
      <w:marLeft w:val="0"/>
      <w:marRight w:val="0"/>
      <w:marTop w:val="0"/>
      <w:marBottom w:val="0"/>
      <w:divBdr>
        <w:top w:val="none" w:sz="0" w:space="0" w:color="auto"/>
        <w:left w:val="none" w:sz="0" w:space="0" w:color="auto"/>
        <w:bottom w:val="none" w:sz="0" w:space="0" w:color="auto"/>
        <w:right w:val="none" w:sz="0" w:space="0" w:color="auto"/>
      </w:divBdr>
    </w:div>
    <w:div w:id="351608826">
      <w:bodyDiv w:val="1"/>
      <w:marLeft w:val="0"/>
      <w:marRight w:val="0"/>
      <w:marTop w:val="0"/>
      <w:marBottom w:val="0"/>
      <w:divBdr>
        <w:top w:val="none" w:sz="0" w:space="0" w:color="auto"/>
        <w:left w:val="none" w:sz="0" w:space="0" w:color="auto"/>
        <w:bottom w:val="none" w:sz="0" w:space="0" w:color="auto"/>
        <w:right w:val="none" w:sz="0" w:space="0" w:color="auto"/>
      </w:divBdr>
      <w:divsChild>
        <w:div w:id="2064258054">
          <w:marLeft w:val="0"/>
          <w:marRight w:val="0"/>
          <w:marTop w:val="0"/>
          <w:marBottom w:val="0"/>
          <w:divBdr>
            <w:top w:val="none" w:sz="0" w:space="0" w:color="auto"/>
            <w:left w:val="none" w:sz="0" w:space="0" w:color="auto"/>
            <w:bottom w:val="none" w:sz="0" w:space="0" w:color="auto"/>
            <w:right w:val="none" w:sz="0" w:space="0" w:color="auto"/>
          </w:divBdr>
          <w:divsChild>
            <w:div w:id="1046295011">
              <w:marLeft w:val="0"/>
              <w:marRight w:val="0"/>
              <w:marTop w:val="0"/>
              <w:marBottom w:val="0"/>
              <w:divBdr>
                <w:top w:val="none" w:sz="0" w:space="0" w:color="auto"/>
                <w:left w:val="none" w:sz="0" w:space="0" w:color="auto"/>
                <w:bottom w:val="none" w:sz="0" w:space="0" w:color="auto"/>
                <w:right w:val="none" w:sz="0" w:space="0" w:color="auto"/>
              </w:divBdr>
              <w:divsChild>
                <w:div w:id="1441141823">
                  <w:marLeft w:val="0"/>
                  <w:marRight w:val="0"/>
                  <w:marTop w:val="0"/>
                  <w:marBottom w:val="450"/>
                  <w:divBdr>
                    <w:top w:val="none" w:sz="0" w:space="0" w:color="auto"/>
                    <w:left w:val="none" w:sz="0" w:space="0" w:color="auto"/>
                    <w:bottom w:val="none" w:sz="0" w:space="0" w:color="auto"/>
                    <w:right w:val="none" w:sz="0" w:space="0" w:color="auto"/>
                  </w:divBdr>
                  <w:divsChild>
                    <w:div w:id="1188638505">
                      <w:marLeft w:val="0"/>
                      <w:marRight w:val="0"/>
                      <w:marTop w:val="0"/>
                      <w:marBottom w:val="0"/>
                      <w:divBdr>
                        <w:top w:val="none" w:sz="0" w:space="0" w:color="auto"/>
                        <w:left w:val="none" w:sz="0" w:space="0" w:color="auto"/>
                        <w:bottom w:val="none" w:sz="0" w:space="0" w:color="auto"/>
                        <w:right w:val="none" w:sz="0" w:space="0" w:color="auto"/>
                      </w:divBdr>
                      <w:divsChild>
                        <w:div w:id="1985350545">
                          <w:marLeft w:val="0"/>
                          <w:marRight w:val="0"/>
                          <w:marTop w:val="0"/>
                          <w:marBottom w:val="0"/>
                          <w:divBdr>
                            <w:top w:val="none" w:sz="0" w:space="0" w:color="auto"/>
                            <w:left w:val="none" w:sz="0" w:space="0" w:color="auto"/>
                            <w:bottom w:val="none" w:sz="0" w:space="0" w:color="auto"/>
                            <w:right w:val="none" w:sz="0" w:space="0" w:color="auto"/>
                          </w:divBdr>
                          <w:divsChild>
                            <w:div w:id="2087149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3165399">
      <w:bodyDiv w:val="1"/>
      <w:marLeft w:val="0"/>
      <w:marRight w:val="0"/>
      <w:marTop w:val="0"/>
      <w:marBottom w:val="0"/>
      <w:divBdr>
        <w:top w:val="none" w:sz="0" w:space="0" w:color="auto"/>
        <w:left w:val="none" w:sz="0" w:space="0" w:color="auto"/>
        <w:bottom w:val="none" w:sz="0" w:space="0" w:color="auto"/>
        <w:right w:val="none" w:sz="0" w:space="0" w:color="auto"/>
      </w:divBdr>
    </w:div>
    <w:div w:id="389109890">
      <w:bodyDiv w:val="1"/>
      <w:marLeft w:val="0"/>
      <w:marRight w:val="0"/>
      <w:marTop w:val="0"/>
      <w:marBottom w:val="0"/>
      <w:divBdr>
        <w:top w:val="none" w:sz="0" w:space="0" w:color="auto"/>
        <w:left w:val="none" w:sz="0" w:space="0" w:color="auto"/>
        <w:bottom w:val="none" w:sz="0" w:space="0" w:color="auto"/>
        <w:right w:val="none" w:sz="0" w:space="0" w:color="auto"/>
      </w:divBdr>
    </w:div>
    <w:div w:id="395981294">
      <w:bodyDiv w:val="1"/>
      <w:marLeft w:val="0"/>
      <w:marRight w:val="0"/>
      <w:marTop w:val="0"/>
      <w:marBottom w:val="0"/>
      <w:divBdr>
        <w:top w:val="none" w:sz="0" w:space="0" w:color="auto"/>
        <w:left w:val="none" w:sz="0" w:space="0" w:color="auto"/>
        <w:bottom w:val="none" w:sz="0" w:space="0" w:color="auto"/>
        <w:right w:val="none" w:sz="0" w:space="0" w:color="auto"/>
      </w:divBdr>
    </w:div>
    <w:div w:id="398868594">
      <w:bodyDiv w:val="1"/>
      <w:marLeft w:val="0"/>
      <w:marRight w:val="0"/>
      <w:marTop w:val="0"/>
      <w:marBottom w:val="0"/>
      <w:divBdr>
        <w:top w:val="none" w:sz="0" w:space="0" w:color="auto"/>
        <w:left w:val="none" w:sz="0" w:space="0" w:color="auto"/>
        <w:bottom w:val="none" w:sz="0" w:space="0" w:color="auto"/>
        <w:right w:val="none" w:sz="0" w:space="0" w:color="auto"/>
      </w:divBdr>
      <w:divsChild>
        <w:div w:id="8070358">
          <w:marLeft w:val="0"/>
          <w:marRight w:val="0"/>
          <w:marTop w:val="0"/>
          <w:marBottom w:val="0"/>
          <w:divBdr>
            <w:top w:val="none" w:sz="0" w:space="0" w:color="auto"/>
            <w:left w:val="none" w:sz="0" w:space="0" w:color="auto"/>
            <w:bottom w:val="none" w:sz="0" w:space="0" w:color="auto"/>
            <w:right w:val="none" w:sz="0" w:space="0" w:color="auto"/>
          </w:divBdr>
          <w:divsChild>
            <w:div w:id="360396780">
              <w:marLeft w:val="0"/>
              <w:marRight w:val="0"/>
              <w:marTop w:val="0"/>
              <w:marBottom w:val="0"/>
              <w:divBdr>
                <w:top w:val="none" w:sz="0" w:space="0" w:color="auto"/>
                <w:left w:val="none" w:sz="0" w:space="0" w:color="auto"/>
                <w:bottom w:val="none" w:sz="0" w:space="0" w:color="auto"/>
                <w:right w:val="none" w:sz="0" w:space="0" w:color="auto"/>
              </w:divBdr>
            </w:div>
          </w:divsChild>
        </w:div>
        <w:div w:id="36321809">
          <w:marLeft w:val="0"/>
          <w:marRight w:val="0"/>
          <w:marTop w:val="0"/>
          <w:marBottom w:val="0"/>
          <w:divBdr>
            <w:top w:val="none" w:sz="0" w:space="0" w:color="auto"/>
            <w:left w:val="none" w:sz="0" w:space="0" w:color="auto"/>
            <w:bottom w:val="none" w:sz="0" w:space="0" w:color="auto"/>
            <w:right w:val="none" w:sz="0" w:space="0" w:color="auto"/>
          </w:divBdr>
          <w:divsChild>
            <w:div w:id="1327783459">
              <w:marLeft w:val="0"/>
              <w:marRight w:val="0"/>
              <w:marTop w:val="0"/>
              <w:marBottom w:val="0"/>
              <w:divBdr>
                <w:top w:val="none" w:sz="0" w:space="0" w:color="auto"/>
                <w:left w:val="none" w:sz="0" w:space="0" w:color="auto"/>
                <w:bottom w:val="none" w:sz="0" w:space="0" w:color="auto"/>
                <w:right w:val="none" w:sz="0" w:space="0" w:color="auto"/>
              </w:divBdr>
            </w:div>
          </w:divsChild>
        </w:div>
        <w:div w:id="67192135">
          <w:marLeft w:val="0"/>
          <w:marRight w:val="0"/>
          <w:marTop w:val="0"/>
          <w:marBottom w:val="0"/>
          <w:divBdr>
            <w:top w:val="none" w:sz="0" w:space="0" w:color="auto"/>
            <w:left w:val="none" w:sz="0" w:space="0" w:color="auto"/>
            <w:bottom w:val="none" w:sz="0" w:space="0" w:color="auto"/>
            <w:right w:val="none" w:sz="0" w:space="0" w:color="auto"/>
          </w:divBdr>
          <w:divsChild>
            <w:div w:id="613369771">
              <w:marLeft w:val="0"/>
              <w:marRight w:val="0"/>
              <w:marTop w:val="0"/>
              <w:marBottom w:val="0"/>
              <w:divBdr>
                <w:top w:val="none" w:sz="0" w:space="0" w:color="auto"/>
                <w:left w:val="none" w:sz="0" w:space="0" w:color="auto"/>
                <w:bottom w:val="none" w:sz="0" w:space="0" w:color="auto"/>
                <w:right w:val="none" w:sz="0" w:space="0" w:color="auto"/>
              </w:divBdr>
            </w:div>
          </w:divsChild>
        </w:div>
        <w:div w:id="91098141">
          <w:marLeft w:val="0"/>
          <w:marRight w:val="0"/>
          <w:marTop w:val="0"/>
          <w:marBottom w:val="0"/>
          <w:divBdr>
            <w:top w:val="none" w:sz="0" w:space="0" w:color="auto"/>
            <w:left w:val="none" w:sz="0" w:space="0" w:color="auto"/>
            <w:bottom w:val="none" w:sz="0" w:space="0" w:color="auto"/>
            <w:right w:val="none" w:sz="0" w:space="0" w:color="auto"/>
          </w:divBdr>
          <w:divsChild>
            <w:div w:id="98112890">
              <w:marLeft w:val="0"/>
              <w:marRight w:val="0"/>
              <w:marTop w:val="0"/>
              <w:marBottom w:val="0"/>
              <w:divBdr>
                <w:top w:val="none" w:sz="0" w:space="0" w:color="auto"/>
                <w:left w:val="none" w:sz="0" w:space="0" w:color="auto"/>
                <w:bottom w:val="none" w:sz="0" w:space="0" w:color="auto"/>
                <w:right w:val="none" w:sz="0" w:space="0" w:color="auto"/>
              </w:divBdr>
            </w:div>
          </w:divsChild>
        </w:div>
        <w:div w:id="106854173">
          <w:marLeft w:val="0"/>
          <w:marRight w:val="0"/>
          <w:marTop w:val="0"/>
          <w:marBottom w:val="0"/>
          <w:divBdr>
            <w:top w:val="none" w:sz="0" w:space="0" w:color="auto"/>
            <w:left w:val="none" w:sz="0" w:space="0" w:color="auto"/>
            <w:bottom w:val="none" w:sz="0" w:space="0" w:color="auto"/>
            <w:right w:val="none" w:sz="0" w:space="0" w:color="auto"/>
          </w:divBdr>
          <w:divsChild>
            <w:div w:id="938488495">
              <w:marLeft w:val="0"/>
              <w:marRight w:val="0"/>
              <w:marTop w:val="0"/>
              <w:marBottom w:val="0"/>
              <w:divBdr>
                <w:top w:val="none" w:sz="0" w:space="0" w:color="auto"/>
                <w:left w:val="none" w:sz="0" w:space="0" w:color="auto"/>
                <w:bottom w:val="none" w:sz="0" w:space="0" w:color="auto"/>
                <w:right w:val="none" w:sz="0" w:space="0" w:color="auto"/>
              </w:divBdr>
            </w:div>
          </w:divsChild>
        </w:div>
        <w:div w:id="191309378">
          <w:marLeft w:val="0"/>
          <w:marRight w:val="0"/>
          <w:marTop w:val="0"/>
          <w:marBottom w:val="0"/>
          <w:divBdr>
            <w:top w:val="none" w:sz="0" w:space="0" w:color="auto"/>
            <w:left w:val="none" w:sz="0" w:space="0" w:color="auto"/>
            <w:bottom w:val="none" w:sz="0" w:space="0" w:color="auto"/>
            <w:right w:val="none" w:sz="0" w:space="0" w:color="auto"/>
          </w:divBdr>
          <w:divsChild>
            <w:div w:id="1996911908">
              <w:marLeft w:val="0"/>
              <w:marRight w:val="0"/>
              <w:marTop w:val="0"/>
              <w:marBottom w:val="0"/>
              <w:divBdr>
                <w:top w:val="none" w:sz="0" w:space="0" w:color="auto"/>
                <w:left w:val="none" w:sz="0" w:space="0" w:color="auto"/>
                <w:bottom w:val="none" w:sz="0" w:space="0" w:color="auto"/>
                <w:right w:val="none" w:sz="0" w:space="0" w:color="auto"/>
              </w:divBdr>
            </w:div>
          </w:divsChild>
        </w:div>
        <w:div w:id="223952792">
          <w:marLeft w:val="0"/>
          <w:marRight w:val="0"/>
          <w:marTop w:val="0"/>
          <w:marBottom w:val="0"/>
          <w:divBdr>
            <w:top w:val="none" w:sz="0" w:space="0" w:color="auto"/>
            <w:left w:val="none" w:sz="0" w:space="0" w:color="auto"/>
            <w:bottom w:val="none" w:sz="0" w:space="0" w:color="auto"/>
            <w:right w:val="none" w:sz="0" w:space="0" w:color="auto"/>
          </w:divBdr>
          <w:divsChild>
            <w:div w:id="1257714515">
              <w:marLeft w:val="0"/>
              <w:marRight w:val="0"/>
              <w:marTop w:val="0"/>
              <w:marBottom w:val="0"/>
              <w:divBdr>
                <w:top w:val="none" w:sz="0" w:space="0" w:color="auto"/>
                <w:left w:val="none" w:sz="0" w:space="0" w:color="auto"/>
                <w:bottom w:val="none" w:sz="0" w:space="0" w:color="auto"/>
                <w:right w:val="none" w:sz="0" w:space="0" w:color="auto"/>
              </w:divBdr>
            </w:div>
          </w:divsChild>
        </w:div>
        <w:div w:id="285157669">
          <w:marLeft w:val="0"/>
          <w:marRight w:val="0"/>
          <w:marTop w:val="0"/>
          <w:marBottom w:val="0"/>
          <w:divBdr>
            <w:top w:val="none" w:sz="0" w:space="0" w:color="auto"/>
            <w:left w:val="none" w:sz="0" w:space="0" w:color="auto"/>
            <w:bottom w:val="none" w:sz="0" w:space="0" w:color="auto"/>
            <w:right w:val="none" w:sz="0" w:space="0" w:color="auto"/>
          </w:divBdr>
          <w:divsChild>
            <w:div w:id="982468920">
              <w:marLeft w:val="0"/>
              <w:marRight w:val="0"/>
              <w:marTop w:val="0"/>
              <w:marBottom w:val="0"/>
              <w:divBdr>
                <w:top w:val="none" w:sz="0" w:space="0" w:color="auto"/>
                <w:left w:val="none" w:sz="0" w:space="0" w:color="auto"/>
                <w:bottom w:val="none" w:sz="0" w:space="0" w:color="auto"/>
                <w:right w:val="none" w:sz="0" w:space="0" w:color="auto"/>
              </w:divBdr>
            </w:div>
          </w:divsChild>
        </w:div>
        <w:div w:id="285433155">
          <w:marLeft w:val="0"/>
          <w:marRight w:val="0"/>
          <w:marTop w:val="0"/>
          <w:marBottom w:val="0"/>
          <w:divBdr>
            <w:top w:val="none" w:sz="0" w:space="0" w:color="auto"/>
            <w:left w:val="none" w:sz="0" w:space="0" w:color="auto"/>
            <w:bottom w:val="none" w:sz="0" w:space="0" w:color="auto"/>
            <w:right w:val="none" w:sz="0" w:space="0" w:color="auto"/>
          </w:divBdr>
          <w:divsChild>
            <w:div w:id="1786726032">
              <w:marLeft w:val="0"/>
              <w:marRight w:val="0"/>
              <w:marTop w:val="0"/>
              <w:marBottom w:val="0"/>
              <w:divBdr>
                <w:top w:val="none" w:sz="0" w:space="0" w:color="auto"/>
                <w:left w:val="none" w:sz="0" w:space="0" w:color="auto"/>
                <w:bottom w:val="none" w:sz="0" w:space="0" w:color="auto"/>
                <w:right w:val="none" w:sz="0" w:space="0" w:color="auto"/>
              </w:divBdr>
            </w:div>
          </w:divsChild>
        </w:div>
        <w:div w:id="331763690">
          <w:marLeft w:val="0"/>
          <w:marRight w:val="0"/>
          <w:marTop w:val="0"/>
          <w:marBottom w:val="0"/>
          <w:divBdr>
            <w:top w:val="none" w:sz="0" w:space="0" w:color="auto"/>
            <w:left w:val="none" w:sz="0" w:space="0" w:color="auto"/>
            <w:bottom w:val="none" w:sz="0" w:space="0" w:color="auto"/>
            <w:right w:val="none" w:sz="0" w:space="0" w:color="auto"/>
          </w:divBdr>
          <w:divsChild>
            <w:div w:id="1387491606">
              <w:marLeft w:val="0"/>
              <w:marRight w:val="0"/>
              <w:marTop w:val="0"/>
              <w:marBottom w:val="0"/>
              <w:divBdr>
                <w:top w:val="none" w:sz="0" w:space="0" w:color="auto"/>
                <w:left w:val="none" w:sz="0" w:space="0" w:color="auto"/>
                <w:bottom w:val="none" w:sz="0" w:space="0" w:color="auto"/>
                <w:right w:val="none" w:sz="0" w:space="0" w:color="auto"/>
              </w:divBdr>
            </w:div>
          </w:divsChild>
        </w:div>
        <w:div w:id="424692404">
          <w:marLeft w:val="0"/>
          <w:marRight w:val="0"/>
          <w:marTop w:val="0"/>
          <w:marBottom w:val="0"/>
          <w:divBdr>
            <w:top w:val="none" w:sz="0" w:space="0" w:color="auto"/>
            <w:left w:val="none" w:sz="0" w:space="0" w:color="auto"/>
            <w:bottom w:val="none" w:sz="0" w:space="0" w:color="auto"/>
            <w:right w:val="none" w:sz="0" w:space="0" w:color="auto"/>
          </w:divBdr>
          <w:divsChild>
            <w:div w:id="219295621">
              <w:marLeft w:val="0"/>
              <w:marRight w:val="0"/>
              <w:marTop w:val="0"/>
              <w:marBottom w:val="0"/>
              <w:divBdr>
                <w:top w:val="none" w:sz="0" w:space="0" w:color="auto"/>
                <w:left w:val="none" w:sz="0" w:space="0" w:color="auto"/>
                <w:bottom w:val="none" w:sz="0" w:space="0" w:color="auto"/>
                <w:right w:val="none" w:sz="0" w:space="0" w:color="auto"/>
              </w:divBdr>
            </w:div>
          </w:divsChild>
        </w:div>
        <w:div w:id="447744169">
          <w:marLeft w:val="0"/>
          <w:marRight w:val="0"/>
          <w:marTop w:val="0"/>
          <w:marBottom w:val="0"/>
          <w:divBdr>
            <w:top w:val="none" w:sz="0" w:space="0" w:color="auto"/>
            <w:left w:val="none" w:sz="0" w:space="0" w:color="auto"/>
            <w:bottom w:val="none" w:sz="0" w:space="0" w:color="auto"/>
            <w:right w:val="none" w:sz="0" w:space="0" w:color="auto"/>
          </w:divBdr>
          <w:divsChild>
            <w:div w:id="339967753">
              <w:marLeft w:val="0"/>
              <w:marRight w:val="0"/>
              <w:marTop w:val="0"/>
              <w:marBottom w:val="0"/>
              <w:divBdr>
                <w:top w:val="none" w:sz="0" w:space="0" w:color="auto"/>
                <w:left w:val="none" w:sz="0" w:space="0" w:color="auto"/>
                <w:bottom w:val="none" w:sz="0" w:space="0" w:color="auto"/>
                <w:right w:val="none" w:sz="0" w:space="0" w:color="auto"/>
              </w:divBdr>
            </w:div>
          </w:divsChild>
        </w:div>
        <w:div w:id="461120224">
          <w:marLeft w:val="0"/>
          <w:marRight w:val="0"/>
          <w:marTop w:val="0"/>
          <w:marBottom w:val="0"/>
          <w:divBdr>
            <w:top w:val="none" w:sz="0" w:space="0" w:color="auto"/>
            <w:left w:val="none" w:sz="0" w:space="0" w:color="auto"/>
            <w:bottom w:val="none" w:sz="0" w:space="0" w:color="auto"/>
            <w:right w:val="none" w:sz="0" w:space="0" w:color="auto"/>
          </w:divBdr>
          <w:divsChild>
            <w:div w:id="867447622">
              <w:marLeft w:val="0"/>
              <w:marRight w:val="0"/>
              <w:marTop w:val="0"/>
              <w:marBottom w:val="0"/>
              <w:divBdr>
                <w:top w:val="none" w:sz="0" w:space="0" w:color="auto"/>
                <w:left w:val="none" w:sz="0" w:space="0" w:color="auto"/>
                <w:bottom w:val="none" w:sz="0" w:space="0" w:color="auto"/>
                <w:right w:val="none" w:sz="0" w:space="0" w:color="auto"/>
              </w:divBdr>
            </w:div>
          </w:divsChild>
        </w:div>
        <w:div w:id="495465387">
          <w:marLeft w:val="0"/>
          <w:marRight w:val="0"/>
          <w:marTop w:val="0"/>
          <w:marBottom w:val="0"/>
          <w:divBdr>
            <w:top w:val="none" w:sz="0" w:space="0" w:color="auto"/>
            <w:left w:val="none" w:sz="0" w:space="0" w:color="auto"/>
            <w:bottom w:val="none" w:sz="0" w:space="0" w:color="auto"/>
            <w:right w:val="none" w:sz="0" w:space="0" w:color="auto"/>
          </w:divBdr>
          <w:divsChild>
            <w:div w:id="2125421385">
              <w:marLeft w:val="0"/>
              <w:marRight w:val="0"/>
              <w:marTop w:val="0"/>
              <w:marBottom w:val="0"/>
              <w:divBdr>
                <w:top w:val="none" w:sz="0" w:space="0" w:color="auto"/>
                <w:left w:val="none" w:sz="0" w:space="0" w:color="auto"/>
                <w:bottom w:val="none" w:sz="0" w:space="0" w:color="auto"/>
                <w:right w:val="none" w:sz="0" w:space="0" w:color="auto"/>
              </w:divBdr>
            </w:div>
          </w:divsChild>
        </w:div>
        <w:div w:id="505365655">
          <w:marLeft w:val="0"/>
          <w:marRight w:val="0"/>
          <w:marTop w:val="0"/>
          <w:marBottom w:val="0"/>
          <w:divBdr>
            <w:top w:val="none" w:sz="0" w:space="0" w:color="auto"/>
            <w:left w:val="none" w:sz="0" w:space="0" w:color="auto"/>
            <w:bottom w:val="none" w:sz="0" w:space="0" w:color="auto"/>
            <w:right w:val="none" w:sz="0" w:space="0" w:color="auto"/>
          </w:divBdr>
          <w:divsChild>
            <w:div w:id="1469206671">
              <w:marLeft w:val="0"/>
              <w:marRight w:val="0"/>
              <w:marTop w:val="0"/>
              <w:marBottom w:val="0"/>
              <w:divBdr>
                <w:top w:val="none" w:sz="0" w:space="0" w:color="auto"/>
                <w:left w:val="none" w:sz="0" w:space="0" w:color="auto"/>
                <w:bottom w:val="none" w:sz="0" w:space="0" w:color="auto"/>
                <w:right w:val="none" w:sz="0" w:space="0" w:color="auto"/>
              </w:divBdr>
            </w:div>
          </w:divsChild>
        </w:div>
        <w:div w:id="525367935">
          <w:marLeft w:val="0"/>
          <w:marRight w:val="0"/>
          <w:marTop w:val="0"/>
          <w:marBottom w:val="0"/>
          <w:divBdr>
            <w:top w:val="none" w:sz="0" w:space="0" w:color="auto"/>
            <w:left w:val="none" w:sz="0" w:space="0" w:color="auto"/>
            <w:bottom w:val="none" w:sz="0" w:space="0" w:color="auto"/>
            <w:right w:val="none" w:sz="0" w:space="0" w:color="auto"/>
          </w:divBdr>
          <w:divsChild>
            <w:div w:id="774668184">
              <w:marLeft w:val="0"/>
              <w:marRight w:val="0"/>
              <w:marTop w:val="0"/>
              <w:marBottom w:val="0"/>
              <w:divBdr>
                <w:top w:val="none" w:sz="0" w:space="0" w:color="auto"/>
                <w:left w:val="none" w:sz="0" w:space="0" w:color="auto"/>
                <w:bottom w:val="none" w:sz="0" w:space="0" w:color="auto"/>
                <w:right w:val="none" w:sz="0" w:space="0" w:color="auto"/>
              </w:divBdr>
            </w:div>
          </w:divsChild>
        </w:div>
        <w:div w:id="555748696">
          <w:marLeft w:val="0"/>
          <w:marRight w:val="0"/>
          <w:marTop w:val="0"/>
          <w:marBottom w:val="0"/>
          <w:divBdr>
            <w:top w:val="none" w:sz="0" w:space="0" w:color="auto"/>
            <w:left w:val="none" w:sz="0" w:space="0" w:color="auto"/>
            <w:bottom w:val="none" w:sz="0" w:space="0" w:color="auto"/>
            <w:right w:val="none" w:sz="0" w:space="0" w:color="auto"/>
          </w:divBdr>
          <w:divsChild>
            <w:div w:id="2099909984">
              <w:marLeft w:val="0"/>
              <w:marRight w:val="0"/>
              <w:marTop w:val="0"/>
              <w:marBottom w:val="0"/>
              <w:divBdr>
                <w:top w:val="none" w:sz="0" w:space="0" w:color="auto"/>
                <w:left w:val="none" w:sz="0" w:space="0" w:color="auto"/>
                <w:bottom w:val="none" w:sz="0" w:space="0" w:color="auto"/>
                <w:right w:val="none" w:sz="0" w:space="0" w:color="auto"/>
              </w:divBdr>
            </w:div>
          </w:divsChild>
        </w:div>
        <w:div w:id="626080759">
          <w:marLeft w:val="0"/>
          <w:marRight w:val="0"/>
          <w:marTop w:val="0"/>
          <w:marBottom w:val="0"/>
          <w:divBdr>
            <w:top w:val="none" w:sz="0" w:space="0" w:color="auto"/>
            <w:left w:val="none" w:sz="0" w:space="0" w:color="auto"/>
            <w:bottom w:val="none" w:sz="0" w:space="0" w:color="auto"/>
            <w:right w:val="none" w:sz="0" w:space="0" w:color="auto"/>
          </w:divBdr>
          <w:divsChild>
            <w:div w:id="1084185737">
              <w:marLeft w:val="0"/>
              <w:marRight w:val="0"/>
              <w:marTop w:val="0"/>
              <w:marBottom w:val="0"/>
              <w:divBdr>
                <w:top w:val="none" w:sz="0" w:space="0" w:color="auto"/>
                <w:left w:val="none" w:sz="0" w:space="0" w:color="auto"/>
                <w:bottom w:val="none" w:sz="0" w:space="0" w:color="auto"/>
                <w:right w:val="none" w:sz="0" w:space="0" w:color="auto"/>
              </w:divBdr>
            </w:div>
          </w:divsChild>
        </w:div>
        <w:div w:id="636223864">
          <w:marLeft w:val="0"/>
          <w:marRight w:val="0"/>
          <w:marTop w:val="0"/>
          <w:marBottom w:val="0"/>
          <w:divBdr>
            <w:top w:val="none" w:sz="0" w:space="0" w:color="auto"/>
            <w:left w:val="none" w:sz="0" w:space="0" w:color="auto"/>
            <w:bottom w:val="none" w:sz="0" w:space="0" w:color="auto"/>
            <w:right w:val="none" w:sz="0" w:space="0" w:color="auto"/>
          </w:divBdr>
          <w:divsChild>
            <w:div w:id="1048191553">
              <w:marLeft w:val="0"/>
              <w:marRight w:val="0"/>
              <w:marTop w:val="0"/>
              <w:marBottom w:val="0"/>
              <w:divBdr>
                <w:top w:val="none" w:sz="0" w:space="0" w:color="auto"/>
                <w:left w:val="none" w:sz="0" w:space="0" w:color="auto"/>
                <w:bottom w:val="none" w:sz="0" w:space="0" w:color="auto"/>
                <w:right w:val="none" w:sz="0" w:space="0" w:color="auto"/>
              </w:divBdr>
            </w:div>
          </w:divsChild>
        </w:div>
        <w:div w:id="638462714">
          <w:marLeft w:val="0"/>
          <w:marRight w:val="0"/>
          <w:marTop w:val="0"/>
          <w:marBottom w:val="0"/>
          <w:divBdr>
            <w:top w:val="none" w:sz="0" w:space="0" w:color="auto"/>
            <w:left w:val="none" w:sz="0" w:space="0" w:color="auto"/>
            <w:bottom w:val="none" w:sz="0" w:space="0" w:color="auto"/>
            <w:right w:val="none" w:sz="0" w:space="0" w:color="auto"/>
          </w:divBdr>
          <w:divsChild>
            <w:div w:id="959720856">
              <w:marLeft w:val="0"/>
              <w:marRight w:val="0"/>
              <w:marTop w:val="0"/>
              <w:marBottom w:val="0"/>
              <w:divBdr>
                <w:top w:val="none" w:sz="0" w:space="0" w:color="auto"/>
                <w:left w:val="none" w:sz="0" w:space="0" w:color="auto"/>
                <w:bottom w:val="none" w:sz="0" w:space="0" w:color="auto"/>
                <w:right w:val="none" w:sz="0" w:space="0" w:color="auto"/>
              </w:divBdr>
            </w:div>
          </w:divsChild>
        </w:div>
        <w:div w:id="647243205">
          <w:marLeft w:val="0"/>
          <w:marRight w:val="0"/>
          <w:marTop w:val="0"/>
          <w:marBottom w:val="0"/>
          <w:divBdr>
            <w:top w:val="none" w:sz="0" w:space="0" w:color="auto"/>
            <w:left w:val="none" w:sz="0" w:space="0" w:color="auto"/>
            <w:bottom w:val="none" w:sz="0" w:space="0" w:color="auto"/>
            <w:right w:val="none" w:sz="0" w:space="0" w:color="auto"/>
          </w:divBdr>
          <w:divsChild>
            <w:div w:id="919019503">
              <w:marLeft w:val="0"/>
              <w:marRight w:val="0"/>
              <w:marTop w:val="0"/>
              <w:marBottom w:val="0"/>
              <w:divBdr>
                <w:top w:val="none" w:sz="0" w:space="0" w:color="auto"/>
                <w:left w:val="none" w:sz="0" w:space="0" w:color="auto"/>
                <w:bottom w:val="none" w:sz="0" w:space="0" w:color="auto"/>
                <w:right w:val="none" w:sz="0" w:space="0" w:color="auto"/>
              </w:divBdr>
            </w:div>
          </w:divsChild>
        </w:div>
        <w:div w:id="738868708">
          <w:marLeft w:val="0"/>
          <w:marRight w:val="0"/>
          <w:marTop w:val="0"/>
          <w:marBottom w:val="0"/>
          <w:divBdr>
            <w:top w:val="none" w:sz="0" w:space="0" w:color="auto"/>
            <w:left w:val="none" w:sz="0" w:space="0" w:color="auto"/>
            <w:bottom w:val="none" w:sz="0" w:space="0" w:color="auto"/>
            <w:right w:val="none" w:sz="0" w:space="0" w:color="auto"/>
          </w:divBdr>
          <w:divsChild>
            <w:div w:id="1470636219">
              <w:marLeft w:val="0"/>
              <w:marRight w:val="0"/>
              <w:marTop w:val="0"/>
              <w:marBottom w:val="0"/>
              <w:divBdr>
                <w:top w:val="none" w:sz="0" w:space="0" w:color="auto"/>
                <w:left w:val="none" w:sz="0" w:space="0" w:color="auto"/>
                <w:bottom w:val="none" w:sz="0" w:space="0" w:color="auto"/>
                <w:right w:val="none" w:sz="0" w:space="0" w:color="auto"/>
              </w:divBdr>
            </w:div>
          </w:divsChild>
        </w:div>
        <w:div w:id="761073266">
          <w:marLeft w:val="0"/>
          <w:marRight w:val="0"/>
          <w:marTop w:val="0"/>
          <w:marBottom w:val="0"/>
          <w:divBdr>
            <w:top w:val="none" w:sz="0" w:space="0" w:color="auto"/>
            <w:left w:val="none" w:sz="0" w:space="0" w:color="auto"/>
            <w:bottom w:val="none" w:sz="0" w:space="0" w:color="auto"/>
            <w:right w:val="none" w:sz="0" w:space="0" w:color="auto"/>
          </w:divBdr>
          <w:divsChild>
            <w:div w:id="1346595305">
              <w:marLeft w:val="0"/>
              <w:marRight w:val="0"/>
              <w:marTop w:val="0"/>
              <w:marBottom w:val="0"/>
              <w:divBdr>
                <w:top w:val="none" w:sz="0" w:space="0" w:color="auto"/>
                <w:left w:val="none" w:sz="0" w:space="0" w:color="auto"/>
                <w:bottom w:val="none" w:sz="0" w:space="0" w:color="auto"/>
                <w:right w:val="none" w:sz="0" w:space="0" w:color="auto"/>
              </w:divBdr>
            </w:div>
          </w:divsChild>
        </w:div>
        <w:div w:id="780537124">
          <w:marLeft w:val="0"/>
          <w:marRight w:val="0"/>
          <w:marTop w:val="0"/>
          <w:marBottom w:val="0"/>
          <w:divBdr>
            <w:top w:val="none" w:sz="0" w:space="0" w:color="auto"/>
            <w:left w:val="none" w:sz="0" w:space="0" w:color="auto"/>
            <w:bottom w:val="none" w:sz="0" w:space="0" w:color="auto"/>
            <w:right w:val="none" w:sz="0" w:space="0" w:color="auto"/>
          </w:divBdr>
          <w:divsChild>
            <w:div w:id="1574508080">
              <w:marLeft w:val="0"/>
              <w:marRight w:val="0"/>
              <w:marTop w:val="0"/>
              <w:marBottom w:val="0"/>
              <w:divBdr>
                <w:top w:val="none" w:sz="0" w:space="0" w:color="auto"/>
                <w:left w:val="none" w:sz="0" w:space="0" w:color="auto"/>
                <w:bottom w:val="none" w:sz="0" w:space="0" w:color="auto"/>
                <w:right w:val="none" w:sz="0" w:space="0" w:color="auto"/>
              </w:divBdr>
            </w:div>
          </w:divsChild>
        </w:div>
        <w:div w:id="805007835">
          <w:marLeft w:val="0"/>
          <w:marRight w:val="0"/>
          <w:marTop w:val="0"/>
          <w:marBottom w:val="0"/>
          <w:divBdr>
            <w:top w:val="none" w:sz="0" w:space="0" w:color="auto"/>
            <w:left w:val="none" w:sz="0" w:space="0" w:color="auto"/>
            <w:bottom w:val="none" w:sz="0" w:space="0" w:color="auto"/>
            <w:right w:val="none" w:sz="0" w:space="0" w:color="auto"/>
          </w:divBdr>
          <w:divsChild>
            <w:div w:id="1752121837">
              <w:marLeft w:val="0"/>
              <w:marRight w:val="0"/>
              <w:marTop w:val="0"/>
              <w:marBottom w:val="0"/>
              <w:divBdr>
                <w:top w:val="none" w:sz="0" w:space="0" w:color="auto"/>
                <w:left w:val="none" w:sz="0" w:space="0" w:color="auto"/>
                <w:bottom w:val="none" w:sz="0" w:space="0" w:color="auto"/>
                <w:right w:val="none" w:sz="0" w:space="0" w:color="auto"/>
              </w:divBdr>
            </w:div>
          </w:divsChild>
        </w:div>
        <w:div w:id="807165668">
          <w:marLeft w:val="0"/>
          <w:marRight w:val="0"/>
          <w:marTop w:val="0"/>
          <w:marBottom w:val="0"/>
          <w:divBdr>
            <w:top w:val="none" w:sz="0" w:space="0" w:color="auto"/>
            <w:left w:val="none" w:sz="0" w:space="0" w:color="auto"/>
            <w:bottom w:val="none" w:sz="0" w:space="0" w:color="auto"/>
            <w:right w:val="none" w:sz="0" w:space="0" w:color="auto"/>
          </w:divBdr>
          <w:divsChild>
            <w:div w:id="1483152634">
              <w:marLeft w:val="0"/>
              <w:marRight w:val="0"/>
              <w:marTop w:val="0"/>
              <w:marBottom w:val="0"/>
              <w:divBdr>
                <w:top w:val="none" w:sz="0" w:space="0" w:color="auto"/>
                <w:left w:val="none" w:sz="0" w:space="0" w:color="auto"/>
                <w:bottom w:val="none" w:sz="0" w:space="0" w:color="auto"/>
                <w:right w:val="none" w:sz="0" w:space="0" w:color="auto"/>
              </w:divBdr>
            </w:div>
          </w:divsChild>
        </w:div>
        <w:div w:id="849368085">
          <w:marLeft w:val="0"/>
          <w:marRight w:val="0"/>
          <w:marTop w:val="0"/>
          <w:marBottom w:val="0"/>
          <w:divBdr>
            <w:top w:val="none" w:sz="0" w:space="0" w:color="auto"/>
            <w:left w:val="none" w:sz="0" w:space="0" w:color="auto"/>
            <w:bottom w:val="none" w:sz="0" w:space="0" w:color="auto"/>
            <w:right w:val="none" w:sz="0" w:space="0" w:color="auto"/>
          </w:divBdr>
          <w:divsChild>
            <w:div w:id="1734043116">
              <w:marLeft w:val="0"/>
              <w:marRight w:val="0"/>
              <w:marTop w:val="0"/>
              <w:marBottom w:val="0"/>
              <w:divBdr>
                <w:top w:val="none" w:sz="0" w:space="0" w:color="auto"/>
                <w:left w:val="none" w:sz="0" w:space="0" w:color="auto"/>
                <w:bottom w:val="none" w:sz="0" w:space="0" w:color="auto"/>
                <w:right w:val="none" w:sz="0" w:space="0" w:color="auto"/>
              </w:divBdr>
            </w:div>
          </w:divsChild>
        </w:div>
        <w:div w:id="870801341">
          <w:marLeft w:val="0"/>
          <w:marRight w:val="0"/>
          <w:marTop w:val="0"/>
          <w:marBottom w:val="0"/>
          <w:divBdr>
            <w:top w:val="none" w:sz="0" w:space="0" w:color="auto"/>
            <w:left w:val="none" w:sz="0" w:space="0" w:color="auto"/>
            <w:bottom w:val="none" w:sz="0" w:space="0" w:color="auto"/>
            <w:right w:val="none" w:sz="0" w:space="0" w:color="auto"/>
          </w:divBdr>
          <w:divsChild>
            <w:div w:id="426929358">
              <w:marLeft w:val="0"/>
              <w:marRight w:val="0"/>
              <w:marTop w:val="0"/>
              <w:marBottom w:val="0"/>
              <w:divBdr>
                <w:top w:val="none" w:sz="0" w:space="0" w:color="auto"/>
                <w:left w:val="none" w:sz="0" w:space="0" w:color="auto"/>
                <w:bottom w:val="none" w:sz="0" w:space="0" w:color="auto"/>
                <w:right w:val="none" w:sz="0" w:space="0" w:color="auto"/>
              </w:divBdr>
            </w:div>
          </w:divsChild>
        </w:div>
        <w:div w:id="900750024">
          <w:marLeft w:val="0"/>
          <w:marRight w:val="0"/>
          <w:marTop w:val="0"/>
          <w:marBottom w:val="0"/>
          <w:divBdr>
            <w:top w:val="none" w:sz="0" w:space="0" w:color="auto"/>
            <w:left w:val="none" w:sz="0" w:space="0" w:color="auto"/>
            <w:bottom w:val="none" w:sz="0" w:space="0" w:color="auto"/>
            <w:right w:val="none" w:sz="0" w:space="0" w:color="auto"/>
          </w:divBdr>
          <w:divsChild>
            <w:div w:id="1274248812">
              <w:marLeft w:val="0"/>
              <w:marRight w:val="0"/>
              <w:marTop w:val="0"/>
              <w:marBottom w:val="0"/>
              <w:divBdr>
                <w:top w:val="none" w:sz="0" w:space="0" w:color="auto"/>
                <w:left w:val="none" w:sz="0" w:space="0" w:color="auto"/>
                <w:bottom w:val="none" w:sz="0" w:space="0" w:color="auto"/>
                <w:right w:val="none" w:sz="0" w:space="0" w:color="auto"/>
              </w:divBdr>
            </w:div>
          </w:divsChild>
        </w:div>
        <w:div w:id="911888638">
          <w:marLeft w:val="0"/>
          <w:marRight w:val="0"/>
          <w:marTop w:val="0"/>
          <w:marBottom w:val="0"/>
          <w:divBdr>
            <w:top w:val="none" w:sz="0" w:space="0" w:color="auto"/>
            <w:left w:val="none" w:sz="0" w:space="0" w:color="auto"/>
            <w:bottom w:val="none" w:sz="0" w:space="0" w:color="auto"/>
            <w:right w:val="none" w:sz="0" w:space="0" w:color="auto"/>
          </w:divBdr>
          <w:divsChild>
            <w:div w:id="308751351">
              <w:marLeft w:val="0"/>
              <w:marRight w:val="0"/>
              <w:marTop w:val="0"/>
              <w:marBottom w:val="0"/>
              <w:divBdr>
                <w:top w:val="none" w:sz="0" w:space="0" w:color="auto"/>
                <w:left w:val="none" w:sz="0" w:space="0" w:color="auto"/>
                <w:bottom w:val="none" w:sz="0" w:space="0" w:color="auto"/>
                <w:right w:val="none" w:sz="0" w:space="0" w:color="auto"/>
              </w:divBdr>
            </w:div>
          </w:divsChild>
        </w:div>
        <w:div w:id="958874114">
          <w:marLeft w:val="0"/>
          <w:marRight w:val="0"/>
          <w:marTop w:val="0"/>
          <w:marBottom w:val="0"/>
          <w:divBdr>
            <w:top w:val="none" w:sz="0" w:space="0" w:color="auto"/>
            <w:left w:val="none" w:sz="0" w:space="0" w:color="auto"/>
            <w:bottom w:val="none" w:sz="0" w:space="0" w:color="auto"/>
            <w:right w:val="none" w:sz="0" w:space="0" w:color="auto"/>
          </w:divBdr>
          <w:divsChild>
            <w:div w:id="929049324">
              <w:marLeft w:val="0"/>
              <w:marRight w:val="0"/>
              <w:marTop w:val="0"/>
              <w:marBottom w:val="0"/>
              <w:divBdr>
                <w:top w:val="none" w:sz="0" w:space="0" w:color="auto"/>
                <w:left w:val="none" w:sz="0" w:space="0" w:color="auto"/>
                <w:bottom w:val="none" w:sz="0" w:space="0" w:color="auto"/>
                <w:right w:val="none" w:sz="0" w:space="0" w:color="auto"/>
              </w:divBdr>
            </w:div>
          </w:divsChild>
        </w:div>
        <w:div w:id="983898832">
          <w:marLeft w:val="0"/>
          <w:marRight w:val="0"/>
          <w:marTop w:val="0"/>
          <w:marBottom w:val="0"/>
          <w:divBdr>
            <w:top w:val="none" w:sz="0" w:space="0" w:color="auto"/>
            <w:left w:val="none" w:sz="0" w:space="0" w:color="auto"/>
            <w:bottom w:val="none" w:sz="0" w:space="0" w:color="auto"/>
            <w:right w:val="none" w:sz="0" w:space="0" w:color="auto"/>
          </w:divBdr>
          <w:divsChild>
            <w:div w:id="83721710">
              <w:marLeft w:val="0"/>
              <w:marRight w:val="0"/>
              <w:marTop w:val="0"/>
              <w:marBottom w:val="0"/>
              <w:divBdr>
                <w:top w:val="none" w:sz="0" w:space="0" w:color="auto"/>
                <w:left w:val="none" w:sz="0" w:space="0" w:color="auto"/>
                <w:bottom w:val="none" w:sz="0" w:space="0" w:color="auto"/>
                <w:right w:val="none" w:sz="0" w:space="0" w:color="auto"/>
              </w:divBdr>
            </w:div>
          </w:divsChild>
        </w:div>
        <w:div w:id="1003321137">
          <w:marLeft w:val="0"/>
          <w:marRight w:val="0"/>
          <w:marTop w:val="0"/>
          <w:marBottom w:val="0"/>
          <w:divBdr>
            <w:top w:val="none" w:sz="0" w:space="0" w:color="auto"/>
            <w:left w:val="none" w:sz="0" w:space="0" w:color="auto"/>
            <w:bottom w:val="none" w:sz="0" w:space="0" w:color="auto"/>
            <w:right w:val="none" w:sz="0" w:space="0" w:color="auto"/>
          </w:divBdr>
          <w:divsChild>
            <w:div w:id="1453671967">
              <w:marLeft w:val="0"/>
              <w:marRight w:val="0"/>
              <w:marTop w:val="0"/>
              <w:marBottom w:val="0"/>
              <w:divBdr>
                <w:top w:val="none" w:sz="0" w:space="0" w:color="auto"/>
                <w:left w:val="none" w:sz="0" w:space="0" w:color="auto"/>
                <w:bottom w:val="none" w:sz="0" w:space="0" w:color="auto"/>
                <w:right w:val="none" w:sz="0" w:space="0" w:color="auto"/>
              </w:divBdr>
            </w:div>
          </w:divsChild>
        </w:div>
        <w:div w:id="1039745844">
          <w:marLeft w:val="0"/>
          <w:marRight w:val="0"/>
          <w:marTop w:val="0"/>
          <w:marBottom w:val="0"/>
          <w:divBdr>
            <w:top w:val="none" w:sz="0" w:space="0" w:color="auto"/>
            <w:left w:val="none" w:sz="0" w:space="0" w:color="auto"/>
            <w:bottom w:val="none" w:sz="0" w:space="0" w:color="auto"/>
            <w:right w:val="none" w:sz="0" w:space="0" w:color="auto"/>
          </w:divBdr>
          <w:divsChild>
            <w:div w:id="215362608">
              <w:marLeft w:val="0"/>
              <w:marRight w:val="0"/>
              <w:marTop w:val="0"/>
              <w:marBottom w:val="0"/>
              <w:divBdr>
                <w:top w:val="none" w:sz="0" w:space="0" w:color="auto"/>
                <w:left w:val="none" w:sz="0" w:space="0" w:color="auto"/>
                <w:bottom w:val="none" w:sz="0" w:space="0" w:color="auto"/>
                <w:right w:val="none" w:sz="0" w:space="0" w:color="auto"/>
              </w:divBdr>
            </w:div>
          </w:divsChild>
        </w:div>
        <w:div w:id="1074012691">
          <w:marLeft w:val="0"/>
          <w:marRight w:val="0"/>
          <w:marTop w:val="0"/>
          <w:marBottom w:val="0"/>
          <w:divBdr>
            <w:top w:val="none" w:sz="0" w:space="0" w:color="auto"/>
            <w:left w:val="none" w:sz="0" w:space="0" w:color="auto"/>
            <w:bottom w:val="none" w:sz="0" w:space="0" w:color="auto"/>
            <w:right w:val="none" w:sz="0" w:space="0" w:color="auto"/>
          </w:divBdr>
          <w:divsChild>
            <w:div w:id="1457065640">
              <w:marLeft w:val="0"/>
              <w:marRight w:val="0"/>
              <w:marTop w:val="0"/>
              <w:marBottom w:val="0"/>
              <w:divBdr>
                <w:top w:val="none" w:sz="0" w:space="0" w:color="auto"/>
                <w:left w:val="none" w:sz="0" w:space="0" w:color="auto"/>
                <w:bottom w:val="none" w:sz="0" w:space="0" w:color="auto"/>
                <w:right w:val="none" w:sz="0" w:space="0" w:color="auto"/>
              </w:divBdr>
            </w:div>
          </w:divsChild>
        </w:div>
        <w:div w:id="1111897499">
          <w:marLeft w:val="0"/>
          <w:marRight w:val="0"/>
          <w:marTop w:val="0"/>
          <w:marBottom w:val="0"/>
          <w:divBdr>
            <w:top w:val="none" w:sz="0" w:space="0" w:color="auto"/>
            <w:left w:val="none" w:sz="0" w:space="0" w:color="auto"/>
            <w:bottom w:val="none" w:sz="0" w:space="0" w:color="auto"/>
            <w:right w:val="none" w:sz="0" w:space="0" w:color="auto"/>
          </w:divBdr>
          <w:divsChild>
            <w:div w:id="1833373175">
              <w:marLeft w:val="0"/>
              <w:marRight w:val="0"/>
              <w:marTop w:val="0"/>
              <w:marBottom w:val="0"/>
              <w:divBdr>
                <w:top w:val="none" w:sz="0" w:space="0" w:color="auto"/>
                <w:left w:val="none" w:sz="0" w:space="0" w:color="auto"/>
                <w:bottom w:val="none" w:sz="0" w:space="0" w:color="auto"/>
                <w:right w:val="none" w:sz="0" w:space="0" w:color="auto"/>
              </w:divBdr>
            </w:div>
          </w:divsChild>
        </w:div>
        <w:div w:id="1153906172">
          <w:marLeft w:val="0"/>
          <w:marRight w:val="0"/>
          <w:marTop w:val="0"/>
          <w:marBottom w:val="0"/>
          <w:divBdr>
            <w:top w:val="none" w:sz="0" w:space="0" w:color="auto"/>
            <w:left w:val="none" w:sz="0" w:space="0" w:color="auto"/>
            <w:bottom w:val="none" w:sz="0" w:space="0" w:color="auto"/>
            <w:right w:val="none" w:sz="0" w:space="0" w:color="auto"/>
          </w:divBdr>
          <w:divsChild>
            <w:div w:id="2035113098">
              <w:marLeft w:val="0"/>
              <w:marRight w:val="0"/>
              <w:marTop w:val="0"/>
              <w:marBottom w:val="0"/>
              <w:divBdr>
                <w:top w:val="none" w:sz="0" w:space="0" w:color="auto"/>
                <w:left w:val="none" w:sz="0" w:space="0" w:color="auto"/>
                <w:bottom w:val="none" w:sz="0" w:space="0" w:color="auto"/>
                <w:right w:val="none" w:sz="0" w:space="0" w:color="auto"/>
              </w:divBdr>
            </w:div>
          </w:divsChild>
        </w:div>
        <w:div w:id="1207254561">
          <w:marLeft w:val="0"/>
          <w:marRight w:val="0"/>
          <w:marTop w:val="0"/>
          <w:marBottom w:val="0"/>
          <w:divBdr>
            <w:top w:val="none" w:sz="0" w:space="0" w:color="auto"/>
            <w:left w:val="none" w:sz="0" w:space="0" w:color="auto"/>
            <w:bottom w:val="none" w:sz="0" w:space="0" w:color="auto"/>
            <w:right w:val="none" w:sz="0" w:space="0" w:color="auto"/>
          </w:divBdr>
          <w:divsChild>
            <w:div w:id="1251357127">
              <w:marLeft w:val="0"/>
              <w:marRight w:val="0"/>
              <w:marTop w:val="0"/>
              <w:marBottom w:val="0"/>
              <w:divBdr>
                <w:top w:val="none" w:sz="0" w:space="0" w:color="auto"/>
                <w:left w:val="none" w:sz="0" w:space="0" w:color="auto"/>
                <w:bottom w:val="none" w:sz="0" w:space="0" w:color="auto"/>
                <w:right w:val="none" w:sz="0" w:space="0" w:color="auto"/>
              </w:divBdr>
            </w:div>
          </w:divsChild>
        </w:div>
        <w:div w:id="1322344143">
          <w:marLeft w:val="0"/>
          <w:marRight w:val="0"/>
          <w:marTop w:val="0"/>
          <w:marBottom w:val="0"/>
          <w:divBdr>
            <w:top w:val="none" w:sz="0" w:space="0" w:color="auto"/>
            <w:left w:val="none" w:sz="0" w:space="0" w:color="auto"/>
            <w:bottom w:val="none" w:sz="0" w:space="0" w:color="auto"/>
            <w:right w:val="none" w:sz="0" w:space="0" w:color="auto"/>
          </w:divBdr>
          <w:divsChild>
            <w:div w:id="885877329">
              <w:marLeft w:val="0"/>
              <w:marRight w:val="0"/>
              <w:marTop w:val="0"/>
              <w:marBottom w:val="0"/>
              <w:divBdr>
                <w:top w:val="none" w:sz="0" w:space="0" w:color="auto"/>
                <w:left w:val="none" w:sz="0" w:space="0" w:color="auto"/>
                <w:bottom w:val="none" w:sz="0" w:space="0" w:color="auto"/>
                <w:right w:val="none" w:sz="0" w:space="0" w:color="auto"/>
              </w:divBdr>
            </w:div>
          </w:divsChild>
        </w:div>
        <w:div w:id="1490828174">
          <w:marLeft w:val="0"/>
          <w:marRight w:val="0"/>
          <w:marTop w:val="0"/>
          <w:marBottom w:val="0"/>
          <w:divBdr>
            <w:top w:val="none" w:sz="0" w:space="0" w:color="auto"/>
            <w:left w:val="none" w:sz="0" w:space="0" w:color="auto"/>
            <w:bottom w:val="none" w:sz="0" w:space="0" w:color="auto"/>
            <w:right w:val="none" w:sz="0" w:space="0" w:color="auto"/>
          </w:divBdr>
          <w:divsChild>
            <w:div w:id="1735465591">
              <w:marLeft w:val="0"/>
              <w:marRight w:val="0"/>
              <w:marTop w:val="0"/>
              <w:marBottom w:val="0"/>
              <w:divBdr>
                <w:top w:val="none" w:sz="0" w:space="0" w:color="auto"/>
                <w:left w:val="none" w:sz="0" w:space="0" w:color="auto"/>
                <w:bottom w:val="none" w:sz="0" w:space="0" w:color="auto"/>
                <w:right w:val="none" w:sz="0" w:space="0" w:color="auto"/>
              </w:divBdr>
            </w:div>
          </w:divsChild>
        </w:div>
        <w:div w:id="1508902677">
          <w:marLeft w:val="0"/>
          <w:marRight w:val="0"/>
          <w:marTop w:val="0"/>
          <w:marBottom w:val="0"/>
          <w:divBdr>
            <w:top w:val="none" w:sz="0" w:space="0" w:color="auto"/>
            <w:left w:val="none" w:sz="0" w:space="0" w:color="auto"/>
            <w:bottom w:val="none" w:sz="0" w:space="0" w:color="auto"/>
            <w:right w:val="none" w:sz="0" w:space="0" w:color="auto"/>
          </w:divBdr>
          <w:divsChild>
            <w:div w:id="1154679407">
              <w:marLeft w:val="0"/>
              <w:marRight w:val="0"/>
              <w:marTop w:val="0"/>
              <w:marBottom w:val="0"/>
              <w:divBdr>
                <w:top w:val="none" w:sz="0" w:space="0" w:color="auto"/>
                <w:left w:val="none" w:sz="0" w:space="0" w:color="auto"/>
                <w:bottom w:val="none" w:sz="0" w:space="0" w:color="auto"/>
                <w:right w:val="none" w:sz="0" w:space="0" w:color="auto"/>
              </w:divBdr>
            </w:div>
          </w:divsChild>
        </w:div>
        <w:div w:id="1515025709">
          <w:marLeft w:val="0"/>
          <w:marRight w:val="0"/>
          <w:marTop w:val="0"/>
          <w:marBottom w:val="0"/>
          <w:divBdr>
            <w:top w:val="none" w:sz="0" w:space="0" w:color="auto"/>
            <w:left w:val="none" w:sz="0" w:space="0" w:color="auto"/>
            <w:bottom w:val="none" w:sz="0" w:space="0" w:color="auto"/>
            <w:right w:val="none" w:sz="0" w:space="0" w:color="auto"/>
          </w:divBdr>
          <w:divsChild>
            <w:div w:id="286785642">
              <w:marLeft w:val="0"/>
              <w:marRight w:val="0"/>
              <w:marTop w:val="0"/>
              <w:marBottom w:val="0"/>
              <w:divBdr>
                <w:top w:val="none" w:sz="0" w:space="0" w:color="auto"/>
                <w:left w:val="none" w:sz="0" w:space="0" w:color="auto"/>
                <w:bottom w:val="none" w:sz="0" w:space="0" w:color="auto"/>
                <w:right w:val="none" w:sz="0" w:space="0" w:color="auto"/>
              </w:divBdr>
            </w:div>
          </w:divsChild>
        </w:div>
        <w:div w:id="1630238504">
          <w:marLeft w:val="0"/>
          <w:marRight w:val="0"/>
          <w:marTop w:val="0"/>
          <w:marBottom w:val="0"/>
          <w:divBdr>
            <w:top w:val="none" w:sz="0" w:space="0" w:color="auto"/>
            <w:left w:val="none" w:sz="0" w:space="0" w:color="auto"/>
            <w:bottom w:val="none" w:sz="0" w:space="0" w:color="auto"/>
            <w:right w:val="none" w:sz="0" w:space="0" w:color="auto"/>
          </w:divBdr>
          <w:divsChild>
            <w:div w:id="1346710897">
              <w:marLeft w:val="0"/>
              <w:marRight w:val="0"/>
              <w:marTop w:val="0"/>
              <w:marBottom w:val="0"/>
              <w:divBdr>
                <w:top w:val="none" w:sz="0" w:space="0" w:color="auto"/>
                <w:left w:val="none" w:sz="0" w:space="0" w:color="auto"/>
                <w:bottom w:val="none" w:sz="0" w:space="0" w:color="auto"/>
                <w:right w:val="none" w:sz="0" w:space="0" w:color="auto"/>
              </w:divBdr>
            </w:div>
          </w:divsChild>
        </w:div>
        <w:div w:id="1671249293">
          <w:marLeft w:val="0"/>
          <w:marRight w:val="0"/>
          <w:marTop w:val="0"/>
          <w:marBottom w:val="0"/>
          <w:divBdr>
            <w:top w:val="none" w:sz="0" w:space="0" w:color="auto"/>
            <w:left w:val="none" w:sz="0" w:space="0" w:color="auto"/>
            <w:bottom w:val="none" w:sz="0" w:space="0" w:color="auto"/>
            <w:right w:val="none" w:sz="0" w:space="0" w:color="auto"/>
          </w:divBdr>
          <w:divsChild>
            <w:div w:id="113527435">
              <w:marLeft w:val="0"/>
              <w:marRight w:val="0"/>
              <w:marTop w:val="0"/>
              <w:marBottom w:val="0"/>
              <w:divBdr>
                <w:top w:val="none" w:sz="0" w:space="0" w:color="auto"/>
                <w:left w:val="none" w:sz="0" w:space="0" w:color="auto"/>
                <w:bottom w:val="none" w:sz="0" w:space="0" w:color="auto"/>
                <w:right w:val="none" w:sz="0" w:space="0" w:color="auto"/>
              </w:divBdr>
            </w:div>
          </w:divsChild>
        </w:div>
        <w:div w:id="1676152708">
          <w:marLeft w:val="0"/>
          <w:marRight w:val="0"/>
          <w:marTop w:val="0"/>
          <w:marBottom w:val="0"/>
          <w:divBdr>
            <w:top w:val="none" w:sz="0" w:space="0" w:color="auto"/>
            <w:left w:val="none" w:sz="0" w:space="0" w:color="auto"/>
            <w:bottom w:val="none" w:sz="0" w:space="0" w:color="auto"/>
            <w:right w:val="none" w:sz="0" w:space="0" w:color="auto"/>
          </w:divBdr>
          <w:divsChild>
            <w:div w:id="766385253">
              <w:marLeft w:val="0"/>
              <w:marRight w:val="0"/>
              <w:marTop w:val="0"/>
              <w:marBottom w:val="0"/>
              <w:divBdr>
                <w:top w:val="none" w:sz="0" w:space="0" w:color="auto"/>
                <w:left w:val="none" w:sz="0" w:space="0" w:color="auto"/>
                <w:bottom w:val="none" w:sz="0" w:space="0" w:color="auto"/>
                <w:right w:val="none" w:sz="0" w:space="0" w:color="auto"/>
              </w:divBdr>
            </w:div>
          </w:divsChild>
        </w:div>
        <w:div w:id="1679652127">
          <w:marLeft w:val="0"/>
          <w:marRight w:val="0"/>
          <w:marTop w:val="0"/>
          <w:marBottom w:val="0"/>
          <w:divBdr>
            <w:top w:val="none" w:sz="0" w:space="0" w:color="auto"/>
            <w:left w:val="none" w:sz="0" w:space="0" w:color="auto"/>
            <w:bottom w:val="none" w:sz="0" w:space="0" w:color="auto"/>
            <w:right w:val="none" w:sz="0" w:space="0" w:color="auto"/>
          </w:divBdr>
          <w:divsChild>
            <w:div w:id="934284305">
              <w:marLeft w:val="0"/>
              <w:marRight w:val="0"/>
              <w:marTop w:val="0"/>
              <w:marBottom w:val="0"/>
              <w:divBdr>
                <w:top w:val="none" w:sz="0" w:space="0" w:color="auto"/>
                <w:left w:val="none" w:sz="0" w:space="0" w:color="auto"/>
                <w:bottom w:val="none" w:sz="0" w:space="0" w:color="auto"/>
                <w:right w:val="none" w:sz="0" w:space="0" w:color="auto"/>
              </w:divBdr>
            </w:div>
          </w:divsChild>
        </w:div>
        <w:div w:id="1689061190">
          <w:marLeft w:val="0"/>
          <w:marRight w:val="0"/>
          <w:marTop w:val="0"/>
          <w:marBottom w:val="0"/>
          <w:divBdr>
            <w:top w:val="none" w:sz="0" w:space="0" w:color="auto"/>
            <w:left w:val="none" w:sz="0" w:space="0" w:color="auto"/>
            <w:bottom w:val="none" w:sz="0" w:space="0" w:color="auto"/>
            <w:right w:val="none" w:sz="0" w:space="0" w:color="auto"/>
          </w:divBdr>
          <w:divsChild>
            <w:div w:id="1055280700">
              <w:marLeft w:val="0"/>
              <w:marRight w:val="0"/>
              <w:marTop w:val="0"/>
              <w:marBottom w:val="0"/>
              <w:divBdr>
                <w:top w:val="none" w:sz="0" w:space="0" w:color="auto"/>
                <w:left w:val="none" w:sz="0" w:space="0" w:color="auto"/>
                <w:bottom w:val="none" w:sz="0" w:space="0" w:color="auto"/>
                <w:right w:val="none" w:sz="0" w:space="0" w:color="auto"/>
              </w:divBdr>
            </w:div>
          </w:divsChild>
        </w:div>
        <w:div w:id="1700008901">
          <w:marLeft w:val="0"/>
          <w:marRight w:val="0"/>
          <w:marTop w:val="0"/>
          <w:marBottom w:val="0"/>
          <w:divBdr>
            <w:top w:val="none" w:sz="0" w:space="0" w:color="auto"/>
            <w:left w:val="none" w:sz="0" w:space="0" w:color="auto"/>
            <w:bottom w:val="none" w:sz="0" w:space="0" w:color="auto"/>
            <w:right w:val="none" w:sz="0" w:space="0" w:color="auto"/>
          </w:divBdr>
          <w:divsChild>
            <w:div w:id="1419450065">
              <w:marLeft w:val="0"/>
              <w:marRight w:val="0"/>
              <w:marTop w:val="0"/>
              <w:marBottom w:val="0"/>
              <w:divBdr>
                <w:top w:val="none" w:sz="0" w:space="0" w:color="auto"/>
                <w:left w:val="none" w:sz="0" w:space="0" w:color="auto"/>
                <w:bottom w:val="none" w:sz="0" w:space="0" w:color="auto"/>
                <w:right w:val="none" w:sz="0" w:space="0" w:color="auto"/>
              </w:divBdr>
            </w:div>
          </w:divsChild>
        </w:div>
        <w:div w:id="1792093124">
          <w:marLeft w:val="0"/>
          <w:marRight w:val="0"/>
          <w:marTop w:val="0"/>
          <w:marBottom w:val="0"/>
          <w:divBdr>
            <w:top w:val="none" w:sz="0" w:space="0" w:color="auto"/>
            <w:left w:val="none" w:sz="0" w:space="0" w:color="auto"/>
            <w:bottom w:val="none" w:sz="0" w:space="0" w:color="auto"/>
            <w:right w:val="none" w:sz="0" w:space="0" w:color="auto"/>
          </w:divBdr>
          <w:divsChild>
            <w:div w:id="1926331533">
              <w:marLeft w:val="0"/>
              <w:marRight w:val="0"/>
              <w:marTop w:val="0"/>
              <w:marBottom w:val="0"/>
              <w:divBdr>
                <w:top w:val="none" w:sz="0" w:space="0" w:color="auto"/>
                <w:left w:val="none" w:sz="0" w:space="0" w:color="auto"/>
                <w:bottom w:val="none" w:sz="0" w:space="0" w:color="auto"/>
                <w:right w:val="none" w:sz="0" w:space="0" w:color="auto"/>
              </w:divBdr>
            </w:div>
          </w:divsChild>
        </w:div>
        <w:div w:id="1864436803">
          <w:marLeft w:val="0"/>
          <w:marRight w:val="0"/>
          <w:marTop w:val="0"/>
          <w:marBottom w:val="0"/>
          <w:divBdr>
            <w:top w:val="none" w:sz="0" w:space="0" w:color="auto"/>
            <w:left w:val="none" w:sz="0" w:space="0" w:color="auto"/>
            <w:bottom w:val="none" w:sz="0" w:space="0" w:color="auto"/>
            <w:right w:val="none" w:sz="0" w:space="0" w:color="auto"/>
          </w:divBdr>
          <w:divsChild>
            <w:div w:id="214852961">
              <w:marLeft w:val="0"/>
              <w:marRight w:val="0"/>
              <w:marTop w:val="0"/>
              <w:marBottom w:val="0"/>
              <w:divBdr>
                <w:top w:val="none" w:sz="0" w:space="0" w:color="auto"/>
                <w:left w:val="none" w:sz="0" w:space="0" w:color="auto"/>
                <w:bottom w:val="none" w:sz="0" w:space="0" w:color="auto"/>
                <w:right w:val="none" w:sz="0" w:space="0" w:color="auto"/>
              </w:divBdr>
            </w:div>
          </w:divsChild>
        </w:div>
        <w:div w:id="1876312333">
          <w:marLeft w:val="0"/>
          <w:marRight w:val="0"/>
          <w:marTop w:val="0"/>
          <w:marBottom w:val="0"/>
          <w:divBdr>
            <w:top w:val="none" w:sz="0" w:space="0" w:color="auto"/>
            <w:left w:val="none" w:sz="0" w:space="0" w:color="auto"/>
            <w:bottom w:val="none" w:sz="0" w:space="0" w:color="auto"/>
            <w:right w:val="none" w:sz="0" w:space="0" w:color="auto"/>
          </w:divBdr>
          <w:divsChild>
            <w:div w:id="926185143">
              <w:marLeft w:val="0"/>
              <w:marRight w:val="0"/>
              <w:marTop w:val="0"/>
              <w:marBottom w:val="0"/>
              <w:divBdr>
                <w:top w:val="none" w:sz="0" w:space="0" w:color="auto"/>
                <w:left w:val="none" w:sz="0" w:space="0" w:color="auto"/>
                <w:bottom w:val="none" w:sz="0" w:space="0" w:color="auto"/>
                <w:right w:val="none" w:sz="0" w:space="0" w:color="auto"/>
              </w:divBdr>
            </w:div>
          </w:divsChild>
        </w:div>
        <w:div w:id="1908807075">
          <w:marLeft w:val="0"/>
          <w:marRight w:val="0"/>
          <w:marTop w:val="0"/>
          <w:marBottom w:val="0"/>
          <w:divBdr>
            <w:top w:val="none" w:sz="0" w:space="0" w:color="auto"/>
            <w:left w:val="none" w:sz="0" w:space="0" w:color="auto"/>
            <w:bottom w:val="none" w:sz="0" w:space="0" w:color="auto"/>
            <w:right w:val="none" w:sz="0" w:space="0" w:color="auto"/>
          </w:divBdr>
          <w:divsChild>
            <w:div w:id="389112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689567">
      <w:bodyDiv w:val="1"/>
      <w:marLeft w:val="0"/>
      <w:marRight w:val="0"/>
      <w:marTop w:val="0"/>
      <w:marBottom w:val="0"/>
      <w:divBdr>
        <w:top w:val="none" w:sz="0" w:space="0" w:color="auto"/>
        <w:left w:val="none" w:sz="0" w:space="0" w:color="auto"/>
        <w:bottom w:val="none" w:sz="0" w:space="0" w:color="auto"/>
        <w:right w:val="none" w:sz="0" w:space="0" w:color="auto"/>
      </w:divBdr>
    </w:div>
    <w:div w:id="423763378">
      <w:bodyDiv w:val="1"/>
      <w:marLeft w:val="0"/>
      <w:marRight w:val="0"/>
      <w:marTop w:val="0"/>
      <w:marBottom w:val="0"/>
      <w:divBdr>
        <w:top w:val="none" w:sz="0" w:space="0" w:color="auto"/>
        <w:left w:val="none" w:sz="0" w:space="0" w:color="auto"/>
        <w:bottom w:val="none" w:sz="0" w:space="0" w:color="auto"/>
        <w:right w:val="none" w:sz="0" w:space="0" w:color="auto"/>
      </w:divBdr>
    </w:div>
    <w:div w:id="435101939">
      <w:bodyDiv w:val="1"/>
      <w:marLeft w:val="0"/>
      <w:marRight w:val="0"/>
      <w:marTop w:val="0"/>
      <w:marBottom w:val="0"/>
      <w:divBdr>
        <w:top w:val="none" w:sz="0" w:space="0" w:color="auto"/>
        <w:left w:val="none" w:sz="0" w:space="0" w:color="auto"/>
        <w:bottom w:val="none" w:sz="0" w:space="0" w:color="auto"/>
        <w:right w:val="none" w:sz="0" w:space="0" w:color="auto"/>
      </w:divBdr>
    </w:div>
    <w:div w:id="437720813">
      <w:bodyDiv w:val="1"/>
      <w:marLeft w:val="0"/>
      <w:marRight w:val="0"/>
      <w:marTop w:val="0"/>
      <w:marBottom w:val="0"/>
      <w:divBdr>
        <w:top w:val="none" w:sz="0" w:space="0" w:color="auto"/>
        <w:left w:val="none" w:sz="0" w:space="0" w:color="auto"/>
        <w:bottom w:val="none" w:sz="0" w:space="0" w:color="auto"/>
        <w:right w:val="none" w:sz="0" w:space="0" w:color="auto"/>
      </w:divBdr>
      <w:divsChild>
        <w:div w:id="1023750675">
          <w:marLeft w:val="0"/>
          <w:marRight w:val="0"/>
          <w:marTop w:val="0"/>
          <w:marBottom w:val="0"/>
          <w:divBdr>
            <w:top w:val="none" w:sz="0" w:space="0" w:color="auto"/>
            <w:left w:val="none" w:sz="0" w:space="0" w:color="auto"/>
            <w:bottom w:val="none" w:sz="0" w:space="0" w:color="auto"/>
            <w:right w:val="none" w:sz="0" w:space="0" w:color="auto"/>
          </w:divBdr>
        </w:div>
        <w:div w:id="2080980598">
          <w:marLeft w:val="0"/>
          <w:marRight w:val="0"/>
          <w:marTop w:val="0"/>
          <w:marBottom w:val="0"/>
          <w:divBdr>
            <w:top w:val="none" w:sz="0" w:space="0" w:color="auto"/>
            <w:left w:val="none" w:sz="0" w:space="0" w:color="auto"/>
            <w:bottom w:val="none" w:sz="0" w:space="0" w:color="auto"/>
            <w:right w:val="none" w:sz="0" w:space="0" w:color="auto"/>
          </w:divBdr>
          <w:divsChild>
            <w:div w:id="936326748">
              <w:marLeft w:val="-75"/>
              <w:marRight w:val="0"/>
              <w:marTop w:val="30"/>
              <w:marBottom w:val="30"/>
              <w:divBdr>
                <w:top w:val="none" w:sz="0" w:space="0" w:color="auto"/>
                <w:left w:val="none" w:sz="0" w:space="0" w:color="auto"/>
                <w:bottom w:val="none" w:sz="0" w:space="0" w:color="auto"/>
                <w:right w:val="none" w:sz="0" w:space="0" w:color="auto"/>
              </w:divBdr>
              <w:divsChild>
                <w:div w:id="9837346">
                  <w:marLeft w:val="0"/>
                  <w:marRight w:val="0"/>
                  <w:marTop w:val="0"/>
                  <w:marBottom w:val="0"/>
                  <w:divBdr>
                    <w:top w:val="none" w:sz="0" w:space="0" w:color="auto"/>
                    <w:left w:val="none" w:sz="0" w:space="0" w:color="auto"/>
                    <w:bottom w:val="none" w:sz="0" w:space="0" w:color="auto"/>
                    <w:right w:val="none" w:sz="0" w:space="0" w:color="auto"/>
                  </w:divBdr>
                  <w:divsChild>
                    <w:div w:id="2039162182">
                      <w:marLeft w:val="0"/>
                      <w:marRight w:val="0"/>
                      <w:marTop w:val="0"/>
                      <w:marBottom w:val="0"/>
                      <w:divBdr>
                        <w:top w:val="none" w:sz="0" w:space="0" w:color="auto"/>
                        <w:left w:val="none" w:sz="0" w:space="0" w:color="auto"/>
                        <w:bottom w:val="none" w:sz="0" w:space="0" w:color="auto"/>
                        <w:right w:val="none" w:sz="0" w:space="0" w:color="auto"/>
                      </w:divBdr>
                    </w:div>
                  </w:divsChild>
                </w:div>
                <w:div w:id="36316580">
                  <w:marLeft w:val="0"/>
                  <w:marRight w:val="0"/>
                  <w:marTop w:val="0"/>
                  <w:marBottom w:val="0"/>
                  <w:divBdr>
                    <w:top w:val="none" w:sz="0" w:space="0" w:color="auto"/>
                    <w:left w:val="none" w:sz="0" w:space="0" w:color="auto"/>
                    <w:bottom w:val="none" w:sz="0" w:space="0" w:color="auto"/>
                    <w:right w:val="none" w:sz="0" w:space="0" w:color="auto"/>
                  </w:divBdr>
                  <w:divsChild>
                    <w:div w:id="918902440">
                      <w:marLeft w:val="0"/>
                      <w:marRight w:val="0"/>
                      <w:marTop w:val="0"/>
                      <w:marBottom w:val="0"/>
                      <w:divBdr>
                        <w:top w:val="none" w:sz="0" w:space="0" w:color="auto"/>
                        <w:left w:val="none" w:sz="0" w:space="0" w:color="auto"/>
                        <w:bottom w:val="none" w:sz="0" w:space="0" w:color="auto"/>
                        <w:right w:val="none" w:sz="0" w:space="0" w:color="auto"/>
                      </w:divBdr>
                    </w:div>
                  </w:divsChild>
                </w:div>
                <w:div w:id="191188056">
                  <w:marLeft w:val="0"/>
                  <w:marRight w:val="0"/>
                  <w:marTop w:val="0"/>
                  <w:marBottom w:val="0"/>
                  <w:divBdr>
                    <w:top w:val="none" w:sz="0" w:space="0" w:color="auto"/>
                    <w:left w:val="none" w:sz="0" w:space="0" w:color="auto"/>
                    <w:bottom w:val="none" w:sz="0" w:space="0" w:color="auto"/>
                    <w:right w:val="none" w:sz="0" w:space="0" w:color="auto"/>
                  </w:divBdr>
                  <w:divsChild>
                    <w:div w:id="294532564">
                      <w:marLeft w:val="0"/>
                      <w:marRight w:val="0"/>
                      <w:marTop w:val="0"/>
                      <w:marBottom w:val="0"/>
                      <w:divBdr>
                        <w:top w:val="none" w:sz="0" w:space="0" w:color="auto"/>
                        <w:left w:val="none" w:sz="0" w:space="0" w:color="auto"/>
                        <w:bottom w:val="none" w:sz="0" w:space="0" w:color="auto"/>
                        <w:right w:val="none" w:sz="0" w:space="0" w:color="auto"/>
                      </w:divBdr>
                    </w:div>
                  </w:divsChild>
                </w:div>
                <w:div w:id="262300842">
                  <w:marLeft w:val="0"/>
                  <w:marRight w:val="0"/>
                  <w:marTop w:val="0"/>
                  <w:marBottom w:val="0"/>
                  <w:divBdr>
                    <w:top w:val="none" w:sz="0" w:space="0" w:color="auto"/>
                    <w:left w:val="none" w:sz="0" w:space="0" w:color="auto"/>
                    <w:bottom w:val="none" w:sz="0" w:space="0" w:color="auto"/>
                    <w:right w:val="none" w:sz="0" w:space="0" w:color="auto"/>
                  </w:divBdr>
                  <w:divsChild>
                    <w:div w:id="2046589350">
                      <w:marLeft w:val="0"/>
                      <w:marRight w:val="0"/>
                      <w:marTop w:val="0"/>
                      <w:marBottom w:val="0"/>
                      <w:divBdr>
                        <w:top w:val="none" w:sz="0" w:space="0" w:color="auto"/>
                        <w:left w:val="none" w:sz="0" w:space="0" w:color="auto"/>
                        <w:bottom w:val="none" w:sz="0" w:space="0" w:color="auto"/>
                        <w:right w:val="none" w:sz="0" w:space="0" w:color="auto"/>
                      </w:divBdr>
                    </w:div>
                  </w:divsChild>
                </w:div>
                <w:div w:id="272782473">
                  <w:marLeft w:val="0"/>
                  <w:marRight w:val="0"/>
                  <w:marTop w:val="0"/>
                  <w:marBottom w:val="0"/>
                  <w:divBdr>
                    <w:top w:val="none" w:sz="0" w:space="0" w:color="auto"/>
                    <w:left w:val="none" w:sz="0" w:space="0" w:color="auto"/>
                    <w:bottom w:val="none" w:sz="0" w:space="0" w:color="auto"/>
                    <w:right w:val="none" w:sz="0" w:space="0" w:color="auto"/>
                  </w:divBdr>
                  <w:divsChild>
                    <w:div w:id="617756403">
                      <w:marLeft w:val="0"/>
                      <w:marRight w:val="0"/>
                      <w:marTop w:val="0"/>
                      <w:marBottom w:val="0"/>
                      <w:divBdr>
                        <w:top w:val="none" w:sz="0" w:space="0" w:color="auto"/>
                        <w:left w:val="none" w:sz="0" w:space="0" w:color="auto"/>
                        <w:bottom w:val="none" w:sz="0" w:space="0" w:color="auto"/>
                        <w:right w:val="none" w:sz="0" w:space="0" w:color="auto"/>
                      </w:divBdr>
                    </w:div>
                  </w:divsChild>
                </w:div>
                <w:div w:id="309871375">
                  <w:marLeft w:val="0"/>
                  <w:marRight w:val="0"/>
                  <w:marTop w:val="0"/>
                  <w:marBottom w:val="0"/>
                  <w:divBdr>
                    <w:top w:val="none" w:sz="0" w:space="0" w:color="auto"/>
                    <w:left w:val="none" w:sz="0" w:space="0" w:color="auto"/>
                    <w:bottom w:val="none" w:sz="0" w:space="0" w:color="auto"/>
                    <w:right w:val="none" w:sz="0" w:space="0" w:color="auto"/>
                  </w:divBdr>
                  <w:divsChild>
                    <w:div w:id="10684787">
                      <w:marLeft w:val="0"/>
                      <w:marRight w:val="0"/>
                      <w:marTop w:val="0"/>
                      <w:marBottom w:val="0"/>
                      <w:divBdr>
                        <w:top w:val="none" w:sz="0" w:space="0" w:color="auto"/>
                        <w:left w:val="none" w:sz="0" w:space="0" w:color="auto"/>
                        <w:bottom w:val="none" w:sz="0" w:space="0" w:color="auto"/>
                        <w:right w:val="none" w:sz="0" w:space="0" w:color="auto"/>
                      </w:divBdr>
                    </w:div>
                  </w:divsChild>
                </w:div>
                <w:div w:id="315111498">
                  <w:marLeft w:val="0"/>
                  <w:marRight w:val="0"/>
                  <w:marTop w:val="0"/>
                  <w:marBottom w:val="0"/>
                  <w:divBdr>
                    <w:top w:val="none" w:sz="0" w:space="0" w:color="auto"/>
                    <w:left w:val="none" w:sz="0" w:space="0" w:color="auto"/>
                    <w:bottom w:val="none" w:sz="0" w:space="0" w:color="auto"/>
                    <w:right w:val="none" w:sz="0" w:space="0" w:color="auto"/>
                  </w:divBdr>
                  <w:divsChild>
                    <w:div w:id="1702971497">
                      <w:marLeft w:val="0"/>
                      <w:marRight w:val="0"/>
                      <w:marTop w:val="0"/>
                      <w:marBottom w:val="0"/>
                      <w:divBdr>
                        <w:top w:val="none" w:sz="0" w:space="0" w:color="auto"/>
                        <w:left w:val="none" w:sz="0" w:space="0" w:color="auto"/>
                        <w:bottom w:val="none" w:sz="0" w:space="0" w:color="auto"/>
                        <w:right w:val="none" w:sz="0" w:space="0" w:color="auto"/>
                      </w:divBdr>
                    </w:div>
                  </w:divsChild>
                </w:div>
                <w:div w:id="405617242">
                  <w:marLeft w:val="0"/>
                  <w:marRight w:val="0"/>
                  <w:marTop w:val="0"/>
                  <w:marBottom w:val="0"/>
                  <w:divBdr>
                    <w:top w:val="none" w:sz="0" w:space="0" w:color="auto"/>
                    <w:left w:val="none" w:sz="0" w:space="0" w:color="auto"/>
                    <w:bottom w:val="none" w:sz="0" w:space="0" w:color="auto"/>
                    <w:right w:val="none" w:sz="0" w:space="0" w:color="auto"/>
                  </w:divBdr>
                  <w:divsChild>
                    <w:div w:id="195196433">
                      <w:marLeft w:val="0"/>
                      <w:marRight w:val="0"/>
                      <w:marTop w:val="0"/>
                      <w:marBottom w:val="0"/>
                      <w:divBdr>
                        <w:top w:val="none" w:sz="0" w:space="0" w:color="auto"/>
                        <w:left w:val="none" w:sz="0" w:space="0" w:color="auto"/>
                        <w:bottom w:val="none" w:sz="0" w:space="0" w:color="auto"/>
                        <w:right w:val="none" w:sz="0" w:space="0" w:color="auto"/>
                      </w:divBdr>
                    </w:div>
                  </w:divsChild>
                </w:div>
                <w:div w:id="429660472">
                  <w:marLeft w:val="0"/>
                  <w:marRight w:val="0"/>
                  <w:marTop w:val="0"/>
                  <w:marBottom w:val="0"/>
                  <w:divBdr>
                    <w:top w:val="none" w:sz="0" w:space="0" w:color="auto"/>
                    <w:left w:val="none" w:sz="0" w:space="0" w:color="auto"/>
                    <w:bottom w:val="none" w:sz="0" w:space="0" w:color="auto"/>
                    <w:right w:val="none" w:sz="0" w:space="0" w:color="auto"/>
                  </w:divBdr>
                  <w:divsChild>
                    <w:div w:id="1039430645">
                      <w:marLeft w:val="0"/>
                      <w:marRight w:val="0"/>
                      <w:marTop w:val="0"/>
                      <w:marBottom w:val="0"/>
                      <w:divBdr>
                        <w:top w:val="none" w:sz="0" w:space="0" w:color="auto"/>
                        <w:left w:val="none" w:sz="0" w:space="0" w:color="auto"/>
                        <w:bottom w:val="none" w:sz="0" w:space="0" w:color="auto"/>
                        <w:right w:val="none" w:sz="0" w:space="0" w:color="auto"/>
                      </w:divBdr>
                    </w:div>
                  </w:divsChild>
                </w:div>
                <w:div w:id="605891076">
                  <w:marLeft w:val="0"/>
                  <w:marRight w:val="0"/>
                  <w:marTop w:val="0"/>
                  <w:marBottom w:val="0"/>
                  <w:divBdr>
                    <w:top w:val="none" w:sz="0" w:space="0" w:color="auto"/>
                    <w:left w:val="none" w:sz="0" w:space="0" w:color="auto"/>
                    <w:bottom w:val="none" w:sz="0" w:space="0" w:color="auto"/>
                    <w:right w:val="none" w:sz="0" w:space="0" w:color="auto"/>
                  </w:divBdr>
                  <w:divsChild>
                    <w:div w:id="1556503593">
                      <w:marLeft w:val="0"/>
                      <w:marRight w:val="0"/>
                      <w:marTop w:val="0"/>
                      <w:marBottom w:val="0"/>
                      <w:divBdr>
                        <w:top w:val="none" w:sz="0" w:space="0" w:color="auto"/>
                        <w:left w:val="none" w:sz="0" w:space="0" w:color="auto"/>
                        <w:bottom w:val="none" w:sz="0" w:space="0" w:color="auto"/>
                        <w:right w:val="none" w:sz="0" w:space="0" w:color="auto"/>
                      </w:divBdr>
                    </w:div>
                  </w:divsChild>
                </w:div>
                <w:div w:id="675232057">
                  <w:marLeft w:val="0"/>
                  <w:marRight w:val="0"/>
                  <w:marTop w:val="0"/>
                  <w:marBottom w:val="0"/>
                  <w:divBdr>
                    <w:top w:val="none" w:sz="0" w:space="0" w:color="auto"/>
                    <w:left w:val="none" w:sz="0" w:space="0" w:color="auto"/>
                    <w:bottom w:val="none" w:sz="0" w:space="0" w:color="auto"/>
                    <w:right w:val="none" w:sz="0" w:space="0" w:color="auto"/>
                  </w:divBdr>
                  <w:divsChild>
                    <w:div w:id="399524466">
                      <w:marLeft w:val="0"/>
                      <w:marRight w:val="0"/>
                      <w:marTop w:val="0"/>
                      <w:marBottom w:val="0"/>
                      <w:divBdr>
                        <w:top w:val="none" w:sz="0" w:space="0" w:color="auto"/>
                        <w:left w:val="none" w:sz="0" w:space="0" w:color="auto"/>
                        <w:bottom w:val="none" w:sz="0" w:space="0" w:color="auto"/>
                        <w:right w:val="none" w:sz="0" w:space="0" w:color="auto"/>
                      </w:divBdr>
                    </w:div>
                  </w:divsChild>
                </w:div>
                <w:div w:id="698236887">
                  <w:marLeft w:val="0"/>
                  <w:marRight w:val="0"/>
                  <w:marTop w:val="0"/>
                  <w:marBottom w:val="0"/>
                  <w:divBdr>
                    <w:top w:val="none" w:sz="0" w:space="0" w:color="auto"/>
                    <w:left w:val="none" w:sz="0" w:space="0" w:color="auto"/>
                    <w:bottom w:val="none" w:sz="0" w:space="0" w:color="auto"/>
                    <w:right w:val="none" w:sz="0" w:space="0" w:color="auto"/>
                  </w:divBdr>
                  <w:divsChild>
                    <w:div w:id="278342853">
                      <w:marLeft w:val="0"/>
                      <w:marRight w:val="0"/>
                      <w:marTop w:val="0"/>
                      <w:marBottom w:val="0"/>
                      <w:divBdr>
                        <w:top w:val="none" w:sz="0" w:space="0" w:color="auto"/>
                        <w:left w:val="none" w:sz="0" w:space="0" w:color="auto"/>
                        <w:bottom w:val="none" w:sz="0" w:space="0" w:color="auto"/>
                        <w:right w:val="none" w:sz="0" w:space="0" w:color="auto"/>
                      </w:divBdr>
                    </w:div>
                  </w:divsChild>
                </w:div>
                <w:div w:id="726221407">
                  <w:marLeft w:val="0"/>
                  <w:marRight w:val="0"/>
                  <w:marTop w:val="0"/>
                  <w:marBottom w:val="0"/>
                  <w:divBdr>
                    <w:top w:val="none" w:sz="0" w:space="0" w:color="auto"/>
                    <w:left w:val="none" w:sz="0" w:space="0" w:color="auto"/>
                    <w:bottom w:val="none" w:sz="0" w:space="0" w:color="auto"/>
                    <w:right w:val="none" w:sz="0" w:space="0" w:color="auto"/>
                  </w:divBdr>
                  <w:divsChild>
                    <w:div w:id="838035144">
                      <w:marLeft w:val="0"/>
                      <w:marRight w:val="0"/>
                      <w:marTop w:val="0"/>
                      <w:marBottom w:val="0"/>
                      <w:divBdr>
                        <w:top w:val="none" w:sz="0" w:space="0" w:color="auto"/>
                        <w:left w:val="none" w:sz="0" w:space="0" w:color="auto"/>
                        <w:bottom w:val="none" w:sz="0" w:space="0" w:color="auto"/>
                        <w:right w:val="none" w:sz="0" w:space="0" w:color="auto"/>
                      </w:divBdr>
                    </w:div>
                  </w:divsChild>
                </w:div>
                <w:div w:id="748113322">
                  <w:marLeft w:val="0"/>
                  <w:marRight w:val="0"/>
                  <w:marTop w:val="0"/>
                  <w:marBottom w:val="0"/>
                  <w:divBdr>
                    <w:top w:val="none" w:sz="0" w:space="0" w:color="auto"/>
                    <w:left w:val="none" w:sz="0" w:space="0" w:color="auto"/>
                    <w:bottom w:val="none" w:sz="0" w:space="0" w:color="auto"/>
                    <w:right w:val="none" w:sz="0" w:space="0" w:color="auto"/>
                  </w:divBdr>
                  <w:divsChild>
                    <w:div w:id="1325208512">
                      <w:marLeft w:val="0"/>
                      <w:marRight w:val="0"/>
                      <w:marTop w:val="0"/>
                      <w:marBottom w:val="0"/>
                      <w:divBdr>
                        <w:top w:val="none" w:sz="0" w:space="0" w:color="auto"/>
                        <w:left w:val="none" w:sz="0" w:space="0" w:color="auto"/>
                        <w:bottom w:val="none" w:sz="0" w:space="0" w:color="auto"/>
                        <w:right w:val="none" w:sz="0" w:space="0" w:color="auto"/>
                      </w:divBdr>
                    </w:div>
                  </w:divsChild>
                </w:div>
                <w:div w:id="757168673">
                  <w:marLeft w:val="0"/>
                  <w:marRight w:val="0"/>
                  <w:marTop w:val="0"/>
                  <w:marBottom w:val="0"/>
                  <w:divBdr>
                    <w:top w:val="none" w:sz="0" w:space="0" w:color="auto"/>
                    <w:left w:val="none" w:sz="0" w:space="0" w:color="auto"/>
                    <w:bottom w:val="none" w:sz="0" w:space="0" w:color="auto"/>
                    <w:right w:val="none" w:sz="0" w:space="0" w:color="auto"/>
                  </w:divBdr>
                  <w:divsChild>
                    <w:div w:id="490291336">
                      <w:marLeft w:val="0"/>
                      <w:marRight w:val="0"/>
                      <w:marTop w:val="0"/>
                      <w:marBottom w:val="0"/>
                      <w:divBdr>
                        <w:top w:val="none" w:sz="0" w:space="0" w:color="auto"/>
                        <w:left w:val="none" w:sz="0" w:space="0" w:color="auto"/>
                        <w:bottom w:val="none" w:sz="0" w:space="0" w:color="auto"/>
                        <w:right w:val="none" w:sz="0" w:space="0" w:color="auto"/>
                      </w:divBdr>
                    </w:div>
                  </w:divsChild>
                </w:div>
                <w:div w:id="799155744">
                  <w:marLeft w:val="0"/>
                  <w:marRight w:val="0"/>
                  <w:marTop w:val="0"/>
                  <w:marBottom w:val="0"/>
                  <w:divBdr>
                    <w:top w:val="none" w:sz="0" w:space="0" w:color="auto"/>
                    <w:left w:val="none" w:sz="0" w:space="0" w:color="auto"/>
                    <w:bottom w:val="none" w:sz="0" w:space="0" w:color="auto"/>
                    <w:right w:val="none" w:sz="0" w:space="0" w:color="auto"/>
                  </w:divBdr>
                  <w:divsChild>
                    <w:div w:id="256791562">
                      <w:marLeft w:val="0"/>
                      <w:marRight w:val="0"/>
                      <w:marTop w:val="0"/>
                      <w:marBottom w:val="0"/>
                      <w:divBdr>
                        <w:top w:val="none" w:sz="0" w:space="0" w:color="auto"/>
                        <w:left w:val="none" w:sz="0" w:space="0" w:color="auto"/>
                        <w:bottom w:val="none" w:sz="0" w:space="0" w:color="auto"/>
                        <w:right w:val="none" w:sz="0" w:space="0" w:color="auto"/>
                      </w:divBdr>
                    </w:div>
                  </w:divsChild>
                </w:div>
                <w:div w:id="817843448">
                  <w:marLeft w:val="0"/>
                  <w:marRight w:val="0"/>
                  <w:marTop w:val="0"/>
                  <w:marBottom w:val="0"/>
                  <w:divBdr>
                    <w:top w:val="none" w:sz="0" w:space="0" w:color="auto"/>
                    <w:left w:val="none" w:sz="0" w:space="0" w:color="auto"/>
                    <w:bottom w:val="none" w:sz="0" w:space="0" w:color="auto"/>
                    <w:right w:val="none" w:sz="0" w:space="0" w:color="auto"/>
                  </w:divBdr>
                  <w:divsChild>
                    <w:div w:id="682971436">
                      <w:marLeft w:val="0"/>
                      <w:marRight w:val="0"/>
                      <w:marTop w:val="0"/>
                      <w:marBottom w:val="0"/>
                      <w:divBdr>
                        <w:top w:val="none" w:sz="0" w:space="0" w:color="auto"/>
                        <w:left w:val="none" w:sz="0" w:space="0" w:color="auto"/>
                        <w:bottom w:val="none" w:sz="0" w:space="0" w:color="auto"/>
                        <w:right w:val="none" w:sz="0" w:space="0" w:color="auto"/>
                      </w:divBdr>
                    </w:div>
                  </w:divsChild>
                </w:div>
                <w:div w:id="885797861">
                  <w:marLeft w:val="0"/>
                  <w:marRight w:val="0"/>
                  <w:marTop w:val="0"/>
                  <w:marBottom w:val="0"/>
                  <w:divBdr>
                    <w:top w:val="none" w:sz="0" w:space="0" w:color="auto"/>
                    <w:left w:val="none" w:sz="0" w:space="0" w:color="auto"/>
                    <w:bottom w:val="none" w:sz="0" w:space="0" w:color="auto"/>
                    <w:right w:val="none" w:sz="0" w:space="0" w:color="auto"/>
                  </w:divBdr>
                  <w:divsChild>
                    <w:div w:id="386492301">
                      <w:marLeft w:val="0"/>
                      <w:marRight w:val="0"/>
                      <w:marTop w:val="0"/>
                      <w:marBottom w:val="0"/>
                      <w:divBdr>
                        <w:top w:val="none" w:sz="0" w:space="0" w:color="auto"/>
                        <w:left w:val="none" w:sz="0" w:space="0" w:color="auto"/>
                        <w:bottom w:val="none" w:sz="0" w:space="0" w:color="auto"/>
                        <w:right w:val="none" w:sz="0" w:space="0" w:color="auto"/>
                      </w:divBdr>
                    </w:div>
                  </w:divsChild>
                </w:div>
                <w:div w:id="886452189">
                  <w:marLeft w:val="0"/>
                  <w:marRight w:val="0"/>
                  <w:marTop w:val="0"/>
                  <w:marBottom w:val="0"/>
                  <w:divBdr>
                    <w:top w:val="none" w:sz="0" w:space="0" w:color="auto"/>
                    <w:left w:val="none" w:sz="0" w:space="0" w:color="auto"/>
                    <w:bottom w:val="none" w:sz="0" w:space="0" w:color="auto"/>
                    <w:right w:val="none" w:sz="0" w:space="0" w:color="auto"/>
                  </w:divBdr>
                  <w:divsChild>
                    <w:div w:id="1756709460">
                      <w:marLeft w:val="0"/>
                      <w:marRight w:val="0"/>
                      <w:marTop w:val="0"/>
                      <w:marBottom w:val="0"/>
                      <w:divBdr>
                        <w:top w:val="none" w:sz="0" w:space="0" w:color="auto"/>
                        <w:left w:val="none" w:sz="0" w:space="0" w:color="auto"/>
                        <w:bottom w:val="none" w:sz="0" w:space="0" w:color="auto"/>
                        <w:right w:val="none" w:sz="0" w:space="0" w:color="auto"/>
                      </w:divBdr>
                    </w:div>
                  </w:divsChild>
                </w:div>
                <w:div w:id="954215400">
                  <w:marLeft w:val="0"/>
                  <w:marRight w:val="0"/>
                  <w:marTop w:val="0"/>
                  <w:marBottom w:val="0"/>
                  <w:divBdr>
                    <w:top w:val="none" w:sz="0" w:space="0" w:color="auto"/>
                    <w:left w:val="none" w:sz="0" w:space="0" w:color="auto"/>
                    <w:bottom w:val="none" w:sz="0" w:space="0" w:color="auto"/>
                    <w:right w:val="none" w:sz="0" w:space="0" w:color="auto"/>
                  </w:divBdr>
                  <w:divsChild>
                    <w:div w:id="1448811547">
                      <w:marLeft w:val="0"/>
                      <w:marRight w:val="0"/>
                      <w:marTop w:val="0"/>
                      <w:marBottom w:val="0"/>
                      <w:divBdr>
                        <w:top w:val="none" w:sz="0" w:space="0" w:color="auto"/>
                        <w:left w:val="none" w:sz="0" w:space="0" w:color="auto"/>
                        <w:bottom w:val="none" w:sz="0" w:space="0" w:color="auto"/>
                        <w:right w:val="none" w:sz="0" w:space="0" w:color="auto"/>
                      </w:divBdr>
                    </w:div>
                  </w:divsChild>
                </w:div>
                <w:div w:id="965693396">
                  <w:marLeft w:val="0"/>
                  <w:marRight w:val="0"/>
                  <w:marTop w:val="0"/>
                  <w:marBottom w:val="0"/>
                  <w:divBdr>
                    <w:top w:val="none" w:sz="0" w:space="0" w:color="auto"/>
                    <w:left w:val="none" w:sz="0" w:space="0" w:color="auto"/>
                    <w:bottom w:val="none" w:sz="0" w:space="0" w:color="auto"/>
                    <w:right w:val="none" w:sz="0" w:space="0" w:color="auto"/>
                  </w:divBdr>
                  <w:divsChild>
                    <w:div w:id="297541242">
                      <w:marLeft w:val="0"/>
                      <w:marRight w:val="0"/>
                      <w:marTop w:val="0"/>
                      <w:marBottom w:val="0"/>
                      <w:divBdr>
                        <w:top w:val="none" w:sz="0" w:space="0" w:color="auto"/>
                        <w:left w:val="none" w:sz="0" w:space="0" w:color="auto"/>
                        <w:bottom w:val="none" w:sz="0" w:space="0" w:color="auto"/>
                        <w:right w:val="none" w:sz="0" w:space="0" w:color="auto"/>
                      </w:divBdr>
                    </w:div>
                  </w:divsChild>
                </w:div>
                <w:div w:id="1105926684">
                  <w:marLeft w:val="0"/>
                  <w:marRight w:val="0"/>
                  <w:marTop w:val="0"/>
                  <w:marBottom w:val="0"/>
                  <w:divBdr>
                    <w:top w:val="none" w:sz="0" w:space="0" w:color="auto"/>
                    <w:left w:val="none" w:sz="0" w:space="0" w:color="auto"/>
                    <w:bottom w:val="none" w:sz="0" w:space="0" w:color="auto"/>
                    <w:right w:val="none" w:sz="0" w:space="0" w:color="auto"/>
                  </w:divBdr>
                  <w:divsChild>
                    <w:div w:id="1472213771">
                      <w:marLeft w:val="0"/>
                      <w:marRight w:val="0"/>
                      <w:marTop w:val="0"/>
                      <w:marBottom w:val="0"/>
                      <w:divBdr>
                        <w:top w:val="none" w:sz="0" w:space="0" w:color="auto"/>
                        <w:left w:val="none" w:sz="0" w:space="0" w:color="auto"/>
                        <w:bottom w:val="none" w:sz="0" w:space="0" w:color="auto"/>
                        <w:right w:val="none" w:sz="0" w:space="0" w:color="auto"/>
                      </w:divBdr>
                    </w:div>
                  </w:divsChild>
                </w:div>
                <w:div w:id="1121798470">
                  <w:marLeft w:val="0"/>
                  <w:marRight w:val="0"/>
                  <w:marTop w:val="0"/>
                  <w:marBottom w:val="0"/>
                  <w:divBdr>
                    <w:top w:val="none" w:sz="0" w:space="0" w:color="auto"/>
                    <w:left w:val="none" w:sz="0" w:space="0" w:color="auto"/>
                    <w:bottom w:val="none" w:sz="0" w:space="0" w:color="auto"/>
                    <w:right w:val="none" w:sz="0" w:space="0" w:color="auto"/>
                  </w:divBdr>
                  <w:divsChild>
                    <w:div w:id="1702047422">
                      <w:marLeft w:val="0"/>
                      <w:marRight w:val="0"/>
                      <w:marTop w:val="0"/>
                      <w:marBottom w:val="0"/>
                      <w:divBdr>
                        <w:top w:val="none" w:sz="0" w:space="0" w:color="auto"/>
                        <w:left w:val="none" w:sz="0" w:space="0" w:color="auto"/>
                        <w:bottom w:val="none" w:sz="0" w:space="0" w:color="auto"/>
                        <w:right w:val="none" w:sz="0" w:space="0" w:color="auto"/>
                      </w:divBdr>
                    </w:div>
                  </w:divsChild>
                </w:div>
                <w:div w:id="1125999239">
                  <w:marLeft w:val="0"/>
                  <w:marRight w:val="0"/>
                  <w:marTop w:val="0"/>
                  <w:marBottom w:val="0"/>
                  <w:divBdr>
                    <w:top w:val="none" w:sz="0" w:space="0" w:color="auto"/>
                    <w:left w:val="none" w:sz="0" w:space="0" w:color="auto"/>
                    <w:bottom w:val="none" w:sz="0" w:space="0" w:color="auto"/>
                    <w:right w:val="none" w:sz="0" w:space="0" w:color="auto"/>
                  </w:divBdr>
                  <w:divsChild>
                    <w:div w:id="879560629">
                      <w:marLeft w:val="0"/>
                      <w:marRight w:val="0"/>
                      <w:marTop w:val="0"/>
                      <w:marBottom w:val="0"/>
                      <w:divBdr>
                        <w:top w:val="none" w:sz="0" w:space="0" w:color="auto"/>
                        <w:left w:val="none" w:sz="0" w:space="0" w:color="auto"/>
                        <w:bottom w:val="none" w:sz="0" w:space="0" w:color="auto"/>
                        <w:right w:val="none" w:sz="0" w:space="0" w:color="auto"/>
                      </w:divBdr>
                    </w:div>
                  </w:divsChild>
                </w:div>
                <w:div w:id="1178812578">
                  <w:marLeft w:val="0"/>
                  <w:marRight w:val="0"/>
                  <w:marTop w:val="0"/>
                  <w:marBottom w:val="0"/>
                  <w:divBdr>
                    <w:top w:val="none" w:sz="0" w:space="0" w:color="auto"/>
                    <w:left w:val="none" w:sz="0" w:space="0" w:color="auto"/>
                    <w:bottom w:val="none" w:sz="0" w:space="0" w:color="auto"/>
                    <w:right w:val="none" w:sz="0" w:space="0" w:color="auto"/>
                  </w:divBdr>
                  <w:divsChild>
                    <w:div w:id="73357383">
                      <w:marLeft w:val="0"/>
                      <w:marRight w:val="0"/>
                      <w:marTop w:val="0"/>
                      <w:marBottom w:val="0"/>
                      <w:divBdr>
                        <w:top w:val="none" w:sz="0" w:space="0" w:color="auto"/>
                        <w:left w:val="none" w:sz="0" w:space="0" w:color="auto"/>
                        <w:bottom w:val="none" w:sz="0" w:space="0" w:color="auto"/>
                        <w:right w:val="none" w:sz="0" w:space="0" w:color="auto"/>
                      </w:divBdr>
                    </w:div>
                  </w:divsChild>
                </w:div>
                <w:div w:id="1179468766">
                  <w:marLeft w:val="0"/>
                  <w:marRight w:val="0"/>
                  <w:marTop w:val="0"/>
                  <w:marBottom w:val="0"/>
                  <w:divBdr>
                    <w:top w:val="none" w:sz="0" w:space="0" w:color="auto"/>
                    <w:left w:val="none" w:sz="0" w:space="0" w:color="auto"/>
                    <w:bottom w:val="none" w:sz="0" w:space="0" w:color="auto"/>
                    <w:right w:val="none" w:sz="0" w:space="0" w:color="auto"/>
                  </w:divBdr>
                  <w:divsChild>
                    <w:div w:id="1409109433">
                      <w:marLeft w:val="0"/>
                      <w:marRight w:val="0"/>
                      <w:marTop w:val="0"/>
                      <w:marBottom w:val="0"/>
                      <w:divBdr>
                        <w:top w:val="none" w:sz="0" w:space="0" w:color="auto"/>
                        <w:left w:val="none" w:sz="0" w:space="0" w:color="auto"/>
                        <w:bottom w:val="none" w:sz="0" w:space="0" w:color="auto"/>
                        <w:right w:val="none" w:sz="0" w:space="0" w:color="auto"/>
                      </w:divBdr>
                    </w:div>
                  </w:divsChild>
                </w:div>
                <w:div w:id="1182011969">
                  <w:marLeft w:val="0"/>
                  <w:marRight w:val="0"/>
                  <w:marTop w:val="0"/>
                  <w:marBottom w:val="0"/>
                  <w:divBdr>
                    <w:top w:val="none" w:sz="0" w:space="0" w:color="auto"/>
                    <w:left w:val="none" w:sz="0" w:space="0" w:color="auto"/>
                    <w:bottom w:val="none" w:sz="0" w:space="0" w:color="auto"/>
                    <w:right w:val="none" w:sz="0" w:space="0" w:color="auto"/>
                  </w:divBdr>
                  <w:divsChild>
                    <w:div w:id="1580748160">
                      <w:marLeft w:val="0"/>
                      <w:marRight w:val="0"/>
                      <w:marTop w:val="0"/>
                      <w:marBottom w:val="0"/>
                      <w:divBdr>
                        <w:top w:val="none" w:sz="0" w:space="0" w:color="auto"/>
                        <w:left w:val="none" w:sz="0" w:space="0" w:color="auto"/>
                        <w:bottom w:val="none" w:sz="0" w:space="0" w:color="auto"/>
                        <w:right w:val="none" w:sz="0" w:space="0" w:color="auto"/>
                      </w:divBdr>
                    </w:div>
                  </w:divsChild>
                </w:div>
                <w:div w:id="1204827941">
                  <w:marLeft w:val="0"/>
                  <w:marRight w:val="0"/>
                  <w:marTop w:val="0"/>
                  <w:marBottom w:val="0"/>
                  <w:divBdr>
                    <w:top w:val="none" w:sz="0" w:space="0" w:color="auto"/>
                    <w:left w:val="none" w:sz="0" w:space="0" w:color="auto"/>
                    <w:bottom w:val="none" w:sz="0" w:space="0" w:color="auto"/>
                    <w:right w:val="none" w:sz="0" w:space="0" w:color="auto"/>
                  </w:divBdr>
                  <w:divsChild>
                    <w:div w:id="1711033558">
                      <w:marLeft w:val="0"/>
                      <w:marRight w:val="0"/>
                      <w:marTop w:val="0"/>
                      <w:marBottom w:val="0"/>
                      <w:divBdr>
                        <w:top w:val="none" w:sz="0" w:space="0" w:color="auto"/>
                        <w:left w:val="none" w:sz="0" w:space="0" w:color="auto"/>
                        <w:bottom w:val="none" w:sz="0" w:space="0" w:color="auto"/>
                        <w:right w:val="none" w:sz="0" w:space="0" w:color="auto"/>
                      </w:divBdr>
                    </w:div>
                  </w:divsChild>
                </w:div>
                <w:div w:id="1245265630">
                  <w:marLeft w:val="0"/>
                  <w:marRight w:val="0"/>
                  <w:marTop w:val="0"/>
                  <w:marBottom w:val="0"/>
                  <w:divBdr>
                    <w:top w:val="none" w:sz="0" w:space="0" w:color="auto"/>
                    <w:left w:val="none" w:sz="0" w:space="0" w:color="auto"/>
                    <w:bottom w:val="none" w:sz="0" w:space="0" w:color="auto"/>
                    <w:right w:val="none" w:sz="0" w:space="0" w:color="auto"/>
                  </w:divBdr>
                  <w:divsChild>
                    <w:div w:id="1330906938">
                      <w:marLeft w:val="0"/>
                      <w:marRight w:val="0"/>
                      <w:marTop w:val="0"/>
                      <w:marBottom w:val="0"/>
                      <w:divBdr>
                        <w:top w:val="none" w:sz="0" w:space="0" w:color="auto"/>
                        <w:left w:val="none" w:sz="0" w:space="0" w:color="auto"/>
                        <w:bottom w:val="none" w:sz="0" w:space="0" w:color="auto"/>
                        <w:right w:val="none" w:sz="0" w:space="0" w:color="auto"/>
                      </w:divBdr>
                    </w:div>
                  </w:divsChild>
                </w:div>
                <w:div w:id="1288702573">
                  <w:marLeft w:val="0"/>
                  <w:marRight w:val="0"/>
                  <w:marTop w:val="0"/>
                  <w:marBottom w:val="0"/>
                  <w:divBdr>
                    <w:top w:val="none" w:sz="0" w:space="0" w:color="auto"/>
                    <w:left w:val="none" w:sz="0" w:space="0" w:color="auto"/>
                    <w:bottom w:val="none" w:sz="0" w:space="0" w:color="auto"/>
                    <w:right w:val="none" w:sz="0" w:space="0" w:color="auto"/>
                  </w:divBdr>
                  <w:divsChild>
                    <w:div w:id="1835563789">
                      <w:marLeft w:val="0"/>
                      <w:marRight w:val="0"/>
                      <w:marTop w:val="0"/>
                      <w:marBottom w:val="0"/>
                      <w:divBdr>
                        <w:top w:val="none" w:sz="0" w:space="0" w:color="auto"/>
                        <w:left w:val="none" w:sz="0" w:space="0" w:color="auto"/>
                        <w:bottom w:val="none" w:sz="0" w:space="0" w:color="auto"/>
                        <w:right w:val="none" w:sz="0" w:space="0" w:color="auto"/>
                      </w:divBdr>
                    </w:div>
                  </w:divsChild>
                </w:div>
                <w:div w:id="1317759136">
                  <w:marLeft w:val="0"/>
                  <w:marRight w:val="0"/>
                  <w:marTop w:val="0"/>
                  <w:marBottom w:val="0"/>
                  <w:divBdr>
                    <w:top w:val="none" w:sz="0" w:space="0" w:color="auto"/>
                    <w:left w:val="none" w:sz="0" w:space="0" w:color="auto"/>
                    <w:bottom w:val="none" w:sz="0" w:space="0" w:color="auto"/>
                    <w:right w:val="none" w:sz="0" w:space="0" w:color="auto"/>
                  </w:divBdr>
                  <w:divsChild>
                    <w:div w:id="255674398">
                      <w:marLeft w:val="0"/>
                      <w:marRight w:val="0"/>
                      <w:marTop w:val="0"/>
                      <w:marBottom w:val="0"/>
                      <w:divBdr>
                        <w:top w:val="none" w:sz="0" w:space="0" w:color="auto"/>
                        <w:left w:val="none" w:sz="0" w:space="0" w:color="auto"/>
                        <w:bottom w:val="none" w:sz="0" w:space="0" w:color="auto"/>
                        <w:right w:val="none" w:sz="0" w:space="0" w:color="auto"/>
                      </w:divBdr>
                    </w:div>
                  </w:divsChild>
                </w:div>
                <w:div w:id="1350716941">
                  <w:marLeft w:val="0"/>
                  <w:marRight w:val="0"/>
                  <w:marTop w:val="0"/>
                  <w:marBottom w:val="0"/>
                  <w:divBdr>
                    <w:top w:val="none" w:sz="0" w:space="0" w:color="auto"/>
                    <w:left w:val="none" w:sz="0" w:space="0" w:color="auto"/>
                    <w:bottom w:val="none" w:sz="0" w:space="0" w:color="auto"/>
                    <w:right w:val="none" w:sz="0" w:space="0" w:color="auto"/>
                  </w:divBdr>
                  <w:divsChild>
                    <w:div w:id="1899972014">
                      <w:marLeft w:val="0"/>
                      <w:marRight w:val="0"/>
                      <w:marTop w:val="0"/>
                      <w:marBottom w:val="0"/>
                      <w:divBdr>
                        <w:top w:val="none" w:sz="0" w:space="0" w:color="auto"/>
                        <w:left w:val="none" w:sz="0" w:space="0" w:color="auto"/>
                        <w:bottom w:val="none" w:sz="0" w:space="0" w:color="auto"/>
                        <w:right w:val="none" w:sz="0" w:space="0" w:color="auto"/>
                      </w:divBdr>
                    </w:div>
                  </w:divsChild>
                </w:div>
                <w:div w:id="1361591769">
                  <w:marLeft w:val="0"/>
                  <w:marRight w:val="0"/>
                  <w:marTop w:val="0"/>
                  <w:marBottom w:val="0"/>
                  <w:divBdr>
                    <w:top w:val="none" w:sz="0" w:space="0" w:color="auto"/>
                    <w:left w:val="none" w:sz="0" w:space="0" w:color="auto"/>
                    <w:bottom w:val="none" w:sz="0" w:space="0" w:color="auto"/>
                    <w:right w:val="none" w:sz="0" w:space="0" w:color="auto"/>
                  </w:divBdr>
                  <w:divsChild>
                    <w:div w:id="1635678832">
                      <w:marLeft w:val="0"/>
                      <w:marRight w:val="0"/>
                      <w:marTop w:val="0"/>
                      <w:marBottom w:val="0"/>
                      <w:divBdr>
                        <w:top w:val="none" w:sz="0" w:space="0" w:color="auto"/>
                        <w:left w:val="none" w:sz="0" w:space="0" w:color="auto"/>
                        <w:bottom w:val="none" w:sz="0" w:space="0" w:color="auto"/>
                        <w:right w:val="none" w:sz="0" w:space="0" w:color="auto"/>
                      </w:divBdr>
                    </w:div>
                  </w:divsChild>
                </w:div>
                <w:div w:id="1362900074">
                  <w:marLeft w:val="0"/>
                  <w:marRight w:val="0"/>
                  <w:marTop w:val="0"/>
                  <w:marBottom w:val="0"/>
                  <w:divBdr>
                    <w:top w:val="none" w:sz="0" w:space="0" w:color="auto"/>
                    <w:left w:val="none" w:sz="0" w:space="0" w:color="auto"/>
                    <w:bottom w:val="none" w:sz="0" w:space="0" w:color="auto"/>
                    <w:right w:val="none" w:sz="0" w:space="0" w:color="auto"/>
                  </w:divBdr>
                  <w:divsChild>
                    <w:div w:id="1153984945">
                      <w:marLeft w:val="0"/>
                      <w:marRight w:val="0"/>
                      <w:marTop w:val="0"/>
                      <w:marBottom w:val="0"/>
                      <w:divBdr>
                        <w:top w:val="none" w:sz="0" w:space="0" w:color="auto"/>
                        <w:left w:val="none" w:sz="0" w:space="0" w:color="auto"/>
                        <w:bottom w:val="none" w:sz="0" w:space="0" w:color="auto"/>
                        <w:right w:val="none" w:sz="0" w:space="0" w:color="auto"/>
                      </w:divBdr>
                    </w:div>
                  </w:divsChild>
                </w:div>
                <w:div w:id="1370834590">
                  <w:marLeft w:val="0"/>
                  <w:marRight w:val="0"/>
                  <w:marTop w:val="0"/>
                  <w:marBottom w:val="0"/>
                  <w:divBdr>
                    <w:top w:val="none" w:sz="0" w:space="0" w:color="auto"/>
                    <w:left w:val="none" w:sz="0" w:space="0" w:color="auto"/>
                    <w:bottom w:val="none" w:sz="0" w:space="0" w:color="auto"/>
                    <w:right w:val="none" w:sz="0" w:space="0" w:color="auto"/>
                  </w:divBdr>
                  <w:divsChild>
                    <w:div w:id="2002002672">
                      <w:marLeft w:val="0"/>
                      <w:marRight w:val="0"/>
                      <w:marTop w:val="0"/>
                      <w:marBottom w:val="0"/>
                      <w:divBdr>
                        <w:top w:val="none" w:sz="0" w:space="0" w:color="auto"/>
                        <w:left w:val="none" w:sz="0" w:space="0" w:color="auto"/>
                        <w:bottom w:val="none" w:sz="0" w:space="0" w:color="auto"/>
                        <w:right w:val="none" w:sz="0" w:space="0" w:color="auto"/>
                      </w:divBdr>
                    </w:div>
                  </w:divsChild>
                </w:div>
                <w:div w:id="1382628593">
                  <w:marLeft w:val="0"/>
                  <w:marRight w:val="0"/>
                  <w:marTop w:val="0"/>
                  <w:marBottom w:val="0"/>
                  <w:divBdr>
                    <w:top w:val="none" w:sz="0" w:space="0" w:color="auto"/>
                    <w:left w:val="none" w:sz="0" w:space="0" w:color="auto"/>
                    <w:bottom w:val="none" w:sz="0" w:space="0" w:color="auto"/>
                    <w:right w:val="none" w:sz="0" w:space="0" w:color="auto"/>
                  </w:divBdr>
                  <w:divsChild>
                    <w:div w:id="1361130525">
                      <w:marLeft w:val="0"/>
                      <w:marRight w:val="0"/>
                      <w:marTop w:val="0"/>
                      <w:marBottom w:val="0"/>
                      <w:divBdr>
                        <w:top w:val="none" w:sz="0" w:space="0" w:color="auto"/>
                        <w:left w:val="none" w:sz="0" w:space="0" w:color="auto"/>
                        <w:bottom w:val="none" w:sz="0" w:space="0" w:color="auto"/>
                        <w:right w:val="none" w:sz="0" w:space="0" w:color="auto"/>
                      </w:divBdr>
                    </w:div>
                  </w:divsChild>
                </w:div>
                <w:div w:id="1394960721">
                  <w:marLeft w:val="0"/>
                  <w:marRight w:val="0"/>
                  <w:marTop w:val="0"/>
                  <w:marBottom w:val="0"/>
                  <w:divBdr>
                    <w:top w:val="none" w:sz="0" w:space="0" w:color="auto"/>
                    <w:left w:val="none" w:sz="0" w:space="0" w:color="auto"/>
                    <w:bottom w:val="none" w:sz="0" w:space="0" w:color="auto"/>
                    <w:right w:val="none" w:sz="0" w:space="0" w:color="auto"/>
                  </w:divBdr>
                  <w:divsChild>
                    <w:div w:id="2016498049">
                      <w:marLeft w:val="0"/>
                      <w:marRight w:val="0"/>
                      <w:marTop w:val="0"/>
                      <w:marBottom w:val="0"/>
                      <w:divBdr>
                        <w:top w:val="none" w:sz="0" w:space="0" w:color="auto"/>
                        <w:left w:val="none" w:sz="0" w:space="0" w:color="auto"/>
                        <w:bottom w:val="none" w:sz="0" w:space="0" w:color="auto"/>
                        <w:right w:val="none" w:sz="0" w:space="0" w:color="auto"/>
                      </w:divBdr>
                    </w:div>
                  </w:divsChild>
                </w:div>
                <w:div w:id="1399212085">
                  <w:marLeft w:val="0"/>
                  <w:marRight w:val="0"/>
                  <w:marTop w:val="0"/>
                  <w:marBottom w:val="0"/>
                  <w:divBdr>
                    <w:top w:val="none" w:sz="0" w:space="0" w:color="auto"/>
                    <w:left w:val="none" w:sz="0" w:space="0" w:color="auto"/>
                    <w:bottom w:val="none" w:sz="0" w:space="0" w:color="auto"/>
                    <w:right w:val="none" w:sz="0" w:space="0" w:color="auto"/>
                  </w:divBdr>
                  <w:divsChild>
                    <w:div w:id="663094248">
                      <w:marLeft w:val="0"/>
                      <w:marRight w:val="0"/>
                      <w:marTop w:val="0"/>
                      <w:marBottom w:val="0"/>
                      <w:divBdr>
                        <w:top w:val="none" w:sz="0" w:space="0" w:color="auto"/>
                        <w:left w:val="none" w:sz="0" w:space="0" w:color="auto"/>
                        <w:bottom w:val="none" w:sz="0" w:space="0" w:color="auto"/>
                        <w:right w:val="none" w:sz="0" w:space="0" w:color="auto"/>
                      </w:divBdr>
                    </w:div>
                  </w:divsChild>
                </w:div>
                <w:div w:id="1473715127">
                  <w:marLeft w:val="0"/>
                  <w:marRight w:val="0"/>
                  <w:marTop w:val="0"/>
                  <w:marBottom w:val="0"/>
                  <w:divBdr>
                    <w:top w:val="none" w:sz="0" w:space="0" w:color="auto"/>
                    <w:left w:val="none" w:sz="0" w:space="0" w:color="auto"/>
                    <w:bottom w:val="none" w:sz="0" w:space="0" w:color="auto"/>
                    <w:right w:val="none" w:sz="0" w:space="0" w:color="auto"/>
                  </w:divBdr>
                  <w:divsChild>
                    <w:div w:id="196547874">
                      <w:marLeft w:val="0"/>
                      <w:marRight w:val="0"/>
                      <w:marTop w:val="0"/>
                      <w:marBottom w:val="0"/>
                      <w:divBdr>
                        <w:top w:val="none" w:sz="0" w:space="0" w:color="auto"/>
                        <w:left w:val="none" w:sz="0" w:space="0" w:color="auto"/>
                        <w:bottom w:val="none" w:sz="0" w:space="0" w:color="auto"/>
                        <w:right w:val="none" w:sz="0" w:space="0" w:color="auto"/>
                      </w:divBdr>
                    </w:div>
                  </w:divsChild>
                </w:div>
                <w:div w:id="1525092665">
                  <w:marLeft w:val="0"/>
                  <w:marRight w:val="0"/>
                  <w:marTop w:val="0"/>
                  <w:marBottom w:val="0"/>
                  <w:divBdr>
                    <w:top w:val="none" w:sz="0" w:space="0" w:color="auto"/>
                    <w:left w:val="none" w:sz="0" w:space="0" w:color="auto"/>
                    <w:bottom w:val="none" w:sz="0" w:space="0" w:color="auto"/>
                    <w:right w:val="none" w:sz="0" w:space="0" w:color="auto"/>
                  </w:divBdr>
                  <w:divsChild>
                    <w:div w:id="98062674">
                      <w:marLeft w:val="0"/>
                      <w:marRight w:val="0"/>
                      <w:marTop w:val="0"/>
                      <w:marBottom w:val="0"/>
                      <w:divBdr>
                        <w:top w:val="none" w:sz="0" w:space="0" w:color="auto"/>
                        <w:left w:val="none" w:sz="0" w:space="0" w:color="auto"/>
                        <w:bottom w:val="none" w:sz="0" w:space="0" w:color="auto"/>
                        <w:right w:val="none" w:sz="0" w:space="0" w:color="auto"/>
                      </w:divBdr>
                    </w:div>
                  </w:divsChild>
                </w:div>
                <w:div w:id="1525553423">
                  <w:marLeft w:val="0"/>
                  <w:marRight w:val="0"/>
                  <w:marTop w:val="0"/>
                  <w:marBottom w:val="0"/>
                  <w:divBdr>
                    <w:top w:val="none" w:sz="0" w:space="0" w:color="auto"/>
                    <w:left w:val="none" w:sz="0" w:space="0" w:color="auto"/>
                    <w:bottom w:val="none" w:sz="0" w:space="0" w:color="auto"/>
                    <w:right w:val="none" w:sz="0" w:space="0" w:color="auto"/>
                  </w:divBdr>
                  <w:divsChild>
                    <w:div w:id="1055589802">
                      <w:marLeft w:val="0"/>
                      <w:marRight w:val="0"/>
                      <w:marTop w:val="0"/>
                      <w:marBottom w:val="0"/>
                      <w:divBdr>
                        <w:top w:val="none" w:sz="0" w:space="0" w:color="auto"/>
                        <w:left w:val="none" w:sz="0" w:space="0" w:color="auto"/>
                        <w:bottom w:val="none" w:sz="0" w:space="0" w:color="auto"/>
                        <w:right w:val="none" w:sz="0" w:space="0" w:color="auto"/>
                      </w:divBdr>
                    </w:div>
                  </w:divsChild>
                </w:div>
                <w:div w:id="1576548123">
                  <w:marLeft w:val="0"/>
                  <w:marRight w:val="0"/>
                  <w:marTop w:val="0"/>
                  <w:marBottom w:val="0"/>
                  <w:divBdr>
                    <w:top w:val="none" w:sz="0" w:space="0" w:color="auto"/>
                    <w:left w:val="none" w:sz="0" w:space="0" w:color="auto"/>
                    <w:bottom w:val="none" w:sz="0" w:space="0" w:color="auto"/>
                    <w:right w:val="none" w:sz="0" w:space="0" w:color="auto"/>
                  </w:divBdr>
                  <w:divsChild>
                    <w:div w:id="1514034524">
                      <w:marLeft w:val="0"/>
                      <w:marRight w:val="0"/>
                      <w:marTop w:val="0"/>
                      <w:marBottom w:val="0"/>
                      <w:divBdr>
                        <w:top w:val="none" w:sz="0" w:space="0" w:color="auto"/>
                        <w:left w:val="none" w:sz="0" w:space="0" w:color="auto"/>
                        <w:bottom w:val="none" w:sz="0" w:space="0" w:color="auto"/>
                        <w:right w:val="none" w:sz="0" w:space="0" w:color="auto"/>
                      </w:divBdr>
                    </w:div>
                  </w:divsChild>
                </w:div>
                <w:div w:id="1591111892">
                  <w:marLeft w:val="0"/>
                  <w:marRight w:val="0"/>
                  <w:marTop w:val="0"/>
                  <w:marBottom w:val="0"/>
                  <w:divBdr>
                    <w:top w:val="none" w:sz="0" w:space="0" w:color="auto"/>
                    <w:left w:val="none" w:sz="0" w:space="0" w:color="auto"/>
                    <w:bottom w:val="none" w:sz="0" w:space="0" w:color="auto"/>
                    <w:right w:val="none" w:sz="0" w:space="0" w:color="auto"/>
                  </w:divBdr>
                  <w:divsChild>
                    <w:div w:id="1752114982">
                      <w:marLeft w:val="0"/>
                      <w:marRight w:val="0"/>
                      <w:marTop w:val="0"/>
                      <w:marBottom w:val="0"/>
                      <w:divBdr>
                        <w:top w:val="none" w:sz="0" w:space="0" w:color="auto"/>
                        <w:left w:val="none" w:sz="0" w:space="0" w:color="auto"/>
                        <w:bottom w:val="none" w:sz="0" w:space="0" w:color="auto"/>
                        <w:right w:val="none" w:sz="0" w:space="0" w:color="auto"/>
                      </w:divBdr>
                    </w:div>
                  </w:divsChild>
                </w:div>
                <w:div w:id="1605844586">
                  <w:marLeft w:val="0"/>
                  <w:marRight w:val="0"/>
                  <w:marTop w:val="0"/>
                  <w:marBottom w:val="0"/>
                  <w:divBdr>
                    <w:top w:val="none" w:sz="0" w:space="0" w:color="auto"/>
                    <w:left w:val="none" w:sz="0" w:space="0" w:color="auto"/>
                    <w:bottom w:val="none" w:sz="0" w:space="0" w:color="auto"/>
                    <w:right w:val="none" w:sz="0" w:space="0" w:color="auto"/>
                  </w:divBdr>
                  <w:divsChild>
                    <w:div w:id="1790540761">
                      <w:marLeft w:val="0"/>
                      <w:marRight w:val="0"/>
                      <w:marTop w:val="0"/>
                      <w:marBottom w:val="0"/>
                      <w:divBdr>
                        <w:top w:val="none" w:sz="0" w:space="0" w:color="auto"/>
                        <w:left w:val="none" w:sz="0" w:space="0" w:color="auto"/>
                        <w:bottom w:val="none" w:sz="0" w:space="0" w:color="auto"/>
                        <w:right w:val="none" w:sz="0" w:space="0" w:color="auto"/>
                      </w:divBdr>
                    </w:div>
                  </w:divsChild>
                </w:div>
                <w:div w:id="1677994113">
                  <w:marLeft w:val="0"/>
                  <w:marRight w:val="0"/>
                  <w:marTop w:val="0"/>
                  <w:marBottom w:val="0"/>
                  <w:divBdr>
                    <w:top w:val="none" w:sz="0" w:space="0" w:color="auto"/>
                    <w:left w:val="none" w:sz="0" w:space="0" w:color="auto"/>
                    <w:bottom w:val="none" w:sz="0" w:space="0" w:color="auto"/>
                    <w:right w:val="none" w:sz="0" w:space="0" w:color="auto"/>
                  </w:divBdr>
                  <w:divsChild>
                    <w:div w:id="1033655611">
                      <w:marLeft w:val="0"/>
                      <w:marRight w:val="0"/>
                      <w:marTop w:val="0"/>
                      <w:marBottom w:val="0"/>
                      <w:divBdr>
                        <w:top w:val="none" w:sz="0" w:space="0" w:color="auto"/>
                        <w:left w:val="none" w:sz="0" w:space="0" w:color="auto"/>
                        <w:bottom w:val="none" w:sz="0" w:space="0" w:color="auto"/>
                        <w:right w:val="none" w:sz="0" w:space="0" w:color="auto"/>
                      </w:divBdr>
                    </w:div>
                  </w:divsChild>
                </w:div>
                <w:div w:id="1712223746">
                  <w:marLeft w:val="0"/>
                  <w:marRight w:val="0"/>
                  <w:marTop w:val="0"/>
                  <w:marBottom w:val="0"/>
                  <w:divBdr>
                    <w:top w:val="none" w:sz="0" w:space="0" w:color="auto"/>
                    <w:left w:val="none" w:sz="0" w:space="0" w:color="auto"/>
                    <w:bottom w:val="none" w:sz="0" w:space="0" w:color="auto"/>
                    <w:right w:val="none" w:sz="0" w:space="0" w:color="auto"/>
                  </w:divBdr>
                  <w:divsChild>
                    <w:div w:id="776632301">
                      <w:marLeft w:val="0"/>
                      <w:marRight w:val="0"/>
                      <w:marTop w:val="0"/>
                      <w:marBottom w:val="0"/>
                      <w:divBdr>
                        <w:top w:val="none" w:sz="0" w:space="0" w:color="auto"/>
                        <w:left w:val="none" w:sz="0" w:space="0" w:color="auto"/>
                        <w:bottom w:val="none" w:sz="0" w:space="0" w:color="auto"/>
                        <w:right w:val="none" w:sz="0" w:space="0" w:color="auto"/>
                      </w:divBdr>
                    </w:div>
                  </w:divsChild>
                </w:div>
                <w:div w:id="1722483425">
                  <w:marLeft w:val="0"/>
                  <w:marRight w:val="0"/>
                  <w:marTop w:val="0"/>
                  <w:marBottom w:val="0"/>
                  <w:divBdr>
                    <w:top w:val="none" w:sz="0" w:space="0" w:color="auto"/>
                    <w:left w:val="none" w:sz="0" w:space="0" w:color="auto"/>
                    <w:bottom w:val="none" w:sz="0" w:space="0" w:color="auto"/>
                    <w:right w:val="none" w:sz="0" w:space="0" w:color="auto"/>
                  </w:divBdr>
                  <w:divsChild>
                    <w:div w:id="1667973097">
                      <w:marLeft w:val="0"/>
                      <w:marRight w:val="0"/>
                      <w:marTop w:val="0"/>
                      <w:marBottom w:val="0"/>
                      <w:divBdr>
                        <w:top w:val="none" w:sz="0" w:space="0" w:color="auto"/>
                        <w:left w:val="none" w:sz="0" w:space="0" w:color="auto"/>
                        <w:bottom w:val="none" w:sz="0" w:space="0" w:color="auto"/>
                        <w:right w:val="none" w:sz="0" w:space="0" w:color="auto"/>
                      </w:divBdr>
                    </w:div>
                  </w:divsChild>
                </w:div>
                <w:div w:id="1764372549">
                  <w:marLeft w:val="0"/>
                  <w:marRight w:val="0"/>
                  <w:marTop w:val="0"/>
                  <w:marBottom w:val="0"/>
                  <w:divBdr>
                    <w:top w:val="none" w:sz="0" w:space="0" w:color="auto"/>
                    <w:left w:val="none" w:sz="0" w:space="0" w:color="auto"/>
                    <w:bottom w:val="none" w:sz="0" w:space="0" w:color="auto"/>
                    <w:right w:val="none" w:sz="0" w:space="0" w:color="auto"/>
                  </w:divBdr>
                  <w:divsChild>
                    <w:div w:id="2106803424">
                      <w:marLeft w:val="0"/>
                      <w:marRight w:val="0"/>
                      <w:marTop w:val="0"/>
                      <w:marBottom w:val="0"/>
                      <w:divBdr>
                        <w:top w:val="none" w:sz="0" w:space="0" w:color="auto"/>
                        <w:left w:val="none" w:sz="0" w:space="0" w:color="auto"/>
                        <w:bottom w:val="none" w:sz="0" w:space="0" w:color="auto"/>
                        <w:right w:val="none" w:sz="0" w:space="0" w:color="auto"/>
                      </w:divBdr>
                    </w:div>
                  </w:divsChild>
                </w:div>
                <w:div w:id="1790589267">
                  <w:marLeft w:val="0"/>
                  <w:marRight w:val="0"/>
                  <w:marTop w:val="0"/>
                  <w:marBottom w:val="0"/>
                  <w:divBdr>
                    <w:top w:val="none" w:sz="0" w:space="0" w:color="auto"/>
                    <w:left w:val="none" w:sz="0" w:space="0" w:color="auto"/>
                    <w:bottom w:val="none" w:sz="0" w:space="0" w:color="auto"/>
                    <w:right w:val="none" w:sz="0" w:space="0" w:color="auto"/>
                  </w:divBdr>
                  <w:divsChild>
                    <w:div w:id="1630546699">
                      <w:marLeft w:val="0"/>
                      <w:marRight w:val="0"/>
                      <w:marTop w:val="0"/>
                      <w:marBottom w:val="0"/>
                      <w:divBdr>
                        <w:top w:val="none" w:sz="0" w:space="0" w:color="auto"/>
                        <w:left w:val="none" w:sz="0" w:space="0" w:color="auto"/>
                        <w:bottom w:val="none" w:sz="0" w:space="0" w:color="auto"/>
                        <w:right w:val="none" w:sz="0" w:space="0" w:color="auto"/>
                      </w:divBdr>
                    </w:div>
                  </w:divsChild>
                </w:div>
                <w:div w:id="1793934131">
                  <w:marLeft w:val="0"/>
                  <w:marRight w:val="0"/>
                  <w:marTop w:val="0"/>
                  <w:marBottom w:val="0"/>
                  <w:divBdr>
                    <w:top w:val="none" w:sz="0" w:space="0" w:color="auto"/>
                    <w:left w:val="none" w:sz="0" w:space="0" w:color="auto"/>
                    <w:bottom w:val="none" w:sz="0" w:space="0" w:color="auto"/>
                    <w:right w:val="none" w:sz="0" w:space="0" w:color="auto"/>
                  </w:divBdr>
                  <w:divsChild>
                    <w:div w:id="1878202389">
                      <w:marLeft w:val="0"/>
                      <w:marRight w:val="0"/>
                      <w:marTop w:val="0"/>
                      <w:marBottom w:val="0"/>
                      <w:divBdr>
                        <w:top w:val="none" w:sz="0" w:space="0" w:color="auto"/>
                        <w:left w:val="none" w:sz="0" w:space="0" w:color="auto"/>
                        <w:bottom w:val="none" w:sz="0" w:space="0" w:color="auto"/>
                        <w:right w:val="none" w:sz="0" w:space="0" w:color="auto"/>
                      </w:divBdr>
                    </w:div>
                  </w:divsChild>
                </w:div>
                <w:div w:id="1806661473">
                  <w:marLeft w:val="0"/>
                  <w:marRight w:val="0"/>
                  <w:marTop w:val="0"/>
                  <w:marBottom w:val="0"/>
                  <w:divBdr>
                    <w:top w:val="none" w:sz="0" w:space="0" w:color="auto"/>
                    <w:left w:val="none" w:sz="0" w:space="0" w:color="auto"/>
                    <w:bottom w:val="none" w:sz="0" w:space="0" w:color="auto"/>
                    <w:right w:val="none" w:sz="0" w:space="0" w:color="auto"/>
                  </w:divBdr>
                  <w:divsChild>
                    <w:div w:id="1182628178">
                      <w:marLeft w:val="0"/>
                      <w:marRight w:val="0"/>
                      <w:marTop w:val="0"/>
                      <w:marBottom w:val="0"/>
                      <w:divBdr>
                        <w:top w:val="none" w:sz="0" w:space="0" w:color="auto"/>
                        <w:left w:val="none" w:sz="0" w:space="0" w:color="auto"/>
                        <w:bottom w:val="none" w:sz="0" w:space="0" w:color="auto"/>
                        <w:right w:val="none" w:sz="0" w:space="0" w:color="auto"/>
                      </w:divBdr>
                    </w:div>
                  </w:divsChild>
                </w:div>
                <w:div w:id="1829902197">
                  <w:marLeft w:val="0"/>
                  <w:marRight w:val="0"/>
                  <w:marTop w:val="0"/>
                  <w:marBottom w:val="0"/>
                  <w:divBdr>
                    <w:top w:val="none" w:sz="0" w:space="0" w:color="auto"/>
                    <w:left w:val="none" w:sz="0" w:space="0" w:color="auto"/>
                    <w:bottom w:val="none" w:sz="0" w:space="0" w:color="auto"/>
                    <w:right w:val="none" w:sz="0" w:space="0" w:color="auto"/>
                  </w:divBdr>
                  <w:divsChild>
                    <w:div w:id="677971384">
                      <w:marLeft w:val="0"/>
                      <w:marRight w:val="0"/>
                      <w:marTop w:val="0"/>
                      <w:marBottom w:val="0"/>
                      <w:divBdr>
                        <w:top w:val="none" w:sz="0" w:space="0" w:color="auto"/>
                        <w:left w:val="none" w:sz="0" w:space="0" w:color="auto"/>
                        <w:bottom w:val="none" w:sz="0" w:space="0" w:color="auto"/>
                        <w:right w:val="none" w:sz="0" w:space="0" w:color="auto"/>
                      </w:divBdr>
                    </w:div>
                  </w:divsChild>
                </w:div>
                <w:div w:id="1946843771">
                  <w:marLeft w:val="0"/>
                  <w:marRight w:val="0"/>
                  <w:marTop w:val="0"/>
                  <w:marBottom w:val="0"/>
                  <w:divBdr>
                    <w:top w:val="none" w:sz="0" w:space="0" w:color="auto"/>
                    <w:left w:val="none" w:sz="0" w:space="0" w:color="auto"/>
                    <w:bottom w:val="none" w:sz="0" w:space="0" w:color="auto"/>
                    <w:right w:val="none" w:sz="0" w:space="0" w:color="auto"/>
                  </w:divBdr>
                  <w:divsChild>
                    <w:div w:id="1547831163">
                      <w:marLeft w:val="0"/>
                      <w:marRight w:val="0"/>
                      <w:marTop w:val="0"/>
                      <w:marBottom w:val="0"/>
                      <w:divBdr>
                        <w:top w:val="none" w:sz="0" w:space="0" w:color="auto"/>
                        <w:left w:val="none" w:sz="0" w:space="0" w:color="auto"/>
                        <w:bottom w:val="none" w:sz="0" w:space="0" w:color="auto"/>
                        <w:right w:val="none" w:sz="0" w:space="0" w:color="auto"/>
                      </w:divBdr>
                    </w:div>
                  </w:divsChild>
                </w:div>
                <w:div w:id="1957373503">
                  <w:marLeft w:val="0"/>
                  <w:marRight w:val="0"/>
                  <w:marTop w:val="0"/>
                  <w:marBottom w:val="0"/>
                  <w:divBdr>
                    <w:top w:val="none" w:sz="0" w:space="0" w:color="auto"/>
                    <w:left w:val="none" w:sz="0" w:space="0" w:color="auto"/>
                    <w:bottom w:val="none" w:sz="0" w:space="0" w:color="auto"/>
                    <w:right w:val="none" w:sz="0" w:space="0" w:color="auto"/>
                  </w:divBdr>
                  <w:divsChild>
                    <w:div w:id="1695419606">
                      <w:marLeft w:val="0"/>
                      <w:marRight w:val="0"/>
                      <w:marTop w:val="0"/>
                      <w:marBottom w:val="0"/>
                      <w:divBdr>
                        <w:top w:val="none" w:sz="0" w:space="0" w:color="auto"/>
                        <w:left w:val="none" w:sz="0" w:space="0" w:color="auto"/>
                        <w:bottom w:val="none" w:sz="0" w:space="0" w:color="auto"/>
                        <w:right w:val="none" w:sz="0" w:space="0" w:color="auto"/>
                      </w:divBdr>
                    </w:div>
                  </w:divsChild>
                </w:div>
                <w:div w:id="1962690803">
                  <w:marLeft w:val="0"/>
                  <w:marRight w:val="0"/>
                  <w:marTop w:val="0"/>
                  <w:marBottom w:val="0"/>
                  <w:divBdr>
                    <w:top w:val="none" w:sz="0" w:space="0" w:color="auto"/>
                    <w:left w:val="none" w:sz="0" w:space="0" w:color="auto"/>
                    <w:bottom w:val="none" w:sz="0" w:space="0" w:color="auto"/>
                    <w:right w:val="none" w:sz="0" w:space="0" w:color="auto"/>
                  </w:divBdr>
                  <w:divsChild>
                    <w:div w:id="700789907">
                      <w:marLeft w:val="0"/>
                      <w:marRight w:val="0"/>
                      <w:marTop w:val="0"/>
                      <w:marBottom w:val="0"/>
                      <w:divBdr>
                        <w:top w:val="none" w:sz="0" w:space="0" w:color="auto"/>
                        <w:left w:val="none" w:sz="0" w:space="0" w:color="auto"/>
                        <w:bottom w:val="none" w:sz="0" w:space="0" w:color="auto"/>
                        <w:right w:val="none" w:sz="0" w:space="0" w:color="auto"/>
                      </w:divBdr>
                    </w:div>
                  </w:divsChild>
                </w:div>
                <w:div w:id="1971400692">
                  <w:marLeft w:val="0"/>
                  <w:marRight w:val="0"/>
                  <w:marTop w:val="0"/>
                  <w:marBottom w:val="0"/>
                  <w:divBdr>
                    <w:top w:val="none" w:sz="0" w:space="0" w:color="auto"/>
                    <w:left w:val="none" w:sz="0" w:space="0" w:color="auto"/>
                    <w:bottom w:val="none" w:sz="0" w:space="0" w:color="auto"/>
                    <w:right w:val="none" w:sz="0" w:space="0" w:color="auto"/>
                  </w:divBdr>
                  <w:divsChild>
                    <w:div w:id="2006080541">
                      <w:marLeft w:val="0"/>
                      <w:marRight w:val="0"/>
                      <w:marTop w:val="0"/>
                      <w:marBottom w:val="0"/>
                      <w:divBdr>
                        <w:top w:val="none" w:sz="0" w:space="0" w:color="auto"/>
                        <w:left w:val="none" w:sz="0" w:space="0" w:color="auto"/>
                        <w:bottom w:val="none" w:sz="0" w:space="0" w:color="auto"/>
                        <w:right w:val="none" w:sz="0" w:space="0" w:color="auto"/>
                      </w:divBdr>
                    </w:div>
                  </w:divsChild>
                </w:div>
                <w:div w:id="2004888451">
                  <w:marLeft w:val="0"/>
                  <w:marRight w:val="0"/>
                  <w:marTop w:val="0"/>
                  <w:marBottom w:val="0"/>
                  <w:divBdr>
                    <w:top w:val="none" w:sz="0" w:space="0" w:color="auto"/>
                    <w:left w:val="none" w:sz="0" w:space="0" w:color="auto"/>
                    <w:bottom w:val="none" w:sz="0" w:space="0" w:color="auto"/>
                    <w:right w:val="none" w:sz="0" w:space="0" w:color="auto"/>
                  </w:divBdr>
                  <w:divsChild>
                    <w:div w:id="1224561579">
                      <w:marLeft w:val="0"/>
                      <w:marRight w:val="0"/>
                      <w:marTop w:val="0"/>
                      <w:marBottom w:val="0"/>
                      <w:divBdr>
                        <w:top w:val="none" w:sz="0" w:space="0" w:color="auto"/>
                        <w:left w:val="none" w:sz="0" w:space="0" w:color="auto"/>
                        <w:bottom w:val="none" w:sz="0" w:space="0" w:color="auto"/>
                        <w:right w:val="none" w:sz="0" w:space="0" w:color="auto"/>
                      </w:divBdr>
                    </w:div>
                  </w:divsChild>
                </w:div>
                <w:div w:id="2007396183">
                  <w:marLeft w:val="0"/>
                  <w:marRight w:val="0"/>
                  <w:marTop w:val="0"/>
                  <w:marBottom w:val="0"/>
                  <w:divBdr>
                    <w:top w:val="none" w:sz="0" w:space="0" w:color="auto"/>
                    <w:left w:val="none" w:sz="0" w:space="0" w:color="auto"/>
                    <w:bottom w:val="none" w:sz="0" w:space="0" w:color="auto"/>
                    <w:right w:val="none" w:sz="0" w:space="0" w:color="auto"/>
                  </w:divBdr>
                  <w:divsChild>
                    <w:div w:id="1538081399">
                      <w:marLeft w:val="0"/>
                      <w:marRight w:val="0"/>
                      <w:marTop w:val="0"/>
                      <w:marBottom w:val="0"/>
                      <w:divBdr>
                        <w:top w:val="none" w:sz="0" w:space="0" w:color="auto"/>
                        <w:left w:val="none" w:sz="0" w:space="0" w:color="auto"/>
                        <w:bottom w:val="none" w:sz="0" w:space="0" w:color="auto"/>
                        <w:right w:val="none" w:sz="0" w:space="0" w:color="auto"/>
                      </w:divBdr>
                    </w:div>
                  </w:divsChild>
                </w:div>
                <w:div w:id="2039892727">
                  <w:marLeft w:val="0"/>
                  <w:marRight w:val="0"/>
                  <w:marTop w:val="0"/>
                  <w:marBottom w:val="0"/>
                  <w:divBdr>
                    <w:top w:val="none" w:sz="0" w:space="0" w:color="auto"/>
                    <w:left w:val="none" w:sz="0" w:space="0" w:color="auto"/>
                    <w:bottom w:val="none" w:sz="0" w:space="0" w:color="auto"/>
                    <w:right w:val="none" w:sz="0" w:space="0" w:color="auto"/>
                  </w:divBdr>
                  <w:divsChild>
                    <w:div w:id="1710647343">
                      <w:marLeft w:val="0"/>
                      <w:marRight w:val="0"/>
                      <w:marTop w:val="0"/>
                      <w:marBottom w:val="0"/>
                      <w:divBdr>
                        <w:top w:val="none" w:sz="0" w:space="0" w:color="auto"/>
                        <w:left w:val="none" w:sz="0" w:space="0" w:color="auto"/>
                        <w:bottom w:val="none" w:sz="0" w:space="0" w:color="auto"/>
                        <w:right w:val="none" w:sz="0" w:space="0" w:color="auto"/>
                      </w:divBdr>
                    </w:div>
                  </w:divsChild>
                </w:div>
                <w:div w:id="2045208189">
                  <w:marLeft w:val="0"/>
                  <w:marRight w:val="0"/>
                  <w:marTop w:val="0"/>
                  <w:marBottom w:val="0"/>
                  <w:divBdr>
                    <w:top w:val="none" w:sz="0" w:space="0" w:color="auto"/>
                    <w:left w:val="none" w:sz="0" w:space="0" w:color="auto"/>
                    <w:bottom w:val="none" w:sz="0" w:space="0" w:color="auto"/>
                    <w:right w:val="none" w:sz="0" w:space="0" w:color="auto"/>
                  </w:divBdr>
                  <w:divsChild>
                    <w:div w:id="441533748">
                      <w:marLeft w:val="0"/>
                      <w:marRight w:val="0"/>
                      <w:marTop w:val="0"/>
                      <w:marBottom w:val="0"/>
                      <w:divBdr>
                        <w:top w:val="none" w:sz="0" w:space="0" w:color="auto"/>
                        <w:left w:val="none" w:sz="0" w:space="0" w:color="auto"/>
                        <w:bottom w:val="none" w:sz="0" w:space="0" w:color="auto"/>
                        <w:right w:val="none" w:sz="0" w:space="0" w:color="auto"/>
                      </w:divBdr>
                    </w:div>
                  </w:divsChild>
                </w:div>
                <w:div w:id="2052656704">
                  <w:marLeft w:val="0"/>
                  <w:marRight w:val="0"/>
                  <w:marTop w:val="0"/>
                  <w:marBottom w:val="0"/>
                  <w:divBdr>
                    <w:top w:val="none" w:sz="0" w:space="0" w:color="auto"/>
                    <w:left w:val="none" w:sz="0" w:space="0" w:color="auto"/>
                    <w:bottom w:val="none" w:sz="0" w:space="0" w:color="auto"/>
                    <w:right w:val="none" w:sz="0" w:space="0" w:color="auto"/>
                  </w:divBdr>
                  <w:divsChild>
                    <w:div w:id="32274844">
                      <w:marLeft w:val="0"/>
                      <w:marRight w:val="0"/>
                      <w:marTop w:val="0"/>
                      <w:marBottom w:val="0"/>
                      <w:divBdr>
                        <w:top w:val="none" w:sz="0" w:space="0" w:color="auto"/>
                        <w:left w:val="none" w:sz="0" w:space="0" w:color="auto"/>
                        <w:bottom w:val="none" w:sz="0" w:space="0" w:color="auto"/>
                        <w:right w:val="none" w:sz="0" w:space="0" w:color="auto"/>
                      </w:divBdr>
                    </w:div>
                  </w:divsChild>
                </w:div>
                <w:div w:id="2053916312">
                  <w:marLeft w:val="0"/>
                  <w:marRight w:val="0"/>
                  <w:marTop w:val="0"/>
                  <w:marBottom w:val="0"/>
                  <w:divBdr>
                    <w:top w:val="none" w:sz="0" w:space="0" w:color="auto"/>
                    <w:left w:val="none" w:sz="0" w:space="0" w:color="auto"/>
                    <w:bottom w:val="none" w:sz="0" w:space="0" w:color="auto"/>
                    <w:right w:val="none" w:sz="0" w:space="0" w:color="auto"/>
                  </w:divBdr>
                  <w:divsChild>
                    <w:div w:id="424961071">
                      <w:marLeft w:val="0"/>
                      <w:marRight w:val="0"/>
                      <w:marTop w:val="0"/>
                      <w:marBottom w:val="0"/>
                      <w:divBdr>
                        <w:top w:val="none" w:sz="0" w:space="0" w:color="auto"/>
                        <w:left w:val="none" w:sz="0" w:space="0" w:color="auto"/>
                        <w:bottom w:val="none" w:sz="0" w:space="0" w:color="auto"/>
                        <w:right w:val="none" w:sz="0" w:space="0" w:color="auto"/>
                      </w:divBdr>
                    </w:div>
                  </w:divsChild>
                </w:div>
                <w:div w:id="2087874080">
                  <w:marLeft w:val="0"/>
                  <w:marRight w:val="0"/>
                  <w:marTop w:val="0"/>
                  <w:marBottom w:val="0"/>
                  <w:divBdr>
                    <w:top w:val="none" w:sz="0" w:space="0" w:color="auto"/>
                    <w:left w:val="none" w:sz="0" w:space="0" w:color="auto"/>
                    <w:bottom w:val="none" w:sz="0" w:space="0" w:color="auto"/>
                    <w:right w:val="none" w:sz="0" w:space="0" w:color="auto"/>
                  </w:divBdr>
                  <w:divsChild>
                    <w:div w:id="869611567">
                      <w:marLeft w:val="0"/>
                      <w:marRight w:val="0"/>
                      <w:marTop w:val="0"/>
                      <w:marBottom w:val="0"/>
                      <w:divBdr>
                        <w:top w:val="none" w:sz="0" w:space="0" w:color="auto"/>
                        <w:left w:val="none" w:sz="0" w:space="0" w:color="auto"/>
                        <w:bottom w:val="none" w:sz="0" w:space="0" w:color="auto"/>
                        <w:right w:val="none" w:sz="0" w:space="0" w:color="auto"/>
                      </w:divBdr>
                    </w:div>
                  </w:divsChild>
                </w:div>
                <w:div w:id="2088381936">
                  <w:marLeft w:val="0"/>
                  <w:marRight w:val="0"/>
                  <w:marTop w:val="0"/>
                  <w:marBottom w:val="0"/>
                  <w:divBdr>
                    <w:top w:val="none" w:sz="0" w:space="0" w:color="auto"/>
                    <w:left w:val="none" w:sz="0" w:space="0" w:color="auto"/>
                    <w:bottom w:val="none" w:sz="0" w:space="0" w:color="auto"/>
                    <w:right w:val="none" w:sz="0" w:space="0" w:color="auto"/>
                  </w:divBdr>
                  <w:divsChild>
                    <w:div w:id="1488595223">
                      <w:marLeft w:val="0"/>
                      <w:marRight w:val="0"/>
                      <w:marTop w:val="0"/>
                      <w:marBottom w:val="0"/>
                      <w:divBdr>
                        <w:top w:val="none" w:sz="0" w:space="0" w:color="auto"/>
                        <w:left w:val="none" w:sz="0" w:space="0" w:color="auto"/>
                        <w:bottom w:val="none" w:sz="0" w:space="0" w:color="auto"/>
                        <w:right w:val="none" w:sz="0" w:space="0" w:color="auto"/>
                      </w:divBdr>
                    </w:div>
                  </w:divsChild>
                </w:div>
                <w:div w:id="2113939185">
                  <w:marLeft w:val="0"/>
                  <w:marRight w:val="0"/>
                  <w:marTop w:val="0"/>
                  <w:marBottom w:val="0"/>
                  <w:divBdr>
                    <w:top w:val="none" w:sz="0" w:space="0" w:color="auto"/>
                    <w:left w:val="none" w:sz="0" w:space="0" w:color="auto"/>
                    <w:bottom w:val="none" w:sz="0" w:space="0" w:color="auto"/>
                    <w:right w:val="none" w:sz="0" w:space="0" w:color="auto"/>
                  </w:divBdr>
                  <w:divsChild>
                    <w:div w:id="1931548340">
                      <w:marLeft w:val="0"/>
                      <w:marRight w:val="0"/>
                      <w:marTop w:val="0"/>
                      <w:marBottom w:val="0"/>
                      <w:divBdr>
                        <w:top w:val="none" w:sz="0" w:space="0" w:color="auto"/>
                        <w:left w:val="none" w:sz="0" w:space="0" w:color="auto"/>
                        <w:bottom w:val="none" w:sz="0" w:space="0" w:color="auto"/>
                        <w:right w:val="none" w:sz="0" w:space="0" w:color="auto"/>
                      </w:divBdr>
                    </w:div>
                  </w:divsChild>
                </w:div>
                <w:div w:id="2126802565">
                  <w:marLeft w:val="0"/>
                  <w:marRight w:val="0"/>
                  <w:marTop w:val="0"/>
                  <w:marBottom w:val="0"/>
                  <w:divBdr>
                    <w:top w:val="none" w:sz="0" w:space="0" w:color="auto"/>
                    <w:left w:val="none" w:sz="0" w:space="0" w:color="auto"/>
                    <w:bottom w:val="none" w:sz="0" w:space="0" w:color="auto"/>
                    <w:right w:val="none" w:sz="0" w:space="0" w:color="auto"/>
                  </w:divBdr>
                  <w:divsChild>
                    <w:div w:id="920454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7555645">
      <w:bodyDiv w:val="1"/>
      <w:marLeft w:val="0"/>
      <w:marRight w:val="0"/>
      <w:marTop w:val="0"/>
      <w:marBottom w:val="0"/>
      <w:divBdr>
        <w:top w:val="none" w:sz="0" w:space="0" w:color="auto"/>
        <w:left w:val="none" w:sz="0" w:space="0" w:color="auto"/>
        <w:bottom w:val="none" w:sz="0" w:space="0" w:color="auto"/>
        <w:right w:val="none" w:sz="0" w:space="0" w:color="auto"/>
      </w:divBdr>
      <w:divsChild>
        <w:div w:id="1245569">
          <w:marLeft w:val="0"/>
          <w:marRight w:val="0"/>
          <w:marTop w:val="0"/>
          <w:marBottom w:val="0"/>
          <w:divBdr>
            <w:top w:val="none" w:sz="0" w:space="0" w:color="auto"/>
            <w:left w:val="none" w:sz="0" w:space="0" w:color="auto"/>
            <w:bottom w:val="none" w:sz="0" w:space="0" w:color="auto"/>
            <w:right w:val="none" w:sz="0" w:space="0" w:color="auto"/>
          </w:divBdr>
          <w:divsChild>
            <w:div w:id="832571659">
              <w:marLeft w:val="0"/>
              <w:marRight w:val="0"/>
              <w:marTop w:val="0"/>
              <w:marBottom w:val="0"/>
              <w:divBdr>
                <w:top w:val="none" w:sz="0" w:space="0" w:color="auto"/>
                <w:left w:val="none" w:sz="0" w:space="0" w:color="auto"/>
                <w:bottom w:val="none" w:sz="0" w:space="0" w:color="auto"/>
                <w:right w:val="none" w:sz="0" w:space="0" w:color="auto"/>
              </w:divBdr>
            </w:div>
          </w:divsChild>
        </w:div>
        <w:div w:id="135998186">
          <w:marLeft w:val="0"/>
          <w:marRight w:val="0"/>
          <w:marTop w:val="0"/>
          <w:marBottom w:val="0"/>
          <w:divBdr>
            <w:top w:val="none" w:sz="0" w:space="0" w:color="auto"/>
            <w:left w:val="none" w:sz="0" w:space="0" w:color="auto"/>
            <w:bottom w:val="none" w:sz="0" w:space="0" w:color="auto"/>
            <w:right w:val="none" w:sz="0" w:space="0" w:color="auto"/>
          </w:divBdr>
          <w:divsChild>
            <w:div w:id="27875384">
              <w:marLeft w:val="0"/>
              <w:marRight w:val="0"/>
              <w:marTop w:val="0"/>
              <w:marBottom w:val="0"/>
              <w:divBdr>
                <w:top w:val="none" w:sz="0" w:space="0" w:color="auto"/>
                <w:left w:val="none" w:sz="0" w:space="0" w:color="auto"/>
                <w:bottom w:val="none" w:sz="0" w:space="0" w:color="auto"/>
                <w:right w:val="none" w:sz="0" w:space="0" w:color="auto"/>
              </w:divBdr>
            </w:div>
          </w:divsChild>
        </w:div>
        <w:div w:id="195780341">
          <w:marLeft w:val="0"/>
          <w:marRight w:val="0"/>
          <w:marTop w:val="0"/>
          <w:marBottom w:val="0"/>
          <w:divBdr>
            <w:top w:val="none" w:sz="0" w:space="0" w:color="auto"/>
            <w:left w:val="none" w:sz="0" w:space="0" w:color="auto"/>
            <w:bottom w:val="none" w:sz="0" w:space="0" w:color="auto"/>
            <w:right w:val="none" w:sz="0" w:space="0" w:color="auto"/>
          </w:divBdr>
          <w:divsChild>
            <w:div w:id="916938906">
              <w:marLeft w:val="0"/>
              <w:marRight w:val="0"/>
              <w:marTop w:val="0"/>
              <w:marBottom w:val="0"/>
              <w:divBdr>
                <w:top w:val="none" w:sz="0" w:space="0" w:color="auto"/>
                <w:left w:val="none" w:sz="0" w:space="0" w:color="auto"/>
                <w:bottom w:val="none" w:sz="0" w:space="0" w:color="auto"/>
                <w:right w:val="none" w:sz="0" w:space="0" w:color="auto"/>
              </w:divBdr>
            </w:div>
          </w:divsChild>
        </w:div>
        <w:div w:id="212546079">
          <w:marLeft w:val="0"/>
          <w:marRight w:val="0"/>
          <w:marTop w:val="0"/>
          <w:marBottom w:val="0"/>
          <w:divBdr>
            <w:top w:val="none" w:sz="0" w:space="0" w:color="auto"/>
            <w:left w:val="none" w:sz="0" w:space="0" w:color="auto"/>
            <w:bottom w:val="none" w:sz="0" w:space="0" w:color="auto"/>
            <w:right w:val="none" w:sz="0" w:space="0" w:color="auto"/>
          </w:divBdr>
          <w:divsChild>
            <w:div w:id="2121291676">
              <w:marLeft w:val="0"/>
              <w:marRight w:val="0"/>
              <w:marTop w:val="0"/>
              <w:marBottom w:val="0"/>
              <w:divBdr>
                <w:top w:val="none" w:sz="0" w:space="0" w:color="auto"/>
                <w:left w:val="none" w:sz="0" w:space="0" w:color="auto"/>
                <w:bottom w:val="none" w:sz="0" w:space="0" w:color="auto"/>
                <w:right w:val="none" w:sz="0" w:space="0" w:color="auto"/>
              </w:divBdr>
            </w:div>
          </w:divsChild>
        </w:div>
        <w:div w:id="305666605">
          <w:marLeft w:val="0"/>
          <w:marRight w:val="0"/>
          <w:marTop w:val="0"/>
          <w:marBottom w:val="0"/>
          <w:divBdr>
            <w:top w:val="none" w:sz="0" w:space="0" w:color="auto"/>
            <w:left w:val="none" w:sz="0" w:space="0" w:color="auto"/>
            <w:bottom w:val="none" w:sz="0" w:space="0" w:color="auto"/>
            <w:right w:val="none" w:sz="0" w:space="0" w:color="auto"/>
          </w:divBdr>
          <w:divsChild>
            <w:div w:id="2112429512">
              <w:marLeft w:val="0"/>
              <w:marRight w:val="0"/>
              <w:marTop w:val="0"/>
              <w:marBottom w:val="0"/>
              <w:divBdr>
                <w:top w:val="none" w:sz="0" w:space="0" w:color="auto"/>
                <w:left w:val="none" w:sz="0" w:space="0" w:color="auto"/>
                <w:bottom w:val="none" w:sz="0" w:space="0" w:color="auto"/>
                <w:right w:val="none" w:sz="0" w:space="0" w:color="auto"/>
              </w:divBdr>
            </w:div>
          </w:divsChild>
        </w:div>
        <w:div w:id="319505220">
          <w:marLeft w:val="0"/>
          <w:marRight w:val="0"/>
          <w:marTop w:val="0"/>
          <w:marBottom w:val="0"/>
          <w:divBdr>
            <w:top w:val="none" w:sz="0" w:space="0" w:color="auto"/>
            <w:left w:val="none" w:sz="0" w:space="0" w:color="auto"/>
            <w:bottom w:val="none" w:sz="0" w:space="0" w:color="auto"/>
            <w:right w:val="none" w:sz="0" w:space="0" w:color="auto"/>
          </w:divBdr>
          <w:divsChild>
            <w:div w:id="839932311">
              <w:marLeft w:val="0"/>
              <w:marRight w:val="0"/>
              <w:marTop w:val="0"/>
              <w:marBottom w:val="0"/>
              <w:divBdr>
                <w:top w:val="none" w:sz="0" w:space="0" w:color="auto"/>
                <w:left w:val="none" w:sz="0" w:space="0" w:color="auto"/>
                <w:bottom w:val="none" w:sz="0" w:space="0" w:color="auto"/>
                <w:right w:val="none" w:sz="0" w:space="0" w:color="auto"/>
              </w:divBdr>
            </w:div>
          </w:divsChild>
        </w:div>
        <w:div w:id="337850586">
          <w:marLeft w:val="0"/>
          <w:marRight w:val="0"/>
          <w:marTop w:val="0"/>
          <w:marBottom w:val="0"/>
          <w:divBdr>
            <w:top w:val="none" w:sz="0" w:space="0" w:color="auto"/>
            <w:left w:val="none" w:sz="0" w:space="0" w:color="auto"/>
            <w:bottom w:val="none" w:sz="0" w:space="0" w:color="auto"/>
            <w:right w:val="none" w:sz="0" w:space="0" w:color="auto"/>
          </w:divBdr>
          <w:divsChild>
            <w:div w:id="1109155320">
              <w:marLeft w:val="0"/>
              <w:marRight w:val="0"/>
              <w:marTop w:val="0"/>
              <w:marBottom w:val="0"/>
              <w:divBdr>
                <w:top w:val="none" w:sz="0" w:space="0" w:color="auto"/>
                <w:left w:val="none" w:sz="0" w:space="0" w:color="auto"/>
                <w:bottom w:val="none" w:sz="0" w:space="0" w:color="auto"/>
                <w:right w:val="none" w:sz="0" w:space="0" w:color="auto"/>
              </w:divBdr>
            </w:div>
          </w:divsChild>
        </w:div>
        <w:div w:id="411972280">
          <w:marLeft w:val="0"/>
          <w:marRight w:val="0"/>
          <w:marTop w:val="0"/>
          <w:marBottom w:val="0"/>
          <w:divBdr>
            <w:top w:val="none" w:sz="0" w:space="0" w:color="auto"/>
            <w:left w:val="none" w:sz="0" w:space="0" w:color="auto"/>
            <w:bottom w:val="none" w:sz="0" w:space="0" w:color="auto"/>
            <w:right w:val="none" w:sz="0" w:space="0" w:color="auto"/>
          </w:divBdr>
          <w:divsChild>
            <w:div w:id="519852509">
              <w:marLeft w:val="0"/>
              <w:marRight w:val="0"/>
              <w:marTop w:val="0"/>
              <w:marBottom w:val="0"/>
              <w:divBdr>
                <w:top w:val="none" w:sz="0" w:space="0" w:color="auto"/>
                <w:left w:val="none" w:sz="0" w:space="0" w:color="auto"/>
                <w:bottom w:val="none" w:sz="0" w:space="0" w:color="auto"/>
                <w:right w:val="none" w:sz="0" w:space="0" w:color="auto"/>
              </w:divBdr>
            </w:div>
          </w:divsChild>
        </w:div>
        <w:div w:id="597296022">
          <w:marLeft w:val="0"/>
          <w:marRight w:val="0"/>
          <w:marTop w:val="0"/>
          <w:marBottom w:val="0"/>
          <w:divBdr>
            <w:top w:val="none" w:sz="0" w:space="0" w:color="auto"/>
            <w:left w:val="none" w:sz="0" w:space="0" w:color="auto"/>
            <w:bottom w:val="none" w:sz="0" w:space="0" w:color="auto"/>
            <w:right w:val="none" w:sz="0" w:space="0" w:color="auto"/>
          </w:divBdr>
          <w:divsChild>
            <w:div w:id="200093957">
              <w:marLeft w:val="0"/>
              <w:marRight w:val="0"/>
              <w:marTop w:val="0"/>
              <w:marBottom w:val="0"/>
              <w:divBdr>
                <w:top w:val="none" w:sz="0" w:space="0" w:color="auto"/>
                <w:left w:val="none" w:sz="0" w:space="0" w:color="auto"/>
                <w:bottom w:val="none" w:sz="0" w:space="0" w:color="auto"/>
                <w:right w:val="none" w:sz="0" w:space="0" w:color="auto"/>
              </w:divBdr>
            </w:div>
          </w:divsChild>
        </w:div>
        <w:div w:id="599140859">
          <w:marLeft w:val="0"/>
          <w:marRight w:val="0"/>
          <w:marTop w:val="0"/>
          <w:marBottom w:val="0"/>
          <w:divBdr>
            <w:top w:val="none" w:sz="0" w:space="0" w:color="auto"/>
            <w:left w:val="none" w:sz="0" w:space="0" w:color="auto"/>
            <w:bottom w:val="none" w:sz="0" w:space="0" w:color="auto"/>
            <w:right w:val="none" w:sz="0" w:space="0" w:color="auto"/>
          </w:divBdr>
          <w:divsChild>
            <w:div w:id="674694375">
              <w:marLeft w:val="0"/>
              <w:marRight w:val="0"/>
              <w:marTop w:val="0"/>
              <w:marBottom w:val="0"/>
              <w:divBdr>
                <w:top w:val="none" w:sz="0" w:space="0" w:color="auto"/>
                <w:left w:val="none" w:sz="0" w:space="0" w:color="auto"/>
                <w:bottom w:val="none" w:sz="0" w:space="0" w:color="auto"/>
                <w:right w:val="none" w:sz="0" w:space="0" w:color="auto"/>
              </w:divBdr>
            </w:div>
          </w:divsChild>
        </w:div>
        <w:div w:id="637759220">
          <w:marLeft w:val="0"/>
          <w:marRight w:val="0"/>
          <w:marTop w:val="0"/>
          <w:marBottom w:val="0"/>
          <w:divBdr>
            <w:top w:val="none" w:sz="0" w:space="0" w:color="auto"/>
            <w:left w:val="none" w:sz="0" w:space="0" w:color="auto"/>
            <w:bottom w:val="none" w:sz="0" w:space="0" w:color="auto"/>
            <w:right w:val="none" w:sz="0" w:space="0" w:color="auto"/>
          </w:divBdr>
          <w:divsChild>
            <w:div w:id="1580948150">
              <w:marLeft w:val="0"/>
              <w:marRight w:val="0"/>
              <w:marTop w:val="0"/>
              <w:marBottom w:val="0"/>
              <w:divBdr>
                <w:top w:val="none" w:sz="0" w:space="0" w:color="auto"/>
                <w:left w:val="none" w:sz="0" w:space="0" w:color="auto"/>
                <w:bottom w:val="none" w:sz="0" w:space="0" w:color="auto"/>
                <w:right w:val="none" w:sz="0" w:space="0" w:color="auto"/>
              </w:divBdr>
            </w:div>
          </w:divsChild>
        </w:div>
        <w:div w:id="717778671">
          <w:marLeft w:val="0"/>
          <w:marRight w:val="0"/>
          <w:marTop w:val="0"/>
          <w:marBottom w:val="0"/>
          <w:divBdr>
            <w:top w:val="none" w:sz="0" w:space="0" w:color="auto"/>
            <w:left w:val="none" w:sz="0" w:space="0" w:color="auto"/>
            <w:bottom w:val="none" w:sz="0" w:space="0" w:color="auto"/>
            <w:right w:val="none" w:sz="0" w:space="0" w:color="auto"/>
          </w:divBdr>
          <w:divsChild>
            <w:div w:id="1534146164">
              <w:marLeft w:val="0"/>
              <w:marRight w:val="0"/>
              <w:marTop w:val="0"/>
              <w:marBottom w:val="0"/>
              <w:divBdr>
                <w:top w:val="none" w:sz="0" w:space="0" w:color="auto"/>
                <w:left w:val="none" w:sz="0" w:space="0" w:color="auto"/>
                <w:bottom w:val="none" w:sz="0" w:space="0" w:color="auto"/>
                <w:right w:val="none" w:sz="0" w:space="0" w:color="auto"/>
              </w:divBdr>
            </w:div>
          </w:divsChild>
        </w:div>
        <w:div w:id="948664675">
          <w:marLeft w:val="0"/>
          <w:marRight w:val="0"/>
          <w:marTop w:val="0"/>
          <w:marBottom w:val="0"/>
          <w:divBdr>
            <w:top w:val="none" w:sz="0" w:space="0" w:color="auto"/>
            <w:left w:val="none" w:sz="0" w:space="0" w:color="auto"/>
            <w:bottom w:val="none" w:sz="0" w:space="0" w:color="auto"/>
            <w:right w:val="none" w:sz="0" w:space="0" w:color="auto"/>
          </w:divBdr>
          <w:divsChild>
            <w:div w:id="524293903">
              <w:marLeft w:val="0"/>
              <w:marRight w:val="0"/>
              <w:marTop w:val="0"/>
              <w:marBottom w:val="0"/>
              <w:divBdr>
                <w:top w:val="none" w:sz="0" w:space="0" w:color="auto"/>
                <w:left w:val="none" w:sz="0" w:space="0" w:color="auto"/>
                <w:bottom w:val="none" w:sz="0" w:space="0" w:color="auto"/>
                <w:right w:val="none" w:sz="0" w:space="0" w:color="auto"/>
              </w:divBdr>
            </w:div>
          </w:divsChild>
        </w:div>
        <w:div w:id="1069497322">
          <w:marLeft w:val="0"/>
          <w:marRight w:val="0"/>
          <w:marTop w:val="0"/>
          <w:marBottom w:val="0"/>
          <w:divBdr>
            <w:top w:val="none" w:sz="0" w:space="0" w:color="auto"/>
            <w:left w:val="none" w:sz="0" w:space="0" w:color="auto"/>
            <w:bottom w:val="none" w:sz="0" w:space="0" w:color="auto"/>
            <w:right w:val="none" w:sz="0" w:space="0" w:color="auto"/>
          </w:divBdr>
          <w:divsChild>
            <w:div w:id="1364864695">
              <w:marLeft w:val="0"/>
              <w:marRight w:val="0"/>
              <w:marTop w:val="0"/>
              <w:marBottom w:val="0"/>
              <w:divBdr>
                <w:top w:val="none" w:sz="0" w:space="0" w:color="auto"/>
                <w:left w:val="none" w:sz="0" w:space="0" w:color="auto"/>
                <w:bottom w:val="none" w:sz="0" w:space="0" w:color="auto"/>
                <w:right w:val="none" w:sz="0" w:space="0" w:color="auto"/>
              </w:divBdr>
            </w:div>
          </w:divsChild>
        </w:div>
        <w:div w:id="1240602332">
          <w:marLeft w:val="0"/>
          <w:marRight w:val="0"/>
          <w:marTop w:val="0"/>
          <w:marBottom w:val="0"/>
          <w:divBdr>
            <w:top w:val="none" w:sz="0" w:space="0" w:color="auto"/>
            <w:left w:val="none" w:sz="0" w:space="0" w:color="auto"/>
            <w:bottom w:val="none" w:sz="0" w:space="0" w:color="auto"/>
            <w:right w:val="none" w:sz="0" w:space="0" w:color="auto"/>
          </w:divBdr>
          <w:divsChild>
            <w:div w:id="732701230">
              <w:marLeft w:val="0"/>
              <w:marRight w:val="0"/>
              <w:marTop w:val="0"/>
              <w:marBottom w:val="0"/>
              <w:divBdr>
                <w:top w:val="none" w:sz="0" w:space="0" w:color="auto"/>
                <w:left w:val="none" w:sz="0" w:space="0" w:color="auto"/>
                <w:bottom w:val="none" w:sz="0" w:space="0" w:color="auto"/>
                <w:right w:val="none" w:sz="0" w:space="0" w:color="auto"/>
              </w:divBdr>
            </w:div>
          </w:divsChild>
        </w:div>
        <w:div w:id="1258754507">
          <w:marLeft w:val="0"/>
          <w:marRight w:val="0"/>
          <w:marTop w:val="0"/>
          <w:marBottom w:val="0"/>
          <w:divBdr>
            <w:top w:val="none" w:sz="0" w:space="0" w:color="auto"/>
            <w:left w:val="none" w:sz="0" w:space="0" w:color="auto"/>
            <w:bottom w:val="none" w:sz="0" w:space="0" w:color="auto"/>
            <w:right w:val="none" w:sz="0" w:space="0" w:color="auto"/>
          </w:divBdr>
          <w:divsChild>
            <w:div w:id="2137680141">
              <w:marLeft w:val="0"/>
              <w:marRight w:val="0"/>
              <w:marTop w:val="0"/>
              <w:marBottom w:val="0"/>
              <w:divBdr>
                <w:top w:val="none" w:sz="0" w:space="0" w:color="auto"/>
                <w:left w:val="none" w:sz="0" w:space="0" w:color="auto"/>
                <w:bottom w:val="none" w:sz="0" w:space="0" w:color="auto"/>
                <w:right w:val="none" w:sz="0" w:space="0" w:color="auto"/>
              </w:divBdr>
            </w:div>
          </w:divsChild>
        </w:div>
        <w:div w:id="1320883970">
          <w:marLeft w:val="0"/>
          <w:marRight w:val="0"/>
          <w:marTop w:val="0"/>
          <w:marBottom w:val="0"/>
          <w:divBdr>
            <w:top w:val="none" w:sz="0" w:space="0" w:color="auto"/>
            <w:left w:val="none" w:sz="0" w:space="0" w:color="auto"/>
            <w:bottom w:val="none" w:sz="0" w:space="0" w:color="auto"/>
            <w:right w:val="none" w:sz="0" w:space="0" w:color="auto"/>
          </w:divBdr>
          <w:divsChild>
            <w:div w:id="323820398">
              <w:marLeft w:val="0"/>
              <w:marRight w:val="0"/>
              <w:marTop w:val="0"/>
              <w:marBottom w:val="0"/>
              <w:divBdr>
                <w:top w:val="none" w:sz="0" w:space="0" w:color="auto"/>
                <w:left w:val="none" w:sz="0" w:space="0" w:color="auto"/>
                <w:bottom w:val="none" w:sz="0" w:space="0" w:color="auto"/>
                <w:right w:val="none" w:sz="0" w:space="0" w:color="auto"/>
              </w:divBdr>
            </w:div>
          </w:divsChild>
        </w:div>
        <w:div w:id="1327972203">
          <w:marLeft w:val="0"/>
          <w:marRight w:val="0"/>
          <w:marTop w:val="0"/>
          <w:marBottom w:val="0"/>
          <w:divBdr>
            <w:top w:val="none" w:sz="0" w:space="0" w:color="auto"/>
            <w:left w:val="none" w:sz="0" w:space="0" w:color="auto"/>
            <w:bottom w:val="none" w:sz="0" w:space="0" w:color="auto"/>
            <w:right w:val="none" w:sz="0" w:space="0" w:color="auto"/>
          </w:divBdr>
          <w:divsChild>
            <w:div w:id="680545541">
              <w:marLeft w:val="0"/>
              <w:marRight w:val="0"/>
              <w:marTop w:val="0"/>
              <w:marBottom w:val="0"/>
              <w:divBdr>
                <w:top w:val="none" w:sz="0" w:space="0" w:color="auto"/>
                <w:left w:val="none" w:sz="0" w:space="0" w:color="auto"/>
                <w:bottom w:val="none" w:sz="0" w:space="0" w:color="auto"/>
                <w:right w:val="none" w:sz="0" w:space="0" w:color="auto"/>
              </w:divBdr>
            </w:div>
          </w:divsChild>
        </w:div>
        <w:div w:id="1333723773">
          <w:marLeft w:val="0"/>
          <w:marRight w:val="0"/>
          <w:marTop w:val="0"/>
          <w:marBottom w:val="0"/>
          <w:divBdr>
            <w:top w:val="none" w:sz="0" w:space="0" w:color="auto"/>
            <w:left w:val="none" w:sz="0" w:space="0" w:color="auto"/>
            <w:bottom w:val="none" w:sz="0" w:space="0" w:color="auto"/>
            <w:right w:val="none" w:sz="0" w:space="0" w:color="auto"/>
          </w:divBdr>
          <w:divsChild>
            <w:div w:id="798960375">
              <w:marLeft w:val="0"/>
              <w:marRight w:val="0"/>
              <w:marTop w:val="0"/>
              <w:marBottom w:val="0"/>
              <w:divBdr>
                <w:top w:val="none" w:sz="0" w:space="0" w:color="auto"/>
                <w:left w:val="none" w:sz="0" w:space="0" w:color="auto"/>
                <w:bottom w:val="none" w:sz="0" w:space="0" w:color="auto"/>
                <w:right w:val="none" w:sz="0" w:space="0" w:color="auto"/>
              </w:divBdr>
            </w:div>
          </w:divsChild>
        </w:div>
        <w:div w:id="1382631991">
          <w:marLeft w:val="0"/>
          <w:marRight w:val="0"/>
          <w:marTop w:val="0"/>
          <w:marBottom w:val="0"/>
          <w:divBdr>
            <w:top w:val="none" w:sz="0" w:space="0" w:color="auto"/>
            <w:left w:val="none" w:sz="0" w:space="0" w:color="auto"/>
            <w:bottom w:val="none" w:sz="0" w:space="0" w:color="auto"/>
            <w:right w:val="none" w:sz="0" w:space="0" w:color="auto"/>
          </w:divBdr>
          <w:divsChild>
            <w:div w:id="848443324">
              <w:marLeft w:val="0"/>
              <w:marRight w:val="0"/>
              <w:marTop w:val="0"/>
              <w:marBottom w:val="0"/>
              <w:divBdr>
                <w:top w:val="none" w:sz="0" w:space="0" w:color="auto"/>
                <w:left w:val="none" w:sz="0" w:space="0" w:color="auto"/>
                <w:bottom w:val="none" w:sz="0" w:space="0" w:color="auto"/>
                <w:right w:val="none" w:sz="0" w:space="0" w:color="auto"/>
              </w:divBdr>
            </w:div>
          </w:divsChild>
        </w:div>
        <w:div w:id="1391728049">
          <w:marLeft w:val="0"/>
          <w:marRight w:val="0"/>
          <w:marTop w:val="0"/>
          <w:marBottom w:val="0"/>
          <w:divBdr>
            <w:top w:val="none" w:sz="0" w:space="0" w:color="auto"/>
            <w:left w:val="none" w:sz="0" w:space="0" w:color="auto"/>
            <w:bottom w:val="none" w:sz="0" w:space="0" w:color="auto"/>
            <w:right w:val="none" w:sz="0" w:space="0" w:color="auto"/>
          </w:divBdr>
          <w:divsChild>
            <w:div w:id="31350079">
              <w:marLeft w:val="0"/>
              <w:marRight w:val="0"/>
              <w:marTop w:val="0"/>
              <w:marBottom w:val="0"/>
              <w:divBdr>
                <w:top w:val="none" w:sz="0" w:space="0" w:color="auto"/>
                <w:left w:val="none" w:sz="0" w:space="0" w:color="auto"/>
                <w:bottom w:val="none" w:sz="0" w:space="0" w:color="auto"/>
                <w:right w:val="none" w:sz="0" w:space="0" w:color="auto"/>
              </w:divBdr>
            </w:div>
          </w:divsChild>
        </w:div>
        <w:div w:id="1447965436">
          <w:marLeft w:val="0"/>
          <w:marRight w:val="0"/>
          <w:marTop w:val="0"/>
          <w:marBottom w:val="0"/>
          <w:divBdr>
            <w:top w:val="none" w:sz="0" w:space="0" w:color="auto"/>
            <w:left w:val="none" w:sz="0" w:space="0" w:color="auto"/>
            <w:bottom w:val="none" w:sz="0" w:space="0" w:color="auto"/>
            <w:right w:val="none" w:sz="0" w:space="0" w:color="auto"/>
          </w:divBdr>
          <w:divsChild>
            <w:div w:id="945889755">
              <w:marLeft w:val="0"/>
              <w:marRight w:val="0"/>
              <w:marTop w:val="0"/>
              <w:marBottom w:val="0"/>
              <w:divBdr>
                <w:top w:val="none" w:sz="0" w:space="0" w:color="auto"/>
                <w:left w:val="none" w:sz="0" w:space="0" w:color="auto"/>
                <w:bottom w:val="none" w:sz="0" w:space="0" w:color="auto"/>
                <w:right w:val="none" w:sz="0" w:space="0" w:color="auto"/>
              </w:divBdr>
            </w:div>
          </w:divsChild>
        </w:div>
        <w:div w:id="1568807417">
          <w:marLeft w:val="0"/>
          <w:marRight w:val="0"/>
          <w:marTop w:val="0"/>
          <w:marBottom w:val="0"/>
          <w:divBdr>
            <w:top w:val="none" w:sz="0" w:space="0" w:color="auto"/>
            <w:left w:val="none" w:sz="0" w:space="0" w:color="auto"/>
            <w:bottom w:val="none" w:sz="0" w:space="0" w:color="auto"/>
            <w:right w:val="none" w:sz="0" w:space="0" w:color="auto"/>
          </w:divBdr>
          <w:divsChild>
            <w:div w:id="91827853">
              <w:marLeft w:val="0"/>
              <w:marRight w:val="0"/>
              <w:marTop w:val="0"/>
              <w:marBottom w:val="0"/>
              <w:divBdr>
                <w:top w:val="none" w:sz="0" w:space="0" w:color="auto"/>
                <w:left w:val="none" w:sz="0" w:space="0" w:color="auto"/>
                <w:bottom w:val="none" w:sz="0" w:space="0" w:color="auto"/>
                <w:right w:val="none" w:sz="0" w:space="0" w:color="auto"/>
              </w:divBdr>
            </w:div>
          </w:divsChild>
        </w:div>
        <w:div w:id="1811628243">
          <w:marLeft w:val="0"/>
          <w:marRight w:val="0"/>
          <w:marTop w:val="0"/>
          <w:marBottom w:val="0"/>
          <w:divBdr>
            <w:top w:val="none" w:sz="0" w:space="0" w:color="auto"/>
            <w:left w:val="none" w:sz="0" w:space="0" w:color="auto"/>
            <w:bottom w:val="none" w:sz="0" w:space="0" w:color="auto"/>
            <w:right w:val="none" w:sz="0" w:space="0" w:color="auto"/>
          </w:divBdr>
          <w:divsChild>
            <w:div w:id="624309815">
              <w:marLeft w:val="0"/>
              <w:marRight w:val="0"/>
              <w:marTop w:val="0"/>
              <w:marBottom w:val="0"/>
              <w:divBdr>
                <w:top w:val="none" w:sz="0" w:space="0" w:color="auto"/>
                <w:left w:val="none" w:sz="0" w:space="0" w:color="auto"/>
                <w:bottom w:val="none" w:sz="0" w:space="0" w:color="auto"/>
                <w:right w:val="none" w:sz="0" w:space="0" w:color="auto"/>
              </w:divBdr>
            </w:div>
          </w:divsChild>
        </w:div>
        <w:div w:id="1888950932">
          <w:marLeft w:val="0"/>
          <w:marRight w:val="0"/>
          <w:marTop w:val="0"/>
          <w:marBottom w:val="0"/>
          <w:divBdr>
            <w:top w:val="none" w:sz="0" w:space="0" w:color="auto"/>
            <w:left w:val="none" w:sz="0" w:space="0" w:color="auto"/>
            <w:bottom w:val="none" w:sz="0" w:space="0" w:color="auto"/>
            <w:right w:val="none" w:sz="0" w:space="0" w:color="auto"/>
          </w:divBdr>
          <w:divsChild>
            <w:div w:id="710888263">
              <w:marLeft w:val="0"/>
              <w:marRight w:val="0"/>
              <w:marTop w:val="0"/>
              <w:marBottom w:val="0"/>
              <w:divBdr>
                <w:top w:val="none" w:sz="0" w:space="0" w:color="auto"/>
                <w:left w:val="none" w:sz="0" w:space="0" w:color="auto"/>
                <w:bottom w:val="none" w:sz="0" w:space="0" w:color="auto"/>
                <w:right w:val="none" w:sz="0" w:space="0" w:color="auto"/>
              </w:divBdr>
            </w:div>
          </w:divsChild>
        </w:div>
        <w:div w:id="1908107202">
          <w:marLeft w:val="0"/>
          <w:marRight w:val="0"/>
          <w:marTop w:val="0"/>
          <w:marBottom w:val="0"/>
          <w:divBdr>
            <w:top w:val="none" w:sz="0" w:space="0" w:color="auto"/>
            <w:left w:val="none" w:sz="0" w:space="0" w:color="auto"/>
            <w:bottom w:val="none" w:sz="0" w:space="0" w:color="auto"/>
            <w:right w:val="none" w:sz="0" w:space="0" w:color="auto"/>
          </w:divBdr>
          <w:divsChild>
            <w:div w:id="1661696395">
              <w:marLeft w:val="0"/>
              <w:marRight w:val="0"/>
              <w:marTop w:val="0"/>
              <w:marBottom w:val="0"/>
              <w:divBdr>
                <w:top w:val="none" w:sz="0" w:space="0" w:color="auto"/>
                <w:left w:val="none" w:sz="0" w:space="0" w:color="auto"/>
                <w:bottom w:val="none" w:sz="0" w:space="0" w:color="auto"/>
                <w:right w:val="none" w:sz="0" w:space="0" w:color="auto"/>
              </w:divBdr>
            </w:div>
          </w:divsChild>
        </w:div>
        <w:div w:id="2033872868">
          <w:marLeft w:val="0"/>
          <w:marRight w:val="0"/>
          <w:marTop w:val="0"/>
          <w:marBottom w:val="0"/>
          <w:divBdr>
            <w:top w:val="none" w:sz="0" w:space="0" w:color="auto"/>
            <w:left w:val="none" w:sz="0" w:space="0" w:color="auto"/>
            <w:bottom w:val="none" w:sz="0" w:space="0" w:color="auto"/>
            <w:right w:val="none" w:sz="0" w:space="0" w:color="auto"/>
          </w:divBdr>
          <w:divsChild>
            <w:div w:id="1372219969">
              <w:marLeft w:val="0"/>
              <w:marRight w:val="0"/>
              <w:marTop w:val="0"/>
              <w:marBottom w:val="0"/>
              <w:divBdr>
                <w:top w:val="none" w:sz="0" w:space="0" w:color="auto"/>
                <w:left w:val="none" w:sz="0" w:space="0" w:color="auto"/>
                <w:bottom w:val="none" w:sz="0" w:space="0" w:color="auto"/>
                <w:right w:val="none" w:sz="0" w:space="0" w:color="auto"/>
              </w:divBdr>
            </w:div>
          </w:divsChild>
        </w:div>
        <w:div w:id="2123378104">
          <w:marLeft w:val="0"/>
          <w:marRight w:val="0"/>
          <w:marTop w:val="0"/>
          <w:marBottom w:val="0"/>
          <w:divBdr>
            <w:top w:val="none" w:sz="0" w:space="0" w:color="auto"/>
            <w:left w:val="none" w:sz="0" w:space="0" w:color="auto"/>
            <w:bottom w:val="none" w:sz="0" w:space="0" w:color="auto"/>
            <w:right w:val="none" w:sz="0" w:space="0" w:color="auto"/>
          </w:divBdr>
          <w:divsChild>
            <w:div w:id="203687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970110">
      <w:bodyDiv w:val="1"/>
      <w:marLeft w:val="0"/>
      <w:marRight w:val="0"/>
      <w:marTop w:val="0"/>
      <w:marBottom w:val="0"/>
      <w:divBdr>
        <w:top w:val="none" w:sz="0" w:space="0" w:color="auto"/>
        <w:left w:val="none" w:sz="0" w:space="0" w:color="auto"/>
        <w:bottom w:val="none" w:sz="0" w:space="0" w:color="auto"/>
        <w:right w:val="none" w:sz="0" w:space="0" w:color="auto"/>
      </w:divBdr>
    </w:div>
    <w:div w:id="470944494">
      <w:bodyDiv w:val="1"/>
      <w:marLeft w:val="0"/>
      <w:marRight w:val="0"/>
      <w:marTop w:val="0"/>
      <w:marBottom w:val="0"/>
      <w:divBdr>
        <w:top w:val="none" w:sz="0" w:space="0" w:color="auto"/>
        <w:left w:val="none" w:sz="0" w:space="0" w:color="auto"/>
        <w:bottom w:val="none" w:sz="0" w:space="0" w:color="auto"/>
        <w:right w:val="none" w:sz="0" w:space="0" w:color="auto"/>
      </w:divBdr>
      <w:divsChild>
        <w:div w:id="16123500">
          <w:marLeft w:val="0"/>
          <w:marRight w:val="0"/>
          <w:marTop w:val="0"/>
          <w:marBottom w:val="0"/>
          <w:divBdr>
            <w:top w:val="none" w:sz="0" w:space="0" w:color="auto"/>
            <w:left w:val="none" w:sz="0" w:space="0" w:color="auto"/>
            <w:bottom w:val="none" w:sz="0" w:space="0" w:color="auto"/>
            <w:right w:val="none" w:sz="0" w:space="0" w:color="auto"/>
          </w:divBdr>
          <w:divsChild>
            <w:div w:id="2058625333">
              <w:marLeft w:val="0"/>
              <w:marRight w:val="0"/>
              <w:marTop w:val="0"/>
              <w:marBottom w:val="0"/>
              <w:divBdr>
                <w:top w:val="none" w:sz="0" w:space="0" w:color="auto"/>
                <w:left w:val="none" w:sz="0" w:space="0" w:color="auto"/>
                <w:bottom w:val="none" w:sz="0" w:space="0" w:color="auto"/>
                <w:right w:val="none" w:sz="0" w:space="0" w:color="auto"/>
              </w:divBdr>
            </w:div>
          </w:divsChild>
        </w:div>
        <w:div w:id="140968305">
          <w:marLeft w:val="0"/>
          <w:marRight w:val="0"/>
          <w:marTop w:val="0"/>
          <w:marBottom w:val="0"/>
          <w:divBdr>
            <w:top w:val="none" w:sz="0" w:space="0" w:color="auto"/>
            <w:left w:val="none" w:sz="0" w:space="0" w:color="auto"/>
            <w:bottom w:val="none" w:sz="0" w:space="0" w:color="auto"/>
            <w:right w:val="none" w:sz="0" w:space="0" w:color="auto"/>
          </w:divBdr>
          <w:divsChild>
            <w:div w:id="1879125192">
              <w:marLeft w:val="0"/>
              <w:marRight w:val="0"/>
              <w:marTop w:val="0"/>
              <w:marBottom w:val="0"/>
              <w:divBdr>
                <w:top w:val="none" w:sz="0" w:space="0" w:color="auto"/>
                <w:left w:val="none" w:sz="0" w:space="0" w:color="auto"/>
                <w:bottom w:val="none" w:sz="0" w:space="0" w:color="auto"/>
                <w:right w:val="none" w:sz="0" w:space="0" w:color="auto"/>
              </w:divBdr>
            </w:div>
          </w:divsChild>
        </w:div>
        <w:div w:id="141703579">
          <w:marLeft w:val="0"/>
          <w:marRight w:val="0"/>
          <w:marTop w:val="0"/>
          <w:marBottom w:val="0"/>
          <w:divBdr>
            <w:top w:val="none" w:sz="0" w:space="0" w:color="auto"/>
            <w:left w:val="none" w:sz="0" w:space="0" w:color="auto"/>
            <w:bottom w:val="none" w:sz="0" w:space="0" w:color="auto"/>
            <w:right w:val="none" w:sz="0" w:space="0" w:color="auto"/>
          </w:divBdr>
          <w:divsChild>
            <w:div w:id="693455570">
              <w:marLeft w:val="0"/>
              <w:marRight w:val="0"/>
              <w:marTop w:val="0"/>
              <w:marBottom w:val="0"/>
              <w:divBdr>
                <w:top w:val="none" w:sz="0" w:space="0" w:color="auto"/>
                <w:left w:val="none" w:sz="0" w:space="0" w:color="auto"/>
                <w:bottom w:val="none" w:sz="0" w:space="0" w:color="auto"/>
                <w:right w:val="none" w:sz="0" w:space="0" w:color="auto"/>
              </w:divBdr>
            </w:div>
          </w:divsChild>
        </w:div>
        <w:div w:id="250313871">
          <w:marLeft w:val="0"/>
          <w:marRight w:val="0"/>
          <w:marTop w:val="0"/>
          <w:marBottom w:val="0"/>
          <w:divBdr>
            <w:top w:val="none" w:sz="0" w:space="0" w:color="auto"/>
            <w:left w:val="none" w:sz="0" w:space="0" w:color="auto"/>
            <w:bottom w:val="none" w:sz="0" w:space="0" w:color="auto"/>
            <w:right w:val="none" w:sz="0" w:space="0" w:color="auto"/>
          </w:divBdr>
          <w:divsChild>
            <w:div w:id="1669748189">
              <w:marLeft w:val="0"/>
              <w:marRight w:val="0"/>
              <w:marTop w:val="0"/>
              <w:marBottom w:val="0"/>
              <w:divBdr>
                <w:top w:val="none" w:sz="0" w:space="0" w:color="auto"/>
                <w:left w:val="none" w:sz="0" w:space="0" w:color="auto"/>
                <w:bottom w:val="none" w:sz="0" w:space="0" w:color="auto"/>
                <w:right w:val="none" w:sz="0" w:space="0" w:color="auto"/>
              </w:divBdr>
            </w:div>
          </w:divsChild>
        </w:div>
        <w:div w:id="272052112">
          <w:marLeft w:val="0"/>
          <w:marRight w:val="0"/>
          <w:marTop w:val="0"/>
          <w:marBottom w:val="0"/>
          <w:divBdr>
            <w:top w:val="none" w:sz="0" w:space="0" w:color="auto"/>
            <w:left w:val="none" w:sz="0" w:space="0" w:color="auto"/>
            <w:bottom w:val="none" w:sz="0" w:space="0" w:color="auto"/>
            <w:right w:val="none" w:sz="0" w:space="0" w:color="auto"/>
          </w:divBdr>
          <w:divsChild>
            <w:div w:id="426311967">
              <w:marLeft w:val="0"/>
              <w:marRight w:val="0"/>
              <w:marTop w:val="0"/>
              <w:marBottom w:val="0"/>
              <w:divBdr>
                <w:top w:val="none" w:sz="0" w:space="0" w:color="auto"/>
                <w:left w:val="none" w:sz="0" w:space="0" w:color="auto"/>
                <w:bottom w:val="none" w:sz="0" w:space="0" w:color="auto"/>
                <w:right w:val="none" w:sz="0" w:space="0" w:color="auto"/>
              </w:divBdr>
            </w:div>
          </w:divsChild>
        </w:div>
        <w:div w:id="278221591">
          <w:marLeft w:val="0"/>
          <w:marRight w:val="0"/>
          <w:marTop w:val="0"/>
          <w:marBottom w:val="0"/>
          <w:divBdr>
            <w:top w:val="none" w:sz="0" w:space="0" w:color="auto"/>
            <w:left w:val="none" w:sz="0" w:space="0" w:color="auto"/>
            <w:bottom w:val="none" w:sz="0" w:space="0" w:color="auto"/>
            <w:right w:val="none" w:sz="0" w:space="0" w:color="auto"/>
          </w:divBdr>
          <w:divsChild>
            <w:div w:id="1537158368">
              <w:marLeft w:val="0"/>
              <w:marRight w:val="0"/>
              <w:marTop w:val="0"/>
              <w:marBottom w:val="0"/>
              <w:divBdr>
                <w:top w:val="none" w:sz="0" w:space="0" w:color="auto"/>
                <w:left w:val="none" w:sz="0" w:space="0" w:color="auto"/>
                <w:bottom w:val="none" w:sz="0" w:space="0" w:color="auto"/>
                <w:right w:val="none" w:sz="0" w:space="0" w:color="auto"/>
              </w:divBdr>
            </w:div>
          </w:divsChild>
        </w:div>
        <w:div w:id="344480248">
          <w:marLeft w:val="0"/>
          <w:marRight w:val="0"/>
          <w:marTop w:val="0"/>
          <w:marBottom w:val="0"/>
          <w:divBdr>
            <w:top w:val="none" w:sz="0" w:space="0" w:color="auto"/>
            <w:left w:val="none" w:sz="0" w:space="0" w:color="auto"/>
            <w:bottom w:val="none" w:sz="0" w:space="0" w:color="auto"/>
            <w:right w:val="none" w:sz="0" w:space="0" w:color="auto"/>
          </w:divBdr>
          <w:divsChild>
            <w:div w:id="1673411372">
              <w:marLeft w:val="0"/>
              <w:marRight w:val="0"/>
              <w:marTop w:val="0"/>
              <w:marBottom w:val="0"/>
              <w:divBdr>
                <w:top w:val="none" w:sz="0" w:space="0" w:color="auto"/>
                <w:left w:val="none" w:sz="0" w:space="0" w:color="auto"/>
                <w:bottom w:val="none" w:sz="0" w:space="0" w:color="auto"/>
                <w:right w:val="none" w:sz="0" w:space="0" w:color="auto"/>
              </w:divBdr>
            </w:div>
          </w:divsChild>
        </w:div>
        <w:div w:id="356270550">
          <w:marLeft w:val="0"/>
          <w:marRight w:val="0"/>
          <w:marTop w:val="0"/>
          <w:marBottom w:val="0"/>
          <w:divBdr>
            <w:top w:val="none" w:sz="0" w:space="0" w:color="auto"/>
            <w:left w:val="none" w:sz="0" w:space="0" w:color="auto"/>
            <w:bottom w:val="none" w:sz="0" w:space="0" w:color="auto"/>
            <w:right w:val="none" w:sz="0" w:space="0" w:color="auto"/>
          </w:divBdr>
          <w:divsChild>
            <w:div w:id="738603078">
              <w:marLeft w:val="0"/>
              <w:marRight w:val="0"/>
              <w:marTop w:val="0"/>
              <w:marBottom w:val="0"/>
              <w:divBdr>
                <w:top w:val="none" w:sz="0" w:space="0" w:color="auto"/>
                <w:left w:val="none" w:sz="0" w:space="0" w:color="auto"/>
                <w:bottom w:val="none" w:sz="0" w:space="0" w:color="auto"/>
                <w:right w:val="none" w:sz="0" w:space="0" w:color="auto"/>
              </w:divBdr>
            </w:div>
          </w:divsChild>
        </w:div>
        <w:div w:id="452483541">
          <w:marLeft w:val="0"/>
          <w:marRight w:val="0"/>
          <w:marTop w:val="0"/>
          <w:marBottom w:val="0"/>
          <w:divBdr>
            <w:top w:val="none" w:sz="0" w:space="0" w:color="auto"/>
            <w:left w:val="none" w:sz="0" w:space="0" w:color="auto"/>
            <w:bottom w:val="none" w:sz="0" w:space="0" w:color="auto"/>
            <w:right w:val="none" w:sz="0" w:space="0" w:color="auto"/>
          </w:divBdr>
          <w:divsChild>
            <w:div w:id="1386639285">
              <w:marLeft w:val="0"/>
              <w:marRight w:val="0"/>
              <w:marTop w:val="0"/>
              <w:marBottom w:val="0"/>
              <w:divBdr>
                <w:top w:val="none" w:sz="0" w:space="0" w:color="auto"/>
                <w:left w:val="none" w:sz="0" w:space="0" w:color="auto"/>
                <w:bottom w:val="none" w:sz="0" w:space="0" w:color="auto"/>
                <w:right w:val="none" w:sz="0" w:space="0" w:color="auto"/>
              </w:divBdr>
            </w:div>
          </w:divsChild>
        </w:div>
        <w:div w:id="552616712">
          <w:marLeft w:val="0"/>
          <w:marRight w:val="0"/>
          <w:marTop w:val="0"/>
          <w:marBottom w:val="0"/>
          <w:divBdr>
            <w:top w:val="none" w:sz="0" w:space="0" w:color="auto"/>
            <w:left w:val="none" w:sz="0" w:space="0" w:color="auto"/>
            <w:bottom w:val="none" w:sz="0" w:space="0" w:color="auto"/>
            <w:right w:val="none" w:sz="0" w:space="0" w:color="auto"/>
          </w:divBdr>
          <w:divsChild>
            <w:div w:id="1228151567">
              <w:marLeft w:val="0"/>
              <w:marRight w:val="0"/>
              <w:marTop w:val="0"/>
              <w:marBottom w:val="0"/>
              <w:divBdr>
                <w:top w:val="none" w:sz="0" w:space="0" w:color="auto"/>
                <w:left w:val="none" w:sz="0" w:space="0" w:color="auto"/>
                <w:bottom w:val="none" w:sz="0" w:space="0" w:color="auto"/>
                <w:right w:val="none" w:sz="0" w:space="0" w:color="auto"/>
              </w:divBdr>
            </w:div>
          </w:divsChild>
        </w:div>
        <w:div w:id="606894079">
          <w:marLeft w:val="0"/>
          <w:marRight w:val="0"/>
          <w:marTop w:val="0"/>
          <w:marBottom w:val="0"/>
          <w:divBdr>
            <w:top w:val="none" w:sz="0" w:space="0" w:color="auto"/>
            <w:left w:val="none" w:sz="0" w:space="0" w:color="auto"/>
            <w:bottom w:val="none" w:sz="0" w:space="0" w:color="auto"/>
            <w:right w:val="none" w:sz="0" w:space="0" w:color="auto"/>
          </w:divBdr>
          <w:divsChild>
            <w:div w:id="1072699084">
              <w:marLeft w:val="0"/>
              <w:marRight w:val="0"/>
              <w:marTop w:val="0"/>
              <w:marBottom w:val="0"/>
              <w:divBdr>
                <w:top w:val="none" w:sz="0" w:space="0" w:color="auto"/>
                <w:left w:val="none" w:sz="0" w:space="0" w:color="auto"/>
                <w:bottom w:val="none" w:sz="0" w:space="0" w:color="auto"/>
                <w:right w:val="none" w:sz="0" w:space="0" w:color="auto"/>
              </w:divBdr>
            </w:div>
          </w:divsChild>
        </w:div>
        <w:div w:id="608513777">
          <w:marLeft w:val="0"/>
          <w:marRight w:val="0"/>
          <w:marTop w:val="0"/>
          <w:marBottom w:val="0"/>
          <w:divBdr>
            <w:top w:val="none" w:sz="0" w:space="0" w:color="auto"/>
            <w:left w:val="none" w:sz="0" w:space="0" w:color="auto"/>
            <w:bottom w:val="none" w:sz="0" w:space="0" w:color="auto"/>
            <w:right w:val="none" w:sz="0" w:space="0" w:color="auto"/>
          </w:divBdr>
          <w:divsChild>
            <w:div w:id="2098401629">
              <w:marLeft w:val="0"/>
              <w:marRight w:val="0"/>
              <w:marTop w:val="0"/>
              <w:marBottom w:val="0"/>
              <w:divBdr>
                <w:top w:val="none" w:sz="0" w:space="0" w:color="auto"/>
                <w:left w:val="none" w:sz="0" w:space="0" w:color="auto"/>
                <w:bottom w:val="none" w:sz="0" w:space="0" w:color="auto"/>
                <w:right w:val="none" w:sz="0" w:space="0" w:color="auto"/>
              </w:divBdr>
            </w:div>
          </w:divsChild>
        </w:div>
        <w:div w:id="630020115">
          <w:marLeft w:val="0"/>
          <w:marRight w:val="0"/>
          <w:marTop w:val="0"/>
          <w:marBottom w:val="0"/>
          <w:divBdr>
            <w:top w:val="none" w:sz="0" w:space="0" w:color="auto"/>
            <w:left w:val="none" w:sz="0" w:space="0" w:color="auto"/>
            <w:bottom w:val="none" w:sz="0" w:space="0" w:color="auto"/>
            <w:right w:val="none" w:sz="0" w:space="0" w:color="auto"/>
          </w:divBdr>
          <w:divsChild>
            <w:div w:id="673383278">
              <w:marLeft w:val="0"/>
              <w:marRight w:val="0"/>
              <w:marTop w:val="0"/>
              <w:marBottom w:val="0"/>
              <w:divBdr>
                <w:top w:val="none" w:sz="0" w:space="0" w:color="auto"/>
                <w:left w:val="none" w:sz="0" w:space="0" w:color="auto"/>
                <w:bottom w:val="none" w:sz="0" w:space="0" w:color="auto"/>
                <w:right w:val="none" w:sz="0" w:space="0" w:color="auto"/>
              </w:divBdr>
            </w:div>
          </w:divsChild>
        </w:div>
        <w:div w:id="638262636">
          <w:marLeft w:val="0"/>
          <w:marRight w:val="0"/>
          <w:marTop w:val="0"/>
          <w:marBottom w:val="0"/>
          <w:divBdr>
            <w:top w:val="none" w:sz="0" w:space="0" w:color="auto"/>
            <w:left w:val="none" w:sz="0" w:space="0" w:color="auto"/>
            <w:bottom w:val="none" w:sz="0" w:space="0" w:color="auto"/>
            <w:right w:val="none" w:sz="0" w:space="0" w:color="auto"/>
          </w:divBdr>
          <w:divsChild>
            <w:div w:id="1004820914">
              <w:marLeft w:val="0"/>
              <w:marRight w:val="0"/>
              <w:marTop w:val="0"/>
              <w:marBottom w:val="0"/>
              <w:divBdr>
                <w:top w:val="none" w:sz="0" w:space="0" w:color="auto"/>
                <w:left w:val="none" w:sz="0" w:space="0" w:color="auto"/>
                <w:bottom w:val="none" w:sz="0" w:space="0" w:color="auto"/>
                <w:right w:val="none" w:sz="0" w:space="0" w:color="auto"/>
              </w:divBdr>
            </w:div>
          </w:divsChild>
        </w:div>
        <w:div w:id="686296795">
          <w:marLeft w:val="0"/>
          <w:marRight w:val="0"/>
          <w:marTop w:val="0"/>
          <w:marBottom w:val="0"/>
          <w:divBdr>
            <w:top w:val="none" w:sz="0" w:space="0" w:color="auto"/>
            <w:left w:val="none" w:sz="0" w:space="0" w:color="auto"/>
            <w:bottom w:val="none" w:sz="0" w:space="0" w:color="auto"/>
            <w:right w:val="none" w:sz="0" w:space="0" w:color="auto"/>
          </w:divBdr>
          <w:divsChild>
            <w:div w:id="1078673954">
              <w:marLeft w:val="0"/>
              <w:marRight w:val="0"/>
              <w:marTop w:val="0"/>
              <w:marBottom w:val="0"/>
              <w:divBdr>
                <w:top w:val="none" w:sz="0" w:space="0" w:color="auto"/>
                <w:left w:val="none" w:sz="0" w:space="0" w:color="auto"/>
                <w:bottom w:val="none" w:sz="0" w:space="0" w:color="auto"/>
                <w:right w:val="none" w:sz="0" w:space="0" w:color="auto"/>
              </w:divBdr>
            </w:div>
          </w:divsChild>
        </w:div>
        <w:div w:id="691077670">
          <w:marLeft w:val="0"/>
          <w:marRight w:val="0"/>
          <w:marTop w:val="0"/>
          <w:marBottom w:val="0"/>
          <w:divBdr>
            <w:top w:val="none" w:sz="0" w:space="0" w:color="auto"/>
            <w:left w:val="none" w:sz="0" w:space="0" w:color="auto"/>
            <w:bottom w:val="none" w:sz="0" w:space="0" w:color="auto"/>
            <w:right w:val="none" w:sz="0" w:space="0" w:color="auto"/>
          </w:divBdr>
          <w:divsChild>
            <w:div w:id="1796827511">
              <w:marLeft w:val="0"/>
              <w:marRight w:val="0"/>
              <w:marTop w:val="0"/>
              <w:marBottom w:val="0"/>
              <w:divBdr>
                <w:top w:val="none" w:sz="0" w:space="0" w:color="auto"/>
                <w:left w:val="none" w:sz="0" w:space="0" w:color="auto"/>
                <w:bottom w:val="none" w:sz="0" w:space="0" w:color="auto"/>
                <w:right w:val="none" w:sz="0" w:space="0" w:color="auto"/>
              </w:divBdr>
            </w:div>
          </w:divsChild>
        </w:div>
        <w:div w:id="1015493915">
          <w:marLeft w:val="0"/>
          <w:marRight w:val="0"/>
          <w:marTop w:val="0"/>
          <w:marBottom w:val="0"/>
          <w:divBdr>
            <w:top w:val="none" w:sz="0" w:space="0" w:color="auto"/>
            <w:left w:val="none" w:sz="0" w:space="0" w:color="auto"/>
            <w:bottom w:val="none" w:sz="0" w:space="0" w:color="auto"/>
            <w:right w:val="none" w:sz="0" w:space="0" w:color="auto"/>
          </w:divBdr>
          <w:divsChild>
            <w:div w:id="1679775491">
              <w:marLeft w:val="0"/>
              <w:marRight w:val="0"/>
              <w:marTop w:val="0"/>
              <w:marBottom w:val="0"/>
              <w:divBdr>
                <w:top w:val="none" w:sz="0" w:space="0" w:color="auto"/>
                <w:left w:val="none" w:sz="0" w:space="0" w:color="auto"/>
                <w:bottom w:val="none" w:sz="0" w:space="0" w:color="auto"/>
                <w:right w:val="none" w:sz="0" w:space="0" w:color="auto"/>
              </w:divBdr>
            </w:div>
          </w:divsChild>
        </w:div>
        <w:div w:id="1025790466">
          <w:marLeft w:val="0"/>
          <w:marRight w:val="0"/>
          <w:marTop w:val="0"/>
          <w:marBottom w:val="0"/>
          <w:divBdr>
            <w:top w:val="none" w:sz="0" w:space="0" w:color="auto"/>
            <w:left w:val="none" w:sz="0" w:space="0" w:color="auto"/>
            <w:bottom w:val="none" w:sz="0" w:space="0" w:color="auto"/>
            <w:right w:val="none" w:sz="0" w:space="0" w:color="auto"/>
          </w:divBdr>
          <w:divsChild>
            <w:div w:id="783615708">
              <w:marLeft w:val="0"/>
              <w:marRight w:val="0"/>
              <w:marTop w:val="0"/>
              <w:marBottom w:val="0"/>
              <w:divBdr>
                <w:top w:val="none" w:sz="0" w:space="0" w:color="auto"/>
                <w:left w:val="none" w:sz="0" w:space="0" w:color="auto"/>
                <w:bottom w:val="none" w:sz="0" w:space="0" w:color="auto"/>
                <w:right w:val="none" w:sz="0" w:space="0" w:color="auto"/>
              </w:divBdr>
            </w:div>
          </w:divsChild>
        </w:div>
        <w:div w:id="1190028249">
          <w:marLeft w:val="0"/>
          <w:marRight w:val="0"/>
          <w:marTop w:val="0"/>
          <w:marBottom w:val="0"/>
          <w:divBdr>
            <w:top w:val="none" w:sz="0" w:space="0" w:color="auto"/>
            <w:left w:val="none" w:sz="0" w:space="0" w:color="auto"/>
            <w:bottom w:val="none" w:sz="0" w:space="0" w:color="auto"/>
            <w:right w:val="none" w:sz="0" w:space="0" w:color="auto"/>
          </w:divBdr>
          <w:divsChild>
            <w:div w:id="1440448119">
              <w:marLeft w:val="0"/>
              <w:marRight w:val="0"/>
              <w:marTop w:val="0"/>
              <w:marBottom w:val="0"/>
              <w:divBdr>
                <w:top w:val="none" w:sz="0" w:space="0" w:color="auto"/>
                <w:left w:val="none" w:sz="0" w:space="0" w:color="auto"/>
                <w:bottom w:val="none" w:sz="0" w:space="0" w:color="auto"/>
                <w:right w:val="none" w:sz="0" w:space="0" w:color="auto"/>
              </w:divBdr>
            </w:div>
          </w:divsChild>
        </w:div>
        <w:div w:id="1194686901">
          <w:marLeft w:val="0"/>
          <w:marRight w:val="0"/>
          <w:marTop w:val="0"/>
          <w:marBottom w:val="0"/>
          <w:divBdr>
            <w:top w:val="none" w:sz="0" w:space="0" w:color="auto"/>
            <w:left w:val="none" w:sz="0" w:space="0" w:color="auto"/>
            <w:bottom w:val="none" w:sz="0" w:space="0" w:color="auto"/>
            <w:right w:val="none" w:sz="0" w:space="0" w:color="auto"/>
          </w:divBdr>
          <w:divsChild>
            <w:div w:id="1983267656">
              <w:marLeft w:val="0"/>
              <w:marRight w:val="0"/>
              <w:marTop w:val="0"/>
              <w:marBottom w:val="0"/>
              <w:divBdr>
                <w:top w:val="none" w:sz="0" w:space="0" w:color="auto"/>
                <w:left w:val="none" w:sz="0" w:space="0" w:color="auto"/>
                <w:bottom w:val="none" w:sz="0" w:space="0" w:color="auto"/>
                <w:right w:val="none" w:sz="0" w:space="0" w:color="auto"/>
              </w:divBdr>
            </w:div>
          </w:divsChild>
        </w:div>
        <w:div w:id="1611205734">
          <w:marLeft w:val="0"/>
          <w:marRight w:val="0"/>
          <w:marTop w:val="0"/>
          <w:marBottom w:val="0"/>
          <w:divBdr>
            <w:top w:val="none" w:sz="0" w:space="0" w:color="auto"/>
            <w:left w:val="none" w:sz="0" w:space="0" w:color="auto"/>
            <w:bottom w:val="none" w:sz="0" w:space="0" w:color="auto"/>
            <w:right w:val="none" w:sz="0" w:space="0" w:color="auto"/>
          </w:divBdr>
          <w:divsChild>
            <w:div w:id="842204163">
              <w:marLeft w:val="0"/>
              <w:marRight w:val="0"/>
              <w:marTop w:val="0"/>
              <w:marBottom w:val="0"/>
              <w:divBdr>
                <w:top w:val="none" w:sz="0" w:space="0" w:color="auto"/>
                <w:left w:val="none" w:sz="0" w:space="0" w:color="auto"/>
                <w:bottom w:val="none" w:sz="0" w:space="0" w:color="auto"/>
                <w:right w:val="none" w:sz="0" w:space="0" w:color="auto"/>
              </w:divBdr>
            </w:div>
          </w:divsChild>
        </w:div>
        <w:div w:id="1614048343">
          <w:marLeft w:val="0"/>
          <w:marRight w:val="0"/>
          <w:marTop w:val="0"/>
          <w:marBottom w:val="0"/>
          <w:divBdr>
            <w:top w:val="none" w:sz="0" w:space="0" w:color="auto"/>
            <w:left w:val="none" w:sz="0" w:space="0" w:color="auto"/>
            <w:bottom w:val="none" w:sz="0" w:space="0" w:color="auto"/>
            <w:right w:val="none" w:sz="0" w:space="0" w:color="auto"/>
          </w:divBdr>
          <w:divsChild>
            <w:div w:id="1795556505">
              <w:marLeft w:val="0"/>
              <w:marRight w:val="0"/>
              <w:marTop w:val="0"/>
              <w:marBottom w:val="0"/>
              <w:divBdr>
                <w:top w:val="none" w:sz="0" w:space="0" w:color="auto"/>
                <w:left w:val="none" w:sz="0" w:space="0" w:color="auto"/>
                <w:bottom w:val="none" w:sz="0" w:space="0" w:color="auto"/>
                <w:right w:val="none" w:sz="0" w:space="0" w:color="auto"/>
              </w:divBdr>
            </w:div>
          </w:divsChild>
        </w:div>
        <w:div w:id="1713312458">
          <w:marLeft w:val="0"/>
          <w:marRight w:val="0"/>
          <w:marTop w:val="0"/>
          <w:marBottom w:val="0"/>
          <w:divBdr>
            <w:top w:val="none" w:sz="0" w:space="0" w:color="auto"/>
            <w:left w:val="none" w:sz="0" w:space="0" w:color="auto"/>
            <w:bottom w:val="none" w:sz="0" w:space="0" w:color="auto"/>
            <w:right w:val="none" w:sz="0" w:space="0" w:color="auto"/>
          </w:divBdr>
          <w:divsChild>
            <w:div w:id="25256996">
              <w:marLeft w:val="0"/>
              <w:marRight w:val="0"/>
              <w:marTop w:val="0"/>
              <w:marBottom w:val="0"/>
              <w:divBdr>
                <w:top w:val="none" w:sz="0" w:space="0" w:color="auto"/>
                <w:left w:val="none" w:sz="0" w:space="0" w:color="auto"/>
                <w:bottom w:val="none" w:sz="0" w:space="0" w:color="auto"/>
                <w:right w:val="none" w:sz="0" w:space="0" w:color="auto"/>
              </w:divBdr>
            </w:div>
          </w:divsChild>
        </w:div>
        <w:div w:id="1735275704">
          <w:marLeft w:val="0"/>
          <w:marRight w:val="0"/>
          <w:marTop w:val="0"/>
          <w:marBottom w:val="0"/>
          <w:divBdr>
            <w:top w:val="none" w:sz="0" w:space="0" w:color="auto"/>
            <w:left w:val="none" w:sz="0" w:space="0" w:color="auto"/>
            <w:bottom w:val="none" w:sz="0" w:space="0" w:color="auto"/>
            <w:right w:val="none" w:sz="0" w:space="0" w:color="auto"/>
          </w:divBdr>
          <w:divsChild>
            <w:div w:id="29229182">
              <w:marLeft w:val="0"/>
              <w:marRight w:val="0"/>
              <w:marTop w:val="0"/>
              <w:marBottom w:val="0"/>
              <w:divBdr>
                <w:top w:val="none" w:sz="0" w:space="0" w:color="auto"/>
                <w:left w:val="none" w:sz="0" w:space="0" w:color="auto"/>
                <w:bottom w:val="none" w:sz="0" w:space="0" w:color="auto"/>
                <w:right w:val="none" w:sz="0" w:space="0" w:color="auto"/>
              </w:divBdr>
            </w:div>
          </w:divsChild>
        </w:div>
        <w:div w:id="1745490546">
          <w:marLeft w:val="0"/>
          <w:marRight w:val="0"/>
          <w:marTop w:val="0"/>
          <w:marBottom w:val="0"/>
          <w:divBdr>
            <w:top w:val="none" w:sz="0" w:space="0" w:color="auto"/>
            <w:left w:val="none" w:sz="0" w:space="0" w:color="auto"/>
            <w:bottom w:val="none" w:sz="0" w:space="0" w:color="auto"/>
            <w:right w:val="none" w:sz="0" w:space="0" w:color="auto"/>
          </w:divBdr>
          <w:divsChild>
            <w:div w:id="1020356461">
              <w:marLeft w:val="0"/>
              <w:marRight w:val="0"/>
              <w:marTop w:val="0"/>
              <w:marBottom w:val="0"/>
              <w:divBdr>
                <w:top w:val="none" w:sz="0" w:space="0" w:color="auto"/>
                <w:left w:val="none" w:sz="0" w:space="0" w:color="auto"/>
                <w:bottom w:val="none" w:sz="0" w:space="0" w:color="auto"/>
                <w:right w:val="none" w:sz="0" w:space="0" w:color="auto"/>
              </w:divBdr>
            </w:div>
          </w:divsChild>
        </w:div>
        <w:div w:id="1863665814">
          <w:marLeft w:val="0"/>
          <w:marRight w:val="0"/>
          <w:marTop w:val="0"/>
          <w:marBottom w:val="0"/>
          <w:divBdr>
            <w:top w:val="none" w:sz="0" w:space="0" w:color="auto"/>
            <w:left w:val="none" w:sz="0" w:space="0" w:color="auto"/>
            <w:bottom w:val="none" w:sz="0" w:space="0" w:color="auto"/>
            <w:right w:val="none" w:sz="0" w:space="0" w:color="auto"/>
          </w:divBdr>
          <w:divsChild>
            <w:div w:id="486557760">
              <w:marLeft w:val="0"/>
              <w:marRight w:val="0"/>
              <w:marTop w:val="0"/>
              <w:marBottom w:val="0"/>
              <w:divBdr>
                <w:top w:val="none" w:sz="0" w:space="0" w:color="auto"/>
                <w:left w:val="none" w:sz="0" w:space="0" w:color="auto"/>
                <w:bottom w:val="none" w:sz="0" w:space="0" w:color="auto"/>
                <w:right w:val="none" w:sz="0" w:space="0" w:color="auto"/>
              </w:divBdr>
            </w:div>
          </w:divsChild>
        </w:div>
        <w:div w:id="1869756332">
          <w:marLeft w:val="0"/>
          <w:marRight w:val="0"/>
          <w:marTop w:val="0"/>
          <w:marBottom w:val="0"/>
          <w:divBdr>
            <w:top w:val="none" w:sz="0" w:space="0" w:color="auto"/>
            <w:left w:val="none" w:sz="0" w:space="0" w:color="auto"/>
            <w:bottom w:val="none" w:sz="0" w:space="0" w:color="auto"/>
            <w:right w:val="none" w:sz="0" w:space="0" w:color="auto"/>
          </w:divBdr>
          <w:divsChild>
            <w:div w:id="539707560">
              <w:marLeft w:val="0"/>
              <w:marRight w:val="0"/>
              <w:marTop w:val="0"/>
              <w:marBottom w:val="0"/>
              <w:divBdr>
                <w:top w:val="none" w:sz="0" w:space="0" w:color="auto"/>
                <w:left w:val="none" w:sz="0" w:space="0" w:color="auto"/>
                <w:bottom w:val="none" w:sz="0" w:space="0" w:color="auto"/>
                <w:right w:val="none" w:sz="0" w:space="0" w:color="auto"/>
              </w:divBdr>
            </w:div>
          </w:divsChild>
        </w:div>
        <w:div w:id="2026327145">
          <w:marLeft w:val="0"/>
          <w:marRight w:val="0"/>
          <w:marTop w:val="0"/>
          <w:marBottom w:val="0"/>
          <w:divBdr>
            <w:top w:val="none" w:sz="0" w:space="0" w:color="auto"/>
            <w:left w:val="none" w:sz="0" w:space="0" w:color="auto"/>
            <w:bottom w:val="none" w:sz="0" w:space="0" w:color="auto"/>
            <w:right w:val="none" w:sz="0" w:space="0" w:color="auto"/>
          </w:divBdr>
          <w:divsChild>
            <w:div w:id="1401322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662844">
      <w:bodyDiv w:val="1"/>
      <w:marLeft w:val="0"/>
      <w:marRight w:val="0"/>
      <w:marTop w:val="0"/>
      <w:marBottom w:val="0"/>
      <w:divBdr>
        <w:top w:val="none" w:sz="0" w:space="0" w:color="auto"/>
        <w:left w:val="none" w:sz="0" w:space="0" w:color="auto"/>
        <w:bottom w:val="none" w:sz="0" w:space="0" w:color="auto"/>
        <w:right w:val="none" w:sz="0" w:space="0" w:color="auto"/>
      </w:divBdr>
    </w:div>
    <w:div w:id="510950745">
      <w:bodyDiv w:val="1"/>
      <w:marLeft w:val="0"/>
      <w:marRight w:val="0"/>
      <w:marTop w:val="0"/>
      <w:marBottom w:val="0"/>
      <w:divBdr>
        <w:top w:val="none" w:sz="0" w:space="0" w:color="auto"/>
        <w:left w:val="none" w:sz="0" w:space="0" w:color="auto"/>
        <w:bottom w:val="none" w:sz="0" w:space="0" w:color="auto"/>
        <w:right w:val="none" w:sz="0" w:space="0" w:color="auto"/>
      </w:divBdr>
      <w:divsChild>
        <w:div w:id="1704820228">
          <w:marLeft w:val="0"/>
          <w:marRight w:val="0"/>
          <w:marTop w:val="0"/>
          <w:marBottom w:val="0"/>
          <w:divBdr>
            <w:top w:val="none" w:sz="0" w:space="0" w:color="auto"/>
            <w:left w:val="none" w:sz="0" w:space="0" w:color="auto"/>
            <w:bottom w:val="none" w:sz="0" w:space="0" w:color="auto"/>
            <w:right w:val="none" w:sz="0" w:space="0" w:color="auto"/>
          </w:divBdr>
          <w:divsChild>
            <w:div w:id="926303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670246">
      <w:bodyDiv w:val="1"/>
      <w:marLeft w:val="0"/>
      <w:marRight w:val="0"/>
      <w:marTop w:val="0"/>
      <w:marBottom w:val="0"/>
      <w:divBdr>
        <w:top w:val="none" w:sz="0" w:space="0" w:color="auto"/>
        <w:left w:val="none" w:sz="0" w:space="0" w:color="auto"/>
        <w:bottom w:val="none" w:sz="0" w:space="0" w:color="auto"/>
        <w:right w:val="none" w:sz="0" w:space="0" w:color="auto"/>
      </w:divBdr>
    </w:div>
    <w:div w:id="559484007">
      <w:bodyDiv w:val="1"/>
      <w:marLeft w:val="0"/>
      <w:marRight w:val="0"/>
      <w:marTop w:val="0"/>
      <w:marBottom w:val="0"/>
      <w:divBdr>
        <w:top w:val="none" w:sz="0" w:space="0" w:color="auto"/>
        <w:left w:val="none" w:sz="0" w:space="0" w:color="auto"/>
        <w:bottom w:val="none" w:sz="0" w:space="0" w:color="auto"/>
        <w:right w:val="none" w:sz="0" w:space="0" w:color="auto"/>
      </w:divBdr>
    </w:div>
    <w:div w:id="568154098">
      <w:bodyDiv w:val="1"/>
      <w:marLeft w:val="0"/>
      <w:marRight w:val="0"/>
      <w:marTop w:val="0"/>
      <w:marBottom w:val="0"/>
      <w:divBdr>
        <w:top w:val="none" w:sz="0" w:space="0" w:color="auto"/>
        <w:left w:val="none" w:sz="0" w:space="0" w:color="auto"/>
        <w:bottom w:val="none" w:sz="0" w:space="0" w:color="auto"/>
        <w:right w:val="none" w:sz="0" w:space="0" w:color="auto"/>
      </w:divBdr>
    </w:div>
    <w:div w:id="585269148">
      <w:bodyDiv w:val="1"/>
      <w:marLeft w:val="0"/>
      <w:marRight w:val="0"/>
      <w:marTop w:val="0"/>
      <w:marBottom w:val="0"/>
      <w:divBdr>
        <w:top w:val="none" w:sz="0" w:space="0" w:color="auto"/>
        <w:left w:val="none" w:sz="0" w:space="0" w:color="auto"/>
        <w:bottom w:val="none" w:sz="0" w:space="0" w:color="auto"/>
        <w:right w:val="none" w:sz="0" w:space="0" w:color="auto"/>
      </w:divBdr>
    </w:div>
    <w:div w:id="608854339">
      <w:bodyDiv w:val="1"/>
      <w:marLeft w:val="0"/>
      <w:marRight w:val="0"/>
      <w:marTop w:val="0"/>
      <w:marBottom w:val="0"/>
      <w:divBdr>
        <w:top w:val="none" w:sz="0" w:space="0" w:color="auto"/>
        <w:left w:val="none" w:sz="0" w:space="0" w:color="auto"/>
        <w:bottom w:val="none" w:sz="0" w:space="0" w:color="auto"/>
        <w:right w:val="none" w:sz="0" w:space="0" w:color="auto"/>
      </w:divBdr>
    </w:div>
    <w:div w:id="625045068">
      <w:bodyDiv w:val="1"/>
      <w:marLeft w:val="0"/>
      <w:marRight w:val="0"/>
      <w:marTop w:val="0"/>
      <w:marBottom w:val="0"/>
      <w:divBdr>
        <w:top w:val="none" w:sz="0" w:space="0" w:color="auto"/>
        <w:left w:val="none" w:sz="0" w:space="0" w:color="auto"/>
        <w:bottom w:val="none" w:sz="0" w:space="0" w:color="auto"/>
        <w:right w:val="none" w:sz="0" w:space="0" w:color="auto"/>
      </w:divBdr>
      <w:divsChild>
        <w:div w:id="282807829">
          <w:marLeft w:val="0"/>
          <w:marRight w:val="0"/>
          <w:marTop w:val="0"/>
          <w:marBottom w:val="0"/>
          <w:divBdr>
            <w:top w:val="none" w:sz="0" w:space="0" w:color="auto"/>
            <w:left w:val="none" w:sz="0" w:space="0" w:color="auto"/>
            <w:bottom w:val="none" w:sz="0" w:space="0" w:color="auto"/>
            <w:right w:val="none" w:sz="0" w:space="0" w:color="auto"/>
          </w:divBdr>
          <w:divsChild>
            <w:div w:id="1000738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015043">
      <w:bodyDiv w:val="1"/>
      <w:marLeft w:val="0"/>
      <w:marRight w:val="0"/>
      <w:marTop w:val="0"/>
      <w:marBottom w:val="0"/>
      <w:divBdr>
        <w:top w:val="none" w:sz="0" w:space="0" w:color="auto"/>
        <w:left w:val="none" w:sz="0" w:space="0" w:color="auto"/>
        <w:bottom w:val="none" w:sz="0" w:space="0" w:color="auto"/>
        <w:right w:val="none" w:sz="0" w:space="0" w:color="auto"/>
      </w:divBdr>
    </w:div>
    <w:div w:id="719128801">
      <w:bodyDiv w:val="1"/>
      <w:marLeft w:val="0"/>
      <w:marRight w:val="0"/>
      <w:marTop w:val="0"/>
      <w:marBottom w:val="0"/>
      <w:divBdr>
        <w:top w:val="none" w:sz="0" w:space="0" w:color="auto"/>
        <w:left w:val="none" w:sz="0" w:space="0" w:color="auto"/>
        <w:bottom w:val="none" w:sz="0" w:space="0" w:color="auto"/>
        <w:right w:val="none" w:sz="0" w:space="0" w:color="auto"/>
      </w:divBdr>
      <w:divsChild>
        <w:div w:id="67502883">
          <w:marLeft w:val="0"/>
          <w:marRight w:val="0"/>
          <w:marTop w:val="0"/>
          <w:marBottom w:val="0"/>
          <w:divBdr>
            <w:top w:val="none" w:sz="0" w:space="0" w:color="auto"/>
            <w:left w:val="none" w:sz="0" w:space="0" w:color="auto"/>
            <w:bottom w:val="none" w:sz="0" w:space="0" w:color="auto"/>
            <w:right w:val="none" w:sz="0" w:space="0" w:color="auto"/>
          </w:divBdr>
          <w:divsChild>
            <w:div w:id="1693144367">
              <w:marLeft w:val="0"/>
              <w:marRight w:val="0"/>
              <w:marTop w:val="0"/>
              <w:marBottom w:val="0"/>
              <w:divBdr>
                <w:top w:val="none" w:sz="0" w:space="0" w:color="auto"/>
                <w:left w:val="none" w:sz="0" w:space="0" w:color="auto"/>
                <w:bottom w:val="none" w:sz="0" w:space="0" w:color="auto"/>
                <w:right w:val="none" w:sz="0" w:space="0" w:color="auto"/>
              </w:divBdr>
            </w:div>
          </w:divsChild>
        </w:div>
        <w:div w:id="89937972">
          <w:marLeft w:val="0"/>
          <w:marRight w:val="0"/>
          <w:marTop w:val="0"/>
          <w:marBottom w:val="0"/>
          <w:divBdr>
            <w:top w:val="none" w:sz="0" w:space="0" w:color="auto"/>
            <w:left w:val="none" w:sz="0" w:space="0" w:color="auto"/>
            <w:bottom w:val="none" w:sz="0" w:space="0" w:color="auto"/>
            <w:right w:val="none" w:sz="0" w:space="0" w:color="auto"/>
          </w:divBdr>
          <w:divsChild>
            <w:div w:id="2047441718">
              <w:marLeft w:val="0"/>
              <w:marRight w:val="0"/>
              <w:marTop w:val="0"/>
              <w:marBottom w:val="0"/>
              <w:divBdr>
                <w:top w:val="none" w:sz="0" w:space="0" w:color="auto"/>
                <w:left w:val="none" w:sz="0" w:space="0" w:color="auto"/>
                <w:bottom w:val="none" w:sz="0" w:space="0" w:color="auto"/>
                <w:right w:val="none" w:sz="0" w:space="0" w:color="auto"/>
              </w:divBdr>
            </w:div>
          </w:divsChild>
        </w:div>
        <w:div w:id="225385784">
          <w:marLeft w:val="0"/>
          <w:marRight w:val="0"/>
          <w:marTop w:val="0"/>
          <w:marBottom w:val="0"/>
          <w:divBdr>
            <w:top w:val="none" w:sz="0" w:space="0" w:color="auto"/>
            <w:left w:val="none" w:sz="0" w:space="0" w:color="auto"/>
            <w:bottom w:val="none" w:sz="0" w:space="0" w:color="auto"/>
            <w:right w:val="none" w:sz="0" w:space="0" w:color="auto"/>
          </w:divBdr>
          <w:divsChild>
            <w:div w:id="747262812">
              <w:marLeft w:val="0"/>
              <w:marRight w:val="0"/>
              <w:marTop w:val="0"/>
              <w:marBottom w:val="0"/>
              <w:divBdr>
                <w:top w:val="none" w:sz="0" w:space="0" w:color="auto"/>
                <w:left w:val="none" w:sz="0" w:space="0" w:color="auto"/>
                <w:bottom w:val="none" w:sz="0" w:space="0" w:color="auto"/>
                <w:right w:val="none" w:sz="0" w:space="0" w:color="auto"/>
              </w:divBdr>
            </w:div>
          </w:divsChild>
        </w:div>
        <w:div w:id="332149904">
          <w:marLeft w:val="0"/>
          <w:marRight w:val="0"/>
          <w:marTop w:val="0"/>
          <w:marBottom w:val="0"/>
          <w:divBdr>
            <w:top w:val="none" w:sz="0" w:space="0" w:color="auto"/>
            <w:left w:val="none" w:sz="0" w:space="0" w:color="auto"/>
            <w:bottom w:val="none" w:sz="0" w:space="0" w:color="auto"/>
            <w:right w:val="none" w:sz="0" w:space="0" w:color="auto"/>
          </w:divBdr>
          <w:divsChild>
            <w:div w:id="1819809060">
              <w:marLeft w:val="0"/>
              <w:marRight w:val="0"/>
              <w:marTop w:val="0"/>
              <w:marBottom w:val="0"/>
              <w:divBdr>
                <w:top w:val="none" w:sz="0" w:space="0" w:color="auto"/>
                <w:left w:val="none" w:sz="0" w:space="0" w:color="auto"/>
                <w:bottom w:val="none" w:sz="0" w:space="0" w:color="auto"/>
                <w:right w:val="none" w:sz="0" w:space="0" w:color="auto"/>
              </w:divBdr>
            </w:div>
          </w:divsChild>
        </w:div>
        <w:div w:id="470290763">
          <w:marLeft w:val="0"/>
          <w:marRight w:val="0"/>
          <w:marTop w:val="0"/>
          <w:marBottom w:val="0"/>
          <w:divBdr>
            <w:top w:val="none" w:sz="0" w:space="0" w:color="auto"/>
            <w:left w:val="none" w:sz="0" w:space="0" w:color="auto"/>
            <w:bottom w:val="none" w:sz="0" w:space="0" w:color="auto"/>
            <w:right w:val="none" w:sz="0" w:space="0" w:color="auto"/>
          </w:divBdr>
          <w:divsChild>
            <w:div w:id="1982342547">
              <w:marLeft w:val="0"/>
              <w:marRight w:val="0"/>
              <w:marTop w:val="0"/>
              <w:marBottom w:val="0"/>
              <w:divBdr>
                <w:top w:val="none" w:sz="0" w:space="0" w:color="auto"/>
                <w:left w:val="none" w:sz="0" w:space="0" w:color="auto"/>
                <w:bottom w:val="none" w:sz="0" w:space="0" w:color="auto"/>
                <w:right w:val="none" w:sz="0" w:space="0" w:color="auto"/>
              </w:divBdr>
            </w:div>
          </w:divsChild>
        </w:div>
        <w:div w:id="733041262">
          <w:marLeft w:val="0"/>
          <w:marRight w:val="0"/>
          <w:marTop w:val="0"/>
          <w:marBottom w:val="0"/>
          <w:divBdr>
            <w:top w:val="none" w:sz="0" w:space="0" w:color="auto"/>
            <w:left w:val="none" w:sz="0" w:space="0" w:color="auto"/>
            <w:bottom w:val="none" w:sz="0" w:space="0" w:color="auto"/>
            <w:right w:val="none" w:sz="0" w:space="0" w:color="auto"/>
          </w:divBdr>
          <w:divsChild>
            <w:div w:id="1347364761">
              <w:marLeft w:val="0"/>
              <w:marRight w:val="0"/>
              <w:marTop w:val="0"/>
              <w:marBottom w:val="0"/>
              <w:divBdr>
                <w:top w:val="none" w:sz="0" w:space="0" w:color="auto"/>
                <w:left w:val="none" w:sz="0" w:space="0" w:color="auto"/>
                <w:bottom w:val="none" w:sz="0" w:space="0" w:color="auto"/>
                <w:right w:val="none" w:sz="0" w:space="0" w:color="auto"/>
              </w:divBdr>
            </w:div>
          </w:divsChild>
        </w:div>
        <w:div w:id="780492598">
          <w:marLeft w:val="0"/>
          <w:marRight w:val="0"/>
          <w:marTop w:val="0"/>
          <w:marBottom w:val="0"/>
          <w:divBdr>
            <w:top w:val="none" w:sz="0" w:space="0" w:color="auto"/>
            <w:left w:val="none" w:sz="0" w:space="0" w:color="auto"/>
            <w:bottom w:val="none" w:sz="0" w:space="0" w:color="auto"/>
            <w:right w:val="none" w:sz="0" w:space="0" w:color="auto"/>
          </w:divBdr>
          <w:divsChild>
            <w:div w:id="246886895">
              <w:marLeft w:val="0"/>
              <w:marRight w:val="0"/>
              <w:marTop w:val="0"/>
              <w:marBottom w:val="0"/>
              <w:divBdr>
                <w:top w:val="none" w:sz="0" w:space="0" w:color="auto"/>
                <w:left w:val="none" w:sz="0" w:space="0" w:color="auto"/>
                <w:bottom w:val="none" w:sz="0" w:space="0" w:color="auto"/>
                <w:right w:val="none" w:sz="0" w:space="0" w:color="auto"/>
              </w:divBdr>
            </w:div>
          </w:divsChild>
        </w:div>
        <w:div w:id="785973410">
          <w:marLeft w:val="0"/>
          <w:marRight w:val="0"/>
          <w:marTop w:val="0"/>
          <w:marBottom w:val="0"/>
          <w:divBdr>
            <w:top w:val="none" w:sz="0" w:space="0" w:color="auto"/>
            <w:left w:val="none" w:sz="0" w:space="0" w:color="auto"/>
            <w:bottom w:val="none" w:sz="0" w:space="0" w:color="auto"/>
            <w:right w:val="none" w:sz="0" w:space="0" w:color="auto"/>
          </w:divBdr>
          <w:divsChild>
            <w:div w:id="149250256">
              <w:marLeft w:val="0"/>
              <w:marRight w:val="0"/>
              <w:marTop w:val="0"/>
              <w:marBottom w:val="0"/>
              <w:divBdr>
                <w:top w:val="none" w:sz="0" w:space="0" w:color="auto"/>
                <w:left w:val="none" w:sz="0" w:space="0" w:color="auto"/>
                <w:bottom w:val="none" w:sz="0" w:space="0" w:color="auto"/>
                <w:right w:val="none" w:sz="0" w:space="0" w:color="auto"/>
              </w:divBdr>
            </w:div>
          </w:divsChild>
        </w:div>
        <w:div w:id="831142776">
          <w:marLeft w:val="0"/>
          <w:marRight w:val="0"/>
          <w:marTop w:val="0"/>
          <w:marBottom w:val="0"/>
          <w:divBdr>
            <w:top w:val="none" w:sz="0" w:space="0" w:color="auto"/>
            <w:left w:val="none" w:sz="0" w:space="0" w:color="auto"/>
            <w:bottom w:val="none" w:sz="0" w:space="0" w:color="auto"/>
            <w:right w:val="none" w:sz="0" w:space="0" w:color="auto"/>
          </w:divBdr>
          <w:divsChild>
            <w:div w:id="1603876228">
              <w:marLeft w:val="0"/>
              <w:marRight w:val="0"/>
              <w:marTop w:val="0"/>
              <w:marBottom w:val="0"/>
              <w:divBdr>
                <w:top w:val="none" w:sz="0" w:space="0" w:color="auto"/>
                <w:left w:val="none" w:sz="0" w:space="0" w:color="auto"/>
                <w:bottom w:val="none" w:sz="0" w:space="0" w:color="auto"/>
                <w:right w:val="none" w:sz="0" w:space="0" w:color="auto"/>
              </w:divBdr>
            </w:div>
          </w:divsChild>
        </w:div>
        <w:div w:id="982005635">
          <w:marLeft w:val="0"/>
          <w:marRight w:val="0"/>
          <w:marTop w:val="0"/>
          <w:marBottom w:val="0"/>
          <w:divBdr>
            <w:top w:val="none" w:sz="0" w:space="0" w:color="auto"/>
            <w:left w:val="none" w:sz="0" w:space="0" w:color="auto"/>
            <w:bottom w:val="none" w:sz="0" w:space="0" w:color="auto"/>
            <w:right w:val="none" w:sz="0" w:space="0" w:color="auto"/>
          </w:divBdr>
          <w:divsChild>
            <w:div w:id="956377496">
              <w:marLeft w:val="0"/>
              <w:marRight w:val="0"/>
              <w:marTop w:val="0"/>
              <w:marBottom w:val="0"/>
              <w:divBdr>
                <w:top w:val="none" w:sz="0" w:space="0" w:color="auto"/>
                <w:left w:val="none" w:sz="0" w:space="0" w:color="auto"/>
                <w:bottom w:val="none" w:sz="0" w:space="0" w:color="auto"/>
                <w:right w:val="none" w:sz="0" w:space="0" w:color="auto"/>
              </w:divBdr>
            </w:div>
          </w:divsChild>
        </w:div>
        <w:div w:id="1085148577">
          <w:marLeft w:val="0"/>
          <w:marRight w:val="0"/>
          <w:marTop w:val="0"/>
          <w:marBottom w:val="0"/>
          <w:divBdr>
            <w:top w:val="none" w:sz="0" w:space="0" w:color="auto"/>
            <w:left w:val="none" w:sz="0" w:space="0" w:color="auto"/>
            <w:bottom w:val="none" w:sz="0" w:space="0" w:color="auto"/>
            <w:right w:val="none" w:sz="0" w:space="0" w:color="auto"/>
          </w:divBdr>
          <w:divsChild>
            <w:div w:id="1747874419">
              <w:marLeft w:val="0"/>
              <w:marRight w:val="0"/>
              <w:marTop w:val="0"/>
              <w:marBottom w:val="0"/>
              <w:divBdr>
                <w:top w:val="none" w:sz="0" w:space="0" w:color="auto"/>
                <w:left w:val="none" w:sz="0" w:space="0" w:color="auto"/>
                <w:bottom w:val="none" w:sz="0" w:space="0" w:color="auto"/>
                <w:right w:val="none" w:sz="0" w:space="0" w:color="auto"/>
              </w:divBdr>
            </w:div>
          </w:divsChild>
        </w:div>
        <w:div w:id="1089734553">
          <w:marLeft w:val="0"/>
          <w:marRight w:val="0"/>
          <w:marTop w:val="0"/>
          <w:marBottom w:val="0"/>
          <w:divBdr>
            <w:top w:val="none" w:sz="0" w:space="0" w:color="auto"/>
            <w:left w:val="none" w:sz="0" w:space="0" w:color="auto"/>
            <w:bottom w:val="none" w:sz="0" w:space="0" w:color="auto"/>
            <w:right w:val="none" w:sz="0" w:space="0" w:color="auto"/>
          </w:divBdr>
          <w:divsChild>
            <w:div w:id="1992174817">
              <w:marLeft w:val="0"/>
              <w:marRight w:val="0"/>
              <w:marTop w:val="0"/>
              <w:marBottom w:val="0"/>
              <w:divBdr>
                <w:top w:val="none" w:sz="0" w:space="0" w:color="auto"/>
                <w:left w:val="none" w:sz="0" w:space="0" w:color="auto"/>
                <w:bottom w:val="none" w:sz="0" w:space="0" w:color="auto"/>
                <w:right w:val="none" w:sz="0" w:space="0" w:color="auto"/>
              </w:divBdr>
            </w:div>
          </w:divsChild>
        </w:div>
        <w:div w:id="1124542910">
          <w:marLeft w:val="0"/>
          <w:marRight w:val="0"/>
          <w:marTop w:val="0"/>
          <w:marBottom w:val="0"/>
          <w:divBdr>
            <w:top w:val="none" w:sz="0" w:space="0" w:color="auto"/>
            <w:left w:val="none" w:sz="0" w:space="0" w:color="auto"/>
            <w:bottom w:val="none" w:sz="0" w:space="0" w:color="auto"/>
            <w:right w:val="none" w:sz="0" w:space="0" w:color="auto"/>
          </w:divBdr>
          <w:divsChild>
            <w:div w:id="1670523285">
              <w:marLeft w:val="0"/>
              <w:marRight w:val="0"/>
              <w:marTop w:val="0"/>
              <w:marBottom w:val="0"/>
              <w:divBdr>
                <w:top w:val="none" w:sz="0" w:space="0" w:color="auto"/>
                <w:left w:val="none" w:sz="0" w:space="0" w:color="auto"/>
                <w:bottom w:val="none" w:sz="0" w:space="0" w:color="auto"/>
                <w:right w:val="none" w:sz="0" w:space="0" w:color="auto"/>
              </w:divBdr>
            </w:div>
          </w:divsChild>
        </w:div>
        <w:div w:id="1258320289">
          <w:marLeft w:val="0"/>
          <w:marRight w:val="0"/>
          <w:marTop w:val="0"/>
          <w:marBottom w:val="0"/>
          <w:divBdr>
            <w:top w:val="none" w:sz="0" w:space="0" w:color="auto"/>
            <w:left w:val="none" w:sz="0" w:space="0" w:color="auto"/>
            <w:bottom w:val="none" w:sz="0" w:space="0" w:color="auto"/>
            <w:right w:val="none" w:sz="0" w:space="0" w:color="auto"/>
          </w:divBdr>
          <w:divsChild>
            <w:div w:id="2042199448">
              <w:marLeft w:val="0"/>
              <w:marRight w:val="0"/>
              <w:marTop w:val="0"/>
              <w:marBottom w:val="0"/>
              <w:divBdr>
                <w:top w:val="none" w:sz="0" w:space="0" w:color="auto"/>
                <w:left w:val="none" w:sz="0" w:space="0" w:color="auto"/>
                <w:bottom w:val="none" w:sz="0" w:space="0" w:color="auto"/>
                <w:right w:val="none" w:sz="0" w:space="0" w:color="auto"/>
              </w:divBdr>
            </w:div>
          </w:divsChild>
        </w:div>
        <w:div w:id="1287347776">
          <w:marLeft w:val="0"/>
          <w:marRight w:val="0"/>
          <w:marTop w:val="0"/>
          <w:marBottom w:val="0"/>
          <w:divBdr>
            <w:top w:val="none" w:sz="0" w:space="0" w:color="auto"/>
            <w:left w:val="none" w:sz="0" w:space="0" w:color="auto"/>
            <w:bottom w:val="none" w:sz="0" w:space="0" w:color="auto"/>
            <w:right w:val="none" w:sz="0" w:space="0" w:color="auto"/>
          </w:divBdr>
          <w:divsChild>
            <w:div w:id="1632705953">
              <w:marLeft w:val="0"/>
              <w:marRight w:val="0"/>
              <w:marTop w:val="0"/>
              <w:marBottom w:val="0"/>
              <w:divBdr>
                <w:top w:val="none" w:sz="0" w:space="0" w:color="auto"/>
                <w:left w:val="none" w:sz="0" w:space="0" w:color="auto"/>
                <w:bottom w:val="none" w:sz="0" w:space="0" w:color="auto"/>
                <w:right w:val="none" w:sz="0" w:space="0" w:color="auto"/>
              </w:divBdr>
            </w:div>
          </w:divsChild>
        </w:div>
        <w:div w:id="1578056299">
          <w:marLeft w:val="0"/>
          <w:marRight w:val="0"/>
          <w:marTop w:val="0"/>
          <w:marBottom w:val="0"/>
          <w:divBdr>
            <w:top w:val="none" w:sz="0" w:space="0" w:color="auto"/>
            <w:left w:val="none" w:sz="0" w:space="0" w:color="auto"/>
            <w:bottom w:val="none" w:sz="0" w:space="0" w:color="auto"/>
            <w:right w:val="none" w:sz="0" w:space="0" w:color="auto"/>
          </w:divBdr>
          <w:divsChild>
            <w:div w:id="1867526313">
              <w:marLeft w:val="0"/>
              <w:marRight w:val="0"/>
              <w:marTop w:val="0"/>
              <w:marBottom w:val="0"/>
              <w:divBdr>
                <w:top w:val="none" w:sz="0" w:space="0" w:color="auto"/>
                <w:left w:val="none" w:sz="0" w:space="0" w:color="auto"/>
                <w:bottom w:val="none" w:sz="0" w:space="0" w:color="auto"/>
                <w:right w:val="none" w:sz="0" w:space="0" w:color="auto"/>
              </w:divBdr>
            </w:div>
          </w:divsChild>
        </w:div>
        <w:div w:id="1599872407">
          <w:marLeft w:val="0"/>
          <w:marRight w:val="0"/>
          <w:marTop w:val="0"/>
          <w:marBottom w:val="0"/>
          <w:divBdr>
            <w:top w:val="none" w:sz="0" w:space="0" w:color="auto"/>
            <w:left w:val="none" w:sz="0" w:space="0" w:color="auto"/>
            <w:bottom w:val="none" w:sz="0" w:space="0" w:color="auto"/>
            <w:right w:val="none" w:sz="0" w:space="0" w:color="auto"/>
          </w:divBdr>
          <w:divsChild>
            <w:div w:id="827792458">
              <w:marLeft w:val="0"/>
              <w:marRight w:val="0"/>
              <w:marTop w:val="0"/>
              <w:marBottom w:val="0"/>
              <w:divBdr>
                <w:top w:val="none" w:sz="0" w:space="0" w:color="auto"/>
                <w:left w:val="none" w:sz="0" w:space="0" w:color="auto"/>
                <w:bottom w:val="none" w:sz="0" w:space="0" w:color="auto"/>
                <w:right w:val="none" w:sz="0" w:space="0" w:color="auto"/>
              </w:divBdr>
            </w:div>
          </w:divsChild>
        </w:div>
        <w:div w:id="1666283667">
          <w:marLeft w:val="0"/>
          <w:marRight w:val="0"/>
          <w:marTop w:val="0"/>
          <w:marBottom w:val="0"/>
          <w:divBdr>
            <w:top w:val="none" w:sz="0" w:space="0" w:color="auto"/>
            <w:left w:val="none" w:sz="0" w:space="0" w:color="auto"/>
            <w:bottom w:val="none" w:sz="0" w:space="0" w:color="auto"/>
            <w:right w:val="none" w:sz="0" w:space="0" w:color="auto"/>
          </w:divBdr>
          <w:divsChild>
            <w:div w:id="2059938117">
              <w:marLeft w:val="0"/>
              <w:marRight w:val="0"/>
              <w:marTop w:val="0"/>
              <w:marBottom w:val="0"/>
              <w:divBdr>
                <w:top w:val="none" w:sz="0" w:space="0" w:color="auto"/>
                <w:left w:val="none" w:sz="0" w:space="0" w:color="auto"/>
                <w:bottom w:val="none" w:sz="0" w:space="0" w:color="auto"/>
                <w:right w:val="none" w:sz="0" w:space="0" w:color="auto"/>
              </w:divBdr>
            </w:div>
          </w:divsChild>
        </w:div>
        <w:div w:id="1729497769">
          <w:marLeft w:val="0"/>
          <w:marRight w:val="0"/>
          <w:marTop w:val="0"/>
          <w:marBottom w:val="0"/>
          <w:divBdr>
            <w:top w:val="none" w:sz="0" w:space="0" w:color="auto"/>
            <w:left w:val="none" w:sz="0" w:space="0" w:color="auto"/>
            <w:bottom w:val="none" w:sz="0" w:space="0" w:color="auto"/>
            <w:right w:val="none" w:sz="0" w:space="0" w:color="auto"/>
          </w:divBdr>
          <w:divsChild>
            <w:div w:id="106394384">
              <w:marLeft w:val="0"/>
              <w:marRight w:val="0"/>
              <w:marTop w:val="0"/>
              <w:marBottom w:val="0"/>
              <w:divBdr>
                <w:top w:val="none" w:sz="0" w:space="0" w:color="auto"/>
                <w:left w:val="none" w:sz="0" w:space="0" w:color="auto"/>
                <w:bottom w:val="none" w:sz="0" w:space="0" w:color="auto"/>
                <w:right w:val="none" w:sz="0" w:space="0" w:color="auto"/>
              </w:divBdr>
            </w:div>
          </w:divsChild>
        </w:div>
        <w:div w:id="1797214056">
          <w:marLeft w:val="0"/>
          <w:marRight w:val="0"/>
          <w:marTop w:val="0"/>
          <w:marBottom w:val="0"/>
          <w:divBdr>
            <w:top w:val="none" w:sz="0" w:space="0" w:color="auto"/>
            <w:left w:val="none" w:sz="0" w:space="0" w:color="auto"/>
            <w:bottom w:val="none" w:sz="0" w:space="0" w:color="auto"/>
            <w:right w:val="none" w:sz="0" w:space="0" w:color="auto"/>
          </w:divBdr>
          <w:divsChild>
            <w:div w:id="125123698">
              <w:marLeft w:val="0"/>
              <w:marRight w:val="0"/>
              <w:marTop w:val="0"/>
              <w:marBottom w:val="0"/>
              <w:divBdr>
                <w:top w:val="none" w:sz="0" w:space="0" w:color="auto"/>
                <w:left w:val="none" w:sz="0" w:space="0" w:color="auto"/>
                <w:bottom w:val="none" w:sz="0" w:space="0" w:color="auto"/>
                <w:right w:val="none" w:sz="0" w:space="0" w:color="auto"/>
              </w:divBdr>
            </w:div>
          </w:divsChild>
        </w:div>
        <w:div w:id="1826241199">
          <w:marLeft w:val="0"/>
          <w:marRight w:val="0"/>
          <w:marTop w:val="0"/>
          <w:marBottom w:val="0"/>
          <w:divBdr>
            <w:top w:val="none" w:sz="0" w:space="0" w:color="auto"/>
            <w:left w:val="none" w:sz="0" w:space="0" w:color="auto"/>
            <w:bottom w:val="none" w:sz="0" w:space="0" w:color="auto"/>
            <w:right w:val="none" w:sz="0" w:space="0" w:color="auto"/>
          </w:divBdr>
          <w:divsChild>
            <w:div w:id="42490782">
              <w:marLeft w:val="0"/>
              <w:marRight w:val="0"/>
              <w:marTop w:val="0"/>
              <w:marBottom w:val="0"/>
              <w:divBdr>
                <w:top w:val="none" w:sz="0" w:space="0" w:color="auto"/>
                <w:left w:val="none" w:sz="0" w:space="0" w:color="auto"/>
                <w:bottom w:val="none" w:sz="0" w:space="0" w:color="auto"/>
                <w:right w:val="none" w:sz="0" w:space="0" w:color="auto"/>
              </w:divBdr>
            </w:div>
          </w:divsChild>
        </w:div>
        <w:div w:id="1901478853">
          <w:marLeft w:val="0"/>
          <w:marRight w:val="0"/>
          <w:marTop w:val="0"/>
          <w:marBottom w:val="0"/>
          <w:divBdr>
            <w:top w:val="none" w:sz="0" w:space="0" w:color="auto"/>
            <w:left w:val="none" w:sz="0" w:space="0" w:color="auto"/>
            <w:bottom w:val="none" w:sz="0" w:space="0" w:color="auto"/>
            <w:right w:val="none" w:sz="0" w:space="0" w:color="auto"/>
          </w:divBdr>
          <w:divsChild>
            <w:div w:id="1629164838">
              <w:marLeft w:val="0"/>
              <w:marRight w:val="0"/>
              <w:marTop w:val="0"/>
              <w:marBottom w:val="0"/>
              <w:divBdr>
                <w:top w:val="none" w:sz="0" w:space="0" w:color="auto"/>
                <w:left w:val="none" w:sz="0" w:space="0" w:color="auto"/>
                <w:bottom w:val="none" w:sz="0" w:space="0" w:color="auto"/>
                <w:right w:val="none" w:sz="0" w:space="0" w:color="auto"/>
              </w:divBdr>
            </w:div>
          </w:divsChild>
        </w:div>
        <w:div w:id="1905875224">
          <w:marLeft w:val="0"/>
          <w:marRight w:val="0"/>
          <w:marTop w:val="0"/>
          <w:marBottom w:val="0"/>
          <w:divBdr>
            <w:top w:val="none" w:sz="0" w:space="0" w:color="auto"/>
            <w:left w:val="none" w:sz="0" w:space="0" w:color="auto"/>
            <w:bottom w:val="none" w:sz="0" w:space="0" w:color="auto"/>
            <w:right w:val="none" w:sz="0" w:space="0" w:color="auto"/>
          </w:divBdr>
          <w:divsChild>
            <w:div w:id="1949389272">
              <w:marLeft w:val="0"/>
              <w:marRight w:val="0"/>
              <w:marTop w:val="0"/>
              <w:marBottom w:val="0"/>
              <w:divBdr>
                <w:top w:val="none" w:sz="0" w:space="0" w:color="auto"/>
                <w:left w:val="none" w:sz="0" w:space="0" w:color="auto"/>
                <w:bottom w:val="none" w:sz="0" w:space="0" w:color="auto"/>
                <w:right w:val="none" w:sz="0" w:space="0" w:color="auto"/>
              </w:divBdr>
            </w:div>
          </w:divsChild>
        </w:div>
        <w:div w:id="1915239394">
          <w:marLeft w:val="0"/>
          <w:marRight w:val="0"/>
          <w:marTop w:val="0"/>
          <w:marBottom w:val="0"/>
          <w:divBdr>
            <w:top w:val="none" w:sz="0" w:space="0" w:color="auto"/>
            <w:left w:val="none" w:sz="0" w:space="0" w:color="auto"/>
            <w:bottom w:val="none" w:sz="0" w:space="0" w:color="auto"/>
            <w:right w:val="none" w:sz="0" w:space="0" w:color="auto"/>
          </w:divBdr>
          <w:divsChild>
            <w:div w:id="1085683946">
              <w:marLeft w:val="0"/>
              <w:marRight w:val="0"/>
              <w:marTop w:val="0"/>
              <w:marBottom w:val="0"/>
              <w:divBdr>
                <w:top w:val="none" w:sz="0" w:space="0" w:color="auto"/>
                <w:left w:val="none" w:sz="0" w:space="0" w:color="auto"/>
                <w:bottom w:val="none" w:sz="0" w:space="0" w:color="auto"/>
                <w:right w:val="none" w:sz="0" w:space="0" w:color="auto"/>
              </w:divBdr>
            </w:div>
          </w:divsChild>
        </w:div>
        <w:div w:id="2016495904">
          <w:marLeft w:val="0"/>
          <w:marRight w:val="0"/>
          <w:marTop w:val="0"/>
          <w:marBottom w:val="0"/>
          <w:divBdr>
            <w:top w:val="none" w:sz="0" w:space="0" w:color="auto"/>
            <w:left w:val="none" w:sz="0" w:space="0" w:color="auto"/>
            <w:bottom w:val="none" w:sz="0" w:space="0" w:color="auto"/>
            <w:right w:val="none" w:sz="0" w:space="0" w:color="auto"/>
          </w:divBdr>
          <w:divsChild>
            <w:div w:id="2073043500">
              <w:marLeft w:val="0"/>
              <w:marRight w:val="0"/>
              <w:marTop w:val="0"/>
              <w:marBottom w:val="0"/>
              <w:divBdr>
                <w:top w:val="none" w:sz="0" w:space="0" w:color="auto"/>
                <w:left w:val="none" w:sz="0" w:space="0" w:color="auto"/>
                <w:bottom w:val="none" w:sz="0" w:space="0" w:color="auto"/>
                <w:right w:val="none" w:sz="0" w:space="0" w:color="auto"/>
              </w:divBdr>
            </w:div>
          </w:divsChild>
        </w:div>
        <w:div w:id="2067877500">
          <w:marLeft w:val="0"/>
          <w:marRight w:val="0"/>
          <w:marTop w:val="0"/>
          <w:marBottom w:val="0"/>
          <w:divBdr>
            <w:top w:val="none" w:sz="0" w:space="0" w:color="auto"/>
            <w:left w:val="none" w:sz="0" w:space="0" w:color="auto"/>
            <w:bottom w:val="none" w:sz="0" w:space="0" w:color="auto"/>
            <w:right w:val="none" w:sz="0" w:space="0" w:color="auto"/>
          </w:divBdr>
          <w:divsChild>
            <w:div w:id="1250307572">
              <w:marLeft w:val="0"/>
              <w:marRight w:val="0"/>
              <w:marTop w:val="0"/>
              <w:marBottom w:val="0"/>
              <w:divBdr>
                <w:top w:val="none" w:sz="0" w:space="0" w:color="auto"/>
                <w:left w:val="none" w:sz="0" w:space="0" w:color="auto"/>
                <w:bottom w:val="none" w:sz="0" w:space="0" w:color="auto"/>
                <w:right w:val="none" w:sz="0" w:space="0" w:color="auto"/>
              </w:divBdr>
            </w:div>
          </w:divsChild>
        </w:div>
        <w:div w:id="2091778635">
          <w:marLeft w:val="0"/>
          <w:marRight w:val="0"/>
          <w:marTop w:val="0"/>
          <w:marBottom w:val="0"/>
          <w:divBdr>
            <w:top w:val="none" w:sz="0" w:space="0" w:color="auto"/>
            <w:left w:val="none" w:sz="0" w:space="0" w:color="auto"/>
            <w:bottom w:val="none" w:sz="0" w:space="0" w:color="auto"/>
            <w:right w:val="none" w:sz="0" w:space="0" w:color="auto"/>
          </w:divBdr>
          <w:divsChild>
            <w:div w:id="1180586063">
              <w:marLeft w:val="0"/>
              <w:marRight w:val="0"/>
              <w:marTop w:val="0"/>
              <w:marBottom w:val="0"/>
              <w:divBdr>
                <w:top w:val="none" w:sz="0" w:space="0" w:color="auto"/>
                <w:left w:val="none" w:sz="0" w:space="0" w:color="auto"/>
                <w:bottom w:val="none" w:sz="0" w:space="0" w:color="auto"/>
                <w:right w:val="none" w:sz="0" w:space="0" w:color="auto"/>
              </w:divBdr>
            </w:div>
          </w:divsChild>
        </w:div>
        <w:div w:id="2139177062">
          <w:marLeft w:val="0"/>
          <w:marRight w:val="0"/>
          <w:marTop w:val="0"/>
          <w:marBottom w:val="0"/>
          <w:divBdr>
            <w:top w:val="none" w:sz="0" w:space="0" w:color="auto"/>
            <w:left w:val="none" w:sz="0" w:space="0" w:color="auto"/>
            <w:bottom w:val="none" w:sz="0" w:space="0" w:color="auto"/>
            <w:right w:val="none" w:sz="0" w:space="0" w:color="auto"/>
          </w:divBdr>
          <w:divsChild>
            <w:div w:id="1981111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404365">
      <w:bodyDiv w:val="1"/>
      <w:marLeft w:val="0"/>
      <w:marRight w:val="0"/>
      <w:marTop w:val="0"/>
      <w:marBottom w:val="0"/>
      <w:divBdr>
        <w:top w:val="none" w:sz="0" w:space="0" w:color="auto"/>
        <w:left w:val="none" w:sz="0" w:space="0" w:color="auto"/>
        <w:bottom w:val="none" w:sz="0" w:space="0" w:color="auto"/>
        <w:right w:val="none" w:sz="0" w:space="0" w:color="auto"/>
      </w:divBdr>
    </w:div>
    <w:div w:id="724988358">
      <w:bodyDiv w:val="1"/>
      <w:marLeft w:val="0"/>
      <w:marRight w:val="0"/>
      <w:marTop w:val="0"/>
      <w:marBottom w:val="0"/>
      <w:divBdr>
        <w:top w:val="none" w:sz="0" w:space="0" w:color="auto"/>
        <w:left w:val="none" w:sz="0" w:space="0" w:color="auto"/>
        <w:bottom w:val="none" w:sz="0" w:space="0" w:color="auto"/>
        <w:right w:val="none" w:sz="0" w:space="0" w:color="auto"/>
      </w:divBdr>
    </w:div>
    <w:div w:id="733964893">
      <w:bodyDiv w:val="1"/>
      <w:marLeft w:val="0"/>
      <w:marRight w:val="0"/>
      <w:marTop w:val="0"/>
      <w:marBottom w:val="0"/>
      <w:divBdr>
        <w:top w:val="none" w:sz="0" w:space="0" w:color="auto"/>
        <w:left w:val="none" w:sz="0" w:space="0" w:color="auto"/>
        <w:bottom w:val="none" w:sz="0" w:space="0" w:color="auto"/>
        <w:right w:val="none" w:sz="0" w:space="0" w:color="auto"/>
      </w:divBdr>
    </w:div>
    <w:div w:id="796224235">
      <w:bodyDiv w:val="1"/>
      <w:marLeft w:val="0"/>
      <w:marRight w:val="0"/>
      <w:marTop w:val="0"/>
      <w:marBottom w:val="0"/>
      <w:divBdr>
        <w:top w:val="none" w:sz="0" w:space="0" w:color="auto"/>
        <w:left w:val="none" w:sz="0" w:space="0" w:color="auto"/>
        <w:bottom w:val="none" w:sz="0" w:space="0" w:color="auto"/>
        <w:right w:val="none" w:sz="0" w:space="0" w:color="auto"/>
      </w:divBdr>
      <w:divsChild>
        <w:div w:id="107940846">
          <w:marLeft w:val="0"/>
          <w:marRight w:val="0"/>
          <w:marTop w:val="0"/>
          <w:marBottom w:val="0"/>
          <w:divBdr>
            <w:top w:val="none" w:sz="0" w:space="0" w:color="auto"/>
            <w:left w:val="none" w:sz="0" w:space="0" w:color="auto"/>
            <w:bottom w:val="none" w:sz="0" w:space="0" w:color="auto"/>
            <w:right w:val="none" w:sz="0" w:space="0" w:color="auto"/>
          </w:divBdr>
          <w:divsChild>
            <w:div w:id="35384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191901">
      <w:bodyDiv w:val="1"/>
      <w:marLeft w:val="0"/>
      <w:marRight w:val="0"/>
      <w:marTop w:val="0"/>
      <w:marBottom w:val="0"/>
      <w:divBdr>
        <w:top w:val="none" w:sz="0" w:space="0" w:color="auto"/>
        <w:left w:val="none" w:sz="0" w:space="0" w:color="auto"/>
        <w:bottom w:val="none" w:sz="0" w:space="0" w:color="auto"/>
        <w:right w:val="none" w:sz="0" w:space="0" w:color="auto"/>
      </w:divBdr>
    </w:div>
    <w:div w:id="847523810">
      <w:bodyDiv w:val="1"/>
      <w:marLeft w:val="0"/>
      <w:marRight w:val="0"/>
      <w:marTop w:val="0"/>
      <w:marBottom w:val="0"/>
      <w:divBdr>
        <w:top w:val="none" w:sz="0" w:space="0" w:color="auto"/>
        <w:left w:val="none" w:sz="0" w:space="0" w:color="auto"/>
        <w:bottom w:val="none" w:sz="0" w:space="0" w:color="auto"/>
        <w:right w:val="none" w:sz="0" w:space="0" w:color="auto"/>
      </w:divBdr>
    </w:div>
    <w:div w:id="876045820">
      <w:bodyDiv w:val="1"/>
      <w:marLeft w:val="0"/>
      <w:marRight w:val="0"/>
      <w:marTop w:val="0"/>
      <w:marBottom w:val="0"/>
      <w:divBdr>
        <w:top w:val="none" w:sz="0" w:space="0" w:color="auto"/>
        <w:left w:val="none" w:sz="0" w:space="0" w:color="auto"/>
        <w:bottom w:val="none" w:sz="0" w:space="0" w:color="auto"/>
        <w:right w:val="none" w:sz="0" w:space="0" w:color="auto"/>
      </w:divBdr>
      <w:divsChild>
        <w:div w:id="502010873">
          <w:marLeft w:val="0"/>
          <w:marRight w:val="0"/>
          <w:marTop w:val="0"/>
          <w:marBottom w:val="0"/>
          <w:divBdr>
            <w:top w:val="none" w:sz="0" w:space="0" w:color="auto"/>
            <w:left w:val="none" w:sz="0" w:space="0" w:color="auto"/>
            <w:bottom w:val="none" w:sz="0" w:space="0" w:color="auto"/>
            <w:right w:val="none" w:sz="0" w:space="0" w:color="auto"/>
          </w:divBdr>
          <w:divsChild>
            <w:div w:id="736249465">
              <w:marLeft w:val="0"/>
              <w:marRight w:val="0"/>
              <w:marTop w:val="0"/>
              <w:marBottom w:val="0"/>
              <w:divBdr>
                <w:top w:val="none" w:sz="0" w:space="0" w:color="auto"/>
                <w:left w:val="none" w:sz="0" w:space="0" w:color="auto"/>
                <w:bottom w:val="none" w:sz="0" w:space="0" w:color="auto"/>
                <w:right w:val="none" w:sz="0" w:space="0" w:color="auto"/>
              </w:divBdr>
              <w:divsChild>
                <w:div w:id="36787163">
                  <w:marLeft w:val="0"/>
                  <w:marRight w:val="0"/>
                  <w:marTop w:val="0"/>
                  <w:marBottom w:val="450"/>
                  <w:divBdr>
                    <w:top w:val="none" w:sz="0" w:space="0" w:color="auto"/>
                    <w:left w:val="none" w:sz="0" w:space="0" w:color="auto"/>
                    <w:bottom w:val="none" w:sz="0" w:space="0" w:color="auto"/>
                    <w:right w:val="none" w:sz="0" w:space="0" w:color="auto"/>
                  </w:divBdr>
                  <w:divsChild>
                    <w:div w:id="1533491497">
                      <w:marLeft w:val="0"/>
                      <w:marRight w:val="0"/>
                      <w:marTop w:val="0"/>
                      <w:marBottom w:val="0"/>
                      <w:divBdr>
                        <w:top w:val="none" w:sz="0" w:space="0" w:color="auto"/>
                        <w:left w:val="none" w:sz="0" w:space="0" w:color="auto"/>
                        <w:bottom w:val="none" w:sz="0" w:space="0" w:color="auto"/>
                        <w:right w:val="none" w:sz="0" w:space="0" w:color="auto"/>
                      </w:divBdr>
                      <w:divsChild>
                        <w:div w:id="891649008">
                          <w:marLeft w:val="0"/>
                          <w:marRight w:val="0"/>
                          <w:marTop w:val="0"/>
                          <w:marBottom w:val="0"/>
                          <w:divBdr>
                            <w:top w:val="none" w:sz="0" w:space="0" w:color="auto"/>
                            <w:left w:val="none" w:sz="0" w:space="0" w:color="auto"/>
                            <w:bottom w:val="none" w:sz="0" w:space="0" w:color="auto"/>
                            <w:right w:val="none" w:sz="0" w:space="0" w:color="auto"/>
                          </w:divBdr>
                          <w:divsChild>
                            <w:div w:id="431628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7279631">
      <w:bodyDiv w:val="1"/>
      <w:marLeft w:val="0"/>
      <w:marRight w:val="0"/>
      <w:marTop w:val="0"/>
      <w:marBottom w:val="0"/>
      <w:divBdr>
        <w:top w:val="none" w:sz="0" w:space="0" w:color="auto"/>
        <w:left w:val="none" w:sz="0" w:space="0" w:color="auto"/>
        <w:bottom w:val="none" w:sz="0" w:space="0" w:color="auto"/>
        <w:right w:val="none" w:sz="0" w:space="0" w:color="auto"/>
      </w:divBdr>
    </w:div>
    <w:div w:id="889730056">
      <w:bodyDiv w:val="1"/>
      <w:marLeft w:val="0"/>
      <w:marRight w:val="0"/>
      <w:marTop w:val="0"/>
      <w:marBottom w:val="0"/>
      <w:divBdr>
        <w:top w:val="none" w:sz="0" w:space="0" w:color="auto"/>
        <w:left w:val="none" w:sz="0" w:space="0" w:color="auto"/>
        <w:bottom w:val="none" w:sz="0" w:space="0" w:color="auto"/>
        <w:right w:val="none" w:sz="0" w:space="0" w:color="auto"/>
      </w:divBdr>
    </w:div>
    <w:div w:id="911429597">
      <w:bodyDiv w:val="1"/>
      <w:marLeft w:val="0"/>
      <w:marRight w:val="0"/>
      <w:marTop w:val="0"/>
      <w:marBottom w:val="0"/>
      <w:divBdr>
        <w:top w:val="none" w:sz="0" w:space="0" w:color="auto"/>
        <w:left w:val="none" w:sz="0" w:space="0" w:color="auto"/>
        <w:bottom w:val="none" w:sz="0" w:space="0" w:color="auto"/>
        <w:right w:val="none" w:sz="0" w:space="0" w:color="auto"/>
      </w:divBdr>
    </w:div>
    <w:div w:id="961425800">
      <w:bodyDiv w:val="1"/>
      <w:marLeft w:val="0"/>
      <w:marRight w:val="0"/>
      <w:marTop w:val="0"/>
      <w:marBottom w:val="0"/>
      <w:divBdr>
        <w:top w:val="none" w:sz="0" w:space="0" w:color="auto"/>
        <w:left w:val="none" w:sz="0" w:space="0" w:color="auto"/>
        <w:bottom w:val="none" w:sz="0" w:space="0" w:color="auto"/>
        <w:right w:val="none" w:sz="0" w:space="0" w:color="auto"/>
      </w:divBdr>
    </w:div>
    <w:div w:id="961689809">
      <w:bodyDiv w:val="1"/>
      <w:marLeft w:val="0"/>
      <w:marRight w:val="0"/>
      <w:marTop w:val="0"/>
      <w:marBottom w:val="0"/>
      <w:divBdr>
        <w:top w:val="none" w:sz="0" w:space="0" w:color="auto"/>
        <w:left w:val="none" w:sz="0" w:space="0" w:color="auto"/>
        <w:bottom w:val="none" w:sz="0" w:space="0" w:color="auto"/>
        <w:right w:val="none" w:sz="0" w:space="0" w:color="auto"/>
      </w:divBdr>
    </w:div>
    <w:div w:id="993529790">
      <w:bodyDiv w:val="1"/>
      <w:marLeft w:val="0"/>
      <w:marRight w:val="0"/>
      <w:marTop w:val="0"/>
      <w:marBottom w:val="0"/>
      <w:divBdr>
        <w:top w:val="none" w:sz="0" w:space="0" w:color="auto"/>
        <w:left w:val="none" w:sz="0" w:space="0" w:color="auto"/>
        <w:bottom w:val="none" w:sz="0" w:space="0" w:color="auto"/>
        <w:right w:val="none" w:sz="0" w:space="0" w:color="auto"/>
      </w:divBdr>
    </w:div>
    <w:div w:id="1002011293">
      <w:bodyDiv w:val="1"/>
      <w:marLeft w:val="0"/>
      <w:marRight w:val="0"/>
      <w:marTop w:val="0"/>
      <w:marBottom w:val="0"/>
      <w:divBdr>
        <w:top w:val="none" w:sz="0" w:space="0" w:color="auto"/>
        <w:left w:val="none" w:sz="0" w:space="0" w:color="auto"/>
        <w:bottom w:val="none" w:sz="0" w:space="0" w:color="auto"/>
        <w:right w:val="none" w:sz="0" w:space="0" w:color="auto"/>
      </w:divBdr>
    </w:div>
    <w:div w:id="1039236447">
      <w:bodyDiv w:val="1"/>
      <w:marLeft w:val="0"/>
      <w:marRight w:val="0"/>
      <w:marTop w:val="0"/>
      <w:marBottom w:val="0"/>
      <w:divBdr>
        <w:top w:val="none" w:sz="0" w:space="0" w:color="auto"/>
        <w:left w:val="none" w:sz="0" w:space="0" w:color="auto"/>
        <w:bottom w:val="none" w:sz="0" w:space="0" w:color="auto"/>
        <w:right w:val="none" w:sz="0" w:space="0" w:color="auto"/>
      </w:divBdr>
    </w:div>
    <w:div w:id="1046415084">
      <w:bodyDiv w:val="1"/>
      <w:marLeft w:val="0"/>
      <w:marRight w:val="0"/>
      <w:marTop w:val="0"/>
      <w:marBottom w:val="0"/>
      <w:divBdr>
        <w:top w:val="none" w:sz="0" w:space="0" w:color="auto"/>
        <w:left w:val="none" w:sz="0" w:space="0" w:color="auto"/>
        <w:bottom w:val="none" w:sz="0" w:space="0" w:color="auto"/>
        <w:right w:val="none" w:sz="0" w:space="0" w:color="auto"/>
      </w:divBdr>
    </w:div>
    <w:div w:id="1049379500">
      <w:bodyDiv w:val="1"/>
      <w:marLeft w:val="0"/>
      <w:marRight w:val="0"/>
      <w:marTop w:val="0"/>
      <w:marBottom w:val="0"/>
      <w:divBdr>
        <w:top w:val="none" w:sz="0" w:space="0" w:color="auto"/>
        <w:left w:val="none" w:sz="0" w:space="0" w:color="auto"/>
        <w:bottom w:val="none" w:sz="0" w:space="0" w:color="auto"/>
        <w:right w:val="none" w:sz="0" w:space="0" w:color="auto"/>
      </w:divBdr>
    </w:div>
    <w:div w:id="1066496216">
      <w:bodyDiv w:val="1"/>
      <w:marLeft w:val="0"/>
      <w:marRight w:val="0"/>
      <w:marTop w:val="0"/>
      <w:marBottom w:val="0"/>
      <w:divBdr>
        <w:top w:val="none" w:sz="0" w:space="0" w:color="auto"/>
        <w:left w:val="none" w:sz="0" w:space="0" w:color="auto"/>
        <w:bottom w:val="none" w:sz="0" w:space="0" w:color="auto"/>
        <w:right w:val="none" w:sz="0" w:space="0" w:color="auto"/>
      </w:divBdr>
    </w:div>
    <w:div w:id="1092581819">
      <w:bodyDiv w:val="1"/>
      <w:marLeft w:val="0"/>
      <w:marRight w:val="0"/>
      <w:marTop w:val="0"/>
      <w:marBottom w:val="0"/>
      <w:divBdr>
        <w:top w:val="none" w:sz="0" w:space="0" w:color="auto"/>
        <w:left w:val="none" w:sz="0" w:space="0" w:color="auto"/>
        <w:bottom w:val="none" w:sz="0" w:space="0" w:color="auto"/>
        <w:right w:val="none" w:sz="0" w:space="0" w:color="auto"/>
      </w:divBdr>
      <w:divsChild>
        <w:div w:id="1824275018">
          <w:marLeft w:val="0"/>
          <w:marRight w:val="0"/>
          <w:marTop w:val="0"/>
          <w:marBottom w:val="0"/>
          <w:divBdr>
            <w:top w:val="none" w:sz="0" w:space="0" w:color="auto"/>
            <w:left w:val="none" w:sz="0" w:space="0" w:color="auto"/>
            <w:bottom w:val="none" w:sz="0" w:space="0" w:color="auto"/>
            <w:right w:val="none" w:sz="0" w:space="0" w:color="auto"/>
          </w:divBdr>
          <w:divsChild>
            <w:div w:id="701708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252391">
      <w:bodyDiv w:val="1"/>
      <w:marLeft w:val="0"/>
      <w:marRight w:val="0"/>
      <w:marTop w:val="0"/>
      <w:marBottom w:val="0"/>
      <w:divBdr>
        <w:top w:val="none" w:sz="0" w:space="0" w:color="auto"/>
        <w:left w:val="none" w:sz="0" w:space="0" w:color="auto"/>
        <w:bottom w:val="none" w:sz="0" w:space="0" w:color="auto"/>
        <w:right w:val="none" w:sz="0" w:space="0" w:color="auto"/>
      </w:divBdr>
    </w:div>
    <w:div w:id="1103039441">
      <w:bodyDiv w:val="1"/>
      <w:marLeft w:val="0"/>
      <w:marRight w:val="0"/>
      <w:marTop w:val="0"/>
      <w:marBottom w:val="0"/>
      <w:divBdr>
        <w:top w:val="none" w:sz="0" w:space="0" w:color="auto"/>
        <w:left w:val="none" w:sz="0" w:space="0" w:color="auto"/>
        <w:bottom w:val="none" w:sz="0" w:space="0" w:color="auto"/>
        <w:right w:val="none" w:sz="0" w:space="0" w:color="auto"/>
      </w:divBdr>
    </w:div>
    <w:div w:id="1158158547">
      <w:bodyDiv w:val="1"/>
      <w:marLeft w:val="0"/>
      <w:marRight w:val="0"/>
      <w:marTop w:val="0"/>
      <w:marBottom w:val="0"/>
      <w:divBdr>
        <w:top w:val="none" w:sz="0" w:space="0" w:color="auto"/>
        <w:left w:val="none" w:sz="0" w:space="0" w:color="auto"/>
        <w:bottom w:val="none" w:sz="0" w:space="0" w:color="auto"/>
        <w:right w:val="none" w:sz="0" w:space="0" w:color="auto"/>
      </w:divBdr>
      <w:divsChild>
        <w:div w:id="300577421">
          <w:marLeft w:val="0"/>
          <w:marRight w:val="0"/>
          <w:marTop w:val="0"/>
          <w:marBottom w:val="0"/>
          <w:divBdr>
            <w:top w:val="none" w:sz="0" w:space="0" w:color="auto"/>
            <w:left w:val="none" w:sz="0" w:space="0" w:color="auto"/>
            <w:bottom w:val="none" w:sz="0" w:space="0" w:color="auto"/>
            <w:right w:val="none" w:sz="0" w:space="0" w:color="auto"/>
          </w:divBdr>
          <w:divsChild>
            <w:div w:id="1051467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770270">
      <w:bodyDiv w:val="1"/>
      <w:marLeft w:val="0"/>
      <w:marRight w:val="0"/>
      <w:marTop w:val="0"/>
      <w:marBottom w:val="0"/>
      <w:divBdr>
        <w:top w:val="none" w:sz="0" w:space="0" w:color="auto"/>
        <w:left w:val="none" w:sz="0" w:space="0" w:color="auto"/>
        <w:bottom w:val="none" w:sz="0" w:space="0" w:color="auto"/>
        <w:right w:val="none" w:sz="0" w:space="0" w:color="auto"/>
      </w:divBdr>
    </w:div>
    <w:div w:id="1165248524">
      <w:bodyDiv w:val="1"/>
      <w:marLeft w:val="0"/>
      <w:marRight w:val="0"/>
      <w:marTop w:val="0"/>
      <w:marBottom w:val="0"/>
      <w:divBdr>
        <w:top w:val="none" w:sz="0" w:space="0" w:color="auto"/>
        <w:left w:val="none" w:sz="0" w:space="0" w:color="auto"/>
        <w:bottom w:val="none" w:sz="0" w:space="0" w:color="auto"/>
        <w:right w:val="none" w:sz="0" w:space="0" w:color="auto"/>
      </w:divBdr>
    </w:div>
    <w:div w:id="1170096437">
      <w:bodyDiv w:val="1"/>
      <w:marLeft w:val="0"/>
      <w:marRight w:val="0"/>
      <w:marTop w:val="0"/>
      <w:marBottom w:val="0"/>
      <w:divBdr>
        <w:top w:val="none" w:sz="0" w:space="0" w:color="auto"/>
        <w:left w:val="none" w:sz="0" w:space="0" w:color="auto"/>
        <w:bottom w:val="none" w:sz="0" w:space="0" w:color="auto"/>
        <w:right w:val="none" w:sz="0" w:space="0" w:color="auto"/>
      </w:divBdr>
      <w:divsChild>
        <w:div w:id="74743256">
          <w:marLeft w:val="0"/>
          <w:marRight w:val="0"/>
          <w:marTop w:val="0"/>
          <w:marBottom w:val="0"/>
          <w:divBdr>
            <w:top w:val="none" w:sz="0" w:space="0" w:color="auto"/>
            <w:left w:val="none" w:sz="0" w:space="0" w:color="auto"/>
            <w:bottom w:val="none" w:sz="0" w:space="0" w:color="auto"/>
            <w:right w:val="none" w:sz="0" w:space="0" w:color="auto"/>
          </w:divBdr>
        </w:div>
        <w:div w:id="115948740">
          <w:marLeft w:val="0"/>
          <w:marRight w:val="0"/>
          <w:marTop w:val="0"/>
          <w:marBottom w:val="0"/>
          <w:divBdr>
            <w:top w:val="none" w:sz="0" w:space="0" w:color="auto"/>
            <w:left w:val="none" w:sz="0" w:space="0" w:color="auto"/>
            <w:bottom w:val="none" w:sz="0" w:space="0" w:color="auto"/>
            <w:right w:val="none" w:sz="0" w:space="0" w:color="auto"/>
          </w:divBdr>
          <w:divsChild>
            <w:div w:id="313729420">
              <w:marLeft w:val="0"/>
              <w:marRight w:val="0"/>
              <w:marTop w:val="30"/>
              <w:marBottom w:val="30"/>
              <w:divBdr>
                <w:top w:val="none" w:sz="0" w:space="0" w:color="auto"/>
                <w:left w:val="none" w:sz="0" w:space="0" w:color="auto"/>
                <w:bottom w:val="none" w:sz="0" w:space="0" w:color="auto"/>
                <w:right w:val="none" w:sz="0" w:space="0" w:color="auto"/>
              </w:divBdr>
              <w:divsChild>
                <w:div w:id="276001">
                  <w:marLeft w:val="0"/>
                  <w:marRight w:val="0"/>
                  <w:marTop w:val="0"/>
                  <w:marBottom w:val="0"/>
                  <w:divBdr>
                    <w:top w:val="none" w:sz="0" w:space="0" w:color="auto"/>
                    <w:left w:val="none" w:sz="0" w:space="0" w:color="auto"/>
                    <w:bottom w:val="none" w:sz="0" w:space="0" w:color="auto"/>
                    <w:right w:val="none" w:sz="0" w:space="0" w:color="auto"/>
                  </w:divBdr>
                  <w:divsChild>
                    <w:div w:id="2053115858">
                      <w:marLeft w:val="0"/>
                      <w:marRight w:val="0"/>
                      <w:marTop w:val="0"/>
                      <w:marBottom w:val="0"/>
                      <w:divBdr>
                        <w:top w:val="none" w:sz="0" w:space="0" w:color="auto"/>
                        <w:left w:val="none" w:sz="0" w:space="0" w:color="auto"/>
                        <w:bottom w:val="none" w:sz="0" w:space="0" w:color="auto"/>
                        <w:right w:val="none" w:sz="0" w:space="0" w:color="auto"/>
                      </w:divBdr>
                    </w:div>
                  </w:divsChild>
                </w:div>
                <w:div w:id="66732414">
                  <w:marLeft w:val="0"/>
                  <w:marRight w:val="0"/>
                  <w:marTop w:val="0"/>
                  <w:marBottom w:val="0"/>
                  <w:divBdr>
                    <w:top w:val="none" w:sz="0" w:space="0" w:color="auto"/>
                    <w:left w:val="none" w:sz="0" w:space="0" w:color="auto"/>
                    <w:bottom w:val="none" w:sz="0" w:space="0" w:color="auto"/>
                    <w:right w:val="none" w:sz="0" w:space="0" w:color="auto"/>
                  </w:divBdr>
                  <w:divsChild>
                    <w:div w:id="160508778">
                      <w:marLeft w:val="0"/>
                      <w:marRight w:val="0"/>
                      <w:marTop w:val="0"/>
                      <w:marBottom w:val="0"/>
                      <w:divBdr>
                        <w:top w:val="none" w:sz="0" w:space="0" w:color="auto"/>
                        <w:left w:val="none" w:sz="0" w:space="0" w:color="auto"/>
                        <w:bottom w:val="none" w:sz="0" w:space="0" w:color="auto"/>
                        <w:right w:val="none" w:sz="0" w:space="0" w:color="auto"/>
                      </w:divBdr>
                    </w:div>
                  </w:divsChild>
                </w:div>
                <w:div w:id="356346210">
                  <w:marLeft w:val="0"/>
                  <w:marRight w:val="0"/>
                  <w:marTop w:val="0"/>
                  <w:marBottom w:val="0"/>
                  <w:divBdr>
                    <w:top w:val="none" w:sz="0" w:space="0" w:color="auto"/>
                    <w:left w:val="none" w:sz="0" w:space="0" w:color="auto"/>
                    <w:bottom w:val="none" w:sz="0" w:space="0" w:color="auto"/>
                    <w:right w:val="none" w:sz="0" w:space="0" w:color="auto"/>
                  </w:divBdr>
                  <w:divsChild>
                    <w:div w:id="2079939517">
                      <w:marLeft w:val="0"/>
                      <w:marRight w:val="0"/>
                      <w:marTop w:val="0"/>
                      <w:marBottom w:val="0"/>
                      <w:divBdr>
                        <w:top w:val="none" w:sz="0" w:space="0" w:color="auto"/>
                        <w:left w:val="none" w:sz="0" w:space="0" w:color="auto"/>
                        <w:bottom w:val="none" w:sz="0" w:space="0" w:color="auto"/>
                        <w:right w:val="none" w:sz="0" w:space="0" w:color="auto"/>
                      </w:divBdr>
                    </w:div>
                  </w:divsChild>
                </w:div>
                <w:div w:id="784541726">
                  <w:marLeft w:val="0"/>
                  <w:marRight w:val="0"/>
                  <w:marTop w:val="0"/>
                  <w:marBottom w:val="0"/>
                  <w:divBdr>
                    <w:top w:val="none" w:sz="0" w:space="0" w:color="auto"/>
                    <w:left w:val="none" w:sz="0" w:space="0" w:color="auto"/>
                    <w:bottom w:val="none" w:sz="0" w:space="0" w:color="auto"/>
                    <w:right w:val="none" w:sz="0" w:space="0" w:color="auto"/>
                  </w:divBdr>
                  <w:divsChild>
                    <w:div w:id="1678730705">
                      <w:marLeft w:val="0"/>
                      <w:marRight w:val="0"/>
                      <w:marTop w:val="0"/>
                      <w:marBottom w:val="0"/>
                      <w:divBdr>
                        <w:top w:val="none" w:sz="0" w:space="0" w:color="auto"/>
                        <w:left w:val="none" w:sz="0" w:space="0" w:color="auto"/>
                        <w:bottom w:val="none" w:sz="0" w:space="0" w:color="auto"/>
                        <w:right w:val="none" w:sz="0" w:space="0" w:color="auto"/>
                      </w:divBdr>
                    </w:div>
                  </w:divsChild>
                </w:div>
                <w:div w:id="882059713">
                  <w:marLeft w:val="0"/>
                  <w:marRight w:val="0"/>
                  <w:marTop w:val="0"/>
                  <w:marBottom w:val="0"/>
                  <w:divBdr>
                    <w:top w:val="none" w:sz="0" w:space="0" w:color="auto"/>
                    <w:left w:val="none" w:sz="0" w:space="0" w:color="auto"/>
                    <w:bottom w:val="none" w:sz="0" w:space="0" w:color="auto"/>
                    <w:right w:val="none" w:sz="0" w:space="0" w:color="auto"/>
                  </w:divBdr>
                  <w:divsChild>
                    <w:div w:id="915162965">
                      <w:marLeft w:val="0"/>
                      <w:marRight w:val="0"/>
                      <w:marTop w:val="0"/>
                      <w:marBottom w:val="0"/>
                      <w:divBdr>
                        <w:top w:val="none" w:sz="0" w:space="0" w:color="auto"/>
                        <w:left w:val="none" w:sz="0" w:space="0" w:color="auto"/>
                        <w:bottom w:val="none" w:sz="0" w:space="0" w:color="auto"/>
                        <w:right w:val="none" w:sz="0" w:space="0" w:color="auto"/>
                      </w:divBdr>
                    </w:div>
                  </w:divsChild>
                </w:div>
                <w:div w:id="1760834887">
                  <w:marLeft w:val="0"/>
                  <w:marRight w:val="0"/>
                  <w:marTop w:val="0"/>
                  <w:marBottom w:val="0"/>
                  <w:divBdr>
                    <w:top w:val="none" w:sz="0" w:space="0" w:color="auto"/>
                    <w:left w:val="none" w:sz="0" w:space="0" w:color="auto"/>
                    <w:bottom w:val="none" w:sz="0" w:space="0" w:color="auto"/>
                    <w:right w:val="none" w:sz="0" w:space="0" w:color="auto"/>
                  </w:divBdr>
                  <w:divsChild>
                    <w:div w:id="1865360773">
                      <w:marLeft w:val="0"/>
                      <w:marRight w:val="0"/>
                      <w:marTop w:val="0"/>
                      <w:marBottom w:val="0"/>
                      <w:divBdr>
                        <w:top w:val="none" w:sz="0" w:space="0" w:color="auto"/>
                        <w:left w:val="none" w:sz="0" w:space="0" w:color="auto"/>
                        <w:bottom w:val="none" w:sz="0" w:space="0" w:color="auto"/>
                        <w:right w:val="none" w:sz="0" w:space="0" w:color="auto"/>
                      </w:divBdr>
                    </w:div>
                  </w:divsChild>
                </w:div>
                <w:div w:id="1763843355">
                  <w:marLeft w:val="0"/>
                  <w:marRight w:val="0"/>
                  <w:marTop w:val="0"/>
                  <w:marBottom w:val="0"/>
                  <w:divBdr>
                    <w:top w:val="none" w:sz="0" w:space="0" w:color="auto"/>
                    <w:left w:val="none" w:sz="0" w:space="0" w:color="auto"/>
                    <w:bottom w:val="none" w:sz="0" w:space="0" w:color="auto"/>
                    <w:right w:val="none" w:sz="0" w:space="0" w:color="auto"/>
                  </w:divBdr>
                  <w:divsChild>
                    <w:div w:id="586378100">
                      <w:marLeft w:val="0"/>
                      <w:marRight w:val="0"/>
                      <w:marTop w:val="0"/>
                      <w:marBottom w:val="0"/>
                      <w:divBdr>
                        <w:top w:val="none" w:sz="0" w:space="0" w:color="auto"/>
                        <w:left w:val="none" w:sz="0" w:space="0" w:color="auto"/>
                        <w:bottom w:val="none" w:sz="0" w:space="0" w:color="auto"/>
                        <w:right w:val="none" w:sz="0" w:space="0" w:color="auto"/>
                      </w:divBdr>
                    </w:div>
                  </w:divsChild>
                </w:div>
                <w:div w:id="1875801699">
                  <w:marLeft w:val="0"/>
                  <w:marRight w:val="0"/>
                  <w:marTop w:val="0"/>
                  <w:marBottom w:val="0"/>
                  <w:divBdr>
                    <w:top w:val="none" w:sz="0" w:space="0" w:color="auto"/>
                    <w:left w:val="none" w:sz="0" w:space="0" w:color="auto"/>
                    <w:bottom w:val="none" w:sz="0" w:space="0" w:color="auto"/>
                    <w:right w:val="none" w:sz="0" w:space="0" w:color="auto"/>
                  </w:divBdr>
                  <w:divsChild>
                    <w:div w:id="513688290">
                      <w:marLeft w:val="0"/>
                      <w:marRight w:val="0"/>
                      <w:marTop w:val="0"/>
                      <w:marBottom w:val="0"/>
                      <w:divBdr>
                        <w:top w:val="none" w:sz="0" w:space="0" w:color="auto"/>
                        <w:left w:val="none" w:sz="0" w:space="0" w:color="auto"/>
                        <w:bottom w:val="none" w:sz="0" w:space="0" w:color="auto"/>
                        <w:right w:val="none" w:sz="0" w:space="0" w:color="auto"/>
                      </w:divBdr>
                    </w:div>
                  </w:divsChild>
                </w:div>
                <w:div w:id="1968924204">
                  <w:marLeft w:val="0"/>
                  <w:marRight w:val="0"/>
                  <w:marTop w:val="0"/>
                  <w:marBottom w:val="0"/>
                  <w:divBdr>
                    <w:top w:val="none" w:sz="0" w:space="0" w:color="auto"/>
                    <w:left w:val="none" w:sz="0" w:space="0" w:color="auto"/>
                    <w:bottom w:val="none" w:sz="0" w:space="0" w:color="auto"/>
                    <w:right w:val="none" w:sz="0" w:space="0" w:color="auto"/>
                  </w:divBdr>
                  <w:divsChild>
                    <w:div w:id="236131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5326645">
          <w:marLeft w:val="0"/>
          <w:marRight w:val="0"/>
          <w:marTop w:val="0"/>
          <w:marBottom w:val="0"/>
          <w:divBdr>
            <w:top w:val="none" w:sz="0" w:space="0" w:color="auto"/>
            <w:left w:val="none" w:sz="0" w:space="0" w:color="auto"/>
            <w:bottom w:val="none" w:sz="0" w:space="0" w:color="auto"/>
            <w:right w:val="none" w:sz="0" w:space="0" w:color="auto"/>
          </w:divBdr>
        </w:div>
        <w:div w:id="539048275">
          <w:marLeft w:val="0"/>
          <w:marRight w:val="0"/>
          <w:marTop w:val="0"/>
          <w:marBottom w:val="0"/>
          <w:divBdr>
            <w:top w:val="none" w:sz="0" w:space="0" w:color="auto"/>
            <w:left w:val="none" w:sz="0" w:space="0" w:color="auto"/>
            <w:bottom w:val="none" w:sz="0" w:space="0" w:color="auto"/>
            <w:right w:val="none" w:sz="0" w:space="0" w:color="auto"/>
          </w:divBdr>
          <w:divsChild>
            <w:div w:id="1126849496">
              <w:marLeft w:val="0"/>
              <w:marRight w:val="0"/>
              <w:marTop w:val="30"/>
              <w:marBottom w:val="30"/>
              <w:divBdr>
                <w:top w:val="none" w:sz="0" w:space="0" w:color="auto"/>
                <w:left w:val="none" w:sz="0" w:space="0" w:color="auto"/>
                <w:bottom w:val="none" w:sz="0" w:space="0" w:color="auto"/>
                <w:right w:val="none" w:sz="0" w:space="0" w:color="auto"/>
              </w:divBdr>
              <w:divsChild>
                <w:div w:id="625817708">
                  <w:marLeft w:val="0"/>
                  <w:marRight w:val="0"/>
                  <w:marTop w:val="0"/>
                  <w:marBottom w:val="0"/>
                  <w:divBdr>
                    <w:top w:val="none" w:sz="0" w:space="0" w:color="auto"/>
                    <w:left w:val="none" w:sz="0" w:space="0" w:color="auto"/>
                    <w:bottom w:val="none" w:sz="0" w:space="0" w:color="auto"/>
                    <w:right w:val="none" w:sz="0" w:space="0" w:color="auto"/>
                  </w:divBdr>
                  <w:divsChild>
                    <w:div w:id="77530173">
                      <w:marLeft w:val="0"/>
                      <w:marRight w:val="0"/>
                      <w:marTop w:val="0"/>
                      <w:marBottom w:val="0"/>
                      <w:divBdr>
                        <w:top w:val="none" w:sz="0" w:space="0" w:color="auto"/>
                        <w:left w:val="none" w:sz="0" w:space="0" w:color="auto"/>
                        <w:bottom w:val="none" w:sz="0" w:space="0" w:color="auto"/>
                        <w:right w:val="none" w:sz="0" w:space="0" w:color="auto"/>
                      </w:divBdr>
                    </w:div>
                  </w:divsChild>
                </w:div>
                <w:div w:id="695891004">
                  <w:marLeft w:val="0"/>
                  <w:marRight w:val="0"/>
                  <w:marTop w:val="0"/>
                  <w:marBottom w:val="0"/>
                  <w:divBdr>
                    <w:top w:val="none" w:sz="0" w:space="0" w:color="auto"/>
                    <w:left w:val="none" w:sz="0" w:space="0" w:color="auto"/>
                    <w:bottom w:val="none" w:sz="0" w:space="0" w:color="auto"/>
                    <w:right w:val="none" w:sz="0" w:space="0" w:color="auto"/>
                  </w:divBdr>
                  <w:divsChild>
                    <w:div w:id="549221258">
                      <w:marLeft w:val="0"/>
                      <w:marRight w:val="0"/>
                      <w:marTop w:val="0"/>
                      <w:marBottom w:val="0"/>
                      <w:divBdr>
                        <w:top w:val="none" w:sz="0" w:space="0" w:color="auto"/>
                        <w:left w:val="none" w:sz="0" w:space="0" w:color="auto"/>
                        <w:bottom w:val="none" w:sz="0" w:space="0" w:color="auto"/>
                        <w:right w:val="none" w:sz="0" w:space="0" w:color="auto"/>
                      </w:divBdr>
                    </w:div>
                  </w:divsChild>
                </w:div>
                <w:div w:id="1065104264">
                  <w:marLeft w:val="0"/>
                  <w:marRight w:val="0"/>
                  <w:marTop w:val="0"/>
                  <w:marBottom w:val="0"/>
                  <w:divBdr>
                    <w:top w:val="none" w:sz="0" w:space="0" w:color="auto"/>
                    <w:left w:val="none" w:sz="0" w:space="0" w:color="auto"/>
                    <w:bottom w:val="none" w:sz="0" w:space="0" w:color="auto"/>
                    <w:right w:val="none" w:sz="0" w:space="0" w:color="auto"/>
                  </w:divBdr>
                  <w:divsChild>
                    <w:div w:id="226454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0115248">
          <w:marLeft w:val="0"/>
          <w:marRight w:val="0"/>
          <w:marTop w:val="0"/>
          <w:marBottom w:val="0"/>
          <w:divBdr>
            <w:top w:val="none" w:sz="0" w:space="0" w:color="auto"/>
            <w:left w:val="none" w:sz="0" w:space="0" w:color="auto"/>
            <w:bottom w:val="none" w:sz="0" w:space="0" w:color="auto"/>
            <w:right w:val="none" w:sz="0" w:space="0" w:color="auto"/>
          </w:divBdr>
        </w:div>
        <w:div w:id="728499601">
          <w:marLeft w:val="0"/>
          <w:marRight w:val="0"/>
          <w:marTop w:val="0"/>
          <w:marBottom w:val="0"/>
          <w:divBdr>
            <w:top w:val="none" w:sz="0" w:space="0" w:color="auto"/>
            <w:left w:val="none" w:sz="0" w:space="0" w:color="auto"/>
            <w:bottom w:val="none" w:sz="0" w:space="0" w:color="auto"/>
            <w:right w:val="none" w:sz="0" w:space="0" w:color="auto"/>
          </w:divBdr>
        </w:div>
        <w:div w:id="862085665">
          <w:marLeft w:val="0"/>
          <w:marRight w:val="0"/>
          <w:marTop w:val="0"/>
          <w:marBottom w:val="0"/>
          <w:divBdr>
            <w:top w:val="none" w:sz="0" w:space="0" w:color="auto"/>
            <w:left w:val="none" w:sz="0" w:space="0" w:color="auto"/>
            <w:bottom w:val="none" w:sz="0" w:space="0" w:color="auto"/>
            <w:right w:val="none" w:sz="0" w:space="0" w:color="auto"/>
          </w:divBdr>
        </w:div>
        <w:div w:id="1222595106">
          <w:marLeft w:val="0"/>
          <w:marRight w:val="0"/>
          <w:marTop w:val="0"/>
          <w:marBottom w:val="0"/>
          <w:divBdr>
            <w:top w:val="none" w:sz="0" w:space="0" w:color="auto"/>
            <w:left w:val="none" w:sz="0" w:space="0" w:color="auto"/>
            <w:bottom w:val="none" w:sz="0" w:space="0" w:color="auto"/>
            <w:right w:val="none" w:sz="0" w:space="0" w:color="auto"/>
          </w:divBdr>
          <w:divsChild>
            <w:div w:id="1337272498">
              <w:marLeft w:val="0"/>
              <w:marRight w:val="0"/>
              <w:marTop w:val="30"/>
              <w:marBottom w:val="30"/>
              <w:divBdr>
                <w:top w:val="none" w:sz="0" w:space="0" w:color="auto"/>
                <w:left w:val="none" w:sz="0" w:space="0" w:color="auto"/>
                <w:bottom w:val="none" w:sz="0" w:space="0" w:color="auto"/>
                <w:right w:val="none" w:sz="0" w:space="0" w:color="auto"/>
              </w:divBdr>
              <w:divsChild>
                <w:div w:id="1317224208">
                  <w:marLeft w:val="0"/>
                  <w:marRight w:val="0"/>
                  <w:marTop w:val="0"/>
                  <w:marBottom w:val="0"/>
                  <w:divBdr>
                    <w:top w:val="none" w:sz="0" w:space="0" w:color="auto"/>
                    <w:left w:val="none" w:sz="0" w:space="0" w:color="auto"/>
                    <w:bottom w:val="none" w:sz="0" w:space="0" w:color="auto"/>
                    <w:right w:val="none" w:sz="0" w:space="0" w:color="auto"/>
                  </w:divBdr>
                  <w:divsChild>
                    <w:div w:id="1897619818">
                      <w:marLeft w:val="0"/>
                      <w:marRight w:val="0"/>
                      <w:marTop w:val="0"/>
                      <w:marBottom w:val="0"/>
                      <w:divBdr>
                        <w:top w:val="none" w:sz="0" w:space="0" w:color="auto"/>
                        <w:left w:val="none" w:sz="0" w:space="0" w:color="auto"/>
                        <w:bottom w:val="none" w:sz="0" w:space="0" w:color="auto"/>
                        <w:right w:val="none" w:sz="0" w:space="0" w:color="auto"/>
                      </w:divBdr>
                    </w:div>
                  </w:divsChild>
                </w:div>
                <w:div w:id="1696418943">
                  <w:marLeft w:val="0"/>
                  <w:marRight w:val="0"/>
                  <w:marTop w:val="0"/>
                  <w:marBottom w:val="0"/>
                  <w:divBdr>
                    <w:top w:val="none" w:sz="0" w:space="0" w:color="auto"/>
                    <w:left w:val="none" w:sz="0" w:space="0" w:color="auto"/>
                    <w:bottom w:val="none" w:sz="0" w:space="0" w:color="auto"/>
                    <w:right w:val="none" w:sz="0" w:space="0" w:color="auto"/>
                  </w:divBdr>
                  <w:divsChild>
                    <w:div w:id="150177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049952">
          <w:marLeft w:val="0"/>
          <w:marRight w:val="0"/>
          <w:marTop w:val="0"/>
          <w:marBottom w:val="0"/>
          <w:divBdr>
            <w:top w:val="none" w:sz="0" w:space="0" w:color="auto"/>
            <w:left w:val="none" w:sz="0" w:space="0" w:color="auto"/>
            <w:bottom w:val="none" w:sz="0" w:space="0" w:color="auto"/>
            <w:right w:val="none" w:sz="0" w:space="0" w:color="auto"/>
          </w:divBdr>
          <w:divsChild>
            <w:div w:id="959147094">
              <w:marLeft w:val="0"/>
              <w:marRight w:val="0"/>
              <w:marTop w:val="30"/>
              <w:marBottom w:val="30"/>
              <w:divBdr>
                <w:top w:val="none" w:sz="0" w:space="0" w:color="auto"/>
                <w:left w:val="none" w:sz="0" w:space="0" w:color="auto"/>
                <w:bottom w:val="none" w:sz="0" w:space="0" w:color="auto"/>
                <w:right w:val="none" w:sz="0" w:space="0" w:color="auto"/>
              </w:divBdr>
              <w:divsChild>
                <w:div w:id="552694072">
                  <w:marLeft w:val="0"/>
                  <w:marRight w:val="0"/>
                  <w:marTop w:val="0"/>
                  <w:marBottom w:val="0"/>
                  <w:divBdr>
                    <w:top w:val="none" w:sz="0" w:space="0" w:color="auto"/>
                    <w:left w:val="none" w:sz="0" w:space="0" w:color="auto"/>
                    <w:bottom w:val="none" w:sz="0" w:space="0" w:color="auto"/>
                    <w:right w:val="none" w:sz="0" w:space="0" w:color="auto"/>
                  </w:divBdr>
                  <w:divsChild>
                    <w:div w:id="1852598507">
                      <w:marLeft w:val="0"/>
                      <w:marRight w:val="0"/>
                      <w:marTop w:val="0"/>
                      <w:marBottom w:val="0"/>
                      <w:divBdr>
                        <w:top w:val="none" w:sz="0" w:space="0" w:color="auto"/>
                        <w:left w:val="none" w:sz="0" w:space="0" w:color="auto"/>
                        <w:bottom w:val="none" w:sz="0" w:space="0" w:color="auto"/>
                        <w:right w:val="none" w:sz="0" w:space="0" w:color="auto"/>
                      </w:divBdr>
                    </w:div>
                  </w:divsChild>
                </w:div>
                <w:div w:id="816068963">
                  <w:marLeft w:val="0"/>
                  <w:marRight w:val="0"/>
                  <w:marTop w:val="0"/>
                  <w:marBottom w:val="0"/>
                  <w:divBdr>
                    <w:top w:val="none" w:sz="0" w:space="0" w:color="auto"/>
                    <w:left w:val="none" w:sz="0" w:space="0" w:color="auto"/>
                    <w:bottom w:val="none" w:sz="0" w:space="0" w:color="auto"/>
                    <w:right w:val="none" w:sz="0" w:space="0" w:color="auto"/>
                  </w:divBdr>
                  <w:divsChild>
                    <w:div w:id="564994919">
                      <w:marLeft w:val="0"/>
                      <w:marRight w:val="0"/>
                      <w:marTop w:val="0"/>
                      <w:marBottom w:val="0"/>
                      <w:divBdr>
                        <w:top w:val="none" w:sz="0" w:space="0" w:color="auto"/>
                        <w:left w:val="none" w:sz="0" w:space="0" w:color="auto"/>
                        <w:bottom w:val="none" w:sz="0" w:space="0" w:color="auto"/>
                        <w:right w:val="none" w:sz="0" w:space="0" w:color="auto"/>
                      </w:divBdr>
                    </w:div>
                  </w:divsChild>
                </w:div>
                <w:div w:id="1754667251">
                  <w:marLeft w:val="0"/>
                  <w:marRight w:val="0"/>
                  <w:marTop w:val="0"/>
                  <w:marBottom w:val="0"/>
                  <w:divBdr>
                    <w:top w:val="none" w:sz="0" w:space="0" w:color="auto"/>
                    <w:left w:val="none" w:sz="0" w:space="0" w:color="auto"/>
                    <w:bottom w:val="none" w:sz="0" w:space="0" w:color="auto"/>
                    <w:right w:val="none" w:sz="0" w:space="0" w:color="auto"/>
                  </w:divBdr>
                  <w:divsChild>
                    <w:div w:id="1416515886">
                      <w:marLeft w:val="0"/>
                      <w:marRight w:val="0"/>
                      <w:marTop w:val="0"/>
                      <w:marBottom w:val="0"/>
                      <w:divBdr>
                        <w:top w:val="none" w:sz="0" w:space="0" w:color="auto"/>
                        <w:left w:val="none" w:sz="0" w:space="0" w:color="auto"/>
                        <w:bottom w:val="none" w:sz="0" w:space="0" w:color="auto"/>
                        <w:right w:val="none" w:sz="0" w:space="0" w:color="auto"/>
                      </w:divBdr>
                    </w:div>
                  </w:divsChild>
                </w:div>
                <w:div w:id="1814827142">
                  <w:marLeft w:val="0"/>
                  <w:marRight w:val="0"/>
                  <w:marTop w:val="0"/>
                  <w:marBottom w:val="0"/>
                  <w:divBdr>
                    <w:top w:val="none" w:sz="0" w:space="0" w:color="auto"/>
                    <w:left w:val="none" w:sz="0" w:space="0" w:color="auto"/>
                    <w:bottom w:val="none" w:sz="0" w:space="0" w:color="auto"/>
                    <w:right w:val="none" w:sz="0" w:space="0" w:color="auto"/>
                  </w:divBdr>
                  <w:divsChild>
                    <w:div w:id="1235894760">
                      <w:marLeft w:val="0"/>
                      <w:marRight w:val="0"/>
                      <w:marTop w:val="0"/>
                      <w:marBottom w:val="0"/>
                      <w:divBdr>
                        <w:top w:val="none" w:sz="0" w:space="0" w:color="auto"/>
                        <w:left w:val="none" w:sz="0" w:space="0" w:color="auto"/>
                        <w:bottom w:val="none" w:sz="0" w:space="0" w:color="auto"/>
                        <w:right w:val="none" w:sz="0" w:space="0" w:color="auto"/>
                      </w:divBdr>
                    </w:div>
                  </w:divsChild>
                </w:div>
                <w:div w:id="2140806662">
                  <w:marLeft w:val="0"/>
                  <w:marRight w:val="0"/>
                  <w:marTop w:val="0"/>
                  <w:marBottom w:val="0"/>
                  <w:divBdr>
                    <w:top w:val="none" w:sz="0" w:space="0" w:color="auto"/>
                    <w:left w:val="none" w:sz="0" w:space="0" w:color="auto"/>
                    <w:bottom w:val="none" w:sz="0" w:space="0" w:color="auto"/>
                    <w:right w:val="none" w:sz="0" w:space="0" w:color="auto"/>
                  </w:divBdr>
                  <w:divsChild>
                    <w:div w:id="735083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739277">
          <w:marLeft w:val="0"/>
          <w:marRight w:val="0"/>
          <w:marTop w:val="0"/>
          <w:marBottom w:val="0"/>
          <w:divBdr>
            <w:top w:val="none" w:sz="0" w:space="0" w:color="auto"/>
            <w:left w:val="none" w:sz="0" w:space="0" w:color="auto"/>
            <w:bottom w:val="none" w:sz="0" w:space="0" w:color="auto"/>
            <w:right w:val="none" w:sz="0" w:space="0" w:color="auto"/>
          </w:divBdr>
        </w:div>
        <w:div w:id="1425346859">
          <w:marLeft w:val="0"/>
          <w:marRight w:val="0"/>
          <w:marTop w:val="0"/>
          <w:marBottom w:val="0"/>
          <w:divBdr>
            <w:top w:val="none" w:sz="0" w:space="0" w:color="auto"/>
            <w:left w:val="none" w:sz="0" w:space="0" w:color="auto"/>
            <w:bottom w:val="none" w:sz="0" w:space="0" w:color="auto"/>
            <w:right w:val="none" w:sz="0" w:space="0" w:color="auto"/>
          </w:divBdr>
          <w:divsChild>
            <w:div w:id="994801461">
              <w:marLeft w:val="0"/>
              <w:marRight w:val="0"/>
              <w:marTop w:val="30"/>
              <w:marBottom w:val="30"/>
              <w:divBdr>
                <w:top w:val="none" w:sz="0" w:space="0" w:color="auto"/>
                <w:left w:val="none" w:sz="0" w:space="0" w:color="auto"/>
                <w:bottom w:val="none" w:sz="0" w:space="0" w:color="auto"/>
                <w:right w:val="none" w:sz="0" w:space="0" w:color="auto"/>
              </w:divBdr>
              <w:divsChild>
                <w:div w:id="253590017">
                  <w:marLeft w:val="0"/>
                  <w:marRight w:val="0"/>
                  <w:marTop w:val="0"/>
                  <w:marBottom w:val="0"/>
                  <w:divBdr>
                    <w:top w:val="none" w:sz="0" w:space="0" w:color="auto"/>
                    <w:left w:val="none" w:sz="0" w:space="0" w:color="auto"/>
                    <w:bottom w:val="none" w:sz="0" w:space="0" w:color="auto"/>
                    <w:right w:val="none" w:sz="0" w:space="0" w:color="auto"/>
                  </w:divBdr>
                  <w:divsChild>
                    <w:div w:id="1925339743">
                      <w:marLeft w:val="0"/>
                      <w:marRight w:val="0"/>
                      <w:marTop w:val="0"/>
                      <w:marBottom w:val="0"/>
                      <w:divBdr>
                        <w:top w:val="none" w:sz="0" w:space="0" w:color="auto"/>
                        <w:left w:val="none" w:sz="0" w:space="0" w:color="auto"/>
                        <w:bottom w:val="none" w:sz="0" w:space="0" w:color="auto"/>
                        <w:right w:val="none" w:sz="0" w:space="0" w:color="auto"/>
                      </w:divBdr>
                    </w:div>
                  </w:divsChild>
                </w:div>
                <w:div w:id="332226128">
                  <w:marLeft w:val="0"/>
                  <w:marRight w:val="0"/>
                  <w:marTop w:val="0"/>
                  <w:marBottom w:val="0"/>
                  <w:divBdr>
                    <w:top w:val="none" w:sz="0" w:space="0" w:color="auto"/>
                    <w:left w:val="none" w:sz="0" w:space="0" w:color="auto"/>
                    <w:bottom w:val="none" w:sz="0" w:space="0" w:color="auto"/>
                    <w:right w:val="none" w:sz="0" w:space="0" w:color="auto"/>
                  </w:divBdr>
                  <w:divsChild>
                    <w:div w:id="1950894289">
                      <w:marLeft w:val="0"/>
                      <w:marRight w:val="0"/>
                      <w:marTop w:val="0"/>
                      <w:marBottom w:val="0"/>
                      <w:divBdr>
                        <w:top w:val="none" w:sz="0" w:space="0" w:color="auto"/>
                        <w:left w:val="none" w:sz="0" w:space="0" w:color="auto"/>
                        <w:bottom w:val="none" w:sz="0" w:space="0" w:color="auto"/>
                        <w:right w:val="none" w:sz="0" w:space="0" w:color="auto"/>
                      </w:divBdr>
                    </w:div>
                  </w:divsChild>
                </w:div>
                <w:div w:id="474687671">
                  <w:marLeft w:val="0"/>
                  <w:marRight w:val="0"/>
                  <w:marTop w:val="0"/>
                  <w:marBottom w:val="0"/>
                  <w:divBdr>
                    <w:top w:val="none" w:sz="0" w:space="0" w:color="auto"/>
                    <w:left w:val="none" w:sz="0" w:space="0" w:color="auto"/>
                    <w:bottom w:val="none" w:sz="0" w:space="0" w:color="auto"/>
                    <w:right w:val="none" w:sz="0" w:space="0" w:color="auto"/>
                  </w:divBdr>
                  <w:divsChild>
                    <w:div w:id="1177233982">
                      <w:marLeft w:val="0"/>
                      <w:marRight w:val="0"/>
                      <w:marTop w:val="0"/>
                      <w:marBottom w:val="0"/>
                      <w:divBdr>
                        <w:top w:val="none" w:sz="0" w:space="0" w:color="auto"/>
                        <w:left w:val="none" w:sz="0" w:space="0" w:color="auto"/>
                        <w:bottom w:val="none" w:sz="0" w:space="0" w:color="auto"/>
                        <w:right w:val="none" w:sz="0" w:space="0" w:color="auto"/>
                      </w:divBdr>
                    </w:div>
                  </w:divsChild>
                </w:div>
                <w:div w:id="484784524">
                  <w:marLeft w:val="0"/>
                  <w:marRight w:val="0"/>
                  <w:marTop w:val="0"/>
                  <w:marBottom w:val="0"/>
                  <w:divBdr>
                    <w:top w:val="none" w:sz="0" w:space="0" w:color="auto"/>
                    <w:left w:val="none" w:sz="0" w:space="0" w:color="auto"/>
                    <w:bottom w:val="none" w:sz="0" w:space="0" w:color="auto"/>
                    <w:right w:val="none" w:sz="0" w:space="0" w:color="auto"/>
                  </w:divBdr>
                  <w:divsChild>
                    <w:div w:id="710425611">
                      <w:marLeft w:val="0"/>
                      <w:marRight w:val="0"/>
                      <w:marTop w:val="0"/>
                      <w:marBottom w:val="0"/>
                      <w:divBdr>
                        <w:top w:val="none" w:sz="0" w:space="0" w:color="auto"/>
                        <w:left w:val="none" w:sz="0" w:space="0" w:color="auto"/>
                        <w:bottom w:val="none" w:sz="0" w:space="0" w:color="auto"/>
                        <w:right w:val="none" w:sz="0" w:space="0" w:color="auto"/>
                      </w:divBdr>
                    </w:div>
                  </w:divsChild>
                </w:div>
                <w:div w:id="585185440">
                  <w:marLeft w:val="0"/>
                  <w:marRight w:val="0"/>
                  <w:marTop w:val="0"/>
                  <w:marBottom w:val="0"/>
                  <w:divBdr>
                    <w:top w:val="none" w:sz="0" w:space="0" w:color="auto"/>
                    <w:left w:val="none" w:sz="0" w:space="0" w:color="auto"/>
                    <w:bottom w:val="none" w:sz="0" w:space="0" w:color="auto"/>
                    <w:right w:val="none" w:sz="0" w:space="0" w:color="auto"/>
                  </w:divBdr>
                  <w:divsChild>
                    <w:div w:id="1557858626">
                      <w:marLeft w:val="0"/>
                      <w:marRight w:val="0"/>
                      <w:marTop w:val="0"/>
                      <w:marBottom w:val="0"/>
                      <w:divBdr>
                        <w:top w:val="none" w:sz="0" w:space="0" w:color="auto"/>
                        <w:left w:val="none" w:sz="0" w:space="0" w:color="auto"/>
                        <w:bottom w:val="none" w:sz="0" w:space="0" w:color="auto"/>
                        <w:right w:val="none" w:sz="0" w:space="0" w:color="auto"/>
                      </w:divBdr>
                    </w:div>
                  </w:divsChild>
                </w:div>
                <w:div w:id="609899614">
                  <w:marLeft w:val="0"/>
                  <w:marRight w:val="0"/>
                  <w:marTop w:val="0"/>
                  <w:marBottom w:val="0"/>
                  <w:divBdr>
                    <w:top w:val="none" w:sz="0" w:space="0" w:color="auto"/>
                    <w:left w:val="none" w:sz="0" w:space="0" w:color="auto"/>
                    <w:bottom w:val="none" w:sz="0" w:space="0" w:color="auto"/>
                    <w:right w:val="none" w:sz="0" w:space="0" w:color="auto"/>
                  </w:divBdr>
                  <w:divsChild>
                    <w:div w:id="879245200">
                      <w:marLeft w:val="0"/>
                      <w:marRight w:val="0"/>
                      <w:marTop w:val="0"/>
                      <w:marBottom w:val="0"/>
                      <w:divBdr>
                        <w:top w:val="none" w:sz="0" w:space="0" w:color="auto"/>
                        <w:left w:val="none" w:sz="0" w:space="0" w:color="auto"/>
                        <w:bottom w:val="none" w:sz="0" w:space="0" w:color="auto"/>
                        <w:right w:val="none" w:sz="0" w:space="0" w:color="auto"/>
                      </w:divBdr>
                    </w:div>
                  </w:divsChild>
                </w:div>
                <w:div w:id="930510207">
                  <w:marLeft w:val="0"/>
                  <w:marRight w:val="0"/>
                  <w:marTop w:val="0"/>
                  <w:marBottom w:val="0"/>
                  <w:divBdr>
                    <w:top w:val="none" w:sz="0" w:space="0" w:color="auto"/>
                    <w:left w:val="none" w:sz="0" w:space="0" w:color="auto"/>
                    <w:bottom w:val="none" w:sz="0" w:space="0" w:color="auto"/>
                    <w:right w:val="none" w:sz="0" w:space="0" w:color="auto"/>
                  </w:divBdr>
                  <w:divsChild>
                    <w:div w:id="711731765">
                      <w:marLeft w:val="0"/>
                      <w:marRight w:val="0"/>
                      <w:marTop w:val="0"/>
                      <w:marBottom w:val="0"/>
                      <w:divBdr>
                        <w:top w:val="none" w:sz="0" w:space="0" w:color="auto"/>
                        <w:left w:val="none" w:sz="0" w:space="0" w:color="auto"/>
                        <w:bottom w:val="none" w:sz="0" w:space="0" w:color="auto"/>
                        <w:right w:val="none" w:sz="0" w:space="0" w:color="auto"/>
                      </w:divBdr>
                    </w:div>
                  </w:divsChild>
                </w:div>
                <w:div w:id="1348673214">
                  <w:marLeft w:val="0"/>
                  <w:marRight w:val="0"/>
                  <w:marTop w:val="0"/>
                  <w:marBottom w:val="0"/>
                  <w:divBdr>
                    <w:top w:val="none" w:sz="0" w:space="0" w:color="auto"/>
                    <w:left w:val="none" w:sz="0" w:space="0" w:color="auto"/>
                    <w:bottom w:val="none" w:sz="0" w:space="0" w:color="auto"/>
                    <w:right w:val="none" w:sz="0" w:space="0" w:color="auto"/>
                  </w:divBdr>
                  <w:divsChild>
                    <w:div w:id="1059596189">
                      <w:marLeft w:val="0"/>
                      <w:marRight w:val="0"/>
                      <w:marTop w:val="0"/>
                      <w:marBottom w:val="0"/>
                      <w:divBdr>
                        <w:top w:val="none" w:sz="0" w:space="0" w:color="auto"/>
                        <w:left w:val="none" w:sz="0" w:space="0" w:color="auto"/>
                        <w:bottom w:val="none" w:sz="0" w:space="0" w:color="auto"/>
                        <w:right w:val="none" w:sz="0" w:space="0" w:color="auto"/>
                      </w:divBdr>
                    </w:div>
                  </w:divsChild>
                </w:div>
                <w:div w:id="1376466153">
                  <w:marLeft w:val="0"/>
                  <w:marRight w:val="0"/>
                  <w:marTop w:val="0"/>
                  <w:marBottom w:val="0"/>
                  <w:divBdr>
                    <w:top w:val="none" w:sz="0" w:space="0" w:color="auto"/>
                    <w:left w:val="none" w:sz="0" w:space="0" w:color="auto"/>
                    <w:bottom w:val="none" w:sz="0" w:space="0" w:color="auto"/>
                    <w:right w:val="none" w:sz="0" w:space="0" w:color="auto"/>
                  </w:divBdr>
                  <w:divsChild>
                    <w:div w:id="582495184">
                      <w:marLeft w:val="0"/>
                      <w:marRight w:val="0"/>
                      <w:marTop w:val="0"/>
                      <w:marBottom w:val="0"/>
                      <w:divBdr>
                        <w:top w:val="none" w:sz="0" w:space="0" w:color="auto"/>
                        <w:left w:val="none" w:sz="0" w:space="0" w:color="auto"/>
                        <w:bottom w:val="none" w:sz="0" w:space="0" w:color="auto"/>
                        <w:right w:val="none" w:sz="0" w:space="0" w:color="auto"/>
                      </w:divBdr>
                    </w:div>
                  </w:divsChild>
                </w:div>
                <w:div w:id="1497184224">
                  <w:marLeft w:val="0"/>
                  <w:marRight w:val="0"/>
                  <w:marTop w:val="0"/>
                  <w:marBottom w:val="0"/>
                  <w:divBdr>
                    <w:top w:val="none" w:sz="0" w:space="0" w:color="auto"/>
                    <w:left w:val="none" w:sz="0" w:space="0" w:color="auto"/>
                    <w:bottom w:val="none" w:sz="0" w:space="0" w:color="auto"/>
                    <w:right w:val="none" w:sz="0" w:space="0" w:color="auto"/>
                  </w:divBdr>
                  <w:divsChild>
                    <w:div w:id="2036417089">
                      <w:marLeft w:val="0"/>
                      <w:marRight w:val="0"/>
                      <w:marTop w:val="0"/>
                      <w:marBottom w:val="0"/>
                      <w:divBdr>
                        <w:top w:val="none" w:sz="0" w:space="0" w:color="auto"/>
                        <w:left w:val="none" w:sz="0" w:space="0" w:color="auto"/>
                        <w:bottom w:val="none" w:sz="0" w:space="0" w:color="auto"/>
                        <w:right w:val="none" w:sz="0" w:space="0" w:color="auto"/>
                      </w:divBdr>
                    </w:div>
                  </w:divsChild>
                </w:div>
                <w:div w:id="1685862811">
                  <w:marLeft w:val="0"/>
                  <w:marRight w:val="0"/>
                  <w:marTop w:val="0"/>
                  <w:marBottom w:val="0"/>
                  <w:divBdr>
                    <w:top w:val="none" w:sz="0" w:space="0" w:color="auto"/>
                    <w:left w:val="none" w:sz="0" w:space="0" w:color="auto"/>
                    <w:bottom w:val="none" w:sz="0" w:space="0" w:color="auto"/>
                    <w:right w:val="none" w:sz="0" w:space="0" w:color="auto"/>
                  </w:divBdr>
                  <w:divsChild>
                    <w:div w:id="1993489081">
                      <w:marLeft w:val="0"/>
                      <w:marRight w:val="0"/>
                      <w:marTop w:val="0"/>
                      <w:marBottom w:val="0"/>
                      <w:divBdr>
                        <w:top w:val="none" w:sz="0" w:space="0" w:color="auto"/>
                        <w:left w:val="none" w:sz="0" w:space="0" w:color="auto"/>
                        <w:bottom w:val="none" w:sz="0" w:space="0" w:color="auto"/>
                        <w:right w:val="none" w:sz="0" w:space="0" w:color="auto"/>
                      </w:divBdr>
                    </w:div>
                  </w:divsChild>
                </w:div>
                <w:div w:id="1752266462">
                  <w:marLeft w:val="0"/>
                  <w:marRight w:val="0"/>
                  <w:marTop w:val="0"/>
                  <w:marBottom w:val="0"/>
                  <w:divBdr>
                    <w:top w:val="none" w:sz="0" w:space="0" w:color="auto"/>
                    <w:left w:val="none" w:sz="0" w:space="0" w:color="auto"/>
                    <w:bottom w:val="none" w:sz="0" w:space="0" w:color="auto"/>
                    <w:right w:val="none" w:sz="0" w:space="0" w:color="auto"/>
                  </w:divBdr>
                  <w:divsChild>
                    <w:div w:id="1912157897">
                      <w:marLeft w:val="0"/>
                      <w:marRight w:val="0"/>
                      <w:marTop w:val="0"/>
                      <w:marBottom w:val="0"/>
                      <w:divBdr>
                        <w:top w:val="none" w:sz="0" w:space="0" w:color="auto"/>
                        <w:left w:val="none" w:sz="0" w:space="0" w:color="auto"/>
                        <w:bottom w:val="none" w:sz="0" w:space="0" w:color="auto"/>
                        <w:right w:val="none" w:sz="0" w:space="0" w:color="auto"/>
                      </w:divBdr>
                    </w:div>
                  </w:divsChild>
                </w:div>
                <w:div w:id="2103060921">
                  <w:marLeft w:val="0"/>
                  <w:marRight w:val="0"/>
                  <w:marTop w:val="0"/>
                  <w:marBottom w:val="0"/>
                  <w:divBdr>
                    <w:top w:val="none" w:sz="0" w:space="0" w:color="auto"/>
                    <w:left w:val="none" w:sz="0" w:space="0" w:color="auto"/>
                    <w:bottom w:val="none" w:sz="0" w:space="0" w:color="auto"/>
                    <w:right w:val="none" w:sz="0" w:space="0" w:color="auto"/>
                  </w:divBdr>
                  <w:divsChild>
                    <w:div w:id="436827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12531">
          <w:marLeft w:val="0"/>
          <w:marRight w:val="0"/>
          <w:marTop w:val="0"/>
          <w:marBottom w:val="0"/>
          <w:divBdr>
            <w:top w:val="none" w:sz="0" w:space="0" w:color="auto"/>
            <w:left w:val="none" w:sz="0" w:space="0" w:color="auto"/>
            <w:bottom w:val="none" w:sz="0" w:space="0" w:color="auto"/>
            <w:right w:val="none" w:sz="0" w:space="0" w:color="auto"/>
          </w:divBdr>
          <w:divsChild>
            <w:div w:id="878274203">
              <w:marLeft w:val="0"/>
              <w:marRight w:val="0"/>
              <w:marTop w:val="30"/>
              <w:marBottom w:val="30"/>
              <w:divBdr>
                <w:top w:val="none" w:sz="0" w:space="0" w:color="auto"/>
                <w:left w:val="none" w:sz="0" w:space="0" w:color="auto"/>
                <w:bottom w:val="none" w:sz="0" w:space="0" w:color="auto"/>
                <w:right w:val="none" w:sz="0" w:space="0" w:color="auto"/>
              </w:divBdr>
              <w:divsChild>
                <w:div w:id="355077844">
                  <w:marLeft w:val="0"/>
                  <w:marRight w:val="0"/>
                  <w:marTop w:val="0"/>
                  <w:marBottom w:val="0"/>
                  <w:divBdr>
                    <w:top w:val="none" w:sz="0" w:space="0" w:color="auto"/>
                    <w:left w:val="none" w:sz="0" w:space="0" w:color="auto"/>
                    <w:bottom w:val="none" w:sz="0" w:space="0" w:color="auto"/>
                    <w:right w:val="none" w:sz="0" w:space="0" w:color="auto"/>
                  </w:divBdr>
                  <w:divsChild>
                    <w:div w:id="538131434">
                      <w:marLeft w:val="0"/>
                      <w:marRight w:val="0"/>
                      <w:marTop w:val="0"/>
                      <w:marBottom w:val="0"/>
                      <w:divBdr>
                        <w:top w:val="none" w:sz="0" w:space="0" w:color="auto"/>
                        <w:left w:val="none" w:sz="0" w:space="0" w:color="auto"/>
                        <w:bottom w:val="none" w:sz="0" w:space="0" w:color="auto"/>
                        <w:right w:val="none" w:sz="0" w:space="0" w:color="auto"/>
                      </w:divBdr>
                    </w:div>
                  </w:divsChild>
                </w:div>
                <w:div w:id="382218374">
                  <w:marLeft w:val="0"/>
                  <w:marRight w:val="0"/>
                  <w:marTop w:val="0"/>
                  <w:marBottom w:val="0"/>
                  <w:divBdr>
                    <w:top w:val="none" w:sz="0" w:space="0" w:color="auto"/>
                    <w:left w:val="none" w:sz="0" w:space="0" w:color="auto"/>
                    <w:bottom w:val="none" w:sz="0" w:space="0" w:color="auto"/>
                    <w:right w:val="none" w:sz="0" w:space="0" w:color="auto"/>
                  </w:divBdr>
                  <w:divsChild>
                    <w:div w:id="1109199980">
                      <w:marLeft w:val="0"/>
                      <w:marRight w:val="0"/>
                      <w:marTop w:val="0"/>
                      <w:marBottom w:val="0"/>
                      <w:divBdr>
                        <w:top w:val="none" w:sz="0" w:space="0" w:color="auto"/>
                        <w:left w:val="none" w:sz="0" w:space="0" w:color="auto"/>
                        <w:bottom w:val="none" w:sz="0" w:space="0" w:color="auto"/>
                        <w:right w:val="none" w:sz="0" w:space="0" w:color="auto"/>
                      </w:divBdr>
                    </w:div>
                    <w:div w:id="1772553538">
                      <w:marLeft w:val="0"/>
                      <w:marRight w:val="0"/>
                      <w:marTop w:val="0"/>
                      <w:marBottom w:val="0"/>
                      <w:divBdr>
                        <w:top w:val="none" w:sz="0" w:space="0" w:color="auto"/>
                        <w:left w:val="none" w:sz="0" w:space="0" w:color="auto"/>
                        <w:bottom w:val="none" w:sz="0" w:space="0" w:color="auto"/>
                        <w:right w:val="none" w:sz="0" w:space="0" w:color="auto"/>
                      </w:divBdr>
                    </w:div>
                  </w:divsChild>
                </w:div>
                <w:div w:id="444084008">
                  <w:marLeft w:val="0"/>
                  <w:marRight w:val="0"/>
                  <w:marTop w:val="0"/>
                  <w:marBottom w:val="0"/>
                  <w:divBdr>
                    <w:top w:val="none" w:sz="0" w:space="0" w:color="auto"/>
                    <w:left w:val="none" w:sz="0" w:space="0" w:color="auto"/>
                    <w:bottom w:val="none" w:sz="0" w:space="0" w:color="auto"/>
                    <w:right w:val="none" w:sz="0" w:space="0" w:color="auto"/>
                  </w:divBdr>
                  <w:divsChild>
                    <w:div w:id="420878885">
                      <w:marLeft w:val="0"/>
                      <w:marRight w:val="0"/>
                      <w:marTop w:val="0"/>
                      <w:marBottom w:val="0"/>
                      <w:divBdr>
                        <w:top w:val="none" w:sz="0" w:space="0" w:color="auto"/>
                        <w:left w:val="none" w:sz="0" w:space="0" w:color="auto"/>
                        <w:bottom w:val="none" w:sz="0" w:space="0" w:color="auto"/>
                        <w:right w:val="none" w:sz="0" w:space="0" w:color="auto"/>
                      </w:divBdr>
                    </w:div>
                  </w:divsChild>
                </w:div>
                <w:div w:id="842478118">
                  <w:marLeft w:val="0"/>
                  <w:marRight w:val="0"/>
                  <w:marTop w:val="0"/>
                  <w:marBottom w:val="0"/>
                  <w:divBdr>
                    <w:top w:val="none" w:sz="0" w:space="0" w:color="auto"/>
                    <w:left w:val="none" w:sz="0" w:space="0" w:color="auto"/>
                    <w:bottom w:val="none" w:sz="0" w:space="0" w:color="auto"/>
                    <w:right w:val="none" w:sz="0" w:space="0" w:color="auto"/>
                  </w:divBdr>
                  <w:divsChild>
                    <w:div w:id="845511536">
                      <w:marLeft w:val="0"/>
                      <w:marRight w:val="0"/>
                      <w:marTop w:val="0"/>
                      <w:marBottom w:val="0"/>
                      <w:divBdr>
                        <w:top w:val="none" w:sz="0" w:space="0" w:color="auto"/>
                        <w:left w:val="none" w:sz="0" w:space="0" w:color="auto"/>
                        <w:bottom w:val="none" w:sz="0" w:space="0" w:color="auto"/>
                        <w:right w:val="none" w:sz="0" w:space="0" w:color="auto"/>
                      </w:divBdr>
                    </w:div>
                  </w:divsChild>
                </w:div>
                <w:div w:id="1126583795">
                  <w:marLeft w:val="0"/>
                  <w:marRight w:val="0"/>
                  <w:marTop w:val="0"/>
                  <w:marBottom w:val="0"/>
                  <w:divBdr>
                    <w:top w:val="none" w:sz="0" w:space="0" w:color="auto"/>
                    <w:left w:val="none" w:sz="0" w:space="0" w:color="auto"/>
                    <w:bottom w:val="none" w:sz="0" w:space="0" w:color="auto"/>
                    <w:right w:val="none" w:sz="0" w:space="0" w:color="auto"/>
                  </w:divBdr>
                  <w:divsChild>
                    <w:div w:id="170336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9762395">
          <w:marLeft w:val="0"/>
          <w:marRight w:val="0"/>
          <w:marTop w:val="0"/>
          <w:marBottom w:val="0"/>
          <w:divBdr>
            <w:top w:val="none" w:sz="0" w:space="0" w:color="auto"/>
            <w:left w:val="none" w:sz="0" w:space="0" w:color="auto"/>
            <w:bottom w:val="none" w:sz="0" w:space="0" w:color="auto"/>
            <w:right w:val="none" w:sz="0" w:space="0" w:color="auto"/>
          </w:divBdr>
        </w:div>
      </w:divsChild>
    </w:div>
    <w:div w:id="1177304856">
      <w:bodyDiv w:val="1"/>
      <w:marLeft w:val="0"/>
      <w:marRight w:val="0"/>
      <w:marTop w:val="0"/>
      <w:marBottom w:val="0"/>
      <w:divBdr>
        <w:top w:val="none" w:sz="0" w:space="0" w:color="auto"/>
        <w:left w:val="none" w:sz="0" w:space="0" w:color="auto"/>
        <w:bottom w:val="none" w:sz="0" w:space="0" w:color="auto"/>
        <w:right w:val="none" w:sz="0" w:space="0" w:color="auto"/>
      </w:divBdr>
    </w:div>
    <w:div w:id="1182351865">
      <w:bodyDiv w:val="1"/>
      <w:marLeft w:val="0"/>
      <w:marRight w:val="0"/>
      <w:marTop w:val="0"/>
      <w:marBottom w:val="0"/>
      <w:divBdr>
        <w:top w:val="none" w:sz="0" w:space="0" w:color="auto"/>
        <w:left w:val="none" w:sz="0" w:space="0" w:color="auto"/>
        <w:bottom w:val="none" w:sz="0" w:space="0" w:color="auto"/>
        <w:right w:val="none" w:sz="0" w:space="0" w:color="auto"/>
      </w:divBdr>
    </w:div>
    <w:div w:id="1192495882">
      <w:bodyDiv w:val="1"/>
      <w:marLeft w:val="0"/>
      <w:marRight w:val="0"/>
      <w:marTop w:val="0"/>
      <w:marBottom w:val="0"/>
      <w:divBdr>
        <w:top w:val="none" w:sz="0" w:space="0" w:color="auto"/>
        <w:left w:val="none" w:sz="0" w:space="0" w:color="auto"/>
        <w:bottom w:val="none" w:sz="0" w:space="0" w:color="auto"/>
        <w:right w:val="none" w:sz="0" w:space="0" w:color="auto"/>
      </w:divBdr>
    </w:div>
    <w:div w:id="1200970171">
      <w:bodyDiv w:val="1"/>
      <w:marLeft w:val="0"/>
      <w:marRight w:val="0"/>
      <w:marTop w:val="0"/>
      <w:marBottom w:val="0"/>
      <w:divBdr>
        <w:top w:val="none" w:sz="0" w:space="0" w:color="auto"/>
        <w:left w:val="none" w:sz="0" w:space="0" w:color="auto"/>
        <w:bottom w:val="none" w:sz="0" w:space="0" w:color="auto"/>
        <w:right w:val="none" w:sz="0" w:space="0" w:color="auto"/>
      </w:divBdr>
      <w:divsChild>
        <w:div w:id="78332498">
          <w:marLeft w:val="0"/>
          <w:marRight w:val="0"/>
          <w:marTop w:val="0"/>
          <w:marBottom w:val="0"/>
          <w:divBdr>
            <w:top w:val="none" w:sz="0" w:space="0" w:color="auto"/>
            <w:left w:val="none" w:sz="0" w:space="0" w:color="auto"/>
            <w:bottom w:val="none" w:sz="0" w:space="0" w:color="auto"/>
            <w:right w:val="none" w:sz="0" w:space="0" w:color="auto"/>
          </w:divBdr>
        </w:div>
        <w:div w:id="431239777">
          <w:marLeft w:val="0"/>
          <w:marRight w:val="0"/>
          <w:marTop w:val="0"/>
          <w:marBottom w:val="0"/>
          <w:divBdr>
            <w:top w:val="none" w:sz="0" w:space="0" w:color="auto"/>
            <w:left w:val="none" w:sz="0" w:space="0" w:color="auto"/>
            <w:bottom w:val="none" w:sz="0" w:space="0" w:color="auto"/>
            <w:right w:val="none" w:sz="0" w:space="0" w:color="auto"/>
          </w:divBdr>
        </w:div>
        <w:div w:id="480394423">
          <w:marLeft w:val="0"/>
          <w:marRight w:val="0"/>
          <w:marTop w:val="0"/>
          <w:marBottom w:val="0"/>
          <w:divBdr>
            <w:top w:val="none" w:sz="0" w:space="0" w:color="auto"/>
            <w:left w:val="none" w:sz="0" w:space="0" w:color="auto"/>
            <w:bottom w:val="none" w:sz="0" w:space="0" w:color="auto"/>
            <w:right w:val="none" w:sz="0" w:space="0" w:color="auto"/>
          </w:divBdr>
        </w:div>
      </w:divsChild>
    </w:div>
    <w:div w:id="1209150666">
      <w:bodyDiv w:val="1"/>
      <w:marLeft w:val="0"/>
      <w:marRight w:val="0"/>
      <w:marTop w:val="0"/>
      <w:marBottom w:val="0"/>
      <w:divBdr>
        <w:top w:val="none" w:sz="0" w:space="0" w:color="auto"/>
        <w:left w:val="none" w:sz="0" w:space="0" w:color="auto"/>
        <w:bottom w:val="none" w:sz="0" w:space="0" w:color="auto"/>
        <w:right w:val="none" w:sz="0" w:space="0" w:color="auto"/>
      </w:divBdr>
    </w:div>
    <w:div w:id="1224174426">
      <w:bodyDiv w:val="1"/>
      <w:marLeft w:val="0"/>
      <w:marRight w:val="0"/>
      <w:marTop w:val="0"/>
      <w:marBottom w:val="0"/>
      <w:divBdr>
        <w:top w:val="none" w:sz="0" w:space="0" w:color="auto"/>
        <w:left w:val="none" w:sz="0" w:space="0" w:color="auto"/>
        <w:bottom w:val="none" w:sz="0" w:space="0" w:color="auto"/>
        <w:right w:val="none" w:sz="0" w:space="0" w:color="auto"/>
      </w:divBdr>
      <w:divsChild>
        <w:div w:id="261647256">
          <w:marLeft w:val="0"/>
          <w:marRight w:val="0"/>
          <w:marTop w:val="0"/>
          <w:marBottom w:val="0"/>
          <w:divBdr>
            <w:top w:val="none" w:sz="0" w:space="0" w:color="auto"/>
            <w:left w:val="none" w:sz="0" w:space="0" w:color="auto"/>
            <w:bottom w:val="none" w:sz="0" w:space="0" w:color="auto"/>
            <w:right w:val="none" w:sz="0" w:space="0" w:color="auto"/>
          </w:divBdr>
          <w:divsChild>
            <w:div w:id="320961542">
              <w:marLeft w:val="0"/>
              <w:marRight w:val="0"/>
              <w:marTop w:val="0"/>
              <w:marBottom w:val="0"/>
              <w:divBdr>
                <w:top w:val="none" w:sz="0" w:space="0" w:color="auto"/>
                <w:left w:val="none" w:sz="0" w:space="0" w:color="auto"/>
                <w:bottom w:val="none" w:sz="0" w:space="0" w:color="auto"/>
                <w:right w:val="none" w:sz="0" w:space="0" w:color="auto"/>
              </w:divBdr>
            </w:div>
            <w:div w:id="1370568792">
              <w:marLeft w:val="0"/>
              <w:marRight w:val="0"/>
              <w:marTop w:val="0"/>
              <w:marBottom w:val="0"/>
              <w:divBdr>
                <w:top w:val="none" w:sz="0" w:space="0" w:color="auto"/>
                <w:left w:val="none" w:sz="0" w:space="0" w:color="auto"/>
                <w:bottom w:val="none" w:sz="0" w:space="0" w:color="auto"/>
                <w:right w:val="none" w:sz="0" w:space="0" w:color="auto"/>
              </w:divBdr>
            </w:div>
            <w:div w:id="1635403538">
              <w:marLeft w:val="0"/>
              <w:marRight w:val="0"/>
              <w:marTop w:val="0"/>
              <w:marBottom w:val="0"/>
              <w:divBdr>
                <w:top w:val="none" w:sz="0" w:space="0" w:color="auto"/>
                <w:left w:val="none" w:sz="0" w:space="0" w:color="auto"/>
                <w:bottom w:val="none" w:sz="0" w:space="0" w:color="auto"/>
                <w:right w:val="none" w:sz="0" w:space="0" w:color="auto"/>
              </w:divBdr>
            </w:div>
            <w:div w:id="1942685038">
              <w:marLeft w:val="0"/>
              <w:marRight w:val="0"/>
              <w:marTop w:val="0"/>
              <w:marBottom w:val="0"/>
              <w:divBdr>
                <w:top w:val="none" w:sz="0" w:space="0" w:color="auto"/>
                <w:left w:val="none" w:sz="0" w:space="0" w:color="auto"/>
                <w:bottom w:val="none" w:sz="0" w:space="0" w:color="auto"/>
                <w:right w:val="none" w:sz="0" w:space="0" w:color="auto"/>
              </w:divBdr>
            </w:div>
          </w:divsChild>
        </w:div>
        <w:div w:id="1285039983">
          <w:marLeft w:val="0"/>
          <w:marRight w:val="0"/>
          <w:marTop w:val="0"/>
          <w:marBottom w:val="0"/>
          <w:divBdr>
            <w:top w:val="none" w:sz="0" w:space="0" w:color="auto"/>
            <w:left w:val="none" w:sz="0" w:space="0" w:color="auto"/>
            <w:bottom w:val="none" w:sz="0" w:space="0" w:color="auto"/>
            <w:right w:val="none" w:sz="0" w:space="0" w:color="auto"/>
          </w:divBdr>
        </w:div>
      </w:divsChild>
    </w:div>
    <w:div w:id="1232546591">
      <w:bodyDiv w:val="1"/>
      <w:marLeft w:val="0"/>
      <w:marRight w:val="0"/>
      <w:marTop w:val="0"/>
      <w:marBottom w:val="0"/>
      <w:divBdr>
        <w:top w:val="none" w:sz="0" w:space="0" w:color="auto"/>
        <w:left w:val="none" w:sz="0" w:space="0" w:color="auto"/>
        <w:bottom w:val="none" w:sz="0" w:space="0" w:color="auto"/>
        <w:right w:val="none" w:sz="0" w:space="0" w:color="auto"/>
      </w:divBdr>
    </w:div>
    <w:div w:id="1266383416">
      <w:bodyDiv w:val="1"/>
      <w:marLeft w:val="0"/>
      <w:marRight w:val="0"/>
      <w:marTop w:val="0"/>
      <w:marBottom w:val="0"/>
      <w:divBdr>
        <w:top w:val="none" w:sz="0" w:space="0" w:color="auto"/>
        <w:left w:val="none" w:sz="0" w:space="0" w:color="auto"/>
        <w:bottom w:val="none" w:sz="0" w:space="0" w:color="auto"/>
        <w:right w:val="none" w:sz="0" w:space="0" w:color="auto"/>
      </w:divBdr>
      <w:divsChild>
        <w:div w:id="1058481146">
          <w:marLeft w:val="0"/>
          <w:marRight w:val="0"/>
          <w:marTop w:val="0"/>
          <w:marBottom w:val="0"/>
          <w:divBdr>
            <w:top w:val="none" w:sz="0" w:space="0" w:color="auto"/>
            <w:left w:val="none" w:sz="0" w:space="0" w:color="auto"/>
            <w:bottom w:val="none" w:sz="0" w:space="0" w:color="auto"/>
            <w:right w:val="none" w:sz="0" w:space="0" w:color="auto"/>
          </w:divBdr>
          <w:divsChild>
            <w:div w:id="1308709422">
              <w:marLeft w:val="-75"/>
              <w:marRight w:val="0"/>
              <w:marTop w:val="30"/>
              <w:marBottom w:val="30"/>
              <w:divBdr>
                <w:top w:val="none" w:sz="0" w:space="0" w:color="auto"/>
                <w:left w:val="none" w:sz="0" w:space="0" w:color="auto"/>
                <w:bottom w:val="none" w:sz="0" w:space="0" w:color="auto"/>
                <w:right w:val="none" w:sz="0" w:space="0" w:color="auto"/>
              </w:divBdr>
              <w:divsChild>
                <w:div w:id="40636495">
                  <w:marLeft w:val="0"/>
                  <w:marRight w:val="0"/>
                  <w:marTop w:val="0"/>
                  <w:marBottom w:val="0"/>
                  <w:divBdr>
                    <w:top w:val="none" w:sz="0" w:space="0" w:color="auto"/>
                    <w:left w:val="none" w:sz="0" w:space="0" w:color="auto"/>
                    <w:bottom w:val="none" w:sz="0" w:space="0" w:color="auto"/>
                    <w:right w:val="none" w:sz="0" w:space="0" w:color="auto"/>
                  </w:divBdr>
                  <w:divsChild>
                    <w:div w:id="1956937480">
                      <w:marLeft w:val="0"/>
                      <w:marRight w:val="0"/>
                      <w:marTop w:val="0"/>
                      <w:marBottom w:val="0"/>
                      <w:divBdr>
                        <w:top w:val="none" w:sz="0" w:space="0" w:color="auto"/>
                        <w:left w:val="none" w:sz="0" w:space="0" w:color="auto"/>
                        <w:bottom w:val="none" w:sz="0" w:space="0" w:color="auto"/>
                        <w:right w:val="none" w:sz="0" w:space="0" w:color="auto"/>
                      </w:divBdr>
                    </w:div>
                  </w:divsChild>
                </w:div>
                <w:div w:id="99490063">
                  <w:marLeft w:val="0"/>
                  <w:marRight w:val="0"/>
                  <w:marTop w:val="0"/>
                  <w:marBottom w:val="0"/>
                  <w:divBdr>
                    <w:top w:val="none" w:sz="0" w:space="0" w:color="auto"/>
                    <w:left w:val="none" w:sz="0" w:space="0" w:color="auto"/>
                    <w:bottom w:val="none" w:sz="0" w:space="0" w:color="auto"/>
                    <w:right w:val="none" w:sz="0" w:space="0" w:color="auto"/>
                  </w:divBdr>
                  <w:divsChild>
                    <w:div w:id="1209687597">
                      <w:marLeft w:val="0"/>
                      <w:marRight w:val="0"/>
                      <w:marTop w:val="0"/>
                      <w:marBottom w:val="0"/>
                      <w:divBdr>
                        <w:top w:val="none" w:sz="0" w:space="0" w:color="auto"/>
                        <w:left w:val="none" w:sz="0" w:space="0" w:color="auto"/>
                        <w:bottom w:val="none" w:sz="0" w:space="0" w:color="auto"/>
                        <w:right w:val="none" w:sz="0" w:space="0" w:color="auto"/>
                      </w:divBdr>
                    </w:div>
                  </w:divsChild>
                </w:div>
                <w:div w:id="688720774">
                  <w:marLeft w:val="0"/>
                  <w:marRight w:val="0"/>
                  <w:marTop w:val="0"/>
                  <w:marBottom w:val="0"/>
                  <w:divBdr>
                    <w:top w:val="none" w:sz="0" w:space="0" w:color="auto"/>
                    <w:left w:val="none" w:sz="0" w:space="0" w:color="auto"/>
                    <w:bottom w:val="none" w:sz="0" w:space="0" w:color="auto"/>
                    <w:right w:val="none" w:sz="0" w:space="0" w:color="auto"/>
                  </w:divBdr>
                  <w:divsChild>
                    <w:div w:id="777674449">
                      <w:marLeft w:val="0"/>
                      <w:marRight w:val="0"/>
                      <w:marTop w:val="0"/>
                      <w:marBottom w:val="0"/>
                      <w:divBdr>
                        <w:top w:val="none" w:sz="0" w:space="0" w:color="auto"/>
                        <w:left w:val="none" w:sz="0" w:space="0" w:color="auto"/>
                        <w:bottom w:val="none" w:sz="0" w:space="0" w:color="auto"/>
                        <w:right w:val="none" w:sz="0" w:space="0" w:color="auto"/>
                      </w:divBdr>
                    </w:div>
                    <w:div w:id="1120998930">
                      <w:marLeft w:val="0"/>
                      <w:marRight w:val="0"/>
                      <w:marTop w:val="0"/>
                      <w:marBottom w:val="0"/>
                      <w:divBdr>
                        <w:top w:val="none" w:sz="0" w:space="0" w:color="auto"/>
                        <w:left w:val="none" w:sz="0" w:space="0" w:color="auto"/>
                        <w:bottom w:val="none" w:sz="0" w:space="0" w:color="auto"/>
                        <w:right w:val="none" w:sz="0" w:space="0" w:color="auto"/>
                      </w:divBdr>
                    </w:div>
                    <w:div w:id="1515340251">
                      <w:marLeft w:val="0"/>
                      <w:marRight w:val="0"/>
                      <w:marTop w:val="0"/>
                      <w:marBottom w:val="0"/>
                      <w:divBdr>
                        <w:top w:val="none" w:sz="0" w:space="0" w:color="auto"/>
                        <w:left w:val="none" w:sz="0" w:space="0" w:color="auto"/>
                        <w:bottom w:val="none" w:sz="0" w:space="0" w:color="auto"/>
                        <w:right w:val="none" w:sz="0" w:space="0" w:color="auto"/>
                      </w:divBdr>
                    </w:div>
                    <w:div w:id="1905337606">
                      <w:marLeft w:val="0"/>
                      <w:marRight w:val="0"/>
                      <w:marTop w:val="0"/>
                      <w:marBottom w:val="0"/>
                      <w:divBdr>
                        <w:top w:val="none" w:sz="0" w:space="0" w:color="auto"/>
                        <w:left w:val="none" w:sz="0" w:space="0" w:color="auto"/>
                        <w:bottom w:val="none" w:sz="0" w:space="0" w:color="auto"/>
                        <w:right w:val="none" w:sz="0" w:space="0" w:color="auto"/>
                      </w:divBdr>
                    </w:div>
                  </w:divsChild>
                </w:div>
                <w:div w:id="689180132">
                  <w:marLeft w:val="0"/>
                  <w:marRight w:val="0"/>
                  <w:marTop w:val="0"/>
                  <w:marBottom w:val="0"/>
                  <w:divBdr>
                    <w:top w:val="none" w:sz="0" w:space="0" w:color="auto"/>
                    <w:left w:val="none" w:sz="0" w:space="0" w:color="auto"/>
                    <w:bottom w:val="none" w:sz="0" w:space="0" w:color="auto"/>
                    <w:right w:val="none" w:sz="0" w:space="0" w:color="auto"/>
                  </w:divBdr>
                  <w:divsChild>
                    <w:div w:id="89012789">
                      <w:marLeft w:val="0"/>
                      <w:marRight w:val="0"/>
                      <w:marTop w:val="0"/>
                      <w:marBottom w:val="0"/>
                      <w:divBdr>
                        <w:top w:val="none" w:sz="0" w:space="0" w:color="auto"/>
                        <w:left w:val="none" w:sz="0" w:space="0" w:color="auto"/>
                        <w:bottom w:val="none" w:sz="0" w:space="0" w:color="auto"/>
                        <w:right w:val="none" w:sz="0" w:space="0" w:color="auto"/>
                      </w:divBdr>
                    </w:div>
                  </w:divsChild>
                </w:div>
                <w:div w:id="694160229">
                  <w:marLeft w:val="0"/>
                  <w:marRight w:val="0"/>
                  <w:marTop w:val="0"/>
                  <w:marBottom w:val="0"/>
                  <w:divBdr>
                    <w:top w:val="none" w:sz="0" w:space="0" w:color="auto"/>
                    <w:left w:val="none" w:sz="0" w:space="0" w:color="auto"/>
                    <w:bottom w:val="none" w:sz="0" w:space="0" w:color="auto"/>
                    <w:right w:val="none" w:sz="0" w:space="0" w:color="auto"/>
                  </w:divBdr>
                  <w:divsChild>
                    <w:div w:id="234168487">
                      <w:marLeft w:val="0"/>
                      <w:marRight w:val="0"/>
                      <w:marTop w:val="0"/>
                      <w:marBottom w:val="0"/>
                      <w:divBdr>
                        <w:top w:val="none" w:sz="0" w:space="0" w:color="auto"/>
                        <w:left w:val="none" w:sz="0" w:space="0" w:color="auto"/>
                        <w:bottom w:val="none" w:sz="0" w:space="0" w:color="auto"/>
                        <w:right w:val="none" w:sz="0" w:space="0" w:color="auto"/>
                      </w:divBdr>
                    </w:div>
                  </w:divsChild>
                </w:div>
                <w:div w:id="1036615262">
                  <w:marLeft w:val="0"/>
                  <w:marRight w:val="0"/>
                  <w:marTop w:val="0"/>
                  <w:marBottom w:val="0"/>
                  <w:divBdr>
                    <w:top w:val="none" w:sz="0" w:space="0" w:color="auto"/>
                    <w:left w:val="none" w:sz="0" w:space="0" w:color="auto"/>
                    <w:bottom w:val="none" w:sz="0" w:space="0" w:color="auto"/>
                    <w:right w:val="none" w:sz="0" w:space="0" w:color="auto"/>
                  </w:divBdr>
                  <w:divsChild>
                    <w:div w:id="1141463978">
                      <w:marLeft w:val="0"/>
                      <w:marRight w:val="0"/>
                      <w:marTop w:val="0"/>
                      <w:marBottom w:val="0"/>
                      <w:divBdr>
                        <w:top w:val="none" w:sz="0" w:space="0" w:color="auto"/>
                        <w:left w:val="none" w:sz="0" w:space="0" w:color="auto"/>
                        <w:bottom w:val="none" w:sz="0" w:space="0" w:color="auto"/>
                        <w:right w:val="none" w:sz="0" w:space="0" w:color="auto"/>
                      </w:divBdr>
                    </w:div>
                  </w:divsChild>
                </w:div>
                <w:div w:id="1441026864">
                  <w:marLeft w:val="0"/>
                  <w:marRight w:val="0"/>
                  <w:marTop w:val="0"/>
                  <w:marBottom w:val="0"/>
                  <w:divBdr>
                    <w:top w:val="none" w:sz="0" w:space="0" w:color="auto"/>
                    <w:left w:val="none" w:sz="0" w:space="0" w:color="auto"/>
                    <w:bottom w:val="none" w:sz="0" w:space="0" w:color="auto"/>
                    <w:right w:val="none" w:sz="0" w:space="0" w:color="auto"/>
                  </w:divBdr>
                  <w:divsChild>
                    <w:div w:id="116148025">
                      <w:marLeft w:val="0"/>
                      <w:marRight w:val="0"/>
                      <w:marTop w:val="0"/>
                      <w:marBottom w:val="0"/>
                      <w:divBdr>
                        <w:top w:val="none" w:sz="0" w:space="0" w:color="auto"/>
                        <w:left w:val="none" w:sz="0" w:space="0" w:color="auto"/>
                        <w:bottom w:val="none" w:sz="0" w:space="0" w:color="auto"/>
                        <w:right w:val="none" w:sz="0" w:space="0" w:color="auto"/>
                      </w:divBdr>
                    </w:div>
                    <w:div w:id="804541627">
                      <w:marLeft w:val="0"/>
                      <w:marRight w:val="0"/>
                      <w:marTop w:val="0"/>
                      <w:marBottom w:val="0"/>
                      <w:divBdr>
                        <w:top w:val="none" w:sz="0" w:space="0" w:color="auto"/>
                        <w:left w:val="none" w:sz="0" w:space="0" w:color="auto"/>
                        <w:bottom w:val="none" w:sz="0" w:space="0" w:color="auto"/>
                        <w:right w:val="none" w:sz="0" w:space="0" w:color="auto"/>
                      </w:divBdr>
                    </w:div>
                    <w:div w:id="1329677112">
                      <w:marLeft w:val="0"/>
                      <w:marRight w:val="0"/>
                      <w:marTop w:val="0"/>
                      <w:marBottom w:val="0"/>
                      <w:divBdr>
                        <w:top w:val="none" w:sz="0" w:space="0" w:color="auto"/>
                        <w:left w:val="none" w:sz="0" w:space="0" w:color="auto"/>
                        <w:bottom w:val="none" w:sz="0" w:space="0" w:color="auto"/>
                        <w:right w:val="none" w:sz="0" w:space="0" w:color="auto"/>
                      </w:divBdr>
                    </w:div>
                    <w:div w:id="1890994429">
                      <w:marLeft w:val="0"/>
                      <w:marRight w:val="0"/>
                      <w:marTop w:val="0"/>
                      <w:marBottom w:val="0"/>
                      <w:divBdr>
                        <w:top w:val="none" w:sz="0" w:space="0" w:color="auto"/>
                        <w:left w:val="none" w:sz="0" w:space="0" w:color="auto"/>
                        <w:bottom w:val="none" w:sz="0" w:space="0" w:color="auto"/>
                        <w:right w:val="none" w:sz="0" w:space="0" w:color="auto"/>
                      </w:divBdr>
                    </w:div>
                  </w:divsChild>
                </w:div>
                <w:div w:id="1445878206">
                  <w:marLeft w:val="0"/>
                  <w:marRight w:val="0"/>
                  <w:marTop w:val="0"/>
                  <w:marBottom w:val="0"/>
                  <w:divBdr>
                    <w:top w:val="none" w:sz="0" w:space="0" w:color="auto"/>
                    <w:left w:val="none" w:sz="0" w:space="0" w:color="auto"/>
                    <w:bottom w:val="none" w:sz="0" w:space="0" w:color="auto"/>
                    <w:right w:val="none" w:sz="0" w:space="0" w:color="auto"/>
                  </w:divBdr>
                  <w:divsChild>
                    <w:div w:id="1952198198">
                      <w:marLeft w:val="0"/>
                      <w:marRight w:val="0"/>
                      <w:marTop w:val="0"/>
                      <w:marBottom w:val="0"/>
                      <w:divBdr>
                        <w:top w:val="none" w:sz="0" w:space="0" w:color="auto"/>
                        <w:left w:val="none" w:sz="0" w:space="0" w:color="auto"/>
                        <w:bottom w:val="none" w:sz="0" w:space="0" w:color="auto"/>
                        <w:right w:val="none" w:sz="0" w:space="0" w:color="auto"/>
                      </w:divBdr>
                    </w:div>
                  </w:divsChild>
                </w:div>
                <w:div w:id="1726368265">
                  <w:marLeft w:val="0"/>
                  <w:marRight w:val="0"/>
                  <w:marTop w:val="0"/>
                  <w:marBottom w:val="0"/>
                  <w:divBdr>
                    <w:top w:val="none" w:sz="0" w:space="0" w:color="auto"/>
                    <w:left w:val="none" w:sz="0" w:space="0" w:color="auto"/>
                    <w:bottom w:val="none" w:sz="0" w:space="0" w:color="auto"/>
                    <w:right w:val="none" w:sz="0" w:space="0" w:color="auto"/>
                  </w:divBdr>
                  <w:divsChild>
                    <w:div w:id="140662882">
                      <w:marLeft w:val="0"/>
                      <w:marRight w:val="0"/>
                      <w:marTop w:val="0"/>
                      <w:marBottom w:val="0"/>
                      <w:divBdr>
                        <w:top w:val="none" w:sz="0" w:space="0" w:color="auto"/>
                        <w:left w:val="none" w:sz="0" w:space="0" w:color="auto"/>
                        <w:bottom w:val="none" w:sz="0" w:space="0" w:color="auto"/>
                        <w:right w:val="none" w:sz="0" w:space="0" w:color="auto"/>
                      </w:divBdr>
                    </w:div>
                    <w:div w:id="913928405">
                      <w:marLeft w:val="0"/>
                      <w:marRight w:val="0"/>
                      <w:marTop w:val="0"/>
                      <w:marBottom w:val="0"/>
                      <w:divBdr>
                        <w:top w:val="none" w:sz="0" w:space="0" w:color="auto"/>
                        <w:left w:val="none" w:sz="0" w:space="0" w:color="auto"/>
                        <w:bottom w:val="none" w:sz="0" w:space="0" w:color="auto"/>
                        <w:right w:val="none" w:sz="0" w:space="0" w:color="auto"/>
                      </w:divBdr>
                    </w:div>
                    <w:div w:id="969898326">
                      <w:marLeft w:val="0"/>
                      <w:marRight w:val="0"/>
                      <w:marTop w:val="0"/>
                      <w:marBottom w:val="0"/>
                      <w:divBdr>
                        <w:top w:val="none" w:sz="0" w:space="0" w:color="auto"/>
                        <w:left w:val="none" w:sz="0" w:space="0" w:color="auto"/>
                        <w:bottom w:val="none" w:sz="0" w:space="0" w:color="auto"/>
                        <w:right w:val="none" w:sz="0" w:space="0" w:color="auto"/>
                      </w:divBdr>
                    </w:div>
                    <w:div w:id="1736663547">
                      <w:marLeft w:val="0"/>
                      <w:marRight w:val="0"/>
                      <w:marTop w:val="0"/>
                      <w:marBottom w:val="0"/>
                      <w:divBdr>
                        <w:top w:val="none" w:sz="0" w:space="0" w:color="auto"/>
                        <w:left w:val="none" w:sz="0" w:space="0" w:color="auto"/>
                        <w:bottom w:val="none" w:sz="0" w:space="0" w:color="auto"/>
                        <w:right w:val="none" w:sz="0" w:space="0" w:color="auto"/>
                      </w:divBdr>
                    </w:div>
                    <w:div w:id="1878814557">
                      <w:marLeft w:val="0"/>
                      <w:marRight w:val="0"/>
                      <w:marTop w:val="0"/>
                      <w:marBottom w:val="0"/>
                      <w:divBdr>
                        <w:top w:val="none" w:sz="0" w:space="0" w:color="auto"/>
                        <w:left w:val="none" w:sz="0" w:space="0" w:color="auto"/>
                        <w:bottom w:val="none" w:sz="0" w:space="0" w:color="auto"/>
                        <w:right w:val="none" w:sz="0" w:space="0" w:color="auto"/>
                      </w:divBdr>
                    </w:div>
                    <w:div w:id="2025545937">
                      <w:marLeft w:val="0"/>
                      <w:marRight w:val="0"/>
                      <w:marTop w:val="0"/>
                      <w:marBottom w:val="0"/>
                      <w:divBdr>
                        <w:top w:val="none" w:sz="0" w:space="0" w:color="auto"/>
                        <w:left w:val="none" w:sz="0" w:space="0" w:color="auto"/>
                        <w:bottom w:val="none" w:sz="0" w:space="0" w:color="auto"/>
                        <w:right w:val="none" w:sz="0" w:space="0" w:color="auto"/>
                      </w:divBdr>
                    </w:div>
                  </w:divsChild>
                </w:div>
                <w:div w:id="1739207261">
                  <w:marLeft w:val="0"/>
                  <w:marRight w:val="0"/>
                  <w:marTop w:val="0"/>
                  <w:marBottom w:val="0"/>
                  <w:divBdr>
                    <w:top w:val="none" w:sz="0" w:space="0" w:color="auto"/>
                    <w:left w:val="none" w:sz="0" w:space="0" w:color="auto"/>
                    <w:bottom w:val="none" w:sz="0" w:space="0" w:color="auto"/>
                    <w:right w:val="none" w:sz="0" w:space="0" w:color="auto"/>
                  </w:divBdr>
                  <w:divsChild>
                    <w:div w:id="278070805">
                      <w:marLeft w:val="0"/>
                      <w:marRight w:val="0"/>
                      <w:marTop w:val="0"/>
                      <w:marBottom w:val="0"/>
                      <w:divBdr>
                        <w:top w:val="none" w:sz="0" w:space="0" w:color="auto"/>
                        <w:left w:val="none" w:sz="0" w:space="0" w:color="auto"/>
                        <w:bottom w:val="none" w:sz="0" w:space="0" w:color="auto"/>
                        <w:right w:val="none" w:sz="0" w:space="0" w:color="auto"/>
                      </w:divBdr>
                    </w:div>
                    <w:div w:id="1373648071">
                      <w:marLeft w:val="0"/>
                      <w:marRight w:val="0"/>
                      <w:marTop w:val="0"/>
                      <w:marBottom w:val="0"/>
                      <w:divBdr>
                        <w:top w:val="none" w:sz="0" w:space="0" w:color="auto"/>
                        <w:left w:val="none" w:sz="0" w:space="0" w:color="auto"/>
                        <w:bottom w:val="none" w:sz="0" w:space="0" w:color="auto"/>
                        <w:right w:val="none" w:sz="0" w:space="0" w:color="auto"/>
                      </w:divBdr>
                    </w:div>
                    <w:div w:id="1620338211">
                      <w:marLeft w:val="0"/>
                      <w:marRight w:val="0"/>
                      <w:marTop w:val="0"/>
                      <w:marBottom w:val="0"/>
                      <w:divBdr>
                        <w:top w:val="none" w:sz="0" w:space="0" w:color="auto"/>
                        <w:left w:val="none" w:sz="0" w:space="0" w:color="auto"/>
                        <w:bottom w:val="none" w:sz="0" w:space="0" w:color="auto"/>
                        <w:right w:val="none" w:sz="0" w:space="0" w:color="auto"/>
                      </w:divBdr>
                    </w:div>
                  </w:divsChild>
                </w:div>
                <w:div w:id="1775247647">
                  <w:marLeft w:val="0"/>
                  <w:marRight w:val="0"/>
                  <w:marTop w:val="0"/>
                  <w:marBottom w:val="0"/>
                  <w:divBdr>
                    <w:top w:val="none" w:sz="0" w:space="0" w:color="auto"/>
                    <w:left w:val="none" w:sz="0" w:space="0" w:color="auto"/>
                    <w:bottom w:val="none" w:sz="0" w:space="0" w:color="auto"/>
                    <w:right w:val="none" w:sz="0" w:space="0" w:color="auto"/>
                  </w:divBdr>
                  <w:divsChild>
                    <w:div w:id="1552840635">
                      <w:marLeft w:val="0"/>
                      <w:marRight w:val="0"/>
                      <w:marTop w:val="0"/>
                      <w:marBottom w:val="0"/>
                      <w:divBdr>
                        <w:top w:val="none" w:sz="0" w:space="0" w:color="auto"/>
                        <w:left w:val="none" w:sz="0" w:space="0" w:color="auto"/>
                        <w:bottom w:val="none" w:sz="0" w:space="0" w:color="auto"/>
                        <w:right w:val="none" w:sz="0" w:space="0" w:color="auto"/>
                      </w:divBdr>
                    </w:div>
                    <w:div w:id="2055888131">
                      <w:marLeft w:val="0"/>
                      <w:marRight w:val="0"/>
                      <w:marTop w:val="0"/>
                      <w:marBottom w:val="0"/>
                      <w:divBdr>
                        <w:top w:val="none" w:sz="0" w:space="0" w:color="auto"/>
                        <w:left w:val="none" w:sz="0" w:space="0" w:color="auto"/>
                        <w:bottom w:val="none" w:sz="0" w:space="0" w:color="auto"/>
                        <w:right w:val="none" w:sz="0" w:space="0" w:color="auto"/>
                      </w:divBdr>
                    </w:div>
                  </w:divsChild>
                </w:div>
                <w:div w:id="2088727451">
                  <w:marLeft w:val="0"/>
                  <w:marRight w:val="0"/>
                  <w:marTop w:val="0"/>
                  <w:marBottom w:val="0"/>
                  <w:divBdr>
                    <w:top w:val="none" w:sz="0" w:space="0" w:color="auto"/>
                    <w:left w:val="none" w:sz="0" w:space="0" w:color="auto"/>
                    <w:bottom w:val="none" w:sz="0" w:space="0" w:color="auto"/>
                    <w:right w:val="none" w:sz="0" w:space="0" w:color="auto"/>
                  </w:divBdr>
                  <w:divsChild>
                    <w:div w:id="198916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190759">
          <w:marLeft w:val="0"/>
          <w:marRight w:val="0"/>
          <w:marTop w:val="0"/>
          <w:marBottom w:val="0"/>
          <w:divBdr>
            <w:top w:val="none" w:sz="0" w:space="0" w:color="auto"/>
            <w:left w:val="none" w:sz="0" w:space="0" w:color="auto"/>
            <w:bottom w:val="none" w:sz="0" w:space="0" w:color="auto"/>
            <w:right w:val="none" w:sz="0" w:space="0" w:color="auto"/>
          </w:divBdr>
        </w:div>
        <w:div w:id="1198006475">
          <w:marLeft w:val="0"/>
          <w:marRight w:val="0"/>
          <w:marTop w:val="0"/>
          <w:marBottom w:val="0"/>
          <w:divBdr>
            <w:top w:val="none" w:sz="0" w:space="0" w:color="auto"/>
            <w:left w:val="none" w:sz="0" w:space="0" w:color="auto"/>
            <w:bottom w:val="none" w:sz="0" w:space="0" w:color="auto"/>
            <w:right w:val="none" w:sz="0" w:space="0" w:color="auto"/>
          </w:divBdr>
        </w:div>
        <w:div w:id="1838379268">
          <w:marLeft w:val="0"/>
          <w:marRight w:val="0"/>
          <w:marTop w:val="0"/>
          <w:marBottom w:val="0"/>
          <w:divBdr>
            <w:top w:val="none" w:sz="0" w:space="0" w:color="auto"/>
            <w:left w:val="none" w:sz="0" w:space="0" w:color="auto"/>
            <w:bottom w:val="none" w:sz="0" w:space="0" w:color="auto"/>
            <w:right w:val="none" w:sz="0" w:space="0" w:color="auto"/>
          </w:divBdr>
          <w:divsChild>
            <w:div w:id="646125756">
              <w:marLeft w:val="-75"/>
              <w:marRight w:val="0"/>
              <w:marTop w:val="30"/>
              <w:marBottom w:val="30"/>
              <w:divBdr>
                <w:top w:val="none" w:sz="0" w:space="0" w:color="auto"/>
                <w:left w:val="none" w:sz="0" w:space="0" w:color="auto"/>
                <w:bottom w:val="none" w:sz="0" w:space="0" w:color="auto"/>
                <w:right w:val="none" w:sz="0" w:space="0" w:color="auto"/>
              </w:divBdr>
              <w:divsChild>
                <w:div w:id="1227911633">
                  <w:marLeft w:val="0"/>
                  <w:marRight w:val="0"/>
                  <w:marTop w:val="0"/>
                  <w:marBottom w:val="0"/>
                  <w:divBdr>
                    <w:top w:val="none" w:sz="0" w:space="0" w:color="auto"/>
                    <w:left w:val="none" w:sz="0" w:space="0" w:color="auto"/>
                    <w:bottom w:val="none" w:sz="0" w:space="0" w:color="auto"/>
                    <w:right w:val="none" w:sz="0" w:space="0" w:color="auto"/>
                  </w:divBdr>
                  <w:divsChild>
                    <w:div w:id="1830246108">
                      <w:marLeft w:val="0"/>
                      <w:marRight w:val="0"/>
                      <w:marTop w:val="0"/>
                      <w:marBottom w:val="0"/>
                      <w:divBdr>
                        <w:top w:val="none" w:sz="0" w:space="0" w:color="auto"/>
                        <w:left w:val="none" w:sz="0" w:space="0" w:color="auto"/>
                        <w:bottom w:val="none" w:sz="0" w:space="0" w:color="auto"/>
                        <w:right w:val="none" w:sz="0" w:space="0" w:color="auto"/>
                      </w:divBdr>
                    </w:div>
                  </w:divsChild>
                </w:div>
                <w:div w:id="1515412740">
                  <w:marLeft w:val="0"/>
                  <w:marRight w:val="0"/>
                  <w:marTop w:val="0"/>
                  <w:marBottom w:val="0"/>
                  <w:divBdr>
                    <w:top w:val="none" w:sz="0" w:space="0" w:color="auto"/>
                    <w:left w:val="none" w:sz="0" w:space="0" w:color="auto"/>
                    <w:bottom w:val="none" w:sz="0" w:space="0" w:color="auto"/>
                    <w:right w:val="none" w:sz="0" w:space="0" w:color="auto"/>
                  </w:divBdr>
                  <w:divsChild>
                    <w:div w:id="778448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265076">
          <w:marLeft w:val="0"/>
          <w:marRight w:val="0"/>
          <w:marTop w:val="0"/>
          <w:marBottom w:val="0"/>
          <w:divBdr>
            <w:top w:val="none" w:sz="0" w:space="0" w:color="auto"/>
            <w:left w:val="none" w:sz="0" w:space="0" w:color="auto"/>
            <w:bottom w:val="none" w:sz="0" w:space="0" w:color="auto"/>
            <w:right w:val="none" w:sz="0" w:space="0" w:color="auto"/>
          </w:divBdr>
          <w:divsChild>
            <w:div w:id="1149327643">
              <w:marLeft w:val="0"/>
              <w:marRight w:val="0"/>
              <w:marTop w:val="0"/>
              <w:marBottom w:val="0"/>
              <w:divBdr>
                <w:top w:val="none" w:sz="0" w:space="0" w:color="auto"/>
                <w:left w:val="none" w:sz="0" w:space="0" w:color="auto"/>
                <w:bottom w:val="none" w:sz="0" w:space="0" w:color="auto"/>
                <w:right w:val="none" w:sz="0" w:space="0" w:color="auto"/>
              </w:divBdr>
            </w:div>
            <w:div w:id="1220018203">
              <w:marLeft w:val="0"/>
              <w:marRight w:val="0"/>
              <w:marTop w:val="0"/>
              <w:marBottom w:val="0"/>
              <w:divBdr>
                <w:top w:val="none" w:sz="0" w:space="0" w:color="auto"/>
                <w:left w:val="none" w:sz="0" w:space="0" w:color="auto"/>
                <w:bottom w:val="none" w:sz="0" w:space="0" w:color="auto"/>
                <w:right w:val="none" w:sz="0" w:space="0" w:color="auto"/>
              </w:divBdr>
            </w:div>
            <w:div w:id="1382943384">
              <w:marLeft w:val="0"/>
              <w:marRight w:val="0"/>
              <w:marTop w:val="0"/>
              <w:marBottom w:val="0"/>
              <w:divBdr>
                <w:top w:val="none" w:sz="0" w:space="0" w:color="auto"/>
                <w:left w:val="none" w:sz="0" w:space="0" w:color="auto"/>
                <w:bottom w:val="none" w:sz="0" w:space="0" w:color="auto"/>
                <w:right w:val="none" w:sz="0" w:space="0" w:color="auto"/>
              </w:divBdr>
            </w:div>
            <w:div w:id="1531605543">
              <w:marLeft w:val="0"/>
              <w:marRight w:val="0"/>
              <w:marTop w:val="0"/>
              <w:marBottom w:val="0"/>
              <w:divBdr>
                <w:top w:val="none" w:sz="0" w:space="0" w:color="auto"/>
                <w:left w:val="none" w:sz="0" w:space="0" w:color="auto"/>
                <w:bottom w:val="none" w:sz="0" w:space="0" w:color="auto"/>
                <w:right w:val="none" w:sz="0" w:space="0" w:color="auto"/>
              </w:divBdr>
            </w:div>
            <w:div w:id="1556089491">
              <w:marLeft w:val="0"/>
              <w:marRight w:val="0"/>
              <w:marTop w:val="0"/>
              <w:marBottom w:val="0"/>
              <w:divBdr>
                <w:top w:val="none" w:sz="0" w:space="0" w:color="auto"/>
                <w:left w:val="none" w:sz="0" w:space="0" w:color="auto"/>
                <w:bottom w:val="none" w:sz="0" w:space="0" w:color="auto"/>
                <w:right w:val="none" w:sz="0" w:space="0" w:color="auto"/>
              </w:divBdr>
            </w:div>
            <w:div w:id="1792898964">
              <w:marLeft w:val="0"/>
              <w:marRight w:val="0"/>
              <w:marTop w:val="0"/>
              <w:marBottom w:val="0"/>
              <w:divBdr>
                <w:top w:val="none" w:sz="0" w:space="0" w:color="auto"/>
                <w:left w:val="none" w:sz="0" w:space="0" w:color="auto"/>
                <w:bottom w:val="none" w:sz="0" w:space="0" w:color="auto"/>
                <w:right w:val="none" w:sz="0" w:space="0" w:color="auto"/>
              </w:divBdr>
            </w:div>
            <w:div w:id="1803959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203926">
      <w:bodyDiv w:val="1"/>
      <w:marLeft w:val="0"/>
      <w:marRight w:val="0"/>
      <w:marTop w:val="0"/>
      <w:marBottom w:val="0"/>
      <w:divBdr>
        <w:top w:val="none" w:sz="0" w:space="0" w:color="auto"/>
        <w:left w:val="none" w:sz="0" w:space="0" w:color="auto"/>
        <w:bottom w:val="none" w:sz="0" w:space="0" w:color="auto"/>
        <w:right w:val="none" w:sz="0" w:space="0" w:color="auto"/>
      </w:divBdr>
      <w:divsChild>
        <w:div w:id="647320641">
          <w:marLeft w:val="0"/>
          <w:marRight w:val="0"/>
          <w:marTop w:val="0"/>
          <w:marBottom w:val="0"/>
          <w:divBdr>
            <w:top w:val="none" w:sz="0" w:space="0" w:color="auto"/>
            <w:left w:val="none" w:sz="0" w:space="0" w:color="auto"/>
            <w:bottom w:val="none" w:sz="0" w:space="0" w:color="auto"/>
            <w:right w:val="none" w:sz="0" w:space="0" w:color="auto"/>
          </w:divBdr>
          <w:divsChild>
            <w:div w:id="110832237">
              <w:marLeft w:val="0"/>
              <w:marRight w:val="0"/>
              <w:marTop w:val="0"/>
              <w:marBottom w:val="0"/>
              <w:divBdr>
                <w:top w:val="none" w:sz="0" w:space="0" w:color="auto"/>
                <w:left w:val="none" w:sz="0" w:space="0" w:color="auto"/>
                <w:bottom w:val="none" w:sz="0" w:space="0" w:color="auto"/>
                <w:right w:val="none" w:sz="0" w:space="0" w:color="auto"/>
              </w:divBdr>
            </w:div>
            <w:div w:id="871847151">
              <w:marLeft w:val="0"/>
              <w:marRight w:val="0"/>
              <w:marTop w:val="0"/>
              <w:marBottom w:val="0"/>
              <w:divBdr>
                <w:top w:val="none" w:sz="0" w:space="0" w:color="auto"/>
                <w:left w:val="none" w:sz="0" w:space="0" w:color="auto"/>
                <w:bottom w:val="none" w:sz="0" w:space="0" w:color="auto"/>
                <w:right w:val="none" w:sz="0" w:space="0" w:color="auto"/>
              </w:divBdr>
            </w:div>
            <w:div w:id="1445730049">
              <w:marLeft w:val="0"/>
              <w:marRight w:val="0"/>
              <w:marTop w:val="0"/>
              <w:marBottom w:val="0"/>
              <w:divBdr>
                <w:top w:val="none" w:sz="0" w:space="0" w:color="auto"/>
                <w:left w:val="none" w:sz="0" w:space="0" w:color="auto"/>
                <w:bottom w:val="none" w:sz="0" w:space="0" w:color="auto"/>
                <w:right w:val="none" w:sz="0" w:space="0" w:color="auto"/>
              </w:divBdr>
            </w:div>
            <w:div w:id="1903561510">
              <w:marLeft w:val="0"/>
              <w:marRight w:val="0"/>
              <w:marTop w:val="0"/>
              <w:marBottom w:val="0"/>
              <w:divBdr>
                <w:top w:val="none" w:sz="0" w:space="0" w:color="auto"/>
                <w:left w:val="none" w:sz="0" w:space="0" w:color="auto"/>
                <w:bottom w:val="none" w:sz="0" w:space="0" w:color="auto"/>
                <w:right w:val="none" w:sz="0" w:space="0" w:color="auto"/>
              </w:divBdr>
            </w:div>
            <w:div w:id="1986548858">
              <w:marLeft w:val="0"/>
              <w:marRight w:val="0"/>
              <w:marTop w:val="0"/>
              <w:marBottom w:val="0"/>
              <w:divBdr>
                <w:top w:val="none" w:sz="0" w:space="0" w:color="auto"/>
                <w:left w:val="none" w:sz="0" w:space="0" w:color="auto"/>
                <w:bottom w:val="none" w:sz="0" w:space="0" w:color="auto"/>
                <w:right w:val="none" w:sz="0" w:space="0" w:color="auto"/>
              </w:divBdr>
            </w:div>
            <w:div w:id="2023774831">
              <w:marLeft w:val="0"/>
              <w:marRight w:val="0"/>
              <w:marTop w:val="0"/>
              <w:marBottom w:val="0"/>
              <w:divBdr>
                <w:top w:val="none" w:sz="0" w:space="0" w:color="auto"/>
                <w:left w:val="none" w:sz="0" w:space="0" w:color="auto"/>
                <w:bottom w:val="none" w:sz="0" w:space="0" w:color="auto"/>
                <w:right w:val="none" w:sz="0" w:space="0" w:color="auto"/>
              </w:divBdr>
            </w:div>
            <w:div w:id="2120681497">
              <w:marLeft w:val="0"/>
              <w:marRight w:val="0"/>
              <w:marTop w:val="0"/>
              <w:marBottom w:val="0"/>
              <w:divBdr>
                <w:top w:val="none" w:sz="0" w:space="0" w:color="auto"/>
                <w:left w:val="none" w:sz="0" w:space="0" w:color="auto"/>
                <w:bottom w:val="none" w:sz="0" w:space="0" w:color="auto"/>
                <w:right w:val="none" w:sz="0" w:space="0" w:color="auto"/>
              </w:divBdr>
            </w:div>
          </w:divsChild>
        </w:div>
        <w:div w:id="687145387">
          <w:marLeft w:val="0"/>
          <w:marRight w:val="0"/>
          <w:marTop w:val="0"/>
          <w:marBottom w:val="0"/>
          <w:divBdr>
            <w:top w:val="none" w:sz="0" w:space="0" w:color="auto"/>
            <w:left w:val="none" w:sz="0" w:space="0" w:color="auto"/>
            <w:bottom w:val="none" w:sz="0" w:space="0" w:color="auto"/>
            <w:right w:val="none" w:sz="0" w:space="0" w:color="auto"/>
          </w:divBdr>
        </w:div>
        <w:div w:id="1315378550">
          <w:marLeft w:val="0"/>
          <w:marRight w:val="0"/>
          <w:marTop w:val="0"/>
          <w:marBottom w:val="0"/>
          <w:divBdr>
            <w:top w:val="none" w:sz="0" w:space="0" w:color="auto"/>
            <w:left w:val="none" w:sz="0" w:space="0" w:color="auto"/>
            <w:bottom w:val="none" w:sz="0" w:space="0" w:color="auto"/>
            <w:right w:val="none" w:sz="0" w:space="0" w:color="auto"/>
          </w:divBdr>
        </w:div>
        <w:div w:id="1780486600">
          <w:marLeft w:val="0"/>
          <w:marRight w:val="0"/>
          <w:marTop w:val="0"/>
          <w:marBottom w:val="0"/>
          <w:divBdr>
            <w:top w:val="none" w:sz="0" w:space="0" w:color="auto"/>
            <w:left w:val="none" w:sz="0" w:space="0" w:color="auto"/>
            <w:bottom w:val="none" w:sz="0" w:space="0" w:color="auto"/>
            <w:right w:val="none" w:sz="0" w:space="0" w:color="auto"/>
          </w:divBdr>
          <w:divsChild>
            <w:div w:id="1468619511">
              <w:marLeft w:val="-75"/>
              <w:marRight w:val="0"/>
              <w:marTop w:val="30"/>
              <w:marBottom w:val="30"/>
              <w:divBdr>
                <w:top w:val="none" w:sz="0" w:space="0" w:color="auto"/>
                <w:left w:val="none" w:sz="0" w:space="0" w:color="auto"/>
                <w:bottom w:val="none" w:sz="0" w:space="0" w:color="auto"/>
                <w:right w:val="none" w:sz="0" w:space="0" w:color="auto"/>
              </w:divBdr>
              <w:divsChild>
                <w:div w:id="32464589">
                  <w:marLeft w:val="0"/>
                  <w:marRight w:val="0"/>
                  <w:marTop w:val="0"/>
                  <w:marBottom w:val="0"/>
                  <w:divBdr>
                    <w:top w:val="none" w:sz="0" w:space="0" w:color="auto"/>
                    <w:left w:val="none" w:sz="0" w:space="0" w:color="auto"/>
                    <w:bottom w:val="none" w:sz="0" w:space="0" w:color="auto"/>
                    <w:right w:val="none" w:sz="0" w:space="0" w:color="auto"/>
                  </w:divBdr>
                  <w:divsChild>
                    <w:div w:id="1026062681">
                      <w:marLeft w:val="0"/>
                      <w:marRight w:val="0"/>
                      <w:marTop w:val="0"/>
                      <w:marBottom w:val="0"/>
                      <w:divBdr>
                        <w:top w:val="none" w:sz="0" w:space="0" w:color="auto"/>
                        <w:left w:val="none" w:sz="0" w:space="0" w:color="auto"/>
                        <w:bottom w:val="none" w:sz="0" w:space="0" w:color="auto"/>
                        <w:right w:val="none" w:sz="0" w:space="0" w:color="auto"/>
                      </w:divBdr>
                    </w:div>
                    <w:div w:id="1323005987">
                      <w:marLeft w:val="0"/>
                      <w:marRight w:val="0"/>
                      <w:marTop w:val="0"/>
                      <w:marBottom w:val="0"/>
                      <w:divBdr>
                        <w:top w:val="none" w:sz="0" w:space="0" w:color="auto"/>
                        <w:left w:val="none" w:sz="0" w:space="0" w:color="auto"/>
                        <w:bottom w:val="none" w:sz="0" w:space="0" w:color="auto"/>
                        <w:right w:val="none" w:sz="0" w:space="0" w:color="auto"/>
                      </w:divBdr>
                    </w:div>
                    <w:div w:id="1514758658">
                      <w:marLeft w:val="0"/>
                      <w:marRight w:val="0"/>
                      <w:marTop w:val="0"/>
                      <w:marBottom w:val="0"/>
                      <w:divBdr>
                        <w:top w:val="none" w:sz="0" w:space="0" w:color="auto"/>
                        <w:left w:val="none" w:sz="0" w:space="0" w:color="auto"/>
                        <w:bottom w:val="none" w:sz="0" w:space="0" w:color="auto"/>
                        <w:right w:val="none" w:sz="0" w:space="0" w:color="auto"/>
                      </w:divBdr>
                    </w:div>
                  </w:divsChild>
                </w:div>
                <w:div w:id="207953488">
                  <w:marLeft w:val="0"/>
                  <w:marRight w:val="0"/>
                  <w:marTop w:val="0"/>
                  <w:marBottom w:val="0"/>
                  <w:divBdr>
                    <w:top w:val="none" w:sz="0" w:space="0" w:color="auto"/>
                    <w:left w:val="none" w:sz="0" w:space="0" w:color="auto"/>
                    <w:bottom w:val="none" w:sz="0" w:space="0" w:color="auto"/>
                    <w:right w:val="none" w:sz="0" w:space="0" w:color="auto"/>
                  </w:divBdr>
                  <w:divsChild>
                    <w:div w:id="844438735">
                      <w:marLeft w:val="0"/>
                      <w:marRight w:val="0"/>
                      <w:marTop w:val="0"/>
                      <w:marBottom w:val="0"/>
                      <w:divBdr>
                        <w:top w:val="none" w:sz="0" w:space="0" w:color="auto"/>
                        <w:left w:val="none" w:sz="0" w:space="0" w:color="auto"/>
                        <w:bottom w:val="none" w:sz="0" w:space="0" w:color="auto"/>
                        <w:right w:val="none" w:sz="0" w:space="0" w:color="auto"/>
                      </w:divBdr>
                    </w:div>
                    <w:div w:id="1315794158">
                      <w:marLeft w:val="0"/>
                      <w:marRight w:val="0"/>
                      <w:marTop w:val="0"/>
                      <w:marBottom w:val="0"/>
                      <w:divBdr>
                        <w:top w:val="none" w:sz="0" w:space="0" w:color="auto"/>
                        <w:left w:val="none" w:sz="0" w:space="0" w:color="auto"/>
                        <w:bottom w:val="none" w:sz="0" w:space="0" w:color="auto"/>
                        <w:right w:val="none" w:sz="0" w:space="0" w:color="auto"/>
                      </w:divBdr>
                    </w:div>
                  </w:divsChild>
                </w:div>
                <w:div w:id="273751515">
                  <w:marLeft w:val="0"/>
                  <w:marRight w:val="0"/>
                  <w:marTop w:val="0"/>
                  <w:marBottom w:val="0"/>
                  <w:divBdr>
                    <w:top w:val="none" w:sz="0" w:space="0" w:color="auto"/>
                    <w:left w:val="none" w:sz="0" w:space="0" w:color="auto"/>
                    <w:bottom w:val="none" w:sz="0" w:space="0" w:color="auto"/>
                    <w:right w:val="none" w:sz="0" w:space="0" w:color="auto"/>
                  </w:divBdr>
                  <w:divsChild>
                    <w:div w:id="1333026693">
                      <w:marLeft w:val="0"/>
                      <w:marRight w:val="0"/>
                      <w:marTop w:val="0"/>
                      <w:marBottom w:val="0"/>
                      <w:divBdr>
                        <w:top w:val="none" w:sz="0" w:space="0" w:color="auto"/>
                        <w:left w:val="none" w:sz="0" w:space="0" w:color="auto"/>
                        <w:bottom w:val="none" w:sz="0" w:space="0" w:color="auto"/>
                        <w:right w:val="none" w:sz="0" w:space="0" w:color="auto"/>
                      </w:divBdr>
                    </w:div>
                  </w:divsChild>
                </w:div>
                <w:div w:id="332223505">
                  <w:marLeft w:val="0"/>
                  <w:marRight w:val="0"/>
                  <w:marTop w:val="0"/>
                  <w:marBottom w:val="0"/>
                  <w:divBdr>
                    <w:top w:val="none" w:sz="0" w:space="0" w:color="auto"/>
                    <w:left w:val="none" w:sz="0" w:space="0" w:color="auto"/>
                    <w:bottom w:val="none" w:sz="0" w:space="0" w:color="auto"/>
                    <w:right w:val="none" w:sz="0" w:space="0" w:color="auto"/>
                  </w:divBdr>
                  <w:divsChild>
                    <w:div w:id="354619421">
                      <w:marLeft w:val="0"/>
                      <w:marRight w:val="0"/>
                      <w:marTop w:val="0"/>
                      <w:marBottom w:val="0"/>
                      <w:divBdr>
                        <w:top w:val="none" w:sz="0" w:space="0" w:color="auto"/>
                        <w:left w:val="none" w:sz="0" w:space="0" w:color="auto"/>
                        <w:bottom w:val="none" w:sz="0" w:space="0" w:color="auto"/>
                        <w:right w:val="none" w:sz="0" w:space="0" w:color="auto"/>
                      </w:divBdr>
                    </w:div>
                    <w:div w:id="985163458">
                      <w:marLeft w:val="0"/>
                      <w:marRight w:val="0"/>
                      <w:marTop w:val="0"/>
                      <w:marBottom w:val="0"/>
                      <w:divBdr>
                        <w:top w:val="none" w:sz="0" w:space="0" w:color="auto"/>
                        <w:left w:val="none" w:sz="0" w:space="0" w:color="auto"/>
                        <w:bottom w:val="none" w:sz="0" w:space="0" w:color="auto"/>
                        <w:right w:val="none" w:sz="0" w:space="0" w:color="auto"/>
                      </w:divBdr>
                    </w:div>
                    <w:div w:id="1146237350">
                      <w:marLeft w:val="0"/>
                      <w:marRight w:val="0"/>
                      <w:marTop w:val="0"/>
                      <w:marBottom w:val="0"/>
                      <w:divBdr>
                        <w:top w:val="none" w:sz="0" w:space="0" w:color="auto"/>
                        <w:left w:val="none" w:sz="0" w:space="0" w:color="auto"/>
                        <w:bottom w:val="none" w:sz="0" w:space="0" w:color="auto"/>
                        <w:right w:val="none" w:sz="0" w:space="0" w:color="auto"/>
                      </w:divBdr>
                    </w:div>
                    <w:div w:id="1482304075">
                      <w:marLeft w:val="0"/>
                      <w:marRight w:val="0"/>
                      <w:marTop w:val="0"/>
                      <w:marBottom w:val="0"/>
                      <w:divBdr>
                        <w:top w:val="none" w:sz="0" w:space="0" w:color="auto"/>
                        <w:left w:val="none" w:sz="0" w:space="0" w:color="auto"/>
                        <w:bottom w:val="none" w:sz="0" w:space="0" w:color="auto"/>
                        <w:right w:val="none" w:sz="0" w:space="0" w:color="auto"/>
                      </w:divBdr>
                    </w:div>
                    <w:div w:id="1695810249">
                      <w:marLeft w:val="0"/>
                      <w:marRight w:val="0"/>
                      <w:marTop w:val="0"/>
                      <w:marBottom w:val="0"/>
                      <w:divBdr>
                        <w:top w:val="none" w:sz="0" w:space="0" w:color="auto"/>
                        <w:left w:val="none" w:sz="0" w:space="0" w:color="auto"/>
                        <w:bottom w:val="none" w:sz="0" w:space="0" w:color="auto"/>
                        <w:right w:val="none" w:sz="0" w:space="0" w:color="auto"/>
                      </w:divBdr>
                    </w:div>
                    <w:div w:id="1955212887">
                      <w:marLeft w:val="0"/>
                      <w:marRight w:val="0"/>
                      <w:marTop w:val="0"/>
                      <w:marBottom w:val="0"/>
                      <w:divBdr>
                        <w:top w:val="none" w:sz="0" w:space="0" w:color="auto"/>
                        <w:left w:val="none" w:sz="0" w:space="0" w:color="auto"/>
                        <w:bottom w:val="none" w:sz="0" w:space="0" w:color="auto"/>
                        <w:right w:val="none" w:sz="0" w:space="0" w:color="auto"/>
                      </w:divBdr>
                    </w:div>
                  </w:divsChild>
                </w:div>
                <w:div w:id="419956968">
                  <w:marLeft w:val="0"/>
                  <w:marRight w:val="0"/>
                  <w:marTop w:val="0"/>
                  <w:marBottom w:val="0"/>
                  <w:divBdr>
                    <w:top w:val="none" w:sz="0" w:space="0" w:color="auto"/>
                    <w:left w:val="none" w:sz="0" w:space="0" w:color="auto"/>
                    <w:bottom w:val="none" w:sz="0" w:space="0" w:color="auto"/>
                    <w:right w:val="none" w:sz="0" w:space="0" w:color="auto"/>
                  </w:divBdr>
                  <w:divsChild>
                    <w:div w:id="1827625420">
                      <w:marLeft w:val="0"/>
                      <w:marRight w:val="0"/>
                      <w:marTop w:val="0"/>
                      <w:marBottom w:val="0"/>
                      <w:divBdr>
                        <w:top w:val="none" w:sz="0" w:space="0" w:color="auto"/>
                        <w:left w:val="none" w:sz="0" w:space="0" w:color="auto"/>
                        <w:bottom w:val="none" w:sz="0" w:space="0" w:color="auto"/>
                        <w:right w:val="none" w:sz="0" w:space="0" w:color="auto"/>
                      </w:divBdr>
                    </w:div>
                  </w:divsChild>
                </w:div>
                <w:div w:id="598951445">
                  <w:marLeft w:val="0"/>
                  <w:marRight w:val="0"/>
                  <w:marTop w:val="0"/>
                  <w:marBottom w:val="0"/>
                  <w:divBdr>
                    <w:top w:val="none" w:sz="0" w:space="0" w:color="auto"/>
                    <w:left w:val="none" w:sz="0" w:space="0" w:color="auto"/>
                    <w:bottom w:val="none" w:sz="0" w:space="0" w:color="auto"/>
                    <w:right w:val="none" w:sz="0" w:space="0" w:color="auto"/>
                  </w:divBdr>
                  <w:divsChild>
                    <w:div w:id="1621112913">
                      <w:marLeft w:val="0"/>
                      <w:marRight w:val="0"/>
                      <w:marTop w:val="0"/>
                      <w:marBottom w:val="0"/>
                      <w:divBdr>
                        <w:top w:val="none" w:sz="0" w:space="0" w:color="auto"/>
                        <w:left w:val="none" w:sz="0" w:space="0" w:color="auto"/>
                        <w:bottom w:val="none" w:sz="0" w:space="0" w:color="auto"/>
                        <w:right w:val="none" w:sz="0" w:space="0" w:color="auto"/>
                      </w:divBdr>
                    </w:div>
                  </w:divsChild>
                </w:div>
                <w:div w:id="980234782">
                  <w:marLeft w:val="0"/>
                  <w:marRight w:val="0"/>
                  <w:marTop w:val="0"/>
                  <w:marBottom w:val="0"/>
                  <w:divBdr>
                    <w:top w:val="none" w:sz="0" w:space="0" w:color="auto"/>
                    <w:left w:val="none" w:sz="0" w:space="0" w:color="auto"/>
                    <w:bottom w:val="none" w:sz="0" w:space="0" w:color="auto"/>
                    <w:right w:val="none" w:sz="0" w:space="0" w:color="auto"/>
                  </w:divBdr>
                  <w:divsChild>
                    <w:div w:id="668679269">
                      <w:marLeft w:val="0"/>
                      <w:marRight w:val="0"/>
                      <w:marTop w:val="0"/>
                      <w:marBottom w:val="0"/>
                      <w:divBdr>
                        <w:top w:val="none" w:sz="0" w:space="0" w:color="auto"/>
                        <w:left w:val="none" w:sz="0" w:space="0" w:color="auto"/>
                        <w:bottom w:val="none" w:sz="0" w:space="0" w:color="auto"/>
                        <w:right w:val="none" w:sz="0" w:space="0" w:color="auto"/>
                      </w:divBdr>
                    </w:div>
                    <w:div w:id="1550724821">
                      <w:marLeft w:val="0"/>
                      <w:marRight w:val="0"/>
                      <w:marTop w:val="0"/>
                      <w:marBottom w:val="0"/>
                      <w:divBdr>
                        <w:top w:val="none" w:sz="0" w:space="0" w:color="auto"/>
                        <w:left w:val="none" w:sz="0" w:space="0" w:color="auto"/>
                        <w:bottom w:val="none" w:sz="0" w:space="0" w:color="auto"/>
                        <w:right w:val="none" w:sz="0" w:space="0" w:color="auto"/>
                      </w:divBdr>
                    </w:div>
                    <w:div w:id="1651444537">
                      <w:marLeft w:val="0"/>
                      <w:marRight w:val="0"/>
                      <w:marTop w:val="0"/>
                      <w:marBottom w:val="0"/>
                      <w:divBdr>
                        <w:top w:val="none" w:sz="0" w:space="0" w:color="auto"/>
                        <w:left w:val="none" w:sz="0" w:space="0" w:color="auto"/>
                        <w:bottom w:val="none" w:sz="0" w:space="0" w:color="auto"/>
                        <w:right w:val="none" w:sz="0" w:space="0" w:color="auto"/>
                      </w:divBdr>
                    </w:div>
                    <w:div w:id="1662658729">
                      <w:marLeft w:val="0"/>
                      <w:marRight w:val="0"/>
                      <w:marTop w:val="0"/>
                      <w:marBottom w:val="0"/>
                      <w:divBdr>
                        <w:top w:val="none" w:sz="0" w:space="0" w:color="auto"/>
                        <w:left w:val="none" w:sz="0" w:space="0" w:color="auto"/>
                        <w:bottom w:val="none" w:sz="0" w:space="0" w:color="auto"/>
                        <w:right w:val="none" w:sz="0" w:space="0" w:color="auto"/>
                      </w:divBdr>
                    </w:div>
                  </w:divsChild>
                </w:div>
                <w:div w:id="1037239617">
                  <w:marLeft w:val="0"/>
                  <w:marRight w:val="0"/>
                  <w:marTop w:val="0"/>
                  <w:marBottom w:val="0"/>
                  <w:divBdr>
                    <w:top w:val="none" w:sz="0" w:space="0" w:color="auto"/>
                    <w:left w:val="none" w:sz="0" w:space="0" w:color="auto"/>
                    <w:bottom w:val="none" w:sz="0" w:space="0" w:color="auto"/>
                    <w:right w:val="none" w:sz="0" w:space="0" w:color="auto"/>
                  </w:divBdr>
                  <w:divsChild>
                    <w:div w:id="1325164359">
                      <w:marLeft w:val="0"/>
                      <w:marRight w:val="0"/>
                      <w:marTop w:val="0"/>
                      <w:marBottom w:val="0"/>
                      <w:divBdr>
                        <w:top w:val="none" w:sz="0" w:space="0" w:color="auto"/>
                        <w:left w:val="none" w:sz="0" w:space="0" w:color="auto"/>
                        <w:bottom w:val="none" w:sz="0" w:space="0" w:color="auto"/>
                        <w:right w:val="none" w:sz="0" w:space="0" w:color="auto"/>
                      </w:divBdr>
                    </w:div>
                  </w:divsChild>
                </w:div>
                <w:div w:id="1055086433">
                  <w:marLeft w:val="0"/>
                  <w:marRight w:val="0"/>
                  <w:marTop w:val="0"/>
                  <w:marBottom w:val="0"/>
                  <w:divBdr>
                    <w:top w:val="none" w:sz="0" w:space="0" w:color="auto"/>
                    <w:left w:val="none" w:sz="0" w:space="0" w:color="auto"/>
                    <w:bottom w:val="none" w:sz="0" w:space="0" w:color="auto"/>
                    <w:right w:val="none" w:sz="0" w:space="0" w:color="auto"/>
                  </w:divBdr>
                  <w:divsChild>
                    <w:div w:id="1274558159">
                      <w:marLeft w:val="0"/>
                      <w:marRight w:val="0"/>
                      <w:marTop w:val="0"/>
                      <w:marBottom w:val="0"/>
                      <w:divBdr>
                        <w:top w:val="none" w:sz="0" w:space="0" w:color="auto"/>
                        <w:left w:val="none" w:sz="0" w:space="0" w:color="auto"/>
                        <w:bottom w:val="none" w:sz="0" w:space="0" w:color="auto"/>
                        <w:right w:val="none" w:sz="0" w:space="0" w:color="auto"/>
                      </w:divBdr>
                    </w:div>
                  </w:divsChild>
                </w:div>
                <w:div w:id="1311404476">
                  <w:marLeft w:val="0"/>
                  <w:marRight w:val="0"/>
                  <w:marTop w:val="0"/>
                  <w:marBottom w:val="0"/>
                  <w:divBdr>
                    <w:top w:val="none" w:sz="0" w:space="0" w:color="auto"/>
                    <w:left w:val="none" w:sz="0" w:space="0" w:color="auto"/>
                    <w:bottom w:val="none" w:sz="0" w:space="0" w:color="auto"/>
                    <w:right w:val="none" w:sz="0" w:space="0" w:color="auto"/>
                  </w:divBdr>
                  <w:divsChild>
                    <w:div w:id="1005521189">
                      <w:marLeft w:val="0"/>
                      <w:marRight w:val="0"/>
                      <w:marTop w:val="0"/>
                      <w:marBottom w:val="0"/>
                      <w:divBdr>
                        <w:top w:val="none" w:sz="0" w:space="0" w:color="auto"/>
                        <w:left w:val="none" w:sz="0" w:space="0" w:color="auto"/>
                        <w:bottom w:val="none" w:sz="0" w:space="0" w:color="auto"/>
                        <w:right w:val="none" w:sz="0" w:space="0" w:color="auto"/>
                      </w:divBdr>
                    </w:div>
                  </w:divsChild>
                </w:div>
                <w:div w:id="1318997059">
                  <w:marLeft w:val="0"/>
                  <w:marRight w:val="0"/>
                  <w:marTop w:val="0"/>
                  <w:marBottom w:val="0"/>
                  <w:divBdr>
                    <w:top w:val="none" w:sz="0" w:space="0" w:color="auto"/>
                    <w:left w:val="none" w:sz="0" w:space="0" w:color="auto"/>
                    <w:bottom w:val="none" w:sz="0" w:space="0" w:color="auto"/>
                    <w:right w:val="none" w:sz="0" w:space="0" w:color="auto"/>
                  </w:divBdr>
                  <w:divsChild>
                    <w:div w:id="60637360">
                      <w:marLeft w:val="0"/>
                      <w:marRight w:val="0"/>
                      <w:marTop w:val="0"/>
                      <w:marBottom w:val="0"/>
                      <w:divBdr>
                        <w:top w:val="none" w:sz="0" w:space="0" w:color="auto"/>
                        <w:left w:val="none" w:sz="0" w:space="0" w:color="auto"/>
                        <w:bottom w:val="none" w:sz="0" w:space="0" w:color="auto"/>
                        <w:right w:val="none" w:sz="0" w:space="0" w:color="auto"/>
                      </w:divBdr>
                    </w:div>
                    <w:div w:id="291138719">
                      <w:marLeft w:val="0"/>
                      <w:marRight w:val="0"/>
                      <w:marTop w:val="0"/>
                      <w:marBottom w:val="0"/>
                      <w:divBdr>
                        <w:top w:val="none" w:sz="0" w:space="0" w:color="auto"/>
                        <w:left w:val="none" w:sz="0" w:space="0" w:color="auto"/>
                        <w:bottom w:val="none" w:sz="0" w:space="0" w:color="auto"/>
                        <w:right w:val="none" w:sz="0" w:space="0" w:color="auto"/>
                      </w:divBdr>
                    </w:div>
                    <w:div w:id="1517384049">
                      <w:marLeft w:val="0"/>
                      <w:marRight w:val="0"/>
                      <w:marTop w:val="0"/>
                      <w:marBottom w:val="0"/>
                      <w:divBdr>
                        <w:top w:val="none" w:sz="0" w:space="0" w:color="auto"/>
                        <w:left w:val="none" w:sz="0" w:space="0" w:color="auto"/>
                        <w:bottom w:val="none" w:sz="0" w:space="0" w:color="auto"/>
                        <w:right w:val="none" w:sz="0" w:space="0" w:color="auto"/>
                      </w:divBdr>
                    </w:div>
                    <w:div w:id="1829981201">
                      <w:marLeft w:val="0"/>
                      <w:marRight w:val="0"/>
                      <w:marTop w:val="0"/>
                      <w:marBottom w:val="0"/>
                      <w:divBdr>
                        <w:top w:val="none" w:sz="0" w:space="0" w:color="auto"/>
                        <w:left w:val="none" w:sz="0" w:space="0" w:color="auto"/>
                        <w:bottom w:val="none" w:sz="0" w:space="0" w:color="auto"/>
                        <w:right w:val="none" w:sz="0" w:space="0" w:color="auto"/>
                      </w:divBdr>
                    </w:div>
                  </w:divsChild>
                </w:div>
                <w:div w:id="1583678405">
                  <w:marLeft w:val="0"/>
                  <w:marRight w:val="0"/>
                  <w:marTop w:val="0"/>
                  <w:marBottom w:val="0"/>
                  <w:divBdr>
                    <w:top w:val="none" w:sz="0" w:space="0" w:color="auto"/>
                    <w:left w:val="none" w:sz="0" w:space="0" w:color="auto"/>
                    <w:bottom w:val="none" w:sz="0" w:space="0" w:color="auto"/>
                    <w:right w:val="none" w:sz="0" w:space="0" w:color="auto"/>
                  </w:divBdr>
                  <w:divsChild>
                    <w:div w:id="15935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755530">
          <w:marLeft w:val="0"/>
          <w:marRight w:val="0"/>
          <w:marTop w:val="0"/>
          <w:marBottom w:val="0"/>
          <w:divBdr>
            <w:top w:val="none" w:sz="0" w:space="0" w:color="auto"/>
            <w:left w:val="none" w:sz="0" w:space="0" w:color="auto"/>
            <w:bottom w:val="none" w:sz="0" w:space="0" w:color="auto"/>
            <w:right w:val="none" w:sz="0" w:space="0" w:color="auto"/>
          </w:divBdr>
          <w:divsChild>
            <w:div w:id="995109527">
              <w:marLeft w:val="-75"/>
              <w:marRight w:val="0"/>
              <w:marTop w:val="30"/>
              <w:marBottom w:val="30"/>
              <w:divBdr>
                <w:top w:val="none" w:sz="0" w:space="0" w:color="auto"/>
                <w:left w:val="none" w:sz="0" w:space="0" w:color="auto"/>
                <w:bottom w:val="none" w:sz="0" w:space="0" w:color="auto"/>
                <w:right w:val="none" w:sz="0" w:space="0" w:color="auto"/>
              </w:divBdr>
              <w:divsChild>
                <w:div w:id="744184983">
                  <w:marLeft w:val="0"/>
                  <w:marRight w:val="0"/>
                  <w:marTop w:val="0"/>
                  <w:marBottom w:val="0"/>
                  <w:divBdr>
                    <w:top w:val="none" w:sz="0" w:space="0" w:color="auto"/>
                    <w:left w:val="none" w:sz="0" w:space="0" w:color="auto"/>
                    <w:bottom w:val="none" w:sz="0" w:space="0" w:color="auto"/>
                    <w:right w:val="none" w:sz="0" w:space="0" w:color="auto"/>
                  </w:divBdr>
                  <w:divsChild>
                    <w:div w:id="275214111">
                      <w:marLeft w:val="0"/>
                      <w:marRight w:val="0"/>
                      <w:marTop w:val="0"/>
                      <w:marBottom w:val="0"/>
                      <w:divBdr>
                        <w:top w:val="none" w:sz="0" w:space="0" w:color="auto"/>
                        <w:left w:val="none" w:sz="0" w:space="0" w:color="auto"/>
                        <w:bottom w:val="none" w:sz="0" w:space="0" w:color="auto"/>
                        <w:right w:val="none" w:sz="0" w:space="0" w:color="auto"/>
                      </w:divBdr>
                    </w:div>
                  </w:divsChild>
                </w:div>
                <w:div w:id="766386775">
                  <w:marLeft w:val="0"/>
                  <w:marRight w:val="0"/>
                  <w:marTop w:val="0"/>
                  <w:marBottom w:val="0"/>
                  <w:divBdr>
                    <w:top w:val="none" w:sz="0" w:space="0" w:color="auto"/>
                    <w:left w:val="none" w:sz="0" w:space="0" w:color="auto"/>
                    <w:bottom w:val="none" w:sz="0" w:space="0" w:color="auto"/>
                    <w:right w:val="none" w:sz="0" w:space="0" w:color="auto"/>
                  </w:divBdr>
                  <w:divsChild>
                    <w:div w:id="88358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2440069">
      <w:bodyDiv w:val="1"/>
      <w:marLeft w:val="0"/>
      <w:marRight w:val="0"/>
      <w:marTop w:val="0"/>
      <w:marBottom w:val="0"/>
      <w:divBdr>
        <w:top w:val="none" w:sz="0" w:space="0" w:color="auto"/>
        <w:left w:val="none" w:sz="0" w:space="0" w:color="auto"/>
        <w:bottom w:val="none" w:sz="0" w:space="0" w:color="auto"/>
        <w:right w:val="none" w:sz="0" w:space="0" w:color="auto"/>
      </w:divBdr>
    </w:div>
    <w:div w:id="1298682344">
      <w:bodyDiv w:val="1"/>
      <w:marLeft w:val="0"/>
      <w:marRight w:val="0"/>
      <w:marTop w:val="0"/>
      <w:marBottom w:val="0"/>
      <w:divBdr>
        <w:top w:val="none" w:sz="0" w:space="0" w:color="auto"/>
        <w:left w:val="none" w:sz="0" w:space="0" w:color="auto"/>
        <w:bottom w:val="none" w:sz="0" w:space="0" w:color="auto"/>
        <w:right w:val="none" w:sz="0" w:space="0" w:color="auto"/>
      </w:divBdr>
    </w:div>
    <w:div w:id="1317882578">
      <w:bodyDiv w:val="1"/>
      <w:marLeft w:val="0"/>
      <w:marRight w:val="0"/>
      <w:marTop w:val="0"/>
      <w:marBottom w:val="0"/>
      <w:divBdr>
        <w:top w:val="none" w:sz="0" w:space="0" w:color="auto"/>
        <w:left w:val="none" w:sz="0" w:space="0" w:color="auto"/>
        <w:bottom w:val="none" w:sz="0" w:space="0" w:color="auto"/>
        <w:right w:val="none" w:sz="0" w:space="0" w:color="auto"/>
      </w:divBdr>
    </w:div>
    <w:div w:id="1347903073">
      <w:bodyDiv w:val="1"/>
      <w:marLeft w:val="0"/>
      <w:marRight w:val="0"/>
      <w:marTop w:val="0"/>
      <w:marBottom w:val="0"/>
      <w:divBdr>
        <w:top w:val="none" w:sz="0" w:space="0" w:color="auto"/>
        <w:left w:val="none" w:sz="0" w:space="0" w:color="auto"/>
        <w:bottom w:val="none" w:sz="0" w:space="0" w:color="auto"/>
        <w:right w:val="none" w:sz="0" w:space="0" w:color="auto"/>
      </w:divBdr>
    </w:div>
    <w:div w:id="1366638058">
      <w:bodyDiv w:val="1"/>
      <w:marLeft w:val="0"/>
      <w:marRight w:val="0"/>
      <w:marTop w:val="0"/>
      <w:marBottom w:val="0"/>
      <w:divBdr>
        <w:top w:val="none" w:sz="0" w:space="0" w:color="auto"/>
        <w:left w:val="none" w:sz="0" w:space="0" w:color="auto"/>
        <w:bottom w:val="none" w:sz="0" w:space="0" w:color="auto"/>
        <w:right w:val="none" w:sz="0" w:space="0" w:color="auto"/>
      </w:divBdr>
    </w:div>
    <w:div w:id="1390307022">
      <w:bodyDiv w:val="1"/>
      <w:marLeft w:val="0"/>
      <w:marRight w:val="0"/>
      <w:marTop w:val="0"/>
      <w:marBottom w:val="0"/>
      <w:divBdr>
        <w:top w:val="none" w:sz="0" w:space="0" w:color="auto"/>
        <w:left w:val="none" w:sz="0" w:space="0" w:color="auto"/>
        <w:bottom w:val="none" w:sz="0" w:space="0" w:color="auto"/>
        <w:right w:val="none" w:sz="0" w:space="0" w:color="auto"/>
      </w:divBdr>
    </w:div>
    <w:div w:id="1448042649">
      <w:bodyDiv w:val="1"/>
      <w:marLeft w:val="0"/>
      <w:marRight w:val="0"/>
      <w:marTop w:val="0"/>
      <w:marBottom w:val="0"/>
      <w:divBdr>
        <w:top w:val="none" w:sz="0" w:space="0" w:color="auto"/>
        <w:left w:val="none" w:sz="0" w:space="0" w:color="auto"/>
        <w:bottom w:val="none" w:sz="0" w:space="0" w:color="auto"/>
        <w:right w:val="none" w:sz="0" w:space="0" w:color="auto"/>
      </w:divBdr>
    </w:div>
    <w:div w:id="1459107548">
      <w:bodyDiv w:val="1"/>
      <w:marLeft w:val="0"/>
      <w:marRight w:val="0"/>
      <w:marTop w:val="0"/>
      <w:marBottom w:val="0"/>
      <w:divBdr>
        <w:top w:val="none" w:sz="0" w:space="0" w:color="auto"/>
        <w:left w:val="none" w:sz="0" w:space="0" w:color="auto"/>
        <w:bottom w:val="none" w:sz="0" w:space="0" w:color="auto"/>
        <w:right w:val="none" w:sz="0" w:space="0" w:color="auto"/>
      </w:divBdr>
      <w:divsChild>
        <w:div w:id="775708451">
          <w:marLeft w:val="0"/>
          <w:marRight w:val="0"/>
          <w:marTop w:val="0"/>
          <w:marBottom w:val="0"/>
          <w:divBdr>
            <w:top w:val="none" w:sz="0" w:space="0" w:color="auto"/>
            <w:left w:val="none" w:sz="0" w:space="0" w:color="auto"/>
            <w:bottom w:val="none" w:sz="0" w:space="0" w:color="auto"/>
            <w:right w:val="none" w:sz="0" w:space="0" w:color="auto"/>
          </w:divBdr>
          <w:divsChild>
            <w:div w:id="1470324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339626">
      <w:bodyDiv w:val="1"/>
      <w:marLeft w:val="0"/>
      <w:marRight w:val="0"/>
      <w:marTop w:val="0"/>
      <w:marBottom w:val="0"/>
      <w:divBdr>
        <w:top w:val="none" w:sz="0" w:space="0" w:color="auto"/>
        <w:left w:val="none" w:sz="0" w:space="0" w:color="auto"/>
        <w:bottom w:val="none" w:sz="0" w:space="0" w:color="auto"/>
        <w:right w:val="none" w:sz="0" w:space="0" w:color="auto"/>
      </w:divBdr>
    </w:div>
    <w:div w:id="1506745712">
      <w:bodyDiv w:val="1"/>
      <w:marLeft w:val="0"/>
      <w:marRight w:val="0"/>
      <w:marTop w:val="0"/>
      <w:marBottom w:val="0"/>
      <w:divBdr>
        <w:top w:val="none" w:sz="0" w:space="0" w:color="auto"/>
        <w:left w:val="none" w:sz="0" w:space="0" w:color="auto"/>
        <w:bottom w:val="none" w:sz="0" w:space="0" w:color="auto"/>
        <w:right w:val="none" w:sz="0" w:space="0" w:color="auto"/>
      </w:divBdr>
    </w:div>
    <w:div w:id="1526747570">
      <w:bodyDiv w:val="1"/>
      <w:marLeft w:val="0"/>
      <w:marRight w:val="0"/>
      <w:marTop w:val="0"/>
      <w:marBottom w:val="0"/>
      <w:divBdr>
        <w:top w:val="none" w:sz="0" w:space="0" w:color="auto"/>
        <w:left w:val="none" w:sz="0" w:space="0" w:color="auto"/>
        <w:bottom w:val="none" w:sz="0" w:space="0" w:color="auto"/>
        <w:right w:val="none" w:sz="0" w:space="0" w:color="auto"/>
      </w:divBdr>
    </w:div>
    <w:div w:id="1542747550">
      <w:bodyDiv w:val="1"/>
      <w:marLeft w:val="0"/>
      <w:marRight w:val="0"/>
      <w:marTop w:val="0"/>
      <w:marBottom w:val="0"/>
      <w:divBdr>
        <w:top w:val="none" w:sz="0" w:space="0" w:color="auto"/>
        <w:left w:val="none" w:sz="0" w:space="0" w:color="auto"/>
        <w:bottom w:val="none" w:sz="0" w:space="0" w:color="auto"/>
        <w:right w:val="none" w:sz="0" w:space="0" w:color="auto"/>
      </w:divBdr>
    </w:div>
    <w:div w:id="1547987577">
      <w:bodyDiv w:val="1"/>
      <w:marLeft w:val="0"/>
      <w:marRight w:val="0"/>
      <w:marTop w:val="0"/>
      <w:marBottom w:val="0"/>
      <w:divBdr>
        <w:top w:val="none" w:sz="0" w:space="0" w:color="auto"/>
        <w:left w:val="none" w:sz="0" w:space="0" w:color="auto"/>
        <w:bottom w:val="none" w:sz="0" w:space="0" w:color="auto"/>
        <w:right w:val="none" w:sz="0" w:space="0" w:color="auto"/>
      </w:divBdr>
      <w:divsChild>
        <w:div w:id="21640228">
          <w:marLeft w:val="0"/>
          <w:marRight w:val="0"/>
          <w:marTop w:val="0"/>
          <w:marBottom w:val="0"/>
          <w:divBdr>
            <w:top w:val="none" w:sz="0" w:space="0" w:color="auto"/>
            <w:left w:val="none" w:sz="0" w:space="0" w:color="auto"/>
            <w:bottom w:val="none" w:sz="0" w:space="0" w:color="auto"/>
            <w:right w:val="none" w:sz="0" w:space="0" w:color="auto"/>
          </w:divBdr>
          <w:divsChild>
            <w:div w:id="741831151">
              <w:marLeft w:val="0"/>
              <w:marRight w:val="0"/>
              <w:marTop w:val="0"/>
              <w:marBottom w:val="0"/>
              <w:divBdr>
                <w:top w:val="none" w:sz="0" w:space="0" w:color="auto"/>
                <w:left w:val="none" w:sz="0" w:space="0" w:color="auto"/>
                <w:bottom w:val="none" w:sz="0" w:space="0" w:color="auto"/>
                <w:right w:val="none" w:sz="0" w:space="0" w:color="auto"/>
              </w:divBdr>
            </w:div>
          </w:divsChild>
        </w:div>
        <w:div w:id="54163838">
          <w:marLeft w:val="0"/>
          <w:marRight w:val="0"/>
          <w:marTop w:val="0"/>
          <w:marBottom w:val="0"/>
          <w:divBdr>
            <w:top w:val="none" w:sz="0" w:space="0" w:color="auto"/>
            <w:left w:val="none" w:sz="0" w:space="0" w:color="auto"/>
            <w:bottom w:val="none" w:sz="0" w:space="0" w:color="auto"/>
            <w:right w:val="none" w:sz="0" w:space="0" w:color="auto"/>
          </w:divBdr>
          <w:divsChild>
            <w:div w:id="1155072410">
              <w:marLeft w:val="0"/>
              <w:marRight w:val="0"/>
              <w:marTop w:val="0"/>
              <w:marBottom w:val="0"/>
              <w:divBdr>
                <w:top w:val="none" w:sz="0" w:space="0" w:color="auto"/>
                <w:left w:val="none" w:sz="0" w:space="0" w:color="auto"/>
                <w:bottom w:val="none" w:sz="0" w:space="0" w:color="auto"/>
                <w:right w:val="none" w:sz="0" w:space="0" w:color="auto"/>
              </w:divBdr>
            </w:div>
          </w:divsChild>
        </w:div>
        <w:div w:id="72162507">
          <w:marLeft w:val="0"/>
          <w:marRight w:val="0"/>
          <w:marTop w:val="0"/>
          <w:marBottom w:val="0"/>
          <w:divBdr>
            <w:top w:val="none" w:sz="0" w:space="0" w:color="auto"/>
            <w:left w:val="none" w:sz="0" w:space="0" w:color="auto"/>
            <w:bottom w:val="none" w:sz="0" w:space="0" w:color="auto"/>
            <w:right w:val="none" w:sz="0" w:space="0" w:color="auto"/>
          </w:divBdr>
          <w:divsChild>
            <w:div w:id="637800946">
              <w:marLeft w:val="0"/>
              <w:marRight w:val="0"/>
              <w:marTop w:val="0"/>
              <w:marBottom w:val="0"/>
              <w:divBdr>
                <w:top w:val="none" w:sz="0" w:space="0" w:color="auto"/>
                <w:left w:val="none" w:sz="0" w:space="0" w:color="auto"/>
                <w:bottom w:val="none" w:sz="0" w:space="0" w:color="auto"/>
                <w:right w:val="none" w:sz="0" w:space="0" w:color="auto"/>
              </w:divBdr>
            </w:div>
          </w:divsChild>
        </w:div>
        <w:div w:id="87426711">
          <w:marLeft w:val="0"/>
          <w:marRight w:val="0"/>
          <w:marTop w:val="0"/>
          <w:marBottom w:val="0"/>
          <w:divBdr>
            <w:top w:val="none" w:sz="0" w:space="0" w:color="auto"/>
            <w:left w:val="none" w:sz="0" w:space="0" w:color="auto"/>
            <w:bottom w:val="none" w:sz="0" w:space="0" w:color="auto"/>
            <w:right w:val="none" w:sz="0" w:space="0" w:color="auto"/>
          </w:divBdr>
          <w:divsChild>
            <w:div w:id="133641143">
              <w:marLeft w:val="0"/>
              <w:marRight w:val="0"/>
              <w:marTop w:val="0"/>
              <w:marBottom w:val="0"/>
              <w:divBdr>
                <w:top w:val="none" w:sz="0" w:space="0" w:color="auto"/>
                <w:left w:val="none" w:sz="0" w:space="0" w:color="auto"/>
                <w:bottom w:val="none" w:sz="0" w:space="0" w:color="auto"/>
                <w:right w:val="none" w:sz="0" w:space="0" w:color="auto"/>
              </w:divBdr>
            </w:div>
          </w:divsChild>
        </w:div>
        <w:div w:id="104664331">
          <w:marLeft w:val="0"/>
          <w:marRight w:val="0"/>
          <w:marTop w:val="0"/>
          <w:marBottom w:val="0"/>
          <w:divBdr>
            <w:top w:val="none" w:sz="0" w:space="0" w:color="auto"/>
            <w:left w:val="none" w:sz="0" w:space="0" w:color="auto"/>
            <w:bottom w:val="none" w:sz="0" w:space="0" w:color="auto"/>
            <w:right w:val="none" w:sz="0" w:space="0" w:color="auto"/>
          </w:divBdr>
          <w:divsChild>
            <w:div w:id="506018830">
              <w:marLeft w:val="0"/>
              <w:marRight w:val="0"/>
              <w:marTop w:val="0"/>
              <w:marBottom w:val="0"/>
              <w:divBdr>
                <w:top w:val="none" w:sz="0" w:space="0" w:color="auto"/>
                <w:left w:val="none" w:sz="0" w:space="0" w:color="auto"/>
                <w:bottom w:val="none" w:sz="0" w:space="0" w:color="auto"/>
                <w:right w:val="none" w:sz="0" w:space="0" w:color="auto"/>
              </w:divBdr>
            </w:div>
          </w:divsChild>
        </w:div>
        <w:div w:id="107749511">
          <w:marLeft w:val="0"/>
          <w:marRight w:val="0"/>
          <w:marTop w:val="0"/>
          <w:marBottom w:val="0"/>
          <w:divBdr>
            <w:top w:val="none" w:sz="0" w:space="0" w:color="auto"/>
            <w:left w:val="none" w:sz="0" w:space="0" w:color="auto"/>
            <w:bottom w:val="none" w:sz="0" w:space="0" w:color="auto"/>
            <w:right w:val="none" w:sz="0" w:space="0" w:color="auto"/>
          </w:divBdr>
          <w:divsChild>
            <w:div w:id="1601134552">
              <w:marLeft w:val="0"/>
              <w:marRight w:val="0"/>
              <w:marTop w:val="0"/>
              <w:marBottom w:val="0"/>
              <w:divBdr>
                <w:top w:val="none" w:sz="0" w:space="0" w:color="auto"/>
                <w:left w:val="none" w:sz="0" w:space="0" w:color="auto"/>
                <w:bottom w:val="none" w:sz="0" w:space="0" w:color="auto"/>
                <w:right w:val="none" w:sz="0" w:space="0" w:color="auto"/>
              </w:divBdr>
            </w:div>
          </w:divsChild>
        </w:div>
        <w:div w:id="122311807">
          <w:marLeft w:val="0"/>
          <w:marRight w:val="0"/>
          <w:marTop w:val="0"/>
          <w:marBottom w:val="0"/>
          <w:divBdr>
            <w:top w:val="none" w:sz="0" w:space="0" w:color="auto"/>
            <w:left w:val="none" w:sz="0" w:space="0" w:color="auto"/>
            <w:bottom w:val="none" w:sz="0" w:space="0" w:color="auto"/>
            <w:right w:val="none" w:sz="0" w:space="0" w:color="auto"/>
          </w:divBdr>
          <w:divsChild>
            <w:div w:id="1678269033">
              <w:marLeft w:val="0"/>
              <w:marRight w:val="0"/>
              <w:marTop w:val="0"/>
              <w:marBottom w:val="0"/>
              <w:divBdr>
                <w:top w:val="none" w:sz="0" w:space="0" w:color="auto"/>
                <w:left w:val="none" w:sz="0" w:space="0" w:color="auto"/>
                <w:bottom w:val="none" w:sz="0" w:space="0" w:color="auto"/>
                <w:right w:val="none" w:sz="0" w:space="0" w:color="auto"/>
              </w:divBdr>
            </w:div>
          </w:divsChild>
        </w:div>
        <w:div w:id="148789712">
          <w:marLeft w:val="0"/>
          <w:marRight w:val="0"/>
          <w:marTop w:val="0"/>
          <w:marBottom w:val="0"/>
          <w:divBdr>
            <w:top w:val="none" w:sz="0" w:space="0" w:color="auto"/>
            <w:left w:val="none" w:sz="0" w:space="0" w:color="auto"/>
            <w:bottom w:val="none" w:sz="0" w:space="0" w:color="auto"/>
            <w:right w:val="none" w:sz="0" w:space="0" w:color="auto"/>
          </w:divBdr>
          <w:divsChild>
            <w:div w:id="1389300213">
              <w:marLeft w:val="0"/>
              <w:marRight w:val="0"/>
              <w:marTop w:val="0"/>
              <w:marBottom w:val="0"/>
              <w:divBdr>
                <w:top w:val="none" w:sz="0" w:space="0" w:color="auto"/>
                <w:left w:val="none" w:sz="0" w:space="0" w:color="auto"/>
                <w:bottom w:val="none" w:sz="0" w:space="0" w:color="auto"/>
                <w:right w:val="none" w:sz="0" w:space="0" w:color="auto"/>
              </w:divBdr>
            </w:div>
          </w:divsChild>
        </w:div>
        <w:div w:id="179658958">
          <w:marLeft w:val="0"/>
          <w:marRight w:val="0"/>
          <w:marTop w:val="0"/>
          <w:marBottom w:val="0"/>
          <w:divBdr>
            <w:top w:val="none" w:sz="0" w:space="0" w:color="auto"/>
            <w:left w:val="none" w:sz="0" w:space="0" w:color="auto"/>
            <w:bottom w:val="none" w:sz="0" w:space="0" w:color="auto"/>
            <w:right w:val="none" w:sz="0" w:space="0" w:color="auto"/>
          </w:divBdr>
          <w:divsChild>
            <w:div w:id="313409884">
              <w:marLeft w:val="0"/>
              <w:marRight w:val="0"/>
              <w:marTop w:val="0"/>
              <w:marBottom w:val="0"/>
              <w:divBdr>
                <w:top w:val="none" w:sz="0" w:space="0" w:color="auto"/>
                <w:left w:val="none" w:sz="0" w:space="0" w:color="auto"/>
                <w:bottom w:val="none" w:sz="0" w:space="0" w:color="auto"/>
                <w:right w:val="none" w:sz="0" w:space="0" w:color="auto"/>
              </w:divBdr>
            </w:div>
          </w:divsChild>
        </w:div>
        <w:div w:id="186065087">
          <w:marLeft w:val="0"/>
          <w:marRight w:val="0"/>
          <w:marTop w:val="0"/>
          <w:marBottom w:val="0"/>
          <w:divBdr>
            <w:top w:val="none" w:sz="0" w:space="0" w:color="auto"/>
            <w:left w:val="none" w:sz="0" w:space="0" w:color="auto"/>
            <w:bottom w:val="none" w:sz="0" w:space="0" w:color="auto"/>
            <w:right w:val="none" w:sz="0" w:space="0" w:color="auto"/>
          </w:divBdr>
          <w:divsChild>
            <w:div w:id="2048488563">
              <w:marLeft w:val="0"/>
              <w:marRight w:val="0"/>
              <w:marTop w:val="0"/>
              <w:marBottom w:val="0"/>
              <w:divBdr>
                <w:top w:val="none" w:sz="0" w:space="0" w:color="auto"/>
                <w:left w:val="none" w:sz="0" w:space="0" w:color="auto"/>
                <w:bottom w:val="none" w:sz="0" w:space="0" w:color="auto"/>
                <w:right w:val="none" w:sz="0" w:space="0" w:color="auto"/>
              </w:divBdr>
            </w:div>
          </w:divsChild>
        </w:div>
        <w:div w:id="261763233">
          <w:marLeft w:val="0"/>
          <w:marRight w:val="0"/>
          <w:marTop w:val="0"/>
          <w:marBottom w:val="0"/>
          <w:divBdr>
            <w:top w:val="none" w:sz="0" w:space="0" w:color="auto"/>
            <w:left w:val="none" w:sz="0" w:space="0" w:color="auto"/>
            <w:bottom w:val="none" w:sz="0" w:space="0" w:color="auto"/>
            <w:right w:val="none" w:sz="0" w:space="0" w:color="auto"/>
          </w:divBdr>
          <w:divsChild>
            <w:div w:id="1572931458">
              <w:marLeft w:val="0"/>
              <w:marRight w:val="0"/>
              <w:marTop w:val="0"/>
              <w:marBottom w:val="0"/>
              <w:divBdr>
                <w:top w:val="none" w:sz="0" w:space="0" w:color="auto"/>
                <w:left w:val="none" w:sz="0" w:space="0" w:color="auto"/>
                <w:bottom w:val="none" w:sz="0" w:space="0" w:color="auto"/>
                <w:right w:val="none" w:sz="0" w:space="0" w:color="auto"/>
              </w:divBdr>
            </w:div>
          </w:divsChild>
        </w:div>
        <w:div w:id="301619378">
          <w:marLeft w:val="0"/>
          <w:marRight w:val="0"/>
          <w:marTop w:val="0"/>
          <w:marBottom w:val="0"/>
          <w:divBdr>
            <w:top w:val="none" w:sz="0" w:space="0" w:color="auto"/>
            <w:left w:val="none" w:sz="0" w:space="0" w:color="auto"/>
            <w:bottom w:val="none" w:sz="0" w:space="0" w:color="auto"/>
            <w:right w:val="none" w:sz="0" w:space="0" w:color="auto"/>
          </w:divBdr>
          <w:divsChild>
            <w:div w:id="829561892">
              <w:marLeft w:val="0"/>
              <w:marRight w:val="0"/>
              <w:marTop w:val="0"/>
              <w:marBottom w:val="0"/>
              <w:divBdr>
                <w:top w:val="none" w:sz="0" w:space="0" w:color="auto"/>
                <w:left w:val="none" w:sz="0" w:space="0" w:color="auto"/>
                <w:bottom w:val="none" w:sz="0" w:space="0" w:color="auto"/>
                <w:right w:val="none" w:sz="0" w:space="0" w:color="auto"/>
              </w:divBdr>
            </w:div>
          </w:divsChild>
        </w:div>
        <w:div w:id="310599367">
          <w:marLeft w:val="0"/>
          <w:marRight w:val="0"/>
          <w:marTop w:val="0"/>
          <w:marBottom w:val="0"/>
          <w:divBdr>
            <w:top w:val="none" w:sz="0" w:space="0" w:color="auto"/>
            <w:left w:val="none" w:sz="0" w:space="0" w:color="auto"/>
            <w:bottom w:val="none" w:sz="0" w:space="0" w:color="auto"/>
            <w:right w:val="none" w:sz="0" w:space="0" w:color="auto"/>
          </w:divBdr>
          <w:divsChild>
            <w:div w:id="513304894">
              <w:marLeft w:val="0"/>
              <w:marRight w:val="0"/>
              <w:marTop w:val="0"/>
              <w:marBottom w:val="0"/>
              <w:divBdr>
                <w:top w:val="none" w:sz="0" w:space="0" w:color="auto"/>
                <w:left w:val="none" w:sz="0" w:space="0" w:color="auto"/>
                <w:bottom w:val="none" w:sz="0" w:space="0" w:color="auto"/>
                <w:right w:val="none" w:sz="0" w:space="0" w:color="auto"/>
              </w:divBdr>
            </w:div>
          </w:divsChild>
        </w:div>
        <w:div w:id="311254460">
          <w:marLeft w:val="0"/>
          <w:marRight w:val="0"/>
          <w:marTop w:val="0"/>
          <w:marBottom w:val="0"/>
          <w:divBdr>
            <w:top w:val="none" w:sz="0" w:space="0" w:color="auto"/>
            <w:left w:val="none" w:sz="0" w:space="0" w:color="auto"/>
            <w:bottom w:val="none" w:sz="0" w:space="0" w:color="auto"/>
            <w:right w:val="none" w:sz="0" w:space="0" w:color="auto"/>
          </w:divBdr>
          <w:divsChild>
            <w:div w:id="1223105345">
              <w:marLeft w:val="0"/>
              <w:marRight w:val="0"/>
              <w:marTop w:val="0"/>
              <w:marBottom w:val="0"/>
              <w:divBdr>
                <w:top w:val="none" w:sz="0" w:space="0" w:color="auto"/>
                <w:left w:val="none" w:sz="0" w:space="0" w:color="auto"/>
                <w:bottom w:val="none" w:sz="0" w:space="0" w:color="auto"/>
                <w:right w:val="none" w:sz="0" w:space="0" w:color="auto"/>
              </w:divBdr>
            </w:div>
          </w:divsChild>
        </w:div>
        <w:div w:id="347483819">
          <w:marLeft w:val="0"/>
          <w:marRight w:val="0"/>
          <w:marTop w:val="0"/>
          <w:marBottom w:val="0"/>
          <w:divBdr>
            <w:top w:val="none" w:sz="0" w:space="0" w:color="auto"/>
            <w:left w:val="none" w:sz="0" w:space="0" w:color="auto"/>
            <w:bottom w:val="none" w:sz="0" w:space="0" w:color="auto"/>
            <w:right w:val="none" w:sz="0" w:space="0" w:color="auto"/>
          </w:divBdr>
          <w:divsChild>
            <w:div w:id="790974533">
              <w:marLeft w:val="0"/>
              <w:marRight w:val="0"/>
              <w:marTop w:val="0"/>
              <w:marBottom w:val="0"/>
              <w:divBdr>
                <w:top w:val="none" w:sz="0" w:space="0" w:color="auto"/>
                <w:left w:val="none" w:sz="0" w:space="0" w:color="auto"/>
                <w:bottom w:val="none" w:sz="0" w:space="0" w:color="auto"/>
                <w:right w:val="none" w:sz="0" w:space="0" w:color="auto"/>
              </w:divBdr>
            </w:div>
          </w:divsChild>
        </w:div>
        <w:div w:id="498230860">
          <w:marLeft w:val="0"/>
          <w:marRight w:val="0"/>
          <w:marTop w:val="0"/>
          <w:marBottom w:val="0"/>
          <w:divBdr>
            <w:top w:val="none" w:sz="0" w:space="0" w:color="auto"/>
            <w:left w:val="none" w:sz="0" w:space="0" w:color="auto"/>
            <w:bottom w:val="none" w:sz="0" w:space="0" w:color="auto"/>
            <w:right w:val="none" w:sz="0" w:space="0" w:color="auto"/>
          </w:divBdr>
          <w:divsChild>
            <w:div w:id="1711418212">
              <w:marLeft w:val="0"/>
              <w:marRight w:val="0"/>
              <w:marTop w:val="0"/>
              <w:marBottom w:val="0"/>
              <w:divBdr>
                <w:top w:val="none" w:sz="0" w:space="0" w:color="auto"/>
                <w:left w:val="none" w:sz="0" w:space="0" w:color="auto"/>
                <w:bottom w:val="none" w:sz="0" w:space="0" w:color="auto"/>
                <w:right w:val="none" w:sz="0" w:space="0" w:color="auto"/>
              </w:divBdr>
            </w:div>
          </w:divsChild>
        </w:div>
        <w:div w:id="603421363">
          <w:marLeft w:val="0"/>
          <w:marRight w:val="0"/>
          <w:marTop w:val="0"/>
          <w:marBottom w:val="0"/>
          <w:divBdr>
            <w:top w:val="none" w:sz="0" w:space="0" w:color="auto"/>
            <w:left w:val="none" w:sz="0" w:space="0" w:color="auto"/>
            <w:bottom w:val="none" w:sz="0" w:space="0" w:color="auto"/>
            <w:right w:val="none" w:sz="0" w:space="0" w:color="auto"/>
          </w:divBdr>
          <w:divsChild>
            <w:div w:id="1784576046">
              <w:marLeft w:val="0"/>
              <w:marRight w:val="0"/>
              <w:marTop w:val="0"/>
              <w:marBottom w:val="0"/>
              <w:divBdr>
                <w:top w:val="none" w:sz="0" w:space="0" w:color="auto"/>
                <w:left w:val="none" w:sz="0" w:space="0" w:color="auto"/>
                <w:bottom w:val="none" w:sz="0" w:space="0" w:color="auto"/>
                <w:right w:val="none" w:sz="0" w:space="0" w:color="auto"/>
              </w:divBdr>
            </w:div>
          </w:divsChild>
        </w:div>
        <w:div w:id="656616136">
          <w:marLeft w:val="0"/>
          <w:marRight w:val="0"/>
          <w:marTop w:val="0"/>
          <w:marBottom w:val="0"/>
          <w:divBdr>
            <w:top w:val="none" w:sz="0" w:space="0" w:color="auto"/>
            <w:left w:val="none" w:sz="0" w:space="0" w:color="auto"/>
            <w:bottom w:val="none" w:sz="0" w:space="0" w:color="auto"/>
            <w:right w:val="none" w:sz="0" w:space="0" w:color="auto"/>
          </w:divBdr>
          <w:divsChild>
            <w:div w:id="1000503832">
              <w:marLeft w:val="0"/>
              <w:marRight w:val="0"/>
              <w:marTop w:val="0"/>
              <w:marBottom w:val="0"/>
              <w:divBdr>
                <w:top w:val="none" w:sz="0" w:space="0" w:color="auto"/>
                <w:left w:val="none" w:sz="0" w:space="0" w:color="auto"/>
                <w:bottom w:val="none" w:sz="0" w:space="0" w:color="auto"/>
                <w:right w:val="none" w:sz="0" w:space="0" w:color="auto"/>
              </w:divBdr>
            </w:div>
          </w:divsChild>
        </w:div>
        <w:div w:id="716583746">
          <w:marLeft w:val="0"/>
          <w:marRight w:val="0"/>
          <w:marTop w:val="0"/>
          <w:marBottom w:val="0"/>
          <w:divBdr>
            <w:top w:val="none" w:sz="0" w:space="0" w:color="auto"/>
            <w:left w:val="none" w:sz="0" w:space="0" w:color="auto"/>
            <w:bottom w:val="none" w:sz="0" w:space="0" w:color="auto"/>
            <w:right w:val="none" w:sz="0" w:space="0" w:color="auto"/>
          </w:divBdr>
          <w:divsChild>
            <w:div w:id="1507285423">
              <w:marLeft w:val="0"/>
              <w:marRight w:val="0"/>
              <w:marTop w:val="0"/>
              <w:marBottom w:val="0"/>
              <w:divBdr>
                <w:top w:val="none" w:sz="0" w:space="0" w:color="auto"/>
                <w:left w:val="none" w:sz="0" w:space="0" w:color="auto"/>
                <w:bottom w:val="none" w:sz="0" w:space="0" w:color="auto"/>
                <w:right w:val="none" w:sz="0" w:space="0" w:color="auto"/>
              </w:divBdr>
            </w:div>
          </w:divsChild>
        </w:div>
        <w:div w:id="721909121">
          <w:marLeft w:val="0"/>
          <w:marRight w:val="0"/>
          <w:marTop w:val="0"/>
          <w:marBottom w:val="0"/>
          <w:divBdr>
            <w:top w:val="none" w:sz="0" w:space="0" w:color="auto"/>
            <w:left w:val="none" w:sz="0" w:space="0" w:color="auto"/>
            <w:bottom w:val="none" w:sz="0" w:space="0" w:color="auto"/>
            <w:right w:val="none" w:sz="0" w:space="0" w:color="auto"/>
          </w:divBdr>
          <w:divsChild>
            <w:div w:id="784077089">
              <w:marLeft w:val="0"/>
              <w:marRight w:val="0"/>
              <w:marTop w:val="0"/>
              <w:marBottom w:val="0"/>
              <w:divBdr>
                <w:top w:val="none" w:sz="0" w:space="0" w:color="auto"/>
                <w:left w:val="none" w:sz="0" w:space="0" w:color="auto"/>
                <w:bottom w:val="none" w:sz="0" w:space="0" w:color="auto"/>
                <w:right w:val="none" w:sz="0" w:space="0" w:color="auto"/>
              </w:divBdr>
            </w:div>
          </w:divsChild>
        </w:div>
        <w:div w:id="748159794">
          <w:marLeft w:val="0"/>
          <w:marRight w:val="0"/>
          <w:marTop w:val="0"/>
          <w:marBottom w:val="0"/>
          <w:divBdr>
            <w:top w:val="none" w:sz="0" w:space="0" w:color="auto"/>
            <w:left w:val="none" w:sz="0" w:space="0" w:color="auto"/>
            <w:bottom w:val="none" w:sz="0" w:space="0" w:color="auto"/>
            <w:right w:val="none" w:sz="0" w:space="0" w:color="auto"/>
          </w:divBdr>
          <w:divsChild>
            <w:div w:id="1895847997">
              <w:marLeft w:val="0"/>
              <w:marRight w:val="0"/>
              <w:marTop w:val="0"/>
              <w:marBottom w:val="0"/>
              <w:divBdr>
                <w:top w:val="none" w:sz="0" w:space="0" w:color="auto"/>
                <w:left w:val="none" w:sz="0" w:space="0" w:color="auto"/>
                <w:bottom w:val="none" w:sz="0" w:space="0" w:color="auto"/>
                <w:right w:val="none" w:sz="0" w:space="0" w:color="auto"/>
              </w:divBdr>
            </w:div>
          </w:divsChild>
        </w:div>
        <w:div w:id="826944512">
          <w:marLeft w:val="0"/>
          <w:marRight w:val="0"/>
          <w:marTop w:val="0"/>
          <w:marBottom w:val="0"/>
          <w:divBdr>
            <w:top w:val="none" w:sz="0" w:space="0" w:color="auto"/>
            <w:left w:val="none" w:sz="0" w:space="0" w:color="auto"/>
            <w:bottom w:val="none" w:sz="0" w:space="0" w:color="auto"/>
            <w:right w:val="none" w:sz="0" w:space="0" w:color="auto"/>
          </w:divBdr>
          <w:divsChild>
            <w:div w:id="955647121">
              <w:marLeft w:val="0"/>
              <w:marRight w:val="0"/>
              <w:marTop w:val="0"/>
              <w:marBottom w:val="0"/>
              <w:divBdr>
                <w:top w:val="none" w:sz="0" w:space="0" w:color="auto"/>
                <w:left w:val="none" w:sz="0" w:space="0" w:color="auto"/>
                <w:bottom w:val="none" w:sz="0" w:space="0" w:color="auto"/>
                <w:right w:val="none" w:sz="0" w:space="0" w:color="auto"/>
              </w:divBdr>
            </w:div>
          </w:divsChild>
        </w:div>
        <w:div w:id="836461172">
          <w:marLeft w:val="0"/>
          <w:marRight w:val="0"/>
          <w:marTop w:val="0"/>
          <w:marBottom w:val="0"/>
          <w:divBdr>
            <w:top w:val="none" w:sz="0" w:space="0" w:color="auto"/>
            <w:left w:val="none" w:sz="0" w:space="0" w:color="auto"/>
            <w:bottom w:val="none" w:sz="0" w:space="0" w:color="auto"/>
            <w:right w:val="none" w:sz="0" w:space="0" w:color="auto"/>
          </w:divBdr>
          <w:divsChild>
            <w:div w:id="602540347">
              <w:marLeft w:val="0"/>
              <w:marRight w:val="0"/>
              <w:marTop w:val="0"/>
              <w:marBottom w:val="0"/>
              <w:divBdr>
                <w:top w:val="none" w:sz="0" w:space="0" w:color="auto"/>
                <w:left w:val="none" w:sz="0" w:space="0" w:color="auto"/>
                <w:bottom w:val="none" w:sz="0" w:space="0" w:color="auto"/>
                <w:right w:val="none" w:sz="0" w:space="0" w:color="auto"/>
              </w:divBdr>
            </w:div>
          </w:divsChild>
        </w:div>
        <w:div w:id="848103314">
          <w:marLeft w:val="0"/>
          <w:marRight w:val="0"/>
          <w:marTop w:val="0"/>
          <w:marBottom w:val="0"/>
          <w:divBdr>
            <w:top w:val="none" w:sz="0" w:space="0" w:color="auto"/>
            <w:left w:val="none" w:sz="0" w:space="0" w:color="auto"/>
            <w:bottom w:val="none" w:sz="0" w:space="0" w:color="auto"/>
            <w:right w:val="none" w:sz="0" w:space="0" w:color="auto"/>
          </w:divBdr>
          <w:divsChild>
            <w:div w:id="1115103275">
              <w:marLeft w:val="0"/>
              <w:marRight w:val="0"/>
              <w:marTop w:val="0"/>
              <w:marBottom w:val="0"/>
              <w:divBdr>
                <w:top w:val="none" w:sz="0" w:space="0" w:color="auto"/>
                <w:left w:val="none" w:sz="0" w:space="0" w:color="auto"/>
                <w:bottom w:val="none" w:sz="0" w:space="0" w:color="auto"/>
                <w:right w:val="none" w:sz="0" w:space="0" w:color="auto"/>
              </w:divBdr>
            </w:div>
          </w:divsChild>
        </w:div>
        <w:div w:id="967515690">
          <w:marLeft w:val="0"/>
          <w:marRight w:val="0"/>
          <w:marTop w:val="0"/>
          <w:marBottom w:val="0"/>
          <w:divBdr>
            <w:top w:val="none" w:sz="0" w:space="0" w:color="auto"/>
            <w:left w:val="none" w:sz="0" w:space="0" w:color="auto"/>
            <w:bottom w:val="none" w:sz="0" w:space="0" w:color="auto"/>
            <w:right w:val="none" w:sz="0" w:space="0" w:color="auto"/>
          </w:divBdr>
          <w:divsChild>
            <w:div w:id="1865097797">
              <w:marLeft w:val="0"/>
              <w:marRight w:val="0"/>
              <w:marTop w:val="0"/>
              <w:marBottom w:val="0"/>
              <w:divBdr>
                <w:top w:val="none" w:sz="0" w:space="0" w:color="auto"/>
                <w:left w:val="none" w:sz="0" w:space="0" w:color="auto"/>
                <w:bottom w:val="none" w:sz="0" w:space="0" w:color="auto"/>
                <w:right w:val="none" w:sz="0" w:space="0" w:color="auto"/>
              </w:divBdr>
            </w:div>
          </w:divsChild>
        </w:div>
        <w:div w:id="1042900550">
          <w:marLeft w:val="0"/>
          <w:marRight w:val="0"/>
          <w:marTop w:val="0"/>
          <w:marBottom w:val="0"/>
          <w:divBdr>
            <w:top w:val="none" w:sz="0" w:space="0" w:color="auto"/>
            <w:left w:val="none" w:sz="0" w:space="0" w:color="auto"/>
            <w:bottom w:val="none" w:sz="0" w:space="0" w:color="auto"/>
            <w:right w:val="none" w:sz="0" w:space="0" w:color="auto"/>
          </w:divBdr>
          <w:divsChild>
            <w:div w:id="475033379">
              <w:marLeft w:val="0"/>
              <w:marRight w:val="0"/>
              <w:marTop w:val="0"/>
              <w:marBottom w:val="0"/>
              <w:divBdr>
                <w:top w:val="none" w:sz="0" w:space="0" w:color="auto"/>
                <w:left w:val="none" w:sz="0" w:space="0" w:color="auto"/>
                <w:bottom w:val="none" w:sz="0" w:space="0" w:color="auto"/>
                <w:right w:val="none" w:sz="0" w:space="0" w:color="auto"/>
              </w:divBdr>
            </w:div>
          </w:divsChild>
        </w:div>
        <w:div w:id="1044864015">
          <w:marLeft w:val="0"/>
          <w:marRight w:val="0"/>
          <w:marTop w:val="0"/>
          <w:marBottom w:val="0"/>
          <w:divBdr>
            <w:top w:val="none" w:sz="0" w:space="0" w:color="auto"/>
            <w:left w:val="none" w:sz="0" w:space="0" w:color="auto"/>
            <w:bottom w:val="none" w:sz="0" w:space="0" w:color="auto"/>
            <w:right w:val="none" w:sz="0" w:space="0" w:color="auto"/>
          </w:divBdr>
          <w:divsChild>
            <w:div w:id="1718311550">
              <w:marLeft w:val="0"/>
              <w:marRight w:val="0"/>
              <w:marTop w:val="0"/>
              <w:marBottom w:val="0"/>
              <w:divBdr>
                <w:top w:val="none" w:sz="0" w:space="0" w:color="auto"/>
                <w:left w:val="none" w:sz="0" w:space="0" w:color="auto"/>
                <w:bottom w:val="none" w:sz="0" w:space="0" w:color="auto"/>
                <w:right w:val="none" w:sz="0" w:space="0" w:color="auto"/>
              </w:divBdr>
            </w:div>
          </w:divsChild>
        </w:div>
        <w:div w:id="1052775365">
          <w:marLeft w:val="0"/>
          <w:marRight w:val="0"/>
          <w:marTop w:val="0"/>
          <w:marBottom w:val="0"/>
          <w:divBdr>
            <w:top w:val="none" w:sz="0" w:space="0" w:color="auto"/>
            <w:left w:val="none" w:sz="0" w:space="0" w:color="auto"/>
            <w:bottom w:val="none" w:sz="0" w:space="0" w:color="auto"/>
            <w:right w:val="none" w:sz="0" w:space="0" w:color="auto"/>
          </w:divBdr>
          <w:divsChild>
            <w:div w:id="375080706">
              <w:marLeft w:val="0"/>
              <w:marRight w:val="0"/>
              <w:marTop w:val="0"/>
              <w:marBottom w:val="0"/>
              <w:divBdr>
                <w:top w:val="none" w:sz="0" w:space="0" w:color="auto"/>
                <w:left w:val="none" w:sz="0" w:space="0" w:color="auto"/>
                <w:bottom w:val="none" w:sz="0" w:space="0" w:color="auto"/>
                <w:right w:val="none" w:sz="0" w:space="0" w:color="auto"/>
              </w:divBdr>
            </w:div>
          </w:divsChild>
        </w:div>
        <w:div w:id="1080248674">
          <w:marLeft w:val="0"/>
          <w:marRight w:val="0"/>
          <w:marTop w:val="0"/>
          <w:marBottom w:val="0"/>
          <w:divBdr>
            <w:top w:val="none" w:sz="0" w:space="0" w:color="auto"/>
            <w:left w:val="none" w:sz="0" w:space="0" w:color="auto"/>
            <w:bottom w:val="none" w:sz="0" w:space="0" w:color="auto"/>
            <w:right w:val="none" w:sz="0" w:space="0" w:color="auto"/>
          </w:divBdr>
          <w:divsChild>
            <w:div w:id="600845190">
              <w:marLeft w:val="0"/>
              <w:marRight w:val="0"/>
              <w:marTop w:val="0"/>
              <w:marBottom w:val="0"/>
              <w:divBdr>
                <w:top w:val="none" w:sz="0" w:space="0" w:color="auto"/>
                <w:left w:val="none" w:sz="0" w:space="0" w:color="auto"/>
                <w:bottom w:val="none" w:sz="0" w:space="0" w:color="auto"/>
                <w:right w:val="none" w:sz="0" w:space="0" w:color="auto"/>
              </w:divBdr>
            </w:div>
          </w:divsChild>
        </w:div>
        <w:div w:id="1089698838">
          <w:marLeft w:val="0"/>
          <w:marRight w:val="0"/>
          <w:marTop w:val="0"/>
          <w:marBottom w:val="0"/>
          <w:divBdr>
            <w:top w:val="none" w:sz="0" w:space="0" w:color="auto"/>
            <w:left w:val="none" w:sz="0" w:space="0" w:color="auto"/>
            <w:bottom w:val="none" w:sz="0" w:space="0" w:color="auto"/>
            <w:right w:val="none" w:sz="0" w:space="0" w:color="auto"/>
          </w:divBdr>
          <w:divsChild>
            <w:div w:id="340395957">
              <w:marLeft w:val="0"/>
              <w:marRight w:val="0"/>
              <w:marTop w:val="0"/>
              <w:marBottom w:val="0"/>
              <w:divBdr>
                <w:top w:val="none" w:sz="0" w:space="0" w:color="auto"/>
                <w:left w:val="none" w:sz="0" w:space="0" w:color="auto"/>
                <w:bottom w:val="none" w:sz="0" w:space="0" w:color="auto"/>
                <w:right w:val="none" w:sz="0" w:space="0" w:color="auto"/>
              </w:divBdr>
            </w:div>
          </w:divsChild>
        </w:div>
        <w:div w:id="1104425431">
          <w:marLeft w:val="0"/>
          <w:marRight w:val="0"/>
          <w:marTop w:val="0"/>
          <w:marBottom w:val="0"/>
          <w:divBdr>
            <w:top w:val="none" w:sz="0" w:space="0" w:color="auto"/>
            <w:left w:val="none" w:sz="0" w:space="0" w:color="auto"/>
            <w:bottom w:val="none" w:sz="0" w:space="0" w:color="auto"/>
            <w:right w:val="none" w:sz="0" w:space="0" w:color="auto"/>
          </w:divBdr>
          <w:divsChild>
            <w:div w:id="1333921551">
              <w:marLeft w:val="0"/>
              <w:marRight w:val="0"/>
              <w:marTop w:val="0"/>
              <w:marBottom w:val="0"/>
              <w:divBdr>
                <w:top w:val="none" w:sz="0" w:space="0" w:color="auto"/>
                <w:left w:val="none" w:sz="0" w:space="0" w:color="auto"/>
                <w:bottom w:val="none" w:sz="0" w:space="0" w:color="auto"/>
                <w:right w:val="none" w:sz="0" w:space="0" w:color="auto"/>
              </w:divBdr>
            </w:div>
          </w:divsChild>
        </w:div>
        <w:div w:id="1121924157">
          <w:marLeft w:val="0"/>
          <w:marRight w:val="0"/>
          <w:marTop w:val="0"/>
          <w:marBottom w:val="0"/>
          <w:divBdr>
            <w:top w:val="none" w:sz="0" w:space="0" w:color="auto"/>
            <w:left w:val="none" w:sz="0" w:space="0" w:color="auto"/>
            <w:bottom w:val="none" w:sz="0" w:space="0" w:color="auto"/>
            <w:right w:val="none" w:sz="0" w:space="0" w:color="auto"/>
          </w:divBdr>
          <w:divsChild>
            <w:div w:id="143932172">
              <w:marLeft w:val="0"/>
              <w:marRight w:val="0"/>
              <w:marTop w:val="0"/>
              <w:marBottom w:val="0"/>
              <w:divBdr>
                <w:top w:val="none" w:sz="0" w:space="0" w:color="auto"/>
                <w:left w:val="none" w:sz="0" w:space="0" w:color="auto"/>
                <w:bottom w:val="none" w:sz="0" w:space="0" w:color="auto"/>
                <w:right w:val="none" w:sz="0" w:space="0" w:color="auto"/>
              </w:divBdr>
            </w:div>
          </w:divsChild>
        </w:div>
        <w:div w:id="1141193151">
          <w:marLeft w:val="0"/>
          <w:marRight w:val="0"/>
          <w:marTop w:val="0"/>
          <w:marBottom w:val="0"/>
          <w:divBdr>
            <w:top w:val="none" w:sz="0" w:space="0" w:color="auto"/>
            <w:left w:val="none" w:sz="0" w:space="0" w:color="auto"/>
            <w:bottom w:val="none" w:sz="0" w:space="0" w:color="auto"/>
            <w:right w:val="none" w:sz="0" w:space="0" w:color="auto"/>
          </w:divBdr>
          <w:divsChild>
            <w:div w:id="1451586129">
              <w:marLeft w:val="0"/>
              <w:marRight w:val="0"/>
              <w:marTop w:val="0"/>
              <w:marBottom w:val="0"/>
              <w:divBdr>
                <w:top w:val="none" w:sz="0" w:space="0" w:color="auto"/>
                <w:left w:val="none" w:sz="0" w:space="0" w:color="auto"/>
                <w:bottom w:val="none" w:sz="0" w:space="0" w:color="auto"/>
                <w:right w:val="none" w:sz="0" w:space="0" w:color="auto"/>
              </w:divBdr>
            </w:div>
          </w:divsChild>
        </w:div>
        <w:div w:id="1146824700">
          <w:marLeft w:val="0"/>
          <w:marRight w:val="0"/>
          <w:marTop w:val="0"/>
          <w:marBottom w:val="0"/>
          <w:divBdr>
            <w:top w:val="none" w:sz="0" w:space="0" w:color="auto"/>
            <w:left w:val="none" w:sz="0" w:space="0" w:color="auto"/>
            <w:bottom w:val="none" w:sz="0" w:space="0" w:color="auto"/>
            <w:right w:val="none" w:sz="0" w:space="0" w:color="auto"/>
          </w:divBdr>
          <w:divsChild>
            <w:div w:id="1439720340">
              <w:marLeft w:val="0"/>
              <w:marRight w:val="0"/>
              <w:marTop w:val="0"/>
              <w:marBottom w:val="0"/>
              <w:divBdr>
                <w:top w:val="none" w:sz="0" w:space="0" w:color="auto"/>
                <w:left w:val="none" w:sz="0" w:space="0" w:color="auto"/>
                <w:bottom w:val="none" w:sz="0" w:space="0" w:color="auto"/>
                <w:right w:val="none" w:sz="0" w:space="0" w:color="auto"/>
              </w:divBdr>
            </w:div>
          </w:divsChild>
        </w:div>
        <w:div w:id="1149782568">
          <w:marLeft w:val="0"/>
          <w:marRight w:val="0"/>
          <w:marTop w:val="0"/>
          <w:marBottom w:val="0"/>
          <w:divBdr>
            <w:top w:val="none" w:sz="0" w:space="0" w:color="auto"/>
            <w:left w:val="none" w:sz="0" w:space="0" w:color="auto"/>
            <w:bottom w:val="none" w:sz="0" w:space="0" w:color="auto"/>
            <w:right w:val="none" w:sz="0" w:space="0" w:color="auto"/>
          </w:divBdr>
          <w:divsChild>
            <w:div w:id="1621841928">
              <w:marLeft w:val="0"/>
              <w:marRight w:val="0"/>
              <w:marTop w:val="0"/>
              <w:marBottom w:val="0"/>
              <w:divBdr>
                <w:top w:val="none" w:sz="0" w:space="0" w:color="auto"/>
                <w:left w:val="none" w:sz="0" w:space="0" w:color="auto"/>
                <w:bottom w:val="none" w:sz="0" w:space="0" w:color="auto"/>
                <w:right w:val="none" w:sz="0" w:space="0" w:color="auto"/>
              </w:divBdr>
            </w:div>
          </w:divsChild>
        </w:div>
        <w:div w:id="1169322950">
          <w:marLeft w:val="0"/>
          <w:marRight w:val="0"/>
          <w:marTop w:val="0"/>
          <w:marBottom w:val="0"/>
          <w:divBdr>
            <w:top w:val="none" w:sz="0" w:space="0" w:color="auto"/>
            <w:left w:val="none" w:sz="0" w:space="0" w:color="auto"/>
            <w:bottom w:val="none" w:sz="0" w:space="0" w:color="auto"/>
            <w:right w:val="none" w:sz="0" w:space="0" w:color="auto"/>
          </w:divBdr>
          <w:divsChild>
            <w:div w:id="879438336">
              <w:marLeft w:val="0"/>
              <w:marRight w:val="0"/>
              <w:marTop w:val="0"/>
              <w:marBottom w:val="0"/>
              <w:divBdr>
                <w:top w:val="none" w:sz="0" w:space="0" w:color="auto"/>
                <w:left w:val="none" w:sz="0" w:space="0" w:color="auto"/>
                <w:bottom w:val="none" w:sz="0" w:space="0" w:color="auto"/>
                <w:right w:val="none" w:sz="0" w:space="0" w:color="auto"/>
              </w:divBdr>
            </w:div>
          </w:divsChild>
        </w:div>
        <w:div w:id="1214586526">
          <w:marLeft w:val="0"/>
          <w:marRight w:val="0"/>
          <w:marTop w:val="0"/>
          <w:marBottom w:val="0"/>
          <w:divBdr>
            <w:top w:val="none" w:sz="0" w:space="0" w:color="auto"/>
            <w:left w:val="none" w:sz="0" w:space="0" w:color="auto"/>
            <w:bottom w:val="none" w:sz="0" w:space="0" w:color="auto"/>
            <w:right w:val="none" w:sz="0" w:space="0" w:color="auto"/>
          </w:divBdr>
          <w:divsChild>
            <w:div w:id="1590115838">
              <w:marLeft w:val="0"/>
              <w:marRight w:val="0"/>
              <w:marTop w:val="0"/>
              <w:marBottom w:val="0"/>
              <w:divBdr>
                <w:top w:val="none" w:sz="0" w:space="0" w:color="auto"/>
                <w:left w:val="none" w:sz="0" w:space="0" w:color="auto"/>
                <w:bottom w:val="none" w:sz="0" w:space="0" w:color="auto"/>
                <w:right w:val="none" w:sz="0" w:space="0" w:color="auto"/>
              </w:divBdr>
            </w:div>
          </w:divsChild>
        </w:div>
        <w:div w:id="1250116620">
          <w:marLeft w:val="0"/>
          <w:marRight w:val="0"/>
          <w:marTop w:val="0"/>
          <w:marBottom w:val="0"/>
          <w:divBdr>
            <w:top w:val="none" w:sz="0" w:space="0" w:color="auto"/>
            <w:left w:val="none" w:sz="0" w:space="0" w:color="auto"/>
            <w:bottom w:val="none" w:sz="0" w:space="0" w:color="auto"/>
            <w:right w:val="none" w:sz="0" w:space="0" w:color="auto"/>
          </w:divBdr>
          <w:divsChild>
            <w:div w:id="533923689">
              <w:marLeft w:val="0"/>
              <w:marRight w:val="0"/>
              <w:marTop w:val="0"/>
              <w:marBottom w:val="0"/>
              <w:divBdr>
                <w:top w:val="none" w:sz="0" w:space="0" w:color="auto"/>
                <w:left w:val="none" w:sz="0" w:space="0" w:color="auto"/>
                <w:bottom w:val="none" w:sz="0" w:space="0" w:color="auto"/>
                <w:right w:val="none" w:sz="0" w:space="0" w:color="auto"/>
              </w:divBdr>
            </w:div>
          </w:divsChild>
        </w:div>
        <w:div w:id="1348480414">
          <w:marLeft w:val="0"/>
          <w:marRight w:val="0"/>
          <w:marTop w:val="0"/>
          <w:marBottom w:val="0"/>
          <w:divBdr>
            <w:top w:val="none" w:sz="0" w:space="0" w:color="auto"/>
            <w:left w:val="none" w:sz="0" w:space="0" w:color="auto"/>
            <w:bottom w:val="none" w:sz="0" w:space="0" w:color="auto"/>
            <w:right w:val="none" w:sz="0" w:space="0" w:color="auto"/>
          </w:divBdr>
          <w:divsChild>
            <w:div w:id="2095319049">
              <w:marLeft w:val="0"/>
              <w:marRight w:val="0"/>
              <w:marTop w:val="0"/>
              <w:marBottom w:val="0"/>
              <w:divBdr>
                <w:top w:val="none" w:sz="0" w:space="0" w:color="auto"/>
                <w:left w:val="none" w:sz="0" w:space="0" w:color="auto"/>
                <w:bottom w:val="none" w:sz="0" w:space="0" w:color="auto"/>
                <w:right w:val="none" w:sz="0" w:space="0" w:color="auto"/>
              </w:divBdr>
            </w:div>
          </w:divsChild>
        </w:div>
        <w:div w:id="1496647399">
          <w:marLeft w:val="0"/>
          <w:marRight w:val="0"/>
          <w:marTop w:val="0"/>
          <w:marBottom w:val="0"/>
          <w:divBdr>
            <w:top w:val="none" w:sz="0" w:space="0" w:color="auto"/>
            <w:left w:val="none" w:sz="0" w:space="0" w:color="auto"/>
            <w:bottom w:val="none" w:sz="0" w:space="0" w:color="auto"/>
            <w:right w:val="none" w:sz="0" w:space="0" w:color="auto"/>
          </w:divBdr>
          <w:divsChild>
            <w:div w:id="1656836758">
              <w:marLeft w:val="0"/>
              <w:marRight w:val="0"/>
              <w:marTop w:val="0"/>
              <w:marBottom w:val="0"/>
              <w:divBdr>
                <w:top w:val="none" w:sz="0" w:space="0" w:color="auto"/>
                <w:left w:val="none" w:sz="0" w:space="0" w:color="auto"/>
                <w:bottom w:val="none" w:sz="0" w:space="0" w:color="auto"/>
                <w:right w:val="none" w:sz="0" w:space="0" w:color="auto"/>
              </w:divBdr>
            </w:div>
          </w:divsChild>
        </w:div>
        <w:div w:id="1533689683">
          <w:marLeft w:val="0"/>
          <w:marRight w:val="0"/>
          <w:marTop w:val="0"/>
          <w:marBottom w:val="0"/>
          <w:divBdr>
            <w:top w:val="none" w:sz="0" w:space="0" w:color="auto"/>
            <w:left w:val="none" w:sz="0" w:space="0" w:color="auto"/>
            <w:bottom w:val="none" w:sz="0" w:space="0" w:color="auto"/>
            <w:right w:val="none" w:sz="0" w:space="0" w:color="auto"/>
          </w:divBdr>
          <w:divsChild>
            <w:div w:id="1524434790">
              <w:marLeft w:val="0"/>
              <w:marRight w:val="0"/>
              <w:marTop w:val="0"/>
              <w:marBottom w:val="0"/>
              <w:divBdr>
                <w:top w:val="none" w:sz="0" w:space="0" w:color="auto"/>
                <w:left w:val="none" w:sz="0" w:space="0" w:color="auto"/>
                <w:bottom w:val="none" w:sz="0" w:space="0" w:color="auto"/>
                <w:right w:val="none" w:sz="0" w:space="0" w:color="auto"/>
              </w:divBdr>
            </w:div>
          </w:divsChild>
        </w:div>
        <w:div w:id="1556118407">
          <w:marLeft w:val="0"/>
          <w:marRight w:val="0"/>
          <w:marTop w:val="0"/>
          <w:marBottom w:val="0"/>
          <w:divBdr>
            <w:top w:val="none" w:sz="0" w:space="0" w:color="auto"/>
            <w:left w:val="none" w:sz="0" w:space="0" w:color="auto"/>
            <w:bottom w:val="none" w:sz="0" w:space="0" w:color="auto"/>
            <w:right w:val="none" w:sz="0" w:space="0" w:color="auto"/>
          </w:divBdr>
          <w:divsChild>
            <w:div w:id="88744881">
              <w:marLeft w:val="0"/>
              <w:marRight w:val="0"/>
              <w:marTop w:val="0"/>
              <w:marBottom w:val="0"/>
              <w:divBdr>
                <w:top w:val="none" w:sz="0" w:space="0" w:color="auto"/>
                <w:left w:val="none" w:sz="0" w:space="0" w:color="auto"/>
                <w:bottom w:val="none" w:sz="0" w:space="0" w:color="auto"/>
                <w:right w:val="none" w:sz="0" w:space="0" w:color="auto"/>
              </w:divBdr>
            </w:div>
          </w:divsChild>
        </w:div>
        <w:div w:id="1622422734">
          <w:marLeft w:val="0"/>
          <w:marRight w:val="0"/>
          <w:marTop w:val="0"/>
          <w:marBottom w:val="0"/>
          <w:divBdr>
            <w:top w:val="none" w:sz="0" w:space="0" w:color="auto"/>
            <w:left w:val="none" w:sz="0" w:space="0" w:color="auto"/>
            <w:bottom w:val="none" w:sz="0" w:space="0" w:color="auto"/>
            <w:right w:val="none" w:sz="0" w:space="0" w:color="auto"/>
          </w:divBdr>
          <w:divsChild>
            <w:div w:id="1886410063">
              <w:marLeft w:val="0"/>
              <w:marRight w:val="0"/>
              <w:marTop w:val="0"/>
              <w:marBottom w:val="0"/>
              <w:divBdr>
                <w:top w:val="none" w:sz="0" w:space="0" w:color="auto"/>
                <w:left w:val="none" w:sz="0" w:space="0" w:color="auto"/>
                <w:bottom w:val="none" w:sz="0" w:space="0" w:color="auto"/>
                <w:right w:val="none" w:sz="0" w:space="0" w:color="auto"/>
              </w:divBdr>
            </w:div>
          </w:divsChild>
        </w:div>
        <w:div w:id="1666086606">
          <w:marLeft w:val="0"/>
          <w:marRight w:val="0"/>
          <w:marTop w:val="0"/>
          <w:marBottom w:val="0"/>
          <w:divBdr>
            <w:top w:val="none" w:sz="0" w:space="0" w:color="auto"/>
            <w:left w:val="none" w:sz="0" w:space="0" w:color="auto"/>
            <w:bottom w:val="none" w:sz="0" w:space="0" w:color="auto"/>
            <w:right w:val="none" w:sz="0" w:space="0" w:color="auto"/>
          </w:divBdr>
          <w:divsChild>
            <w:div w:id="1165125175">
              <w:marLeft w:val="0"/>
              <w:marRight w:val="0"/>
              <w:marTop w:val="0"/>
              <w:marBottom w:val="0"/>
              <w:divBdr>
                <w:top w:val="none" w:sz="0" w:space="0" w:color="auto"/>
                <w:left w:val="none" w:sz="0" w:space="0" w:color="auto"/>
                <w:bottom w:val="none" w:sz="0" w:space="0" w:color="auto"/>
                <w:right w:val="none" w:sz="0" w:space="0" w:color="auto"/>
              </w:divBdr>
            </w:div>
          </w:divsChild>
        </w:div>
        <w:div w:id="1677270587">
          <w:marLeft w:val="0"/>
          <w:marRight w:val="0"/>
          <w:marTop w:val="0"/>
          <w:marBottom w:val="0"/>
          <w:divBdr>
            <w:top w:val="none" w:sz="0" w:space="0" w:color="auto"/>
            <w:left w:val="none" w:sz="0" w:space="0" w:color="auto"/>
            <w:bottom w:val="none" w:sz="0" w:space="0" w:color="auto"/>
            <w:right w:val="none" w:sz="0" w:space="0" w:color="auto"/>
          </w:divBdr>
          <w:divsChild>
            <w:div w:id="1999989987">
              <w:marLeft w:val="0"/>
              <w:marRight w:val="0"/>
              <w:marTop w:val="0"/>
              <w:marBottom w:val="0"/>
              <w:divBdr>
                <w:top w:val="none" w:sz="0" w:space="0" w:color="auto"/>
                <w:left w:val="none" w:sz="0" w:space="0" w:color="auto"/>
                <w:bottom w:val="none" w:sz="0" w:space="0" w:color="auto"/>
                <w:right w:val="none" w:sz="0" w:space="0" w:color="auto"/>
              </w:divBdr>
            </w:div>
          </w:divsChild>
        </w:div>
        <w:div w:id="1816139765">
          <w:marLeft w:val="0"/>
          <w:marRight w:val="0"/>
          <w:marTop w:val="0"/>
          <w:marBottom w:val="0"/>
          <w:divBdr>
            <w:top w:val="none" w:sz="0" w:space="0" w:color="auto"/>
            <w:left w:val="none" w:sz="0" w:space="0" w:color="auto"/>
            <w:bottom w:val="none" w:sz="0" w:space="0" w:color="auto"/>
            <w:right w:val="none" w:sz="0" w:space="0" w:color="auto"/>
          </w:divBdr>
          <w:divsChild>
            <w:div w:id="795367313">
              <w:marLeft w:val="0"/>
              <w:marRight w:val="0"/>
              <w:marTop w:val="0"/>
              <w:marBottom w:val="0"/>
              <w:divBdr>
                <w:top w:val="none" w:sz="0" w:space="0" w:color="auto"/>
                <w:left w:val="none" w:sz="0" w:space="0" w:color="auto"/>
                <w:bottom w:val="none" w:sz="0" w:space="0" w:color="auto"/>
                <w:right w:val="none" w:sz="0" w:space="0" w:color="auto"/>
              </w:divBdr>
            </w:div>
          </w:divsChild>
        </w:div>
        <w:div w:id="1816332299">
          <w:marLeft w:val="0"/>
          <w:marRight w:val="0"/>
          <w:marTop w:val="0"/>
          <w:marBottom w:val="0"/>
          <w:divBdr>
            <w:top w:val="none" w:sz="0" w:space="0" w:color="auto"/>
            <w:left w:val="none" w:sz="0" w:space="0" w:color="auto"/>
            <w:bottom w:val="none" w:sz="0" w:space="0" w:color="auto"/>
            <w:right w:val="none" w:sz="0" w:space="0" w:color="auto"/>
          </w:divBdr>
          <w:divsChild>
            <w:div w:id="1778519237">
              <w:marLeft w:val="0"/>
              <w:marRight w:val="0"/>
              <w:marTop w:val="0"/>
              <w:marBottom w:val="0"/>
              <w:divBdr>
                <w:top w:val="none" w:sz="0" w:space="0" w:color="auto"/>
                <w:left w:val="none" w:sz="0" w:space="0" w:color="auto"/>
                <w:bottom w:val="none" w:sz="0" w:space="0" w:color="auto"/>
                <w:right w:val="none" w:sz="0" w:space="0" w:color="auto"/>
              </w:divBdr>
            </w:div>
          </w:divsChild>
        </w:div>
        <w:div w:id="1971863538">
          <w:marLeft w:val="0"/>
          <w:marRight w:val="0"/>
          <w:marTop w:val="0"/>
          <w:marBottom w:val="0"/>
          <w:divBdr>
            <w:top w:val="none" w:sz="0" w:space="0" w:color="auto"/>
            <w:left w:val="none" w:sz="0" w:space="0" w:color="auto"/>
            <w:bottom w:val="none" w:sz="0" w:space="0" w:color="auto"/>
            <w:right w:val="none" w:sz="0" w:space="0" w:color="auto"/>
          </w:divBdr>
          <w:divsChild>
            <w:div w:id="1637175308">
              <w:marLeft w:val="0"/>
              <w:marRight w:val="0"/>
              <w:marTop w:val="0"/>
              <w:marBottom w:val="0"/>
              <w:divBdr>
                <w:top w:val="none" w:sz="0" w:space="0" w:color="auto"/>
                <w:left w:val="none" w:sz="0" w:space="0" w:color="auto"/>
                <w:bottom w:val="none" w:sz="0" w:space="0" w:color="auto"/>
                <w:right w:val="none" w:sz="0" w:space="0" w:color="auto"/>
              </w:divBdr>
            </w:div>
          </w:divsChild>
        </w:div>
        <w:div w:id="1987195907">
          <w:marLeft w:val="0"/>
          <w:marRight w:val="0"/>
          <w:marTop w:val="0"/>
          <w:marBottom w:val="0"/>
          <w:divBdr>
            <w:top w:val="none" w:sz="0" w:space="0" w:color="auto"/>
            <w:left w:val="none" w:sz="0" w:space="0" w:color="auto"/>
            <w:bottom w:val="none" w:sz="0" w:space="0" w:color="auto"/>
            <w:right w:val="none" w:sz="0" w:space="0" w:color="auto"/>
          </w:divBdr>
          <w:divsChild>
            <w:div w:id="511841985">
              <w:marLeft w:val="0"/>
              <w:marRight w:val="0"/>
              <w:marTop w:val="0"/>
              <w:marBottom w:val="0"/>
              <w:divBdr>
                <w:top w:val="none" w:sz="0" w:space="0" w:color="auto"/>
                <w:left w:val="none" w:sz="0" w:space="0" w:color="auto"/>
                <w:bottom w:val="none" w:sz="0" w:space="0" w:color="auto"/>
                <w:right w:val="none" w:sz="0" w:space="0" w:color="auto"/>
              </w:divBdr>
            </w:div>
          </w:divsChild>
        </w:div>
        <w:div w:id="2032413091">
          <w:marLeft w:val="0"/>
          <w:marRight w:val="0"/>
          <w:marTop w:val="0"/>
          <w:marBottom w:val="0"/>
          <w:divBdr>
            <w:top w:val="none" w:sz="0" w:space="0" w:color="auto"/>
            <w:left w:val="none" w:sz="0" w:space="0" w:color="auto"/>
            <w:bottom w:val="none" w:sz="0" w:space="0" w:color="auto"/>
            <w:right w:val="none" w:sz="0" w:space="0" w:color="auto"/>
          </w:divBdr>
          <w:divsChild>
            <w:div w:id="2118258342">
              <w:marLeft w:val="0"/>
              <w:marRight w:val="0"/>
              <w:marTop w:val="0"/>
              <w:marBottom w:val="0"/>
              <w:divBdr>
                <w:top w:val="none" w:sz="0" w:space="0" w:color="auto"/>
                <w:left w:val="none" w:sz="0" w:space="0" w:color="auto"/>
                <w:bottom w:val="none" w:sz="0" w:space="0" w:color="auto"/>
                <w:right w:val="none" w:sz="0" w:space="0" w:color="auto"/>
              </w:divBdr>
            </w:div>
          </w:divsChild>
        </w:div>
        <w:div w:id="2133791560">
          <w:marLeft w:val="0"/>
          <w:marRight w:val="0"/>
          <w:marTop w:val="0"/>
          <w:marBottom w:val="0"/>
          <w:divBdr>
            <w:top w:val="none" w:sz="0" w:space="0" w:color="auto"/>
            <w:left w:val="none" w:sz="0" w:space="0" w:color="auto"/>
            <w:bottom w:val="none" w:sz="0" w:space="0" w:color="auto"/>
            <w:right w:val="none" w:sz="0" w:space="0" w:color="auto"/>
          </w:divBdr>
          <w:divsChild>
            <w:div w:id="459344379">
              <w:marLeft w:val="0"/>
              <w:marRight w:val="0"/>
              <w:marTop w:val="0"/>
              <w:marBottom w:val="0"/>
              <w:divBdr>
                <w:top w:val="none" w:sz="0" w:space="0" w:color="auto"/>
                <w:left w:val="none" w:sz="0" w:space="0" w:color="auto"/>
                <w:bottom w:val="none" w:sz="0" w:space="0" w:color="auto"/>
                <w:right w:val="none" w:sz="0" w:space="0" w:color="auto"/>
              </w:divBdr>
            </w:div>
          </w:divsChild>
        </w:div>
        <w:div w:id="2134053444">
          <w:marLeft w:val="0"/>
          <w:marRight w:val="0"/>
          <w:marTop w:val="0"/>
          <w:marBottom w:val="0"/>
          <w:divBdr>
            <w:top w:val="none" w:sz="0" w:space="0" w:color="auto"/>
            <w:left w:val="none" w:sz="0" w:space="0" w:color="auto"/>
            <w:bottom w:val="none" w:sz="0" w:space="0" w:color="auto"/>
            <w:right w:val="none" w:sz="0" w:space="0" w:color="auto"/>
          </w:divBdr>
          <w:divsChild>
            <w:div w:id="1737245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4728931">
      <w:bodyDiv w:val="1"/>
      <w:marLeft w:val="0"/>
      <w:marRight w:val="0"/>
      <w:marTop w:val="0"/>
      <w:marBottom w:val="0"/>
      <w:divBdr>
        <w:top w:val="none" w:sz="0" w:space="0" w:color="auto"/>
        <w:left w:val="none" w:sz="0" w:space="0" w:color="auto"/>
        <w:bottom w:val="none" w:sz="0" w:space="0" w:color="auto"/>
        <w:right w:val="none" w:sz="0" w:space="0" w:color="auto"/>
      </w:divBdr>
    </w:div>
    <w:div w:id="1592736272">
      <w:bodyDiv w:val="1"/>
      <w:marLeft w:val="0"/>
      <w:marRight w:val="0"/>
      <w:marTop w:val="0"/>
      <w:marBottom w:val="0"/>
      <w:divBdr>
        <w:top w:val="none" w:sz="0" w:space="0" w:color="auto"/>
        <w:left w:val="none" w:sz="0" w:space="0" w:color="auto"/>
        <w:bottom w:val="none" w:sz="0" w:space="0" w:color="auto"/>
        <w:right w:val="none" w:sz="0" w:space="0" w:color="auto"/>
      </w:divBdr>
    </w:div>
    <w:div w:id="1601791576">
      <w:bodyDiv w:val="1"/>
      <w:marLeft w:val="0"/>
      <w:marRight w:val="0"/>
      <w:marTop w:val="0"/>
      <w:marBottom w:val="0"/>
      <w:divBdr>
        <w:top w:val="none" w:sz="0" w:space="0" w:color="auto"/>
        <w:left w:val="none" w:sz="0" w:space="0" w:color="auto"/>
        <w:bottom w:val="none" w:sz="0" w:space="0" w:color="auto"/>
        <w:right w:val="none" w:sz="0" w:space="0" w:color="auto"/>
      </w:divBdr>
    </w:div>
    <w:div w:id="1625966593">
      <w:bodyDiv w:val="1"/>
      <w:marLeft w:val="0"/>
      <w:marRight w:val="0"/>
      <w:marTop w:val="0"/>
      <w:marBottom w:val="0"/>
      <w:divBdr>
        <w:top w:val="none" w:sz="0" w:space="0" w:color="auto"/>
        <w:left w:val="none" w:sz="0" w:space="0" w:color="auto"/>
        <w:bottom w:val="none" w:sz="0" w:space="0" w:color="auto"/>
        <w:right w:val="none" w:sz="0" w:space="0" w:color="auto"/>
      </w:divBdr>
    </w:div>
    <w:div w:id="1630159727">
      <w:bodyDiv w:val="1"/>
      <w:marLeft w:val="0"/>
      <w:marRight w:val="0"/>
      <w:marTop w:val="0"/>
      <w:marBottom w:val="0"/>
      <w:divBdr>
        <w:top w:val="none" w:sz="0" w:space="0" w:color="auto"/>
        <w:left w:val="none" w:sz="0" w:space="0" w:color="auto"/>
        <w:bottom w:val="none" w:sz="0" w:space="0" w:color="auto"/>
        <w:right w:val="none" w:sz="0" w:space="0" w:color="auto"/>
      </w:divBdr>
      <w:divsChild>
        <w:div w:id="77556868">
          <w:marLeft w:val="0"/>
          <w:marRight w:val="0"/>
          <w:marTop w:val="0"/>
          <w:marBottom w:val="0"/>
          <w:divBdr>
            <w:top w:val="none" w:sz="0" w:space="0" w:color="auto"/>
            <w:left w:val="none" w:sz="0" w:space="0" w:color="auto"/>
            <w:bottom w:val="none" w:sz="0" w:space="0" w:color="auto"/>
            <w:right w:val="none" w:sz="0" w:space="0" w:color="auto"/>
          </w:divBdr>
        </w:div>
        <w:div w:id="617294075">
          <w:marLeft w:val="0"/>
          <w:marRight w:val="0"/>
          <w:marTop w:val="0"/>
          <w:marBottom w:val="0"/>
          <w:divBdr>
            <w:top w:val="none" w:sz="0" w:space="0" w:color="auto"/>
            <w:left w:val="none" w:sz="0" w:space="0" w:color="auto"/>
            <w:bottom w:val="none" w:sz="0" w:space="0" w:color="auto"/>
            <w:right w:val="none" w:sz="0" w:space="0" w:color="auto"/>
          </w:divBdr>
          <w:divsChild>
            <w:div w:id="614871047">
              <w:marLeft w:val="0"/>
              <w:marRight w:val="0"/>
              <w:marTop w:val="0"/>
              <w:marBottom w:val="0"/>
              <w:divBdr>
                <w:top w:val="none" w:sz="0" w:space="0" w:color="auto"/>
                <w:left w:val="none" w:sz="0" w:space="0" w:color="auto"/>
                <w:bottom w:val="none" w:sz="0" w:space="0" w:color="auto"/>
                <w:right w:val="none" w:sz="0" w:space="0" w:color="auto"/>
              </w:divBdr>
            </w:div>
            <w:div w:id="795560581">
              <w:marLeft w:val="0"/>
              <w:marRight w:val="0"/>
              <w:marTop w:val="0"/>
              <w:marBottom w:val="0"/>
              <w:divBdr>
                <w:top w:val="none" w:sz="0" w:space="0" w:color="auto"/>
                <w:left w:val="none" w:sz="0" w:space="0" w:color="auto"/>
                <w:bottom w:val="none" w:sz="0" w:space="0" w:color="auto"/>
                <w:right w:val="none" w:sz="0" w:space="0" w:color="auto"/>
              </w:divBdr>
            </w:div>
            <w:div w:id="1438137754">
              <w:marLeft w:val="0"/>
              <w:marRight w:val="0"/>
              <w:marTop w:val="0"/>
              <w:marBottom w:val="0"/>
              <w:divBdr>
                <w:top w:val="none" w:sz="0" w:space="0" w:color="auto"/>
                <w:left w:val="none" w:sz="0" w:space="0" w:color="auto"/>
                <w:bottom w:val="none" w:sz="0" w:space="0" w:color="auto"/>
                <w:right w:val="none" w:sz="0" w:space="0" w:color="auto"/>
              </w:divBdr>
            </w:div>
            <w:div w:id="1637685406">
              <w:marLeft w:val="0"/>
              <w:marRight w:val="0"/>
              <w:marTop w:val="0"/>
              <w:marBottom w:val="0"/>
              <w:divBdr>
                <w:top w:val="none" w:sz="0" w:space="0" w:color="auto"/>
                <w:left w:val="none" w:sz="0" w:space="0" w:color="auto"/>
                <w:bottom w:val="none" w:sz="0" w:space="0" w:color="auto"/>
                <w:right w:val="none" w:sz="0" w:space="0" w:color="auto"/>
              </w:divBdr>
            </w:div>
            <w:div w:id="1788887073">
              <w:marLeft w:val="0"/>
              <w:marRight w:val="0"/>
              <w:marTop w:val="0"/>
              <w:marBottom w:val="0"/>
              <w:divBdr>
                <w:top w:val="none" w:sz="0" w:space="0" w:color="auto"/>
                <w:left w:val="none" w:sz="0" w:space="0" w:color="auto"/>
                <w:bottom w:val="none" w:sz="0" w:space="0" w:color="auto"/>
                <w:right w:val="none" w:sz="0" w:space="0" w:color="auto"/>
              </w:divBdr>
            </w:div>
            <w:div w:id="1910799755">
              <w:marLeft w:val="0"/>
              <w:marRight w:val="0"/>
              <w:marTop w:val="0"/>
              <w:marBottom w:val="0"/>
              <w:divBdr>
                <w:top w:val="none" w:sz="0" w:space="0" w:color="auto"/>
                <w:left w:val="none" w:sz="0" w:space="0" w:color="auto"/>
                <w:bottom w:val="none" w:sz="0" w:space="0" w:color="auto"/>
                <w:right w:val="none" w:sz="0" w:space="0" w:color="auto"/>
              </w:divBdr>
            </w:div>
            <w:div w:id="2073578439">
              <w:marLeft w:val="0"/>
              <w:marRight w:val="0"/>
              <w:marTop w:val="0"/>
              <w:marBottom w:val="0"/>
              <w:divBdr>
                <w:top w:val="none" w:sz="0" w:space="0" w:color="auto"/>
                <w:left w:val="none" w:sz="0" w:space="0" w:color="auto"/>
                <w:bottom w:val="none" w:sz="0" w:space="0" w:color="auto"/>
                <w:right w:val="none" w:sz="0" w:space="0" w:color="auto"/>
              </w:divBdr>
            </w:div>
          </w:divsChild>
        </w:div>
        <w:div w:id="714240090">
          <w:marLeft w:val="0"/>
          <w:marRight w:val="0"/>
          <w:marTop w:val="0"/>
          <w:marBottom w:val="0"/>
          <w:divBdr>
            <w:top w:val="none" w:sz="0" w:space="0" w:color="auto"/>
            <w:left w:val="none" w:sz="0" w:space="0" w:color="auto"/>
            <w:bottom w:val="none" w:sz="0" w:space="0" w:color="auto"/>
            <w:right w:val="none" w:sz="0" w:space="0" w:color="auto"/>
          </w:divBdr>
        </w:div>
        <w:div w:id="1415005363">
          <w:marLeft w:val="0"/>
          <w:marRight w:val="0"/>
          <w:marTop w:val="0"/>
          <w:marBottom w:val="0"/>
          <w:divBdr>
            <w:top w:val="none" w:sz="0" w:space="0" w:color="auto"/>
            <w:left w:val="none" w:sz="0" w:space="0" w:color="auto"/>
            <w:bottom w:val="none" w:sz="0" w:space="0" w:color="auto"/>
            <w:right w:val="none" w:sz="0" w:space="0" w:color="auto"/>
          </w:divBdr>
          <w:divsChild>
            <w:div w:id="1171600713">
              <w:marLeft w:val="-75"/>
              <w:marRight w:val="0"/>
              <w:marTop w:val="30"/>
              <w:marBottom w:val="30"/>
              <w:divBdr>
                <w:top w:val="none" w:sz="0" w:space="0" w:color="auto"/>
                <w:left w:val="none" w:sz="0" w:space="0" w:color="auto"/>
                <w:bottom w:val="none" w:sz="0" w:space="0" w:color="auto"/>
                <w:right w:val="none" w:sz="0" w:space="0" w:color="auto"/>
              </w:divBdr>
              <w:divsChild>
                <w:div w:id="608390936">
                  <w:marLeft w:val="0"/>
                  <w:marRight w:val="0"/>
                  <w:marTop w:val="0"/>
                  <w:marBottom w:val="0"/>
                  <w:divBdr>
                    <w:top w:val="none" w:sz="0" w:space="0" w:color="auto"/>
                    <w:left w:val="none" w:sz="0" w:space="0" w:color="auto"/>
                    <w:bottom w:val="none" w:sz="0" w:space="0" w:color="auto"/>
                    <w:right w:val="none" w:sz="0" w:space="0" w:color="auto"/>
                  </w:divBdr>
                  <w:divsChild>
                    <w:div w:id="960647168">
                      <w:marLeft w:val="0"/>
                      <w:marRight w:val="0"/>
                      <w:marTop w:val="0"/>
                      <w:marBottom w:val="0"/>
                      <w:divBdr>
                        <w:top w:val="none" w:sz="0" w:space="0" w:color="auto"/>
                        <w:left w:val="none" w:sz="0" w:space="0" w:color="auto"/>
                        <w:bottom w:val="none" w:sz="0" w:space="0" w:color="auto"/>
                        <w:right w:val="none" w:sz="0" w:space="0" w:color="auto"/>
                      </w:divBdr>
                    </w:div>
                  </w:divsChild>
                </w:div>
                <w:div w:id="1259370879">
                  <w:marLeft w:val="0"/>
                  <w:marRight w:val="0"/>
                  <w:marTop w:val="0"/>
                  <w:marBottom w:val="0"/>
                  <w:divBdr>
                    <w:top w:val="none" w:sz="0" w:space="0" w:color="auto"/>
                    <w:left w:val="none" w:sz="0" w:space="0" w:color="auto"/>
                    <w:bottom w:val="none" w:sz="0" w:space="0" w:color="auto"/>
                    <w:right w:val="none" w:sz="0" w:space="0" w:color="auto"/>
                  </w:divBdr>
                  <w:divsChild>
                    <w:div w:id="1720282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1820948">
          <w:marLeft w:val="0"/>
          <w:marRight w:val="0"/>
          <w:marTop w:val="0"/>
          <w:marBottom w:val="0"/>
          <w:divBdr>
            <w:top w:val="none" w:sz="0" w:space="0" w:color="auto"/>
            <w:left w:val="none" w:sz="0" w:space="0" w:color="auto"/>
            <w:bottom w:val="none" w:sz="0" w:space="0" w:color="auto"/>
            <w:right w:val="none" w:sz="0" w:space="0" w:color="auto"/>
          </w:divBdr>
          <w:divsChild>
            <w:div w:id="704671471">
              <w:marLeft w:val="-75"/>
              <w:marRight w:val="0"/>
              <w:marTop w:val="30"/>
              <w:marBottom w:val="30"/>
              <w:divBdr>
                <w:top w:val="none" w:sz="0" w:space="0" w:color="auto"/>
                <w:left w:val="none" w:sz="0" w:space="0" w:color="auto"/>
                <w:bottom w:val="none" w:sz="0" w:space="0" w:color="auto"/>
                <w:right w:val="none" w:sz="0" w:space="0" w:color="auto"/>
              </w:divBdr>
              <w:divsChild>
                <w:div w:id="348944989">
                  <w:marLeft w:val="0"/>
                  <w:marRight w:val="0"/>
                  <w:marTop w:val="0"/>
                  <w:marBottom w:val="0"/>
                  <w:divBdr>
                    <w:top w:val="none" w:sz="0" w:space="0" w:color="auto"/>
                    <w:left w:val="none" w:sz="0" w:space="0" w:color="auto"/>
                    <w:bottom w:val="none" w:sz="0" w:space="0" w:color="auto"/>
                    <w:right w:val="none" w:sz="0" w:space="0" w:color="auto"/>
                  </w:divBdr>
                  <w:divsChild>
                    <w:div w:id="252083292">
                      <w:marLeft w:val="0"/>
                      <w:marRight w:val="0"/>
                      <w:marTop w:val="0"/>
                      <w:marBottom w:val="0"/>
                      <w:divBdr>
                        <w:top w:val="none" w:sz="0" w:space="0" w:color="auto"/>
                        <w:left w:val="none" w:sz="0" w:space="0" w:color="auto"/>
                        <w:bottom w:val="none" w:sz="0" w:space="0" w:color="auto"/>
                        <w:right w:val="none" w:sz="0" w:space="0" w:color="auto"/>
                      </w:divBdr>
                    </w:div>
                    <w:div w:id="544563534">
                      <w:marLeft w:val="0"/>
                      <w:marRight w:val="0"/>
                      <w:marTop w:val="0"/>
                      <w:marBottom w:val="0"/>
                      <w:divBdr>
                        <w:top w:val="none" w:sz="0" w:space="0" w:color="auto"/>
                        <w:left w:val="none" w:sz="0" w:space="0" w:color="auto"/>
                        <w:bottom w:val="none" w:sz="0" w:space="0" w:color="auto"/>
                        <w:right w:val="none" w:sz="0" w:space="0" w:color="auto"/>
                      </w:divBdr>
                    </w:div>
                    <w:div w:id="675614284">
                      <w:marLeft w:val="0"/>
                      <w:marRight w:val="0"/>
                      <w:marTop w:val="0"/>
                      <w:marBottom w:val="0"/>
                      <w:divBdr>
                        <w:top w:val="none" w:sz="0" w:space="0" w:color="auto"/>
                        <w:left w:val="none" w:sz="0" w:space="0" w:color="auto"/>
                        <w:bottom w:val="none" w:sz="0" w:space="0" w:color="auto"/>
                        <w:right w:val="none" w:sz="0" w:space="0" w:color="auto"/>
                      </w:divBdr>
                    </w:div>
                    <w:div w:id="690495590">
                      <w:marLeft w:val="0"/>
                      <w:marRight w:val="0"/>
                      <w:marTop w:val="0"/>
                      <w:marBottom w:val="0"/>
                      <w:divBdr>
                        <w:top w:val="none" w:sz="0" w:space="0" w:color="auto"/>
                        <w:left w:val="none" w:sz="0" w:space="0" w:color="auto"/>
                        <w:bottom w:val="none" w:sz="0" w:space="0" w:color="auto"/>
                        <w:right w:val="none" w:sz="0" w:space="0" w:color="auto"/>
                      </w:divBdr>
                    </w:div>
                    <w:div w:id="1582175903">
                      <w:marLeft w:val="0"/>
                      <w:marRight w:val="0"/>
                      <w:marTop w:val="0"/>
                      <w:marBottom w:val="0"/>
                      <w:divBdr>
                        <w:top w:val="none" w:sz="0" w:space="0" w:color="auto"/>
                        <w:left w:val="none" w:sz="0" w:space="0" w:color="auto"/>
                        <w:bottom w:val="none" w:sz="0" w:space="0" w:color="auto"/>
                        <w:right w:val="none" w:sz="0" w:space="0" w:color="auto"/>
                      </w:divBdr>
                    </w:div>
                    <w:div w:id="1851482011">
                      <w:marLeft w:val="0"/>
                      <w:marRight w:val="0"/>
                      <w:marTop w:val="0"/>
                      <w:marBottom w:val="0"/>
                      <w:divBdr>
                        <w:top w:val="none" w:sz="0" w:space="0" w:color="auto"/>
                        <w:left w:val="none" w:sz="0" w:space="0" w:color="auto"/>
                        <w:bottom w:val="none" w:sz="0" w:space="0" w:color="auto"/>
                        <w:right w:val="none" w:sz="0" w:space="0" w:color="auto"/>
                      </w:divBdr>
                    </w:div>
                  </w:divsChild>
                </w:div>
                <w:div w:id="432362783">
                  <w:marLeft w:val="0"/>
                  <w:marRight w:val="0"/>
                  <w:marTop w:val="0"/>
                  <w:marBottom w:val="0"/>
                  <w:divBdr>
                    <w:top w:val="none" w:sz="0" w:space="0" w:color="auto"/>
                    <w:left w:val="none" w:sz="0" w:space="0" w:color="auto"/>
                    <w:bottom w:val="none" w:sz="0" w:space="0" w:color="auto"/>
                    <w:right w:val="none" w:sz="0" w:space="0" w:color="auto"/>
                  </w:divBdr>
                  <w:divsChild>
                    <w:div w:id="41831797">
                      <w:marLeft w:val="0"/>
                      <w:marRight w:val="0"/>
                      <w:marTop w:val="0"/>
                      <w:marBottom w:val="0"/>
                      <w:divBdr>
                        <w:top w:val="none" w:sz="0" w:space="0" w:color="auto"/>
                        <w:left w:val="none" w:sz="0" w:space="0" w:color="auto"/>
                        <w:bottom w:val="none" w:sz="0" w:space="0" w:color="auto"/>
                        <w:right w:val="none" w:sz="0" w:space="0" w:color="auto"/>
                      </w:divBdr>
                    </w:div>
                  </w:divsChild>
                </w:div>
                <w:div w:id="519009764">
                  <w:marLeft w:val="0"/>
                  <w:marRight w:val="0"/>
                  <w:marTop w:val="0"/>
                  <w:marBottom w:val="0"/>
                  <w:divBdr>
                    <w:top w:val="none" w:sz="0" w:space="0" w:color="auto"/>
                    <w:left w:val="none" w:sz="0" w:space="0" w:color="auto"/>
                    <w:bottom w:val="none" w:sz="0" w:space="0" w:color="auto"/>
                    <w:right w:val="none" w:sz="0" w:space="0" w:color="auto"/>
                  </w:divBdr>
                  <w:divsChild>
                    <w:div w:id="734353588">
                      <w:marLeft w:val="0"/>
                      <w:marRight w:val="0"/>
                      <w:marTop w:val="0"/>
                      <w:marBottom w:val="0"/>
                      <w:divBdr>
                        <w:top w:val="none" w:sz="0" w:space="0" w:color="auto"/>
                        <w:left w:val="none" w:sz="0" w:space="0" w:color="auto"/>
                        <w:bottom w:val="none" w:sz="0" w:space="0" w:color="auto"/>
                        <w:right w:val="none" w:sz="0" w:space="0" w:color="auto"/>
                      </w:divBdr>
                    </w:div>
                  </w:divsChild>
                </w:div>
                <w:div w:id="538054317">
                  <w:marLeft w:val="0"/>
                  <w:marRight w:val="0"/>
                  <w:marTop w:val="0"/>
                  <w:marBottom w:val="0"/>
                  <w:divBdr>
                    <w:top w:val="none" w:sz="0" w:space="0" w:color="auto"/>
                    <w:left w:val="none" w:sz="0" w:space="0" w:color="auto"/>
                    <w:bottom w:val="none" w:sz="0" w:space="0" w:color="auto"/>
                    <w:right w:val="none" w:sz="0" w:space="0" w:color="auto"/>
                  </w:divBdr>
                  <w:divsChild>
                    <w:div w:id="894314713">
                      <w:marLeft w:val="0"/>
                      <w:marRight w:val="0"/>
                      <w:marTop w:val="0"/>
                      <w:marBottom w:val="0"/>
                      <w:divBdr>
                        <w:top w:val="none" w:sz="0" w:space="0" w:color="auto"/>
                        <w:left w:val="none" w:sz="0" w:space="0" w:color="auto"/>
                        <w:bottom w:val="none" w:sz="0" w:space="0" w:color="auto"/>
                        <w:right w:val="none" w:sz="0" w:space="0" w:color="auto"/>
                      </w:divBdr>
                    </w:div>
                    <w:div w:id="927688029">
                      <w:marLeft w:val="0"/>
                      <w:marRight w:val="0"/>
                      <w:marTop w:val="0"/>
                      <w:marBottom w:val="0"/>
                      <w:divBdr>
                        <w:top w:val="none" w:sz="0" w:space="0" w:color="auto"/>
                        <w:left w:val="none" w:sz="0" w:space="0" w:color="auto"/>
                        <w:bottom w:val="none" w:sz="0" w:space="0" w:color="auto"/>
                        <w:right w:val="none" w:sz="0" w:space="0" w:color="auto"/>
                      </w:divBdr>
                    </w:div>
                    <w:div w:id="1783381061">
                      <w:marLeft w:val="0"/>
                      <w:marRight w:val="0"/>
                      <w:marTop w:val="0"/>
                      <w:marBottom w:val="0"/>
                      <w:divBdr>
                        <w:top w:val="none" w:sz="0" w:space="0" w:color="auto"/>
                        <w:left w:val="none" w:sz="0" w:space="0" w:color="auto"/>
                        <w:bottom w:val="none" w:sz="0" w:space="0" w:color="auto"/>
                        <w:right w:val="none" w:sz="0" w:space="0" w:color="auto"/>
                      </w:divBdr>
                    </w:div>
                    <w:div w:id="1974872454">
                      <w:marLeft w:val="0"/>
                      <w:marRight w:val="0"/>
                      <w:marTop w:val="0"/>
                      <w:marBottom w:val="0"/>
                      <w:divBdr>
                        <w:top w:val="none" w:sz="0" w:space="0" w:color="auto"/>
                        <w:left w:val="none" w:sz="0" w:space="0" w:color="auto"/>
                        <w:bottom w:val="none" w:sz="0" w:space="0" w:color="auto"/>
                        <w:right w:val="none" w:sz="0" w:space="0" w:color="auto"/>
                      </w:divBdr>
                    </w:div>
                  </w:divsChild>
                </w:div>
                <w:div w:id="839467331">
                  <w:marLeft w:val="0"/>
                  <w:marRight w:val="0"/>
                  <w:marTop w:val="0"/>
                  <w:marBottom w:val="0"/>
                  <w:divBdr>
                    <w:top w:val="none" w:sz="0" w:space="0" w:color="auto"/>
                    <w:left w:val="none" w:sz="0" w:space="0" w:color="auto"/>
                    <w:bottom w:val="none" w:sz="0" w:space="0" w:color="auto"/>
                    <w:right w:val="none" w:sz="0" w:space="0" w:color="auto"/>
                  </w:divBdr>
                  <w:divsChild>
                    <w:div w:id="1451390322">
                      <w:marLeft w:val="0"/>
                      <w:marRight w:val="0"/>
                      <w:marTop w:val="0"/>
                      <w:marBottom w:val="0"/>
                      <w:divBdr>
                        <w:top w:val="none" w:sz="0" w:space="0" w:color="auto"/>
                        <w:left w:val="none" w:sz="0" w:space="0" w:color="auto"/>
                        <w:bottom w:val="none" w:sz="0" w:space="0" w:color="auto"/>
                        <w:right w:val="none" w:sz="0" w:space="0" w:color="auto"/>
                      </w:divBdr>
                    </w:div>
                  </w:divsChild>
                </w:div>
                <w:div w:id="922177124">
                  <w:marLeft w:val="0"/>
                  <w:marRight w:val="0"/>
                  <w:marTop w:val="0"/>
                  <w:marBottom w:val="0"/>
                  <w:divBdr>
                    <w:top w:val="none" w:sz="0" w:space="0" w:color="auto"/>
                    <w:left w:val="none" w:sz="0" w:space="0" w:color="auto"/>
                    <w:bottom w:val="none" w:sz="0" w:space="0" w:color="auto"/>
                    <w:right w:val="none" w:sz="0" w:space="0" w:color="auto"/>
                  </w:divBdr>
                  <w:divsChild>
                    <w:div w:id="158664052">
                      <w:marLeft w:val="0"/>
                      <w:marRight w:val="0"/>
                      <w:marTop w:val="0"/>
                      <w:marBottom w:val="0"/>
                      <w:divBdr>
                        <w:top w:val="none" w:sz="0" w:space="0" w:color="auto"/>
                        <w:left w:val="none" w:sz="0" w:space="0" w:color="auto"/>
                        <w:bottom w:val="none" w:sz="0" w:space="0" w:color="auto"/>
                        <w:right w:val="none" w:sz="0" w:space="0" w:color="auto"/>
                      </w:divBdr>
                    </w:div>
                    <w:div w:id="1677726442">
                      <w:marLeft w:val="0"/>
                      <w:marRight w:val="0"/>
                      <w:marTop w:val="0"/>
                      <w:marBottom w:val="0"/>
                      <w:divBdr>
                        <w:top w:val="none" w:sz="0" w:space="0" w:color="auto"/>
                        <w:left w:val="none" w:sz="0" w:space="0" w:color="auto"/>
                        <w:bottom w:val="none" w:sz="0" w:space="0" w:color="auto"/>
                        <w:right w:val="none" w:sz="0" w:space="0" w:color="auto"/>
                      </w:divBdr>
                    </w:div>
                    <w:div w:id="1801344067">
                      <w:marLeft w:val="0"/>
                      <w:marRight w:val="0"/>
                      <w:marTop w:val="0"/>
                      <w:marBottom w:val="0"/>
                      <w:divBdr>
                        <w:top w:val="none" w:sz="0" w:space="0" w:color="auto"/>
                        <w:left w:val="none" w:sz="0" w:space="0" w:color="auto"/>
                        <w:bottom w:val="none" w:sz="0" w:space="0" w:color="auto"/>
                        <w:right w:val="none" w:sz="0" w:space="0" w:color="auto"/>
                      </w:divBdr>
                    </w:div>
                  </w:divsChild>
                </w:div>
                <w:div w:id="1051349953">
                  <w:marLeft w:val="0"/>
                  <w:marRight w:val="0"/>
                  <w:marTop w:val="0"/>
                  <w:marBottom w:val="0"/>
                  <w:divBdr>
                    <w:top w:val="none" w:sz="0" w:space="0" w:color="auto"/>
                    <w:left w:val="none" w:sz="0" w:space="0" w:color="auto"/>
                    <w:bottom w:val="none" w:sz="0" w:space="0" w:color="auto"/>
                    <w:right w:val="none" w:sz="0" w:space="0" w:color="auto"/>
                  </w:divBdr>
                  <w:divsChild>
                    <w:div w:id="967591575">
                      <w:marLeft w:val="0"/>
                      <w:marRight w:val="0"/>
                      <w:marTop w:val="0"/>
                      <w:marBottom w:val="0"/>
                      <w:divBdr>
                        <w:top w:val="none" w:sz="0" w:space="0" w:color="auto"/>
                        <w:left w:val="none" w:sz="0" w:space="0" w:color="auto"/>
                        <w:bottom w:val="none" w:sz="0" w:space="0" w:color="auto"/>
                        <w:right w:val="none" w:sz="0" w:space="0" w:color="auto"/>
                      </w:divBdr>
                    </w:div>
                  </w:divsChild>
                </w:div>
                <w:div w:id="1350566293">
                  <w:marLeft w:val="0"/>
                  <w:marRight w:val="0"/>
                  <w:marTop w:val="0"/>
                  <w:marBottom w:val="0"/>
                  <w:divBdr>
                    <w:top w:val="none" w:sz="0" w:space="0" w:color="auto"/>
                    <w:left w:val="none" w:sz="0" w:space="0" w:color="auto"/>
                    <w:bottom w:val="none" w:sz="0" w:space="0" w:color="auto"/>
                    <w:right w:val="none" w:sz="0" w:space="0" w:color="auto"/>
                  </w:divBdr>
                  <w:divsChild>
                    <w:div w:id="552930821">
                      <w:marLeft w:val="0"/>
                      <w:marRight w:val="0"/>
                      <w:marTop w:val="0"/>
                      <w:marBottom w:val="0"/>
                      <w:divBdr>
                        <w:top w:val="none" w:sz="0" w:space="0" w:color="auto"/>
                        <w:left w:val="none" w:sz="0" w:space="0" w:color="auto"/>
                        <w:bottom w:val="none" w:sz="0" w:space="0" w:color="auto"/>
                        <w:right w:val="none" w:sz="0" w:space="0" w:color="auto"/>
                      </w:divBdr>
                    </w:div>
                  </w:divsChild>
                </w:div>
                <w:div w:id="1395860827">
                  <w:marLeft w:val="0"/>
                  <w:marRight w:val="0"/>
                  <w:marTop w:val="0"/>
                  <w:marBottom w:val="0"/>
                  <w:divBdr>
                    <w:top w:val="none" w:sz="0" w:space="0" w:color="auto"/>
                    <w:left w:val="none" w:sz="0" w:space="0" w:color="auto"/>
                    <w:bottom w:val="none" w:sz="0" w:space="0" w:color="auto"/>
                    <w:right w:val="none" w:sz="0" w:space="0" w:color="auto"/>
                  </w:divBdr>
                  <w:divsChild>
                    <w:div w:id="76679191">
                      <w:marLeft w:val="0"/>
                      <w:marRight w:val="0"/>
                      <w:marTop w:val="0"/>
                      <w:marBottom w:val="0"/>
                      <w:divBdr>
                        <w:top w:val="none" w:sz="0" w:space="0" w:color="auto"/>
                        <w:left w:val="none" w:sz="0" w:space="0" w:color="auto"/>
                        <w:bottom w:val="none" w:sz="0" w:space="0" w:color="auto"/>
                        <w:right w:val="none" w:sz="0" w:space="0" w:color="auto"/>
                      </w:divBdr>
                    </w:div>
                  </w:divsChild>
                </w:div>
                <w:div w:id="1424719679">
                  <w:marLeft w:val="0"/>
                  <w:marRight w:val="0"/>
                  <w:marTop w:val="0"/>
                  <w:marBottom w:val="0"/>
                  <w:divBdr>
                    <w:top w:val="none" w:sz="0" w:space="0" w:color="auto"/>
                    <w:left w:val="none" w:sz="0" w:space="0" w:color="auto"/>
                    <w:bottom w:val="none" w:sz="0" w:space="0" w:color="auto"/>
                    <w:right w:val="none" w:sz="0" w:space="0" w:color="auto"/>
                  </w:divBdr>
                  <w:divsChild>
                    <w:div w:id="964194357">
                      <w:marLeft w:val="0"/>
                      <w:marRight w:val="0"/>
                      <w:marTop w:val="0"/>
                      <w:marBottom w:val="0"/>
                      <w:divBdr>
                        <w:top w:val="none" w:sz="0" w:space="0" w:color="auto"/>
                        <w:left w:val="none" w:sz="0" w:space="0" w:color="auto"/>
                        <w:bottom w:val="none" w:sz="0" w:space="0" w:color="auto"/>
                        <w:right w:val="none" w:sz="0" w:space="0" w:color="auto"/>
                      </w:divBdr>
                    </w:div>
                  </w:divsChild>
                </w:div>
                <w:div w:id="1617788473">
                  <w:marLeft w:val="0"/>
                  <w:marRight w:val="0"/>
                  <w:marTop w:val="0"/>
                  <w:marBottom w:val="0"/>
                  <w:divBdr>
                    <w:top w:val="none" w:sz="0" w:space="0" w:color="auto"/>
                    <w:left w:val="none" w:sz="0" w:space="0" w:color="auto"/>
                    <w:bottom w:val="none" w:sz="0" w:space="0" w:color="auto"/>
                    <w:right w:val="none" w:sz="0" w:space="0" w:color="auto"/>
                  </w:divBdr>
                  <w:divsChild>
                    <w:div w:id="105663393">
                      <w:marLeft w:val="0"/>
                      <w:marRight w:val="0"/>
                      <w:marTop w:val="0"/>
                      <w:marBottom w:val="0"/>
                      <w:divBdr>
                        <w:top w:val="none" w:sz="0" w:space="0" w:color="auto"/>
                        <w:left w:val="none" w:sz="0" w:space="0" w:color="auto"/>
                        <w:bottom w:val="none" w:sz="0" w:space="0" w:color="auto"/>
                        <w:right w:val="none" w:sz="0" w:space="0" w:color="auto"/>
                      </w:divBdr>
                    </w:div>
                    <w:div w:id="502477820">
                      <w:marLeft w:val="0"/>
                      <w:marRight w:val="0"/>
                      <w:marTop w:val="0"/>
                      <w:marBottom w:val="0"/>
                      <w:divBdr>
                        <w:top w:val="none" w:sz="0" w:space="0" w:color="auto"/>
                        <w:left w:val="none" w:sz="0" w:space="0" w:color="auto"/>
                        <w:bottom w:val="none" w:sz="0" w:space="0" w:color="auto"/>
                        <w:right w:val="none" w:sz="0" w:space="0" w:color="auto"/>
                      </w:divBdr>
                    </w:div>
                    <w:div w:id="850531795">
                      <w:marLeft w:val="0"/>
                      <w:marRight w:val="0"/>
                      <w:marTop w:val="0"/>
                      <w:marBottom w:val="0"/>
                      <w:divBdr>
                        <w:top w:val="none" w:sz="0" w:space="0" w:color="auto"/>
                        <w:left w:val="none" w:sz="0" w:space="0" w:color="auto"/>
                        <w:bottom w:val="none" w:sz="0" w:space="0" w:color="auto"/>
                        <w:right w:val="none" w:sz="0" w:space="0" w:color="auto"/>
                      </w:divBdr>
                    </w:div>
                    <w:div w:id="1848669415">
                      <w:marLeft w:val="0"/>
                      <w:marRight w:val="0"/>
                      <w:marTop w:val="0"/>
                      <w:marBottom w:val="0"/>
                      <w:divBdr>
                        <w:top w:val="none" w:sz="0" w:space="0" w:color="auto"/>
                        <w:left w:val="none" w:sz="0" w:space="0" w:color="auto"/>
                        <w:bottom w:val="none" w:sz="0" w:space="0" w:color="auto"/>
                        <w:right w:val="none" w:sz="0" w:space="0" w:color="auto"/>
                      </w:divBdr>
                    </w:div>
                  </w:divsChild>
                </w:div>
                <w:div w:id="1710494831">
                  <w:marLeft w:val="0"/>
                  <w:marRight w:val="0"/>
                  <w:marTop w:val="0"/>
                  <w:marBottom w:val="0"/>
                  <w:divBdr>
                    <w:top w:val="none" w:sz="0" w:space="0" w:color="auto"/>
                    <w:left w:val="none" w:sz="0" w:space="0" w:color="auto"/>
                    <w:bottom w:val="none" w:sz="0" w:space="0" w:color="auto"/>
                    <w:right w:val="none" w:sz="0" w:space="0" w:color="auto"/>
                  </w:divBdr>
                  <w:divsChild>
                    <w:div w:id="750157245">
                      <w:marLeft w:val="0"/>
                      <w:marRight w:val="0"/>
                      <w:marTop w:val="0"/>
                      <w:marBottom w:val="0"/>
                      <w:divBdr>
                        <w:top w:val="none" w:sz="0" w:space="0" w:color="auto"/>
                        <w:left w:val="none" w:sz="0" w:space="0" w:color="auto"/>
                        <w:bottom w:val="none" w:sz="0" w:space="0" w:color="auto"/>
                        <w:right w:val="none" w:sz="0" w:space="0" w:color="auto"/>
                      </w:divBdr>
                    </w:div>
                    <w:div w:id="2138181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5544268">
      <w:bodyDiv w:val="1"/>
      <w:marLeft w:val="0"/>
      <w:marRight w:val="0"/>
      <w:marTop w:val="0"/>
      <w:marBottom w:val="0"/>
      <w:divBdr>
        <w:top w:val="none" w:sz="0" w:space="0" w:color="auto"/>
        <w:left w:val="none" w:sz="0" w:space="0" w:color="auto"/>
        <w:bottom w:val="none" w:sz="0" w:space="0" w:color="auto"/>
        <w:right w:val="none" w:sz="0" w:space="0" w:color="auto"/>
      </w:divBdr>
    </w:div>
    <w:div w:id="1653025577">
      <w:bodyDiv w:val="1"/>
      <w:marLeft w:val="0"/>
      <w:marRight w:val="0"/>
      <w:marTop w:val="0"/>
      <w:marBottom w:val="0"/>
      <w:divBdr>
        <w:top w:val="none" w:sz="0" w:space="0" w:color="auto"/>
        <w:left w:val="none" w:sz="0" w:space="0" w:color="auto"/>
        <w:bottom w:val="none" w:sz="0" w:space="0" w:color="auto"/>
        <w:right w:val="none" w:sz="0" w:space="0" w:color="auto"/>
      </w:divBdr>
    </w:div>
    <w:div w:id="1673338279">
      <w:bodyDiv w:val="1"/>
      <w:marLeft w:val="0"/>
      <w:marRight w:val="0"/>
      <w:marTop w:val="0"/>
      <w:marBottom w:val="0"/>
      <w:divBdr>
        <w:top w:val="none" w:sz="0" w:space="0" w:color="auto"/>
        <w:left w:val="none" w:sz="0" w:space="0" w:color="auto"/>
        <w:bottom w:val="none" w:sz="0" w:space="0" w:color="auto"/>
        <w:right w:val="none" w:sz="0" w:space="0" w:color="auto"/>
      </w:divBdr>
    </w:div>
    <w:div w:id="1673682019">
      <w:bodyDiv w:val="1"/>
      <w:marLeft w:val="0"/>
      <w:marRight w:val="0"/>
      <w:marTop w:val="0"/>
      <w:marBottom w:val="0"/>
      <w:divBdr>
        <w:top w:val="none" w:sz="0" w:space="0" w:color="auto"/>
        <w:left w:val="none" w:sz="0" w:space="0" w:color="auto"/>
        <w:bottom w:val="none" w:sz="0" w:space="0" w:color="auto"/>
        <w:right w:val="none" w:sz="0" w:space="0" w:color="auto"/>
      </w:divBdr>
    </w:div>
    <w:div w:id="1693411016">
      <w:bodyDiv w:val="1"/>
      <w:marLeft w:val="0"/>
      <w:marRight w:val="0"/>
      <w:marTop w:val="0"/>
      <w:marBottom w:val="0"/>
      <w:divBdr>
        <w:top w:val="none" w:sz="0" w:space="0" w:color="auto"/>
        <w:left w:val="none" w:sz="0" w:space="0" w:color="auto"/>
        <w:bottom w:val="none" w:sz="0" w:space="0" w:color="auto"/>
        <w:right w:val="none" w:sz="0" w:space="0" w:color="auto"/>
      </w:divBdr>
    </w:div>
    <w:div w:id="1707023553">
      <w:bodyDiv w:val="1"/>
      <w:marLeft w:val="0"/>
      <w:marRight w:val="0"/>
      <w:marTop w:val="0"/>
      <w:marBottom w:val="0"/>
      <w:divBdr>
        <w:top w:val="none" w:sz="0" w:space="0" w:color="auto"/>
        <w:left w:val="none" w:sz="0" w:space="0" w:color="auto"/>
        <w:bottom w:val="none" w:sz="0" w:space="0" w:color="auto"/>
        <w:right w:val="none" w:sz="0" w:space="0" w:color="auto"/>
      </w:divBdr>
    </w:div>
    <w:div w:id="1734280884">
      <w:bodyDiv w:val="1"/>
      <w:marLeft w:val="0"/>
      <w:marRight w:val="0"/>
      <w:marTop w:val="0"/>
      <w:marBottom w:val="0"/>
      <w:divBdr>
        <w:top w:val="none" w:sz="0" w:space="0" w:color="auto"/>
        <w:left w:val="none" w:sz="0" w:space="0" w:color="auto"/>
        <w:bottom w:val="none" w:sz="0" w:space="0" w:color="auto"/>
        <w:right w:val="none" w:sz="0" w:space="0" w:color="auto"/>
      </w:divBdr>
    </w:div>
    <w:div w:id="1744067235">
      <w:bodyDiv w:val="1"/>
      <w:marLeft w:val="0"/>
      <w:marRight w:val="0"/>
      <w:marTop w:val="0"/>
      <w:marBottom w:val="0"/>
      <w:divBdr>
        <w:top w:val="none" w:sz="0" w:space="0" w:color="auto"/>
        <w:left w:val="none" w:sz="0" w:space="0" w:color="auto"/>
        <w:bottom w:val="none" w:sz="0" w:space="0" w:color="auto"/>
        <w:right w:val="none" w:sz="0" w:space="0" w:color="auto"/>
      </w:divBdr>
      <w:divsChild>
        <w:div w:id="1284070602">
          <w:marLeft w:val="0"/>
          <w:marRight w:val="0"/>
          <w:marTop w:val="0"/>
          <w:marBottom w:val="0"/>
          <w:divBdr>
            <w:top w:val="none" w:sz="0" w:space="0" w:color="auto"/>
            <w:left w:val="none" w:sz="0" w:space="0" w:color="auto"/>
            <w:bottom w:val="none" w:sz="0" w:space="0" w:color="auto"/>
            <w:right w:val="none" w:sz="0" w:space="0" w:color="auto"/>
          </w:divBdr>
          <w:divsChild>
            <w:div w:id="161161378">
              <w:marLeft w:val="0"/>
              <w:marRight w:val="0"/>
              <w:marTop w:val="0"/>
              <w:marBottom w:val="0"/>
              <w:divBdr>
                <w:top w:val="none" w:sz="0" w:space="0" w:color="auto"/>
                <w:left w:val="none" w:sz="0" w:space="0" w:color="auto"/>
                <w:bottom w:val="none" w:sz="0" w:space="0" w:color="auto"/>
                <w:right w:val="none" w:sz="0" w:space="0" w:color="auto"/>
              </w:divBdr>
            </w:div>
            <w:div w:id="202448431">
              <w:marLeft w:val="0"/>
              <w:marRight w:val="0"/>
              <w:marTop w:val="0"/>
              <w:marBottom w:val="0"/>
              <w:divBdr>
                <w:top w:val="none" w:sz="0" w:space="0" w:color="auto"/>
                <w:left w:val="none" w:sz="0" w:space="0" w:color="auto"/>
                <w:bottom w:val="none" w:sz="0" w:space="0" w:color="auto"/>
                <w:right w:val="none" w:sz="0" w:space="0" w:color="auto"/>
              </w:divBdr>
            </w:div>
            <w:div w:id="283313503">
              <w:marLeft w:val="0"/>
              <w:marRight w:val="0"/>
              <w:marTop w:val="0"/>
              <w:marBottom w:val="0"/>
              <w:divBdr>
                <w:top w:val="none" w:sz="0" w:space="0" w:color="auto"/>
                <w:left w:val="none" w:sz="0" w:space="0" w:color="auto"/>
                <w:bottom w:val="none" w:sz="0" w:space="0" w:color="auto"/>
                <w:right w:val="none" w:sz="0" w:space="0" w:color="auto"/>
              </w:divBdr>
            </w:div>
            <w:div w:id="662660729">
              <w:marLeft w:val="0"/>
              <w:marRight w:val="0"/>
              <w:marTop w:val="0"/>
              <w:marBottom w:val="0"/>
              <w:divBdr>
                <w:top w:val="none" w:sz="0" w:space="0" w:color="auto"/>
                <w:left w:val="none" w:sz="0" w:space="0" w:color="auto"/>
                <w:bottom w:val="none" w:sz="0" w:space="0" w:color="auto"/>
                <w:right w:val="none" w:sz="0" w:space="0" w:color="auto"/>
              </w:divBdr>
            </w:div>
            <w:div w:id="858588179">
              <w:marLeft w:val="0"/>
              <w:marRight w:val="0"/>
              <w:marTop w:val="0"/>
              <w:marBottom w:val="0"/>
              <w:divBdr>
                <w:top w:val="none" w:sz="0" w:space="0" w:color="auto"/>
                <w:left w:val="none" w:sz="0" w:space="0" w:color="auto"/>
                <w:bottom w:val="none" w:sz="0" w:space="0" w:color="auto"/>
                <w:right w:val="none" w:sz="0" w:space="0" w:color="auto"/>
              </w:divBdr>
            </w:div>
            <w:div w:id="1898321226">
              <w:marLeft w:val="0"/>
              <w:marRight w:val="0"/>
              <w:marTop w:val="0"/>
              <w:marBottom w:val="0"/>
              <w:divBdr>
                <w:top w:val="none" w:sz="0" w:space="0" w:color="auto"/>
                <w:left w:val="none" w:sz="0" w:space="0" w:color="auto"/>
                <w:bottom w:val="none" w:sz="0" w:space="0" w:color="auto"/>
                <w:right w:val="none" w:sz="0" w:space="0" w:color="auto"/>
              </w:divBdr>
            </w:div>
            <w:div w:id="2080009051">
              <w:marLeft w:val="0"/>
              <w:marRight w:val="0"/>
              <w:marTop w:val="0"/>
              <w:marBottom w:val="0"/>
              <w:divBdr>
                <w:top w:val="none" w:sz="0" w:space="0" w:color="auto"/>
                <w:left w:val="none" w:sz="0" w:space="0" w:color="auto"/>
                <w:bottom w:val="none" w:sz="0" w:space="0" w:color="auto"/>
                <w:right w:val="none" w:sz="0" w:space="0" w:color="auto"/>
              </w:divBdr>
            </w:div>
          </w:divsChild>
        </w:div>
        <w:div w:id="1554464082">
          <w:marLeft w:val="0"/>
          <w:marRight w:val="0"/>
          <w:marTop w:val="0"/>
          <w:marBottom w:val="0"/>
          <w:divBdr>
            <w:top w:val="none" w:sz="0" w:space="0" w:color="auto"/>
            <w:left w:val="none" w:sz="0" w:space="0" w:color="auto"/>
            <w:bottom w:val="none" w:sz="0" w:space="0" w:color="auto"/>
            <w:right w:val="none" w:sz="0" w:space="0" w:color="auto"/>
          </w:divBdr>
          <w:divsChild>
            <w:div w:id="1170170649">
              <w:marLeft w:val="-75"/>
              <w:marRight w:val="0"/>
              <w:marTop w:val="30"/>
              <w:marBottom w:val="30"/>
              <w:divBdr>
                <w:top w:val="none" w:sz="0" w:space="0" w:color="auto"/>
                <w:left w:val="none" w:sz="0" w:space="0" w:color="auto"/>
                <w:bottom w:val="none" w:sz="0" w:space="0" w:color="auto"/>
                <w:right w:val="none" w:sz="0" w:space="0" w:color="auto"/>
              </w:divBdr>
              <w:divsChild>
                <w:div w:id="1555308600">
                  <w:marLeft w:val="0"/>
                  <w:marRight w:val="0"/>
                  <w:marTop w:val="0"/>
                  <w:marBottom w:val="0"/>
                  <w:divBdr>
                    <w:top w:val="none" w:sz="0" w:space="0" w:color="auto"/>
                    <w:left w:val="none" w:sz="0" w:space="0" w:color="auto"/>
                    <w:bottom w:val="none" w:sz="0" w:space="0" w:color="auto"/>
                    <w:right w:val="none" w:sz="0" w:space="0" w:color="auto"/>
                  </w:divBdr>
                  <w:divsChild>
                    <w:div w:id="1966109219">
                      <w:marLeft w:val="0"/>
                      <w:marRight w:val="0"/>
                      <w:marTop w:val="0"/>
                      <w:marBottom w:val="0"/>
                      <w:divBdr>
                        <w:top w:val="none" w:sz="0" w:space="0" w:color="auto"/>
                        <w:left w:val="none" w:sz="0" w:space="0" w:color="auto"/>
                        <w:bottom w:val="none" w:sz="0" w:space="0" w:color="auto"/>
                        <w:right w:val="none" w:sz="0" w:space="0" w:color="auto"/>
                      </w:divBdr>
                    </w:div>
                  </w:divsChild>
                </w:div>
                <w:div w:id="1665936538">
                  <w:marLeft w:val="0"/>
                  <w:marRight w:val="0"/>
                  <w:marTop w:val="0"/>
                  <w:marBottom w:val="0"/>
                  <w:divBdr>
                    <w:top w:val="none" w:sz="0" w:space="0" w:color="auto"/>
                    <w:left w:val="none" w:sz="0" w:space="0" w:color="auto"/>
                    <w:bottom w:val="none" w:sz="0" w:space="0" w:color="auto"/>
                    <w:right w:val="none" w:sz="0" w:space="0" w:color="auto"/>
                  </w:divBdr>
                  <w:divsChild>
                    <w:div w:id="1213077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217066">
          <w:marLeft w:val="0"/>
          <w:marRight w:val="0"/>
          <w:marTop w:val="0"/>
          <w:marBottom w:val="0"/>
          <w:divBdr>
            <w:top w:val="none" w:sz="0" w:space="0" w:color="auto"/>
            <w:left w:val="none" w:sz="0" w:space="0" w:color="auto"/>
            <w:bottom w:val="none" w:sz="0" w:space="0" w:color="auto"/>
            <w:right w:val="none" w:sz="0" w:space="0" w:color="auto"/>
          </w:divBdr>
        </w:div>
        <w:div w:id="2013682173">
          <w:marLeft w:val="0"/>
          <w:marRight w:val="0"/>
          <w:marTop w:val="0"/>
          <w:marBottom w:val="0"/>
          <w:divBdr>
            <w:top w:val="none" w:sz="0" w:space="0" w:color="auto"/>
            <w:left w:val="none" w:sz="0" w:space="0" w:color="auto"/>
            <w:bottom w:val="none" w:sz="0" w:space="0" w:color="auto"/>
            <w:right w:val="none" w:sz="0" w:space="0" w:color="auto"/>
          </w:divBdr>
          <w:divsChild>
            <w:div w:id="442187927">
              <w:marLeft w:val="-75"/>
              <w:marRight w:val="0"/>
              <w:marTop w:val="30"/>
              <w:marBottom w:val="30"/>
              <w:divBdr>
                <w:top w:val="none" w:sz="0" w:space="0" w:color="auto"/>
                <w:left w:val="none" w:sz="0" w:space="0" w:color="auto"/>
                <w:bottom w:val="none" w:sz="0" w:space="0" w:color="auto"/>
                <w:right w:val="none" w:sz="0" w:space="0" w:color="auto"/>
              </w:divBdr>
              <w:divsChild>
                <w:div w:id="181939749">
                  <w:marLeft w:val="0"/>
                  <w:marRight w:val="0"/>
                  <w:marTop w:val="0"/>
                  <w:marBottom w:val="0"/>
                  <w:divBdr>
                    <w:top w:val="none" w:sz="0" w:space="0" w:color="auto"/>
                    <w:left w:val="none" w:sz="0" w:space="0" w:color="auto"/>
                    <w:bottom w:val="none" w:sz="0" w:space="0" w:color="auto"/>
                    <w:right w:val="none" w:sz="0" w:space="0" w:color="auto"/>
                  </w:divBdr>
                  <w:divsChild>
                    <w:div w:id="1602372506">
                      <w:marLeft w:val="0"/>
                      <w:marRight w:val="0"/>
                      <w:marTop w:val="0"/>
                      <w:marBottom w:val="0"/>
                      <w:divBdr>
                        <w:top w:val="none" w:sz="0" w:space="0" w:color="auto"/>
                        <w:left w:val="none" w:sz="0" w:space="0" w:color="auto"/>
                        <w:bottom w:val="none" w:sz="0" w:space="0" w:color="auto"/>
                        <w:right w:val="none" w:sz="0" w:space="0" w:color="auto"/>
                      </w:divBdr>
                    </w:div>
                  </w:divsChild>
                </w:div>
                <w:div w:id="717120345">
                  <w:marLeft w:val="0"/>
                  <w:marRight w:val="0"/>
                  <w:marTop w:val="0"/>
                  <w:marBottom w:val="0"/>
                  <w:divBdr>
                    <w:top w:val="none" w:sz="0" w:space="0" w:color="auto"/>
                    <w:left w:val="none" w:sz="0" w:space="0" w:color="auto"/>
                    <w:bottom w:val="none" w:sz="0" w:space="0" w:color="auto"/>
                    <w:right w:val="none" w:sz="0" w:space="0" w:color="auto"/>
                  </w:divBdr>
                  <w:divsChild>
                    <w:div w:id="360742768">
                      <w:marLeft w:val="0"/>
                      <w:marRight w:val="0"/>
                      <w:marTop w:val="0"/>
                      <w:marBottom w:val="0"/>
                      <w:divBdr>
                        <w:top w:val="none" w:sz="0" w:space="0" w:color="auto"/>
                        <w:left w:val="none" w:sz="0" w:space="0" w:color="auto"/>
                        <w:bottom w:val="none" w:sz="0" w:space="0" w:color="auto"/>
                        <w:right w:val="none" w:sz="0" w:space="0" w:color="auto"/>
                      </w:divBdr>
                    </w:div>
                    <w:div w:id="697048252">
                      <w:marLeft w:val="0"/>
                      <w:marRight w:val="0"/>
                      <w:marTop w:val="0"/>
                      <w:marBottom w:val="0"/>
                      <w:divBdr>
                        <w:top w:val="none" w:sz="0" w:space="0" w:color="auto"/>
                        <w:left w:val="none" w:sz="0" w:space="0" w:color="auto"/>
                        <w:bottom w:val="none" w:sz="0" w:space="0" w:color="auto"/>
                        <w:right w:val="none" w:sz="0" w:space="0" w:color="auto"/>
                      </w:divBdr>
                    </w:div>
                  </w:divsChild>
                </w:div>
                <w:div w:id="993728383">
                  <w:marLeft w:val="0"/>
                  <w:marRight w:val="0"/>
                  <w:marTop w:val="0"/>
                  <w:marBottom w:val="0"/>
                  <w:divBdr>
                    <w:top w:val="none" w:sz="0" w:space="0" w:color="auto"/>
                    <w:left w:val="none" w:sz="0" w:space="0" w:color="auto"/>
                    <w:bottom w:val="none" w:sz="0" w:space="0" w:color="auto"/>
                    <w:right w:val="none" w:sz="0" w:space="0" w:color="auto"/>
                  </w:divBdr>
                  <w:divsChild>
                    <w:div w:id="1875189737">
                      <w:marLeft w:val="0"/>
                      <w:marRight w:val="0"/>
                      <w:marTop w:val="0"/>
                      <w:marBottom w:val="0"/>
                      <w:divBdr>
                        <w:top w:val="none" w:sz="0" w:space="0" w:color="auto"/>
                        <w:left w:val="none" w:sz="0" w:space="0" w:color="auto"/>
                        <w:bottom w:val="none" w:sz="0" w:space="0" w:color="auto"/>
                        <w:right w:val="none" w:sz="0" w:space="0" w:color="auto"/>
                      </w:divBdr>
                    </w:div>
                  </w:divsChild>
                </w:div>
                <w:div w:id="1049063310">
                  <w:marLeft w:val="0"/>
                  <w:marRight w:val="0"/>
                  <w:marTop w:val="0"/>
                  <w:marBottom w:val="0"/>
                  <w:divBdr>
                    <w:top w:val="none" w:sz="0" w:space="0" w:color="auto"/>
                    <w:left w:val="none" w:sz="0" w:space="0" w:color="auto"/>
                    <w:bottom w:val="none" w:sz="0" w:space="0" w:color="auto"/>
                    <w:right w:val="none" w:sz="0" w:space="0" w:color="auto"/>
                  </w:divBdr>
                  <w:divsChild>
                    <w:div w:id="1137794423">
                      <w:marLeft w:val="0"/>
                      <w:marRight w:val="0"/>
                      <w:marTop w:val="0"/>
                      <w:marBottom w:val="0"/>
                      <w:divBdr>
                        <w:top w:val="none" w:sz="0" w:space="0" w:color="auto"/>
                        <w:left w:val="none" w:sz="0" w:space="0" w:color="auto"/>
                        <w:bottom w:val="none" w:sz="0" w:space="0" w:color="auto"/>
                        <w:right w:val="none" w:sz="0" w:space="0" w:color="auto"/>
                      </w:divBdr>
                    </w:div>
                  </w:divsChild>
                </w:div>
                <w:div w:id="1242449163">
                  <w:marLeft w:val="0"/>
                  <w:marRight w:val="0"/>
                  <w:marTop w:val="0"/>
                  <w:marBottom w:val="0"/>
                  <w:divBdr>
                    <w:top w:val="none" w:sz="0" w:space="0" w:color="auto"/>
                    <w:left w:val="none" w:sz="0" w:space="0" w:color="auto"/>
                    <w:bottom w:val="none" w:sz="0" w:space="0" w:color="auto"/>
                    <w:right w:val="none" w:sz="0" w:space="0" w:color="auto"/>
                  </w:divBdr>
                  <w:divsChild>
                    <w:div w:id="1286346535">
                      <w:marLeft w:val="0"/>
                      <w:marRight w:val="0"/>
                      <w:marTop w:val="0"/>
                      <w:marBottom w:val="0"/>
                      <w:divBdr>
                        <w:top w:val="none" w:sz="0" w:space="0" w:color="auto"/>
                        <w:left w:val="none" w:sz="0" w:space="0" w:color="auto"/>
                        <w:bottom w:val="none" w:sz="0" w:space="0" w:color="auto"/>
                        <w:right w:val="none" w:sz="0" w:space="0" w:color="auto"/>
                      </w:divBdr>
                    </w:div>
                  </w:divsChild>
                </w:div>
                <w:div w:id="1252735989">
                  <w:marLeft w:val="0"/>
                  <w:marRight w:val="0"/>
                  <w:marTop w:val="0"/>
                  <w:marBottom w:val="0"/>
                  <w:divBdr>
                    <w:top w:val="none" w:sz="0" w:space="0" w:color="auto"/>
                    <w:left w:val="none" w:sz="0" w:space="0" w:color="auto"/>
                    <w:bottom w:val="none" w:sz="0" w:space="0" w:color="auto"/>
                    <w:right w:val="none" w:sz="0" w:space="0" w:color="auto"/>
                  </w:divBdr>
                  <w:divsChild>
                    <w:div w:id="368649608">
                      <w:marLeft w:val="0"/>
                      <w:marRight w:val="0"/>
                      <w:marTop w:val="0"/>
                      <w:marBottom w:val="0"/>
                      <w:divBdr>
                        <w:top w:val="none" w:sz="0" w:space="0" w:color="auto"/>
                        <w:left w:val="none" w:sz="0" w:space="0" w:color="auto"/>
                        <w:bottom w:val="none" w:sz="0" w:space="0" w:color="auto"/>
                        <w:right w:val="none" w:sz="0" w:space="0" w:color="auto"/>
                      </w:divBdr>
                    </w:div>
                    <w:div w:id="660735752">
                      <w:marLeft w:val="0"/>
                      <w:marRight w:val="0"/>
                      <w:marTop w:val="0"/>
                      <w:marBottom w:val="0"/>
                      <w:divBdr>
                        <w:top w:val="none" w:sz="0" w:space="0" w:color="auto"/>
                        <w:left w:val="none" w:sz="0" w:space="0" w:color="auto"/>
                        <w:bottom w:val="none" w:sz="0" w:space="0" w:color="auto"/>
                        <w:right w:val="none" w:sz="0" w:space="0" w:color="auto"/>
                      </w:divBdr>
                    </w:div>
                    <w:div w:id="1010983355">
                      <w:marLeft w:val="0"/>
                      <w:marRight w:val="0"/>
                      <w:marTop w:val="0"/>
                      <w:marBottom w:val="0"/>
                      <w:divBdr>
                        <w:top w:val="none" w:sz="0" w:space="0" w:color="auto"/>
                        <w:left w:val="none" w:sz="0" w:space="0" w:color="auto"/>
                        <w:bottom w:val="none" w:sz="0" w:space="0" w:color="auto"/>
                        <w:right w:val="none" w:sz="0" w:space="0" w:color="auto"/>
                      </w:divBdr>
                    </w:div>
                    <w:div w:id="1687487849">
                      <w:marLeft w:val="0"/>
                      <w:marRight w:val="0"/>
                      <w:marTop w:val="0"/>
                      <w:marBottom w:val="0"/>
                      <w:divBdr>
                        <w:top w:val="none" w:sz="0" w:space="0" w:color="auto"/>
                        <w:left w:val="none" w:sz="0" w:space="0" w:color="auto"/>
                        <w:bottom w:val="none" w:sz="0" w:space="0" w:color="auto"/>
                        <w:right w:val="none" w:sz="0" w:space="0" w:color="auto"/>
                      </w:divBdr>
                    </w:div>
                  </w:divsChild>
                </w:div>
                <w:div w:id="1423337086">
                  <w:marLeft w:val="0"/>
                  <w:marRight w:val="0"/>
                  <w:marTop w:val="0"/>
                  <w:marBottom w:val="0"/>
                  <w:divBdr>
                    <w:top w:val="none" w:sz="0" w:space="0" w:color="auto"/>
                    <w:left w:val="none" w:sz="0" w:space="0" w:color="auto"/>
                    <w:bottom w:val="none" w:sz="0" w:space="0" w:color="auto"/>
                    <w:right w:val="none" w:sz="0" w:space="0" w:color="auto"/>
                  </w:divBdr>
                  <w:divsChild>
                    <w:div w:id="1558398022">
                      <w:marLeft w:val="0"/>
                      <w:marRight w:val="0"/>
                      <w:marTop w:val="0"/>
                      <w:marBottom w:val="0"/>
                      <w:divBdr>
                        <w:top w:val="none" w:sz="0" w:space="0" w:color="auto"/>
                        <w:left w:val="none" w:sz="0" w:space="0" w:color="auto"/>
                        <w:bottom w:val="none" w:sz="0" w:space="0" w:color="auto"/>
                        <w:right w:val="none" w:sz="0" w:space="0" w:color="auto"/>
                      </w:divBdr>
                    </w:div>
                  </w:divsChild>
                </w:div>
                <w:div w:id="1459950779">
                  <w:marLeft w:val="0"/>
                  <w:marRight w:val="0"/>
                  <w:marTop w:val="0"/>
                  <w:marBottom w:val="0"/>
                  <w:divBdr>
                    <w:top w:val="none" w:sz="0" w:space="0" w:color="auto"/>
                    <w:left w:val="none" w:sz="0" w:space="0" w:color="auto"/>
                    <w:bottom w:val="none" w:sz="0" w:space="0" w:color="auto"/>
                    <w:right w:val="none" w:sz="0" w:space="0" w:color="auto"/>
                  </w:divBdr>
                  <w:divsChild>
                    <w:div w:id="1605377599">
                      <w:marLeft w:val="0"/>
                      <w:marRight w:val="0"/>
                      <w:marTop w:val="0"/>
                      <w:marBottom w:val="0"/>
                      <w:divBdr>
                        <w:top w:val="none" w:sz="0" w:space="0" w:color="auto"/>
                        <w:left w:val="none" w:sz="0" w:space="0" w:color="auto"/>
                        <w:bottom w:val="none" w:sz="0" w:space="0" w:color="auto"/>
                        <w:right w:val="none" w:sz="0" w:space="0" w:color="auto"/>
                      </w:divBdr>
                    </w:div>
                  </w:divsChild>
                </w:div>
                <w:div w:id="1463307885">
                  <w:marLeft w:val="0"/>
                  <w:marRight w:val="0"/>
                  <w:marTop w:val="0"/>
                  <w:marBottom w:val="0"/>
                  <w:divBdr>
                    <w:top w:val="none" w:sz="0" w:space="0" w:color="auto"/>
                    <w:left w:val="none" w:sz="0" w:space="0" w:color="auto"/>
                    <w:bottom w:val="none" w:sz="0" w:space="0" w:color="auto"/>
                    <w:right w:val="none" w:sz="0" w:space="0" w:color="auto"/>
                  </w:divBdr>
                  <w:divsChild>
                    <w:div w:id="191040532">
                      <w:marLeft w:val="0"/>
                      <w:marRight w:val="0"/>
                      <w:marTop w:val="0"/>
                      <w:marBottom w:val="0"/>
                      <w:divBdr>
                        <w:top w:val="none" w:sz="0" w:space="0" w:color="auto"/>
                        <w:left w:val="none" w:sz="0" w:space="0" w:color="auto"/>
                        <w:bottom w:val="none" w:sz="0" w:space="0" w:color="auto"/>
                        <w:right w:val="none" w:sz="0" w:space="0" w:color="auto"/>
                      </w:divBdr>
                    </w:div>
                    <w:div w:id="608123691">
                      <w:marLeft w:val="0"/>
                      <w:marRight w:val="0"/>
                      <w:marTop w:val="0"/>
                      <w:marBottom w:val="0"/>
                      <w:divBdr>
                        <w:top w:val="none" w:sz="0" w:space="0" w:color="auto"/>
                        <w:left w:val="none" w:sz="0" w:space="0" w:color="auto"/>
                        <w:bottom w:val="none" w:sz="0" w:space="0" w:color="auto"/>
                        <w:right w:val="none" w:sz="0" w:space="0" w:color="auto"/>
                      </w:divBdr>
                    </w:div>
                    <w:div w:id="1374111027">
                      <w:marLeft w:val="0"/>
                      <w:marRight w:val="0"/>
                      <w:marTop w:val="0"/>
                      <w:marBottom w:val="0"/>
                      <w:divBdr>
                        <w:top w:val="none" w:sz="0" w:space="0" w:color="auto"/>
                        <w:left w:val="none" w:sz="0" w:space="0" w:color="auto"/>
                        <w:bottom w:val="none" w:sz="0" w:space="0" w:color="auto"/>
                        <w:right w:val="none" w:sz="0" w:space="0" w:color="auto"/>
                      </w:divBdr>
                    </w:div>
                    <w:div w:id="2082823082">
                      <w:marLeft w:val="0"/>
                      <w:marRight w:val="0"/>
                      <w:marTop w:val="0"/>
                      <w:marBottom w:val="0"/>
                      <w:divBdr>
                        <w:top w:val="none" w:sz="0" w:space="0" w:color="auto"/>
                        <w:left w:val="none" w:sz="0" w:space="0" w:color="auto"/>
                        <w:bottom w:val="none" w:sz="0" w:space="0" w:color="auto"/>
                        <w:right w:val="none" w:sz="0" w:space="0" w:color="auto"/>
                      </w:divBdr>
                    </w:div>
                  </w:divsChild>
                </w:div>
                <w:div w:id="1523974577">
                  <w:marLeft w:val="0"/>
                  <w:marRight w:val="0"/>
                  <w:marTop w:val="0"/>
                  <w:marBottom w:val="0"/>
                  <w:divBdr>
                    <w:top w:val="none" w:sz="0" w:space="0" w:color="auto"/>
                    <w:left w:val="none" w:sz="0" w:space="0" w:color="auto"/>
                    <w:bottom w:val="none" w:sz="0" w:space="0" w:color="auto"/>
                    <w:right w:val="none" w:sz="0" w:space="0" w:color="auto"/>
                  </w:divBdr>
                  <w:divsChild>
                    <w:div w:id="2014189161">
                      <w:marLeft w:val="0"/>
                      <w:marRight w:val="0"/>
                      <w:marTop w:val="0"/>
                      <w:marBottom w:val="0"/>
                      <w:divBdr>
                        <w:top w:val="none" w:sz="0" w:space="0" w:color="auto"/>
                        <w:left w:val="none" w:sz="0" w:space="0" w:color="auto"/>
                        <w:bottom w:val="none" w:sz="0" w:space="0" w:color="auto"/>
                        <w:right w:val="none" w:sz="0" w:space="0" w:color="auto"/>
                      </w:divBdr>
                    </w:div>
                  </w:divsChild>
                </w:div>
                <w:div w:id="1524510425">
                  <w:marLeft w:val="0"/>
                  <w:marRight w:val="0"/>
                  <w:marTop w:val="0"/>
                  <w:marBottom w:val="0"/>
                  <w:divBdr>
                    <w:top w:val="none" w:sz="0" w:space="0" w:color="auto"/>
                    <w:left w:val="none" w:sz="0" w:space="0" w:color="auto"/>
                    <w:bottom w:val="none" w:sz="0" w:space="0" w:color="auto"/>
                    <w:right w:val="none" w:sz="0" w:space="0" w:color="auto"/>
                  </w:divBdr>
                  <w:divsChild>
                    <w:div w:id="235018117">
                      <w:marLeft w:val="0"/>
                      <w:marRight w:val="0"/>
                      <w:marTop w:val="0"/>
                      <w:marBottom w:val="0"/>
                      <w:divBdr>
                        <w:top w:val="none" w:sz="0" w:space="0" w:color="auto"/>
                        <w:left w:val="none" w:sz="0" w:space="0" w:color="auto"/>
                        <w:bottom w:val="none" w:sz="0" w:space="0" w:color="auto"/>
                        <w:right w:val="none" w:sz="0" w:space="0" w:color="auto"/>
                      </w:divBdr>
                    </w:div>
                    <w:div w:id="378087925">
                      <w:marLeft w:val="0"/>
                      <w:marRight w:val="0"/>
                      <w:marTop w:val="0"/>
                      <w:marBottom w:val="0"/>
                      <w:divBdr>
                        <w:top w:val="none" w:sz="0" w:space="0" w:color="auto"/>
                        <w:left w:val="none" w:sz="0" w:space="0" w:color="auto"/>
                        <w:bottom w:val="none" w:sz="0" w:space="0" w:color="auto"/>
                        <w:right w:val="none" w:sz="0" w:space="0" w:color="auto"/>
                      </w:divBdr>
                    </w:div>
                    <w:div w:id="542910811">
                      <w:marLeft w:val="0"/>
                      <w:marRight w:val="0"/>
                      <w:marTop w:val="0"/>
                      <w:marBottom w:val="0"/>
                      <w:divBdr>
                        <w:top w:val="none" w:sz="0" w:space="0" w:color="auto"/>
                        <w:left w:val="none" w:sz="0" w:space="0" w:color="auto"/>
                        <w:bottom w:val="none" w:sz="0" w:space="0" w:color="auto"/>
                        <w:right w:val="none" w:sz="0" w:space="0" w:color="auto"/>
                      </w:divBdr>
                    </w:div>
                    <w:div w:id="725106735">
                      <w:marLeft w:val="0"/>
                      <w:marRight w:val="0"/>
                      <w:marTop w:val="0"/>
                      <w:marBottom w:val="0"/>
                      <w:divBdr>
                        <w:top w:val="none" w:sz="0" w:space="0" w:color="auto"/>
                        <w:left w:val="none" w:sz="0" w:space="0" w:color="auto"/>
                        <w:bottom w:val="none" w:sz="0" w:space="0" w:color="auto"/>
                        <w:right w:val="none" w:sz="0" w:space="0" w:color="auto"/>
                      </w:divBdr>
                    </w:div>
                    <w:div w:id="1501505423">
                      <w:marLeft w:val="0"/>
                      <w:marRight w:val="0"/>
                      <w:marTop w:val="0"/>
                      <w:marBottom w:val="0"/>
                      <w:divBdr>
                        <w:top w:val="none" w:sz="0" w:space="0" w:color="auto"/>
                        <w:left w:val="none" w:sz="0" w:space="0" w:color="auto"/>
                        <w:bottom w:val="none" w:sz="0" w:space="0" w:color="auto"/>
                        <w:right w:val="none" w:sz="0" w:space="0" w:color="auto"/>
                      </w:divBdr>
                    </w:div>
                    <w:div w:id="2028866384">
                      <w:marLeft w:val="0"/>
                      <w:marRight w:val="0"/>
                      <w:marTop w:val="0"/>
                      <w:marBottom w:val="0"/>
                      <w:divBdr>
                        <w:top w:val="none" w:sz="0" w:space="0" w:color="auto"/>
                        <w:left w:val="none" w:sz="0" w:space="0" w:color="auto"/>
                        <w:bottom w:val="none" w:sz="0" w:space="0" w:color="auto"/>
                        <w:right w:val="none" w:sz="0" w:space="0" w:color="auto"/>
                      </w:divBdr>
                    </w:div>
                  </w:divsChild>
                </w:div>
                <w:div w:id="1948803174">
                  <w:marLeft w:val="0"/>
                  <w:marRight w:val="0"/>
                  <w:marTop w:val="0"/>
                  <w:marBottom w:val="0"/>
                  <w:divBdr>
                    <w:top w:val="none" w:sz="0" w:space="0" w:color="auto"/>
                    <w:left w:val="none" w:sz="0" w:space="0" w:color="auto"/>
                    <w:bottom w:val="none" w:sz="0" w:space="0" w:color="auto"/>
                    <w:right w:val="none" w:sz="0" w:space="0" w:color="auto"/>
                  </w:divBdr>
                  <w:divsChild>
                    <w:div w:id="649134127">
                      <w:marLeft w:val="0"/>
                      <w:marRight w:val="0"/>
                      <w:marTop w:val="0"/>
                      <w:marBottom w:val="0"/>
                      <w:divBdr>
                        <w:top w:val="none" w:sz="0" w:space="0" w:color="auto"/>
                        <w:left w:val="none" w:sz="0" w:space="0" w:color="auto"/>
                        <w:bottom w:val="none" w:sz="0" w:space="0" w:color="auto"/>
                        <w:right w:val="none" w:sz="0" w:space="0" w:color="auto"/>
                      </w:divBdr>
                    </w:div>
                    <w:div w:id="1787314971">
                      <w:marLeft w:val="0"/>
                      <w:marRight w:val="0"/>
                      <w:marTop w:val="0"/>
                      <w:marBottom w:val="0"/>
                      <w:divBdr>
                        <w:top w:val="none" w:sz="0" w:space="0" w:color="auto"/>
                        <w:left w:val="none" w:sz="0" w:space="0" w:color="auto"/>
                        <w:bottom w:val="none" w:sz="0" w:space="0" w:color="auto"/>
                        <w:right w:val="none" w:sz="0" w:space="0" w:color="auto"/>
                      </w:divBdr>
                    </w:div>
                    <w:div w:id="198484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5388911">
          <w:marLeft w:val="0"/>
          <w:marRight w:val="0"/>
          <w:marTop w:val="0"/>
          <w:marBottom w:val="0"/>
          <w:divBdr>
            <w:top w:val="none" w:sz="0" w:space="0" w:color="auto"/>
            <w:left w:val="none" w:sz="0" w:space="0" w:color="auto"/>
            <w:bottom w:val="none" w:sz="0" w:space="0" w:color="auto"/>
            <w:right w:val="none" w:sz="0" w:space="0" w:color="auto"/>
          </w:divBdr>
        </w:div>
      </w:divsChild>
    </w:div>
    <w:div w:id="1768771818">
      <w:bodyDiv w:val="1"/>
      <w:marLeft w:val="0"/>
      <w:marRight w:val="0"/>
      <w:marTop w:val="0"/>
      <w:marBottom w:val="0"/>
      <w:divBdr>
        <w:top w:val="none" w:sz="0" w:space="0" w:color="auto"/>
        <w:left w:val="none" w:sz="0" w:space="0" w:color="auto"/>
        <w:bottom w:val="none" w:sz="0" w:space="0" w:color="auto"/>
        <w:right w:val="none" w:sz="0" w:space="0" w:color="auto"/>
      </w:divBdr>
    </w:div>
    <w:div w:id="1771968999">
      <w:bodyDiv w:val="1"/>
      <w:marLeft w:val="0"/>
      <w:marRight w:val="0"/>
      <w:marTop w:val="0"/>
      <w:marBottom w:val="0"/>
      <w:divBdr>
        <w:top w:val="none" w:sz="0" w:space="0" w:color="auto"/>
        <w:left w:val="none" w:sz="0" w:space="0" w:color="auto"/>
        <w:bottom w:val="none" w:sz="0" w:space="0" w:color="auto"/>
        <w:right w:val="none" w:sz="0" w:space="0" w:color="auto"/>
      </w:divBdr>
    </w:div>
    <w:div w:id="1772973068">
      <w:bodyDiv w:val="1"/>
      <w:marLeft w:val="0"/>
      <w:marRight w:val="0"/>
      <w:marTop w:val="0"/>
      <w:marBottom w:val="0"/>
      <w:divBdr>
        <w:top w:val="none" w:sz="0" w:space="0" w:color="auto"/>
        <w:left w:val="none" w:sz="0" w:space="0" w:color="auto"/>
        <w:bottom w:val="none" w:sz="0" w:space="0" w:color="auto"/>
        <w:right w:val="none" w:sz="0" w:space="0" w:color="auto"/>
      </w:divBdr>
    </w:div>
    <w:div w:id="1779988378">
      <w:bodyDiv w:val="1"/>
      <w:marLeft w:val="0"/>
      <w:marRight w:val="0"/>
      <w:marTop w:val="0"/>
      <w:marBottom w:val="0"/>
      <w:divBdr>
        <w:top w:val="none" w:sz="0" w:space="0" w:color="auto"/>
        <w:left w:val="none" w:sz="0" w:space="0" w:color="auto"/>
        <w:bottom w:val="none" w:sz="0" w:space="0" w:color="auto"/>
        <w:right w:val="none" w:sz="0" w:space="0" w:color="auto"/>
      </w:divBdr>
    </w:div>
    <w:div w:id="1787963894">
      <w:bodyDiv w:val="1"/>
      <w:marLeft w:val="0"/>
      <w:marRight w:val="0"/>
      <w:marTop w:val="0"/>
      <w:marBottom w:val="0"/>
      <w:divBdr>
        <w:top w:val="none" w:sz="0" w:space="0" w:color="auto"/>
        <w:left w:val="none" w:sz="0" w:space="0" w:color="auto"/>
        <w:bottom w:val="none" w:sz="0" w:space="0" w:color="auto"/>
        <w:right w:val="none" w:sz="0" w:space="0" w:color="auto"/>
      </w:divBdr>
      <w:divsChild>
        <w:div w:id="208732">
          <w:marLeft w:val="0"/>
          <w:marRight w:val="0"/>
          <w:marTop w:val="0"/>
          <w:marBottom w:val="0"/>
          <w:divBdr>
            <w:top w:val="none" w:sz="0" w:space="0" w:color="auto"/>
            <w:left w:val="none" w:sz="0" w:space="0" w:color="auto"/>
            <w:bottom w:val="none" w:sz="0" w:space="0" w:color="auto"/>
            <w:right w:val="none" w:sz="0" w:space="0" w:color="auto"/>
          </w:divBdr>
          <w:divsChild>
            <w:div w:id="42289994">
              <w:marLeft w:val="0"/>
              <w:marRight w:val="0"/>
              <w:marTop w:val="0"/>
              <w:marBottom w:val="0"/>
              <w:divBdr>
                <w:top w:val="none" w:sz="0" w:space="0" w:color="auto"/>
                <w:left w:val="none" w:sz="0" w:space="0" w:color="auto"/>
                <w:bottom w:val="none" w:sz="0" w:space="0" w:color="auto"/>
                <w:right w:val="none" w:sz="0" w:space="0" w:color="auto"/>
              </w:divBdr>
            </w:div>
          </w:divsChild>
        </w:div>
        <w:div w:id="39593577">
          <w:marLeft w:val="0"/>
          <w:marRight w:val="0"/>
          <w:marTop w:val="0"/>
          <w:marBottom w:val="0"/>
          <w:divBdr>
            <w:top w:val="none" w:sz="0" w:space="0" w:color="auto"/>
            <w:left w:val="none" w:sz="0" w:space="0" w:color="auto"/>
            <w:bottom w:val="none" w:sz="0" w:space="0" w:color="auto"/>
            <w:right w:val="none" w:sz="0" w:space="0" w:color="auto"/>
          </w:divBdr>
          <w:divsChild>
            <w:div w:id="1020552149">
              <w:marLeft w:val="0"/>
              <w:marRight w:val="0"/>
              <w:marTop w:val="0"/>
              <w:marBottom w:val="0"/>
              <w:divBdr>
                <w:top w:val="none" w:sz="0" w:space="0" w:color="auto"/>
                <w:left w:val="none" w:sz="0" w:space="0" w:color="auto"/>
                <w:bottom w:val="none" w:sz="0" w:space="0" w:color="auto"/>
                <w:right w:val="none" w:sz="0" w:space="0" w:color="auto"/>
              </w:divBdr>
            </w:div>
          </w:divsChild>
        </w:div>
        <w:div w:id="58135431">
          <w:marLeft w:val="0"/>
          <w:marRight w:val="0"/>
          <w:marTop w:val="0"/>
          <w:marBottom w:val="0"/>
          <w:divBdr>
            <w:top w:val="none" w:sz="0" w:space="0" w:color="auto"/>
            <w:left w:val="none" w:sz="0" w:space="0" w:color="auto"/>
            <w:bottom w:val="none" w:sz="0" w:space="0" w:color="auto"/>
            <w:right w:val="none" w:sz="0" w:space="0" w:color="auto"/>
          </w:divBdr>
          <w:divsChild>
            <w:div w:id="119150624">
              <w:marLeft w:val="0"/>
              <w:marRight w:val="0"/>
              <w:marTop w:val="0"/>
              <w:marBottom w:val="0"/>
              <w:divBdr>
                <w:top w:val="none" w:sz="0" w:space="0" w:color="auto"/>
                <w:left w:val="none" w:sz="0" w:space="0" w:color="auto"/>
                <w:bottom w:val="none" w:sz="0" w:space="0" w:color="auto"/>
                <w:right w:val="none" w:sz="0" w:space="0" w:color="auto"/>
              </w:divBdr>
            </w:div>
          </w:divsChild>
        </w:div>
        <w:div w:id="71128396">
          <w:marLeft w:val="0"/>
          <w:marRight w:val="0"/>
          <w:marTop w:val="0"/>
          <w:marBottom w:val="0"/>
          <w:divBdr>
            <w:top w:val="none" w:sz="0" w:space="0" w:color="auto"/>
            <w:left w:val="none" w:sz="0" w:space="0" w:color="auto"/>
            <w:bottom w:val="none" w:sz="0" w:space="0" w:color="auto"/>
            <w:right w:val="none" w:sz="0" w:space="0" w:color="auto"/>
          </w:divBdr>
          <w:divsChild>
            <w:div w:id="547953389">
              <w:marLeft w:val="0"/>
              <w:marRight w:val="0"/>
              <w:marTop w:val="0"/>
              <w:marBottom w:val="0"/>
              <w:divBdr>
                <w:top w:val="none" w:sz="0" w:space="0" w:color="auto"/>
                <w:left w:val="none" w:sz="0" w:space="0" w:color="auto"/>
                <w:bottom w:val="none" w:sz="0" w:space="0" w:color="auto"/>
                <w:right w:val="none" w:sz="0" w:space="0" w:color="auto"/>
              </w:divBdr>
            </w:div>
          </w:divsChild>
        </w:div>
        <w:div w:id="257642038">
          <w:marLeft w:val="0"/>
          <w:marRight w:val="0"/>
          <w:marTop w:val="0"/>
          <w:marBottom w:val="0"/>
          <w:divBdr>
            <w:top w:val="none" w:sz="0" w:space="0" w:color="auto"/>
            <w:left w:val="none" w:sz="0" w:space="0" w:color="auto"/>
            <w:bottom w:val="none" w:sz="0" w:space="0" w:color="auto"/>
            <w:right w:val="none" w:sz="0" w:space="0" w:color="auto"/>
          </w:divBdr>
          <w:divsChild>
            <w:div w:id="267202080">
              <w:marLeft w:val="0"/>
              <w:marRight w:val="0"/>
              <w:marTop w:val="0"/>
              <w:marBottom w:val="0"/>
              <w:divBdr>
                <w:top w:val="none" w:sz="0" w:space="0" w:color="auto"/>
                <w:left w:val="none" w:sz="0" w:space="0" w:color="auto"/>
                <w:bottom w:val="none" w:sz="0" w:space="0" w:color="auto"/>
                <w:right w:val="none" w:sz="0" w:space="0" w:color="auto"/>
              </w:divBdr>
            </w:div>
          </w:divsChild>
        </w:div>
        <w:div w:id="304240932">
          <w:marLeft w:val="0"/>
          <w:marRight w:val="0"/>
          <w:marTop w:val="0"/>
          <w:marBottom w:val="0"/>
          <w:divBdr>
            <w:top w:val="none" w:sz="0" w:space="0" w:color="auto"/>
            <w:left w:val="none" w:sz="0" w:space="0" w:color="auto"/>
            <w:bottom w:val="none" w:sz="0" w:space="0" w:color="auto"/>
            <w:right w:val="none" w:sz="0" w:space="0" w:color="auto"/>
          </w:divBdr>
          <w:divsChild>
            <w:div w:id="1228298757">
              <w:marLeft w:val="0"/>
              <w:marRight w:val="0"/>
              <w:marTop w:val="0"/>
              <w:marBottom w:val="0"/>
              <w:divBdr>
                <w:top w:val="none" w:sz="0" w:space="0" w:color="auto"/>
                <w:left w:val="none" w:sz="0" w:space="0" w:color="auto"/>
                <w:bottom w:val="none" w:sz="0" w:space="0" w:color="auto"/>
                <w:right w:val="none" w:sz="0" w:space="0" w:color="auto"/>
              </w:divBdr>
            </w:div>
          </w:divsChild>
        </w:div>
        <w:div w:id="314065839">
          <w:marLeft w:val="0"/>
          <w:marRight w:val="0"/>
          <w:marTop w:val="0"/>
          <w:marBottom w:val="0"/>
          <w:divBdr>
            <w:top w:val="none" w:sz="0" w:space="0" w:color="auto"/>
            <w:left w:val="none" w:sz="0" w:space="0" w:color="auto"/>
            <w:bottom w:val="none" w:sz="0" w:space="0" w:color="auto"/>
            <w:right w:val="none" w:sz="0" w:space="0" w:color="auto"/>
          </w:divBdr>
          <w:divsChild>
            <w:div w:id="629553957">
              <w:marLeft w:val="0"/>
              <w:marRight w:val="0"/>
              <w:marTop w:val="0"/>
              <w:marBottom w:val="0"/>
              <w:divBdr>
                <w:top w:val="none" w:sz="0" w:space="0" w:color="auto"/>
                <w:left w:val="none" w:sz="0" w:space="0" w:color="auto"/>
                <w:bottom w:val="none" w:sz="0" w:space="0" w:color="auto"/>
                <w:right w:val="none" w:sz="0" w:space="0" w:color="auto"/>
              </w:divBdr>
            </w:div>
          </w:divsChild>
        </w:div>
        <w:div w:id="380324070">
          <w:marLeft w:val="0"/>
          <w:marRight w:val="0"/>
          <w:marTop w:val="0"/>
          <w:marBottom w:val="0"/>
          <w:divBdr>
            <w:top w:val="none" w:sz="0" w:space="0" w:color="auto"/>
            <w:left w:val="none" w:sz="0" w:space="0" w:color="auto"/>
            <w:bottom w:val="none" w:sz="0" w:space="0" w:color="auto"/>
            <w:right w:val="none" w:sz="0" w:space="0" w:color="auto"/>
          </w:divBdr>
          <w:divsChild>
            <w:div w:id="289551648">
              <w:marLeft w:val="0"/>
              <w:marRight w:val="0"/>
              <w:marTop w:val="0"/>
              <w:marBottom w:val="0"/>
              <w:divBdr>
                <w:top w:val="none" w:sz="0" w:space="0" w:color="auto"/>
                <w:left w:val="none" w:sz="0" w:space="0" w:color="auto"/>
                <w:bottom w:val="none" w:sz="0" w:space="0" w:color="auto"/>
                <w:right w:val="none" w:sz="0" w:space="0" w:color="auto"/>
              </w:divBdr>
            </w:div>
          </w:divsChild>
        </w:div>
        <w:div w:id="548415126">
          <w:marLeft w:val="0"/>
          <w:marRight w:val="0"/>
          <w:marTop w:val="0"/>
          <w:marBottom w:val="0"/>
          <w:divBdr>
            <w:top w:val="none" w:sz="0" w:space="0" w:color="auto"/>
            <w:left w:val="none" w:sz="0" w:space="0" w:color="auto"/>
            <w:bottom w:val="none" w:sz="0" w:space="0" w:color="auto"/>
            <w:right w:val="none" w:sz="0" w:space="0" w:color="auto"/>
          </w:divBdr>
          <w:divsChild>
            <w:div w:id="1814365725">
              <w:marLeft w:val="0"/>
              <w:marRight w:val="0"/>
              <w:marTop w:val="0"/>
              <w:marBottom w:val="0"/>
              <w:divBdr>
                <w:top w:val="none" w:sz="0" w:space="0" w:color="auto"/>
                <w:left w:val="none" w:sz="0" w:space="0" w:color="auto"/>
                <w:bottom w:val="none" w:sz="0" w:space="0" w:color="auto"/>
                <w:right w:val="none" w:sz="0" w:space="0" w:color="auto"/>
              </w:divBdr>
            </w:div>
          </w:divsChild>
        </w:div>
        <w:div w:id="592975208">
          <w:marLeft w:val="0"/>
          <w:marRight w:val="0"/>
          <w:marTop w:val="0"/>
          <w:marBottom w:val="0"/>
          <w:divBdr>
            <w:top w:val="none" w:sz="0" w:space="0" w:color="auto"/>
            <w:left w:val="none" w:sz="0" w:space="0" w:color="auto"/>
            <w:bottom w:val="none" w:sz="0" w:space="0" w:color="auto"/>
            <w:right w:val="none" w:sz="0" w:space="0" w:color="auto"/>
          </w:divBdr>
          <w:divsChild>
            <w:div w:id="1642465124">
              <w:marLeft w:val="0"/>
              <w:marRight w:val="0"/>
              <w:marTop w:val="0"/>
              <w:marBottom w:val="0"/>
              <w:divBdr>
                <w:top w:val="none" w:sz="0" w:space="0" w:color="auto"/>
                <w:left w:val="none" w:sz="0" w:space="0" w:color="auto"/>
                <w:bottom w:val="none" w:sz="0" w:space="0" w:color="auto"/>
                <w:right w:val="none" w:sz="0" w:space="0" w:color="auto"/>
              </w:divBdr>
            </w:div>
          </w:divsChild>
        </w:div>
        <w:div w:id="646857757">
          <w:marLeft w:val="0"/>
          <w:marRight w:val="0"/>
          <w:marTop w:val="0"/>
          <w:marBottom w:val="0"/>
          <w:divBdr>
            <w:top w:val="none" w:sz="0" w:space="0" w:color="auto"/>
            <w:left w:val="none" w:sz="0" w:space="0" w:color="auto"/>
            <w:bottom w:val="none" w:sz="0" w:space="0" w:color="auto"/>
            <w:right w:val="none" w:sz="0" w:space="0" w:color="auto"/>
          </w:divBdr>
          <w:divsChild>
            <w:div w:id="676620256">
              <w:marLeft w:val="0"/>
              <w:marRight w:val="0"/>
              <w:marTop w:val="0"/>
              <w:marBottom w:val="0"/>
              <w:divBdr>
                <w:top w:val="none" w:sz="0" w:space="0" w:color="auto"/>
                <w:left w:val="none" w:sz="0" w:space="0" w:color="auto"/>
                <w:bottom w:val="none" w:sz="0" w:space="0" w:color="auto"/>
                <w:right w:val="none" w:sz="0" w:space="0" w:color="auto"/>
              </w:divBdr>
            </w:div>
          </w:divsChild>
        </w:div>
        <w:div w:id="660429375">
          <w:marLeft w:val="0"/>
          <w:marRight w:val="0"/>
          <w:marTop w:val="0"/>
          <w:marBottom w:val="0"/>
          <w:divBdr>
            <w:top w:val="none" w:sz="0" w:space="0" w:color="auto"/>
            <w:left w:val="none" w:sz="0" w:space="0" w:color="auto"/>
            <w:bottom w:val="none" w:sz="0" w:space="0" w:color="auto"/>
            <w:right w:val="none" w:sz="0" w:space="0" w:color="auto"/>
          </w:divBdr>
          <w:divsChild>
            <w:div w:id="272592491">
              <w:marLeft w:val="0"/>
              <w:marRight w:val="0"/>
              <w:marTop w:val="0"/>
              <w:marBottom w:val="0"/>
              <w:divBdr>
                <w:top w:val="none" w:sz="0" w:space="0" w:color="auto"/>
                <w:left w:val="none" w:sz="0" w:space="0" w:color="auto"/>
                <w:bottom w:val="none" w:sz="0" w:space="0" w:color="auto"/>
                <w:right w:val="none" w:sz="0" w:space="0" w:color="auto"/>
              </w:divBdr>
            </w:div>
          </w:divsChild>
        </w:div>
        <w:div w:id="703140032">
          <w:marLeft w:val="0"/>
          <w:marRight w:val="0"/>
          <w:marTop w:val="0"/>
          <w:marBottom w:val="0"/>
          <w:divBdr>
            <w:top w:val="none" w:sz="0" w:space="0" w:color="auto"/>
            <w:left w:val="none" w:sz="0" w:space="0" w:color="auto"/>
            <w:bottom w:val="none" w:sz="0" w:space="0" w:color="auto"/>
            <w:right w:val="none" w:sz="0" w:space="0" w:color="auto"/>
          </w:divBdr>
          <w:divsChild>
            <w:div w:id="105926676">
              <w:marLeft w:val="0"/>
              <w:marRight w:val="0"/>
              <w:marTop w:val="0"/>
              <w:marBottom w:val="0"/>
              <w:divBdr>
                <w:top w:val="none" w:sz="0" w:space="0" w:color="auto"/>
                <w:left w:val="none" w:sz="0" w:space="0" w:color="auto"/>
                <w:bottom w:val="none" w:sz="0" w:space="0" w:color="auto"/>
                <w:right w:val="none" w:sz="0" w:space="0" w:color="auto"/>
              </w:divBdr>
            </w:div>
          </w:divsChild>
        </w:div>
        <w:div w:id="710960455">
          <w:marLeft w:val="0"/>
          <w:marRight w:val="0"/>
          <w:marTop w:val="0"/>
          <w:marBottom w:val="0"/>
          <w:divBdr>
            <w:top w:val="none" w:sz="0" w:space="0" w:color="auto"/>
            <w:left w:val="none" w:sz="0" w:space="0" w:color="auto"/>
            <w:bottom w:val="none" w:sz="0" w:space="0" w:color="auto"/>
            <w:right w:val="none" w:sz="0" w:space="0" w:color="auto"/>
          </w:divBdr>
          <w:divsChild>
            <w:div w:id="1761561416">
              <w:marLeft w:val="0"/>
              <w:marRight w:val="0"/>
              <w:marTop w:val="0"/>
              <w:marBottom w:val="0"/>
              <w:divBdr>
                <w:top w:val="none" w:sz="0" w:space="0" w:color="auto"/>
                <w:left w:val="none" w:sz="0" w:space="0" w:color="auto"/>
                <w:bottom w:val="none" w:sz="0" w:space="0" w:color="auto"/>
                <w:right w:val="none" w:sz="0" w:space="0" w:color="auto"/>
              </w:divBdr>
            </w:div>
          </w:divsChild>
        </w:div>
        <w:div w:id="715199368">
          <w:marLeft w:val="0"/>
          <w:marRight w:val="0"/>
          <w:marTop w:val="0"/>
          <w:marBottom w:val="0"/>
          <w:divBdr>
            <w:top w:val="none" w:sz="0" w:space="0" w:color="auto"/>
            <w:left w:val="none" w:sz="0" w:space="0" w:color="auto"/>
            <w:bottom w:val="none" w:sz="0" w:space="0" w:color="auto"/>
            <w:right w:val="none" w:sz="0" w:space="0" w:color="auto"/>
          </w:divBdr>
          <w:divsChild>
            <w:div w:id="1175339237">
              <w:marLeft w:val="0"/>
              <w:marRight w:val="0"/>
              <w:marTop w:val="0"/>
              <w:marBottom w:val="0"/>
              <w:divBdr>
                <w:top w:val="none" w:sz="0" w:space="0" w:color="auto"/>
                <w:left w:val="none" w:sz="0" w:space="0" w:color="auto"/>
                <w:bottom w:val="none" w:sz="0" w:space="0" w:color="auto"/>
                <w:right w:val="none" w:sz="0" w:space="0" w:color="auto"/>
              </w:divBdr>
            </w:div>
          </w:divsChild>
        </w:div>
        <w:div w:id="748885385">
          <w:marLeft w:val="0"/>
          <w:marRight w:val="0"/>
          <w:marTop w:val="0"/>
          <w:marBottom w:val="0"/>
          <w:divBdr>
            <w:top w:val="none" w:sz="0" w:space="0" w:color="auto"/>
            <w:left w:val="none" w:sz="0" w:space="0" w:color="auto"/>
            <w:bottom w:val="none" w:sz="0" w:space="0" w:color="auto"/>
            <w:right w:val="none" w:sz="0" w:space="0" w:color="auto"/>
          </w:divBdr>
          <w:divsChild>
            <w:div w:id="1920556220">
              <w:marLeft w:val="0"/>
              <w:marRight w:val="0"/>
              <w:marTop w:val="0"/>
              <w:marBottom w:val="0"/>
              <w:divBdr>
                <w:top w:val="none" w:sz="0" w:space="0" w:color="auto"/>
                <w:left w:val="none" w:sz="0" w:space="0" w:color="auto"/>
                <w:bottom w:val="none" w:sz="0" w:space="0" w:color="auto"/>
                <w:right w:val="none" w:sz="0" w:space="0" w:color="auto"/>
              </w:divBdr>
            </w:div>
          </w:divsChild>
        </w:div>
        <w:div w:id="775443891">
          <w:marLeft w:val="0"/>
          <w:marRight w:val="0"/>
          <w:marTop w:val="0"/>
          <w:marBottom w:val="0"/>
          <w:divBdr>
            <w:top w:val="none" w:sz="0" w:space="0" w:color="auto"/>
            <w:left w:val="none" w:sz="0" w:space="0" w:color="auto"/>
            <w:bottom w:val="none" w:sz="0" w:space="0" w:color="auto"/>
            <w:right w:val="none" w:sz="0" w:space="0" w:color="auto"/>
          </w:divBdr>
          <w:divsChild>
            <w:div w:id="1143696616">
              <w:marLeft w:val="0"/>
              <w:marRight w:val="0"/>
              <w:marTop w:val="0"/>
              <w:marBottom w:val="0"/>
              <w:divBdr>
                <w:top w:val="none" w:sz="0" w:space="0" w:color="auto"/>
                <w:left w:val="none" w:sz="0" w:space="0" w:color="auto"/>
                <w:bottom w:val="none" w:sz="0" w:space="0" w:color="auto"/>
                <w:right w:val="none" w:sz="0" w:space="0" w:color="auto"/>
              </w:divBdr>
            </w:div>
          </w:divsChild>
        </w:div>
        <w:div w:id="778767369">
          <w:marLeft w:val="0"/>
          <w:marRight w:val="0"/>
          <w:marTop w:val="0"/>
          <w:marBottom w:val="0"/>
          <w:divBdr>
            <w:top w:val="none" w:sz="0" w:space="0" w:color="auto"/>
            <w:left w:val="none" w:sz="0" w:space="0" w:color="auto"/>
            <w:bottom w:val="none" w:sz="0" w:space="0" w:color="auto"/>
            <w:right w:val="none" w:sz="0" w:space="0" w:color="auto"/>
          </w:divBdr>
          <w:divsChild>
            <w:div w:id="1926114458">
              <w:marLeft w:val="0"/>
              <w:marRight w:val="0"/>
              <w:marTop w:val="0"/>
              <w:marBottom w:val="0"/>
              <w:divBdr>
                <w:top w:val="none" w:sz="0" w:space="0" w:color="auto"/>
                <w:left w:val="none" w:sz="0" w:space="0" w:color="auto"/>
                <w:bottom w:val="none" w:sz="0" w:space="0" w:color="auto"/>
                <w:right w:val="none" w:sz="0" w:space="0" w:color="auto"/>
              </w:divBdr>
            </w:div>
          </w:divsChild>
        </w:div>
        <w:div w:id="814420002">
          <w:marLeft w:val="0"/>
          <w:marRight w:val="0"/>
          <w:marTop w:val="0"/>
          <w:marBottom w:val="0"/>
          <w:divBdr>
            <w:top w:val="none" w:sz="0" w:space="0" w:color="auto"/>
            <w:left w:val="none" w:sz="0" w:space="0" w:color="auto"/>
            <w:bottom w:val="none" w:sz="0" w:space="0" w:color="auto"/>
            <w:right w:val="none" w:sz="0" w:space="0" w:color="auto"/>
          </w:divBdr>
          <w:divsChild>
            <w:div w:id="172110976">
              <w:marLeft w:val="0"/>
              <w:marRight w:val="0"/>
              <w:marTop w:val="0"/>
              <w:marBottom w:val="0"/>
              <w:divBdr>
                <w:top w:val="none" w:sz="0" w:space="0" w:color="auto"/>
                <w:left w:val="none" w:sz="0" w:space="0" w:color="auto"/>
                <w:bottom w:val="none" w:sz="0" w:space="0" w:color="auto"/>
                <w:right w:val="none" w:sz="0" w:space="0" w:color="auto"/>
              </w:divBdr>
            </w:div>
          </w:divsChild>
        </w:div>
        <w:div w:id="851992741">
          <w:marLeft w:val="0"/>
          <w:marRight w:val="0"/>
          <w:marTop w:val="0"/>
          <w:marBottom w:val="0"/>
          <w:divBdr>
            <w:top w:val="none" w:sz="0" w:space="0" w:color="auto"/>
            <w:left w:val="none" w:sz="0" w:space="0" w:color="auto"/>
            <w:bottom w:val="none" w:sz="0" w:space="0" w:color="auto"/>
            <w:right w:val="none" w:sz="0" w:space="0" w:color="auto"/>
          </w:divBdr>
          <w:divsChild>
            <w:div w:id="1763378448">
              <w:marLeft w:val="0"/>
              <w:marRight w:val="0"/>
              <w:marTop w:val="0"/>
              <w:marBottom w:val="0"/>
              <w:divBdr>
                <w:top w:val="none" w:sz="0" w:space="0" w:color="auto"/>
                <w:left w:val="none" w:sz="0" w:space="0" w:color="auto"/>
                <w:bottom w:val="none" w:sz="0" w:space="0" w:color="auto"/>
                <w:right w:val="none" w:sz="0" w:space="0" w:color="auto"/>
              </w:divBdr>
            </w:div>
          </w:divsChild>
        </w:div>
        <w:div w:id="946035711">
          <w:marLeft w:val="0"/>
          <w:marRight w:val="0"/>
          <w:marTop w:val="0"/>
          <w:marBottom w:val="0"/>
          <w:divBdr>
            <w:top w:val="none" w:sz="0" w:space="0" w:color="auto"/>
            <w:left w:val="none" w:sz="0" w:space="0" w:color="auto"/>
            <w:bottom w:val="none" w:sz="0" w:space="0" w:color="auto"/>
            <w:right w:val="none" w:sz="0" w:space="0" w:color="auto"/>
          </w:divBdr>
          <w:divsChild>
            <w:div w:id="1451629658">
              <w:marLeft w:val="0"/>
              <w:marRight w:val="0"/>
              <w:marTop w:val="0"/>
              <w:marBottom w:val="0"/>
              <w:divBdr>
                <w:top w:val="none" w:sz="0" w:space="0" w:color="auto"/>
                <w:left w:val="none" w:sz="0" w:space="0" w:color="auto"/>
                <w:bottom w:val="none" w:sz="0" w:space="0" w:color="auto"/>
                <w:right w:val="none" w:sz="0" w:space="0" w:color="auto"/>
              </w:divBdr>
            </w:div>
          </w:divsChild>
        </w:div>
        <w:div w:id="1065179726">
          <w:marLeft w:val="0"/>
          <w:marRight w:val="0"/>
          <w:marTop w:val="0"/>
          <w:marBottom w:val="0"/>
          <w:divBdr>
            <w:top w:val="none" w:sz="0" w:space="0" w:color="auto"/>
            <w:left w:val="none" w:sz="0" w:space="0" w:color="auto"/>
            <w:bottom w:val="none" w:sz="0" w:space="0" w:color="auto"/>
            <w:right w:val="none" w:sz="0" w:space="0" w:color="auto"/>
          </w:divBdr>
          <w:divsChild>
            <w:div w:id="1752894533">
              <w:marLeft w:val="0"/>
              <w:marRight w:val="0"/>
              <w:marTop w:val="0"/>
              <w:marBottom w:val="0"/>
              <w:divBdr>
                <w:top w:val="none" w:sz="0" w:space="0" w:color="auto"/>
                <w:left w:val="none" w:sz="0" w:space="0" w:color="auto"/>
                <w:bottom w:val="none" w:sz="0" w:space="0" w:color="auto"/>
                <w:right w:val="none" w:sz="0" w:space="0" w:color="auto"/>
              </w:divBdr>
            </w:div>
          </w:divsChild>
        </w:div>
        <w:div w:id="1068041101">
          <w:marLeft w:val="0"/>
          <w:marRight w:val="0"/>
          <w:marTop w:val="0"/>
          <w:marBottom w:val="0"/>
          <w:divBdr>
            <w:top w:val="none" w:sz="0" w:space="0" w:color="auto"/>
            <w:left w:val="none" w:sz="0" w:space="0" w:color="auto"/>
            <w:bottom w:val="none" w:sz="0" w:space="0" w:color="auto"/>
            <w:right w:val="none" w:sz="0" w:space="0" w:color="auto"/>
          </w:divBdr>
          <w:divsChild>
            <w:div w:id="233442200">
              <w:marLeft w:val="0"/>
              <w:marRight w:val="0"/>
              <w:marTop w:val="0"/>
              <w:marBottom w:val="0"/>
              <w:divBdr>
                <w:top w:val="none" w:sz="0" w:space="0" w:color="auto"/>
                <w:left w:val="none" w:sz="0" w:space="0" w:color="auto"/>
                <w:bottom w:val="none" w:sz="0" w:space="0" w:color="auto"/>
                <w:right w:val="none" w:sz="0" w:space="0" w:color="auto"/>
              </w:divBdr>
            </w:div>
          </w:divsChild>
        </w:div>
        <w:div w:id="1087119400">
          <w:marLeft w:val="0"/>
          <w:marRight w:val="0"/>
          <w:marTop w:val="0"/>
          <w:marBottom w:val="0"/>
          <w:divBdr>
            <w:top w:val="none" w:sz="0" w:space="0" w:color="auto"/>
            <w:left w:val="none" w:sz="0" w:space="0" w:color="auto"/>
            <w:bottom w:val="none" w:sz="0" w:space="0" w:color="auto"/>
            <w:right w:val="none" w:sz="0" w:space="0" w:color="auto"/>
          </w:divBdr>
          <w:divsChild>
            <w:div w:id="816842674">
              <w:marLeft w:val="0"/>
              <w:marRight w:val="0"/>
              <w:marTop w:val="0"/>
              <w:marBottom w:val="0"/>
              <w:divBdr>
                <w:top w:val="none" w:sz="0" w:space="0" w:color="auto"/>
                <w:left w:val="none" w:sz="0" w:space="0" w:color="auto"/>
                <w:bottom w:val="none" w:sz="0" w:space="0" w:color="auto"/>
                <w:right w:val="none" w:sz="0" w:space="0" w:color="auto"/>
              </w:divBdr>
            </w:div>
          </w:divsChild>
        </w:div>
        <w:div w:id="1132822407">
          <w:marLeft w:val="0"/>
          <w:marRight w:val="0"/>
          <w:marTop w:val="0"/>
          <w:marBottom w:val="0"/>
          <w:divBdr>
            <w:top w:val="none" w:sz="0" w:space="0" w:color="auto"/>
            <w:left w:val="none" w:sz="0" w:space="0" w:color="auto"/>
            <w:bottom w:val="none" w:sz="0" w:space="0" w:color="auto"/>
            <w:right w:val="none" w:sz="0" w:space="0" w:color="auto"/>
          </w:divBdr>
          <w:divsChild>
            <w:div w:id="2030911718">
              <w:marLeft w:val="0"/>
              <w:marRight w:val="0"/>
              <w:marTop w:val="0"/>
              <w:marBottom w:val="0"/>
              <w:divBdr>
                <w:top w:val="none" w:sz="0" w:space="0" w:color="auto"/>
                <w:left w:val="none" w:sz="0" w:space="0" w:color="auto"/>
                <w:bottom w:val="none" w:sz="0" w:space="0" w:color="auto"/>
                <w:right w:val="none" w:sz="0" w:space="0" w:color="auto"/>
              </w:divBdr>
            </w:div>
          </w:divsChild>
        </w:div>
        <w:div w:id="1136800578">
          <w:marLeft w:val="0"/>
          <w:marRight w:val="0"/>
          <w:marTop w:val="0"/>
          <w:marBottom w:val="0"/>
          <w:divBdr>
            <w:top w:val="none" w:sz="0" w:space="0" w:color="auto"/>
            <w:left w:val="none" w:sz="0" w:space="0" w:color="auto"/>
            <w:bottom w:val="none" w:sz="0" w:space="0" w:color="auto"/>
            <w:right w:val="none" w:sz="0" w:space="0" w:color="auto"/>
          </w:divBdr>
          <w:divsChild>
            <w:div w:id="555824097">
              <w:marLeft w:val="0"/>
              <w:marRight w:val="0"/>
              <w:marTop w:val="0"/>
              <w:marBottom w:val="0"/>
              <w:divBdr>
                <w:top w:val="none" w:sz="0" w:space="0" w:color="auto"/>
                <w:left w:val="none" w:sz="0" w:space="0" w:color="auto"/>
                <w:bottom w:val="none" w:sz="0" w:space="0" w:color="auto"/>
                <w:right w:val="none" w:sz="0" w:space="0" w:color="auto"/>
              </w:divBdr>
            </w:div>
          </w:divsChild>
        </w:div>
        <w:div w:id="1153177939">
          <w:marLeft w:val="0"/>
          <w:marRight w:val="0"/>
          <w:marTop w:val="0"/>
          <w:marBottom w:val="0"/>
          <w:divBdr>
            <w:top w:val="none" w:sz="0" w:space="0" w:color="auto"/>
            <w:left w:val="none" w:sz="0" w:space="0" w:color="auto"/>
            <w:bottom w:val="none" w:sz="0" w:space="0" w:color="auto"/>
            <w:right w:val="none" w:sz="0" w:space="0" w:color="auto"/>
          </w:divBdr>
          <w:divsChild>
            <w:div w:id="435053630">
              <w:marLeft w:val="0"/>
              <w:marRight w:val="0"/>
              <w:marTop w:val="0"/>
              <w:marBottom w:val="0"/>
              <w:divBdr>
                <w:top w:val="none" w:sz="0" w:space="0" w:color="auto"/>
                <w:left w:val="none" w:sz="0" w:space="0" w:color="auto"/>
                <w:bottom w:val="none" w:sz="0" w:space="0" w:color="auto"/>
                <w:right w:val="none" w:sz="0" w:space="0" w:color="auto"/>
              </w:divBdr>
            </w:div>
          </w:divsChild>
        </w:div>
        <w:div w:id="1166942390">
          <w:marLeft w:val="0"/>
          <w:marRight w:val="0"/>
          <w:marTop w:val="0"/>
          <w:marBottom w:val="0"/>
          <w:divBdr>
            <w:top w:val="none" w:sz="0" w:space="0" w:color="auto"/>
            <w:left w:val="none" w:sz="0" w:space="0" w:color="auto"/>
            <w:bottom w:val="none" w:sz="0" w:space="0" w:color="auto"/>
            <w:right w:val="none" w:sz="0" w:space="0" w:color="auto"/>
          </w:divBdr>
          <w:divsChild>
            <w:div w:id="1491369267">
              <w:marLeft w:val="0"/>
              <w:marRight w:val="0"/>
              <w:marTop w:val="0"/>
              <w:marBottom w:val="0"/>
              <w:divBdr>
                <w:top w:val="none" w:sz="0" w:space="0" w:color="auto"/>
                <w:left w:val="none" w:sz="0" w:space="0" w:color="auto"/>
                <w:bottom w:val="none" w:sz="0" w:space="0" w:color="auto"/>
                <w:right w:val="none" w:sz="0" w:space="0" w:color="auto"/>
              </w:divBdr>
            </w:div>
          </w:divsChild>
        </w:div>
        <w:div w:id="1218123418">
          <w:marLeft w:val="0"/>
          <w:marRight w:val="0"/>
          <w:marTop w:val="0"/>
          <w:marBottom w:val="0"/>
          <w:divBdr>
            <w:top w:val="none" w:sz="0" w:space="0" w:color="auto"/>
            <w:left w:val="none" w:sz="0" w:space="0" w:color="auto"/>
            <w:bottom w:val="none" w:sz="0" w:space="0" w:color="auto"/>
            <w:right w:val="none" w:sz="0" w:space="0" w:color="auto"/>
          </w:divBdr>
          <w:divsChild>
            <w:div w:id="1303776973">
              <w:marLeft w:val="0"/>
              <w:marRight w:val="0"/>
              <w:marTop w:val="0"/>
              <w:marBottom w:val="0"/>
              <w:divBdr>
                <w:top w:val="none" w:sz="0" w:space="0" w:color="auto"/>
                <w:left w:val="none" w:sz="0" w:space="0" w:color="auto"/>
                <w:bottom w:val="none" w:sz="0" w:space="0" w:color="auto"/>
                <w:right w:val="none" w:sz="0" w:space="0" w:color="auto"/>
              </w:divBdr>
            </w:div>
          </w:divsChild>
        </w:div>
        <w:div w:id="1250578393">
          <w:marLeft w:val="0"/>
          <w:marRight w:val="0"/>
          <w:marTop w:val="0"/>
          <w:marBottom w:val="0"/>
          <w:divBdr>
            <w:top w:val="none" w:sz="0" w:space="0" w:color="auto"/>
            <w:left w:val="none" w:sz="0" w:space="0" w:color="auto"/>
            <w:bottom w:val="none" w:sz="0" w:space="0" w:color="auto"/>
            <w:right w:val="none" w:sz="0" w:space="0" w:color="auto"/>
          </w:divBdr>
          <w:divsChild>
            <w:div w:id="1837846112">
              <w:marLeft w:val="0"/>
              <w:marRight w:val="0"/>
              <w:marTop w:val="0"/>
              <w:marBottom w:val="0"/>
              <w:divBdr>
                <w:top w:val="none" w:sz="0" w:space="0" w:color="auto"/>
                <w:left w:val="none" w:sz="0" w:space="0" w:color="auto"/>
                <w:bottom w:val="none" w:sz="0" w:space="0" w:color="auto"/>
                <w:right w:val="none" w:sz="0" w:space="0" w:color="auto"/>
              </w:divBdr>
            </w:div>
          </w:divsChild>
        </w:div>
        <w:div w:id="1251815518">
          <w:marLeft w:val="0"/>
          <w:marRight w:val="0"/>
          <w:marTop w:val="0"/>
          <w:marBottom w:val="0"/>
          <w:divBdr>
            <w:top w:val="none" w:sz="0" w:space="0" w:color="auto"/>
            <w:left w:val="none" w:sz="0" w:space="0" w:color="auto"/>
            <w:bottom w:val="none" w:sz="0" w:space="0" w:color="auto"/>
            <w:right w:val="none" w:sz="0" w:space="0" w:color="auto"/>
          </w:divBdr>
          <w:divsChild>
            <w:div w:id="791748635">
              <w:marLeft w:val="0"/>
              <w:marRight w:val="0"/>
              <w:marTop w:val="0"/>
              <w:marBottom w:val="0"/>
              <w:divBdr>
                <w:top w:val="none" w:sz="0" w:space="0" w:color="auto"/>
                <w:left w:val="none" w:sz="0" w:space="0" w:color="auto"/>
                <w:bottom w:val="none" w:sz="0" w:space="0" w:color="auto"/>
                <w:right w:val="none" w:sz="0" w:space="0" w:color="auto"/>
              </w:divBdr>
            </w:div>
          </w:divsChild>
        </w:div>
        <w:div w:id="1318799043">
          <w:marLeft w:val="0"/>
          <w:marRight w:val="0"/>
          <w:marTop w:val="0"/>
          <w:marBottom w:val="0"/>
          <w:divBdr>
            <w:top w:val="none" w:sz="0" w:space="0" w:color="auto"/>
            <w:left w:val="none" w:sz="0" w:space="0" w:color="auto"/>
            <w:bottom w:val="none" w:sz="0" w:space="0" w:color="auto"/>
            <w:right w:val="none" w:sz="0" w:space="0" w:color="auto"/>
          </w:divBdr>
          <w:divsChild>
            <w:div w:id="537474711">
              <w:marLeft w:val="0"/>
              <w:marRight w:val="0"/>
              <w:marTop w:val="0"/>
              <w:marBottom w:val="0"/>
              <w:divBdr>
                <w:top w:val="none" w:sz="0" w:space="0" w:color="auto"/>
                <w:left w:val="none" w:sz="0" w:space="0" w:color="auto"/>
                <w:bottom w:val="none" w:sz="0" w:space="0" w:color="auto"/>
                <w:right w:val="none" w:sz="0" w:space="0" w:color="auto"/>
              </w:divBdr>
            </w:div>
          </w:divsChild>
        </w:div>
        <w:div w:id="1373656150">
          <w:marLeft w:val="0"/>
          <w:marRight w:val="0"/>
          <w:marTop w:val="0"/>
          <w:marBottom w:val="0"/>
          <w:divBdr>
            <w:top w:val="none" w:sz="0" w:space="0" w:color="auto"/>
            <w:left w:val="none" w:sz="0" w:space="0" w:color="auto"/>
            <w:bottom w:val="none" w:sz="0" w:space="0" w:color="auto"/>
            <w:right w:val="none" w:sz="0" w:space="0" w:color="auto"/>
          </w:divBdr>
          <w:divsChild>
            <w:div w:id="1072893054">
              <w:marLeft w:val="0"/>
              <w:marRight w:val="0"/>
              <w:marTop w:val="0"/>
              <w:marBottom w:val="0"/>
              <w:divBdr>
                <w:top w:val="none" w:sz="0" w:space="0" w:color="auto"/>
                <w:left w:val="none" w:sz="0" w:space="0" w:color="auto"/>
                <w:bottom w:val="none" w:sz="0" w:space="0" w:color="auto"/>
                <w:right w:val="none" w:sz="0" w:space="0" w:color="auto"/>
              </w:divBdr>
            </w:div>
          </w:divsChild>
        </w:div>
        <w:div w:id="1478572746">
          <w:marLeft w:val="0"/>
          <w:marRight w:val="0"/>
          <w:marTop w:val="0"/>
          <w:marBottom w:val="0"/>
          <w:divBdr>
            <w:top w:val="none" w:sz="0" w:space="0" w:color="auto"/>
            <w:left w:val="none" w:sz="0" w:space="0" w:color="auto"/>
            <w:bottom w:val="none" w:sz="0" w:space="0" w:color="auto"/>
            <w:right w:val="none" w:sz="0" w:space="0" w:color="auto"/>
          </w:divBdr>
          <w:divsChild>
            <w:div w:id="1199472471">
              <w:marLeft w:val="0"/>
              <w:marRight w:val="0"/>
              <w:marTop w:val="0"/>
              <w:marBottom w:val="0"/>
              <w:divBdr>
                <w:top w:val="none" w:sz="0" w:space="0" w:color="auto"/>
                <w:left w:val="none" w:sz="0" w:space="0" w:color="auto"/>
                <w:bottom w:val="none" w:sz="0" w:space="0" w:color="auto"/>
                <w:right w:val="none" w:sz="0" w:space="0" w:color="auto"/>
              </w:divBdr>
            </w:div>
          </w:divsChild>
        </w:div>
        <w:div w:id="1508207279">
          <w:marLeft w:val="0"/>
          <w:marRight w:val="0"/>
          <w:marTop w:val="0"/>
          <w:marBottom w:val="0"/>
          <w:divBdr>
            <w:top w:val="none" w:sz="0" w:space="0" w:color="auto"/>
            <w:left w:val="none" w:sz="0" w:space="0" w:color="auto"/>
            <w:bottom w:val="none" w:sz="0" w:space="0" w:color="auto"/>
            <w:right w:val="none" w:sz="0" w:space="0" w:color="auto"/>
          </w:divBdr>
          <w:divsChild>
            <w:div w:id="36780192">
              <w:marLeft w:val="0"/>
              <w:marRight w:val="0"/>
              <w:marTop w:val="0"/>
              <w:marBottom w:val="0"/>
              <w:divBdr>
                <w:top w:val="none" w:sz="0" w:space="0" w:color="auto"/>
                <w:left w:val="none" w:sz="0" w:space="0" w:color="auto"/>
                <w:bottom w:val="none" w:sz="0" w:space="0" w:color="auto"/>
                <w:right w:val="none" w:sz="0" w:space="0" w:color="auto"/>
              </w:divBdr>
            </w:div>
          </w:divsChild>
        </w:div>
        <w:div w:id="1508864606">
          <w:marLeft w:val="0"/>
          <w:marRight w:val="0"/>
          <w:marTop w:val="0"/>
          <w:marBottom w:val="0"/>
          <w:divBdr>
            <w:top w:val="none" w:sz="0" w:space="0" w:color="auto"/>
            <w:left w:val="none" w:sz="0" w:space="0" w:color="auto"/>
            <w:bottom w:val="none" w:sz="0" w:space="0" w:color="auto"/>
            <w:right w:val="none" w:sz="0" w:space="0" w:color="auto"/>
          </w:divBdr>
          <w:divsChild>
            <w:div w:id="324672416">
              <w:marLeft w:val="0"/>
              <w:marRight w:val="0"/>
              <w:marTop w:val="0"/>
              <w:marBottom w:val="0"/>
              <w:divBdr>
                <w:top w:val="none" w:sz="0" w:space="0" w:color="auto"/>
                <w:left w:val="none" w:sz="0" w:space="0" w:color="auto"/>
                <w:bottom w:val="none" w:sz="0" w:space="0" w:color="auto"/>
                <w:right w:val="none" w:sz="0" w:space="0" w:color="auto"/>
              </w:divBdr>
            </w:div>
          </w:divsChild>
        </w:div>
        <w:div w:id="1591231117">
          <w:marLeft w:val="0"/>
          <w:marRight w:val="0"/>
          <w:marTop w:val="0"/>
          <w:marBottom w:val="0"/>
          <w:divBdr>
            <w:top w:val="none" w:sz="0" w:space="0" w:color="auto"/>
            <w:left w:val="none" w:sz="0" w:space="0" w:color="auto"/>
            <w:bottom w:val="none" w:sz="0" w:space="0" w:color="auto"/>
            <w:right w:val="none" w:sz="0" w:space="0" w:color="auto"/>
          </w:divBdr>
          <w:divsChild>
            <w:div w:id="1393308868">
              <w:marLeft w:val="0"/>
              <w:marRight w:val="0"/>
              <w:marTop w:val="0"/>
              <w:marBottom w:val="0"/>
              <w:divBdr>
                <w:top w:val="none" w:sz="0" w:space="0" w:color="auto"/>
                <w:left w:val="none" w:sz="0" w:space="0" w:color="auto"/>
                <w:bottom w:val="none" w:sz="0" w:space="0" w:color="auto"/>
                <w:right w:val="none" w:sz="0" w:space="0" w:color="auto"/>
              </w:divBdr>
            </w:div>
          </w:divsChild>
        </w:div>
        <w:div w:id="1644501504">
          <w:marLeft w:val="0"/>
          <w:marRight w:val="0"/>
          <w:marTop w:val="0"/>
          <w:marBottom w:val="0"/>
          <w:divBdr>
            <w:top w:val="none" w:sz="0" w:space="0" w:color="auto"/>
            <w:left w:val="none" w:sz="0" w:space="0" w:color="auto"/>
            <w:bottom w:val="none" w:sz="0" w:space="0" w:color="auto"/>
            <w:right w:val="none" w:sz="0" w:space="0" w:color="auto"/>
          </w:divBdr>
          <w:divsChild>
            <w:div w:id="365448373">
              <w:marLeft w:val="0"/>
              <w:marRight w:val="0"/>
              <w:marTop w:val="0"/>
              <w:marBottom w:val="0"/>
              <w:divBdr>
                <w:top w:val="none" w:sz="0" w:space="0" w:color="auto"/>
                <w:left w:val="none" w:sz="0" w:space="0" w:color="auto"/>
                <w:bottom w:val="none" w:sz="0" w:space="0" w:color="auto"/>
                <w:right w:val="none" w:sz="0" w:space="0" w:color="auto"/>
              </w:divBdr>
            </w:div>
          </w:divsChild>
        </w:div>
        <w:div w:id="1694771061">
          <w:marLeft w:val="0"/>
          <w:marRight w:val="0"/>
          <w:marTop w:val="0"/>
          <w:marBottom w:val="0"/>
          <w:divBdr>
            <w:top w:val="none" w:sz="0" w:space="0" w:color="auto"/>
            <w:left w:val="none" w:sz="0" w:space="0" w:color="auto"/>
            <w:bottom w:val="none" w:sz="0" w:space="0" w:color="auto"/>
            <w:right w:val="none" w:sz="0" w:space="0" w:color="auto"/>
          </w:divBdr>
          <w:divsChild>
            <w:div w:id="501967358">
              <w:marLeft w:val="0"/>
              <w:marRight w:val="0"/>
              <w:marTop w:val="0"/>
              <w:marBottom w:val="0"/>
              <w:divBdr>
                <w:top w:val="none" w:sz="0" w:space="0" w:color="auto"/>
                <w:left w:val="none" w:sz="0" w:space="0" w:color="auto"/>
                <w:bottom w:val="none" w:sz="0" w:space="0" w:color="auto"/>
                <w:right w:val="none" w:sz="0" w:space="0" w:color="auto"/>
              </w:divBdr>
            </w:div>
          </w:divsChild>
        </w:div>
        <w:div w:id="1722972985">
          <w:marLeft w:val="0"/>
          <w:marRight w:val="0"/>
          <w:marTop w:val="0"/>
          <w:marBottom w:val="0"/>
          <w:divBdr>
            <w:top w:val="none" w:sz="0" w:space="0" w:color="auto"/>
            <w:left w:val="none" w:sz="0" w:space="0" w:color="auto"/>
            <w:bottom w:val="none" w:sz="0" w:space="0" w:color="auto"/>
            <w:right w:val="none" w:sz="0" w:space="0" w:color="auto"/>
          </w:divBdr>
          <w:divsChild>
            <w:div w:id="757797175">
              <w:marLeft w:val="0"/>
              <w:marRight w:val="0"/>
              <w:marTop w:val="0"/>
              <w:marBottom w:val="0"/>
              <w:divBdr>
                <w:top w:val="none" w:sz="0" w:space="0" w:color="auto"/>
                <w:left w:val="none" w:sz="0" w:space="0" w:color="auto"/>
                <w:bottom w:val="none" w:sz="0" w:space="0" w:color="auto"/>
                <w:right w:val="none" w:sz="0" w:space="0" w:color="auto"/>
              </w:divBdr>
            </w:div>
          </w:divsChild>
        </w:div>
        <w:div w:id="1728840774">
          <w:marLeft w:val="0"/>
          <w:marRight w:val="0"/>
          <w:marTop w:val="0"/>
          <w:marBottom w:val="0"/>
          <w:divBdr>
            <w:top w:val="none" w:sz="0" w:space="0" w:color="auto"/>
            <w:left w:val="none" w:sz="0" w:space="0" w:color="auto"/>
            <w:bottom w:val="none" w:sz="0" w:space="0" w:color="auto"/>
            <w:right w:val="none" w:sz="0" w:space="0" w:color="auto"/>
          </w:divBdr>
          <w:divsChild>
            <w:div w:id="999505046">
              <w:marLeft w:val="0"/>
              <w:marRight w:val="0"/>
              <w:marTop w:val="0"/>
              <w:marBottom w:val="0"/>
              <w:divBdr>
                <w:top w:val="none" w:sz="0" w:space="0" w:color="auto"/>
                <w:left w:val="none" w:sz="0" w:space="0" w:color="auto"/>
                <w:bottom w:val="none" w:sz="0" w:space="0" w:color="auto"/>
                <w:right w:val="none" w:sz="0" w:space="0" w:color="auto"/>
              </w:divBdr>
            </w:div>
          </w:divsChild>
        </w:div>
        <w:div w:id="1734892172">
          <w:marLeft w:val="0"/>
          <w:marRight w:val="0"/>
          <w:marTop w:val="0"/>
          <w:marBottom w:val="0"/>
          <w:divBdr>
            <w:top w:val="none" w:sz="0" w:space="0" w:color="auto"/>
            <w:left w:val="none" w:sz="0" w:space="0" w:color="auto"/>
            <w:bottom w:val="none" w:sz="0" w:space="0" w:color="auto"/>
            <w:right w:val="none" w:sz="0" w:space="0" w:color="auto"/>
          </w:divBdr>
          <w:divsChild>
            <w:div w:id="1842231039">
              <w:marLeft w:val="0"/>
              <w:marRight w:val="0"/>
              <w:marTop w:val="0"/>
              <w:marBottom w:val="0"/>
              <w:divBdr>
                <w:top w:val="none" w:sz="0" w:space="0" w:color="auto"/>
                <w:left w:val="none" w:sz="0" w:space="0" w:color="auto"/>
                <w:bottom w:val="none" w:sz="0" w:space="0" w:color="auto"/>
                <w:right w:val="none" w:sz="0" w:space="0" w:color="auto"/>
              </w:divBdr>
            </w:div>
          </w:divsChild>
        </w:div>
        <w:div w:id="1754665949">
          <w:marLeft w:val="0"/>
          <w:marRight w:val="0"/>
          <w:marTop w:val="0"/>
          <w:marBottom w:val="0"/>
          <w:divBdr>
            <w:top w:val="none" w:sz="0" w:space="0" w:color="auto"/>
            <w:left w:val="none" w:sz="0" w:space="0" w:color="auto"/>
            <w:bottom w:val="none" w:sz="0" w:space="0" w:color="auto"/>
            <w:right w:val="none" w:sz="0" w:space="0" w:color="auto"/>
          </w:divBdr>
          <w:divsChild>
            <w:div w:id="911769338">
              <w:marLeft w:val="0"/>
              <w:marRight w:val="0"/>
              <w:marTop w:val="0"/>
              <w:marBottom w:val="0"/>
              <w:divBdr>
                <w:top w:val="none" w:sz="0" w:space="0" w:color="auto"/>
                <w:left w:val="none" w:sz="0" w:space="0" w:color="auto"/>
                <w:bottom w:val="none" w:sz="0" w:space="0" w:color="auto"/>
                <w:right w:val="none" w:sz="0" w:space="0" w:color="auto"/>
              </w:divBdr>
            </w:div>
          </w:divsChild>
        </w:div>
        <w:div w:id="1795900618">
          <w:marLeft w:val="0"/>
          <w:marRight w:val="0"/>
          <w:marTop w:val="0"/>
          <w:marBottom w:val="0"/>
          <w:divBdr>
            <w:top w:val="none" w:sz="0" w:space="0" w:color="auto"/>
            <w:left w:val="none" w:sz="0" w:space="0" w:color="auto"/>
            <w:bottom w:val="none" w:sz="0" w:space="0" w:color="auto"/>
            <w:right w:val="none" w:sz="0" w:space="0" w:color="auto"/>
          </w:divBdr>
          <w:divsChild>
            <w:div w:id="1409813317">
              <w:marLeft w:val="0"/>
              <w:marRight w:val="0"/>
              <w:marTop w:val="0"/>
              <w:marBottom w:val="0"/>
              <w:divBdr>
                <w:top w:val="none" w:sz="0" w:space="0" w:color="auto"/>
                <w:left w:val="none" w:sz="0" w:space="0" w:color="auto"/>
                <w:bottom w:val="none" w:sz="0" w:space="0" w:color="auto"/>
                <w:right w:val="none" w:sz="0" w:space="0" w:color="auto"/>
              </w:divBdr>
            </w:div>
          </w:divsChild>
        </w:div>
        <w:div w:id="1826622563">
          <w:marLeft w:val="0"/>
          <w:marRight w:val="0"/>
          <w:marTop w:val="0"/>
          <w:marBottom w:val="0"/>
          <w:divBdr>
            <w:top w:val="none" w:sz="0" w:space="0" w:color="auto"/>
            <w:left w:val="none" w:sz="0" w:space="0" w:color="auto"/>
            <w:bottom w:val="none" w:sz="0" w:space="0" w:color="auto"/>
            <w:right w:val="none" w:sz="0" w:space="0" w:color="auto"/>
          </w:divBdr>
          <w:divsChild>
            <w:div w:id="1934777507">
              <w:marLeft w:val="0"/>
              <w:marRight w:val="0"/>
              <w:marTop w:val="0"/>
              <w:marBottom w:val="0"/>
              <w:divBdr>
                <w:top w:val="none" w:sz="0" w:space="0" w:color="auto"/>
                <w:left w:val="none" w:sz="0" w:space="0" w:color="auto"/>
                <w:bottom w:val="none" w:sz="0" w:space="0" w:color="auto"/>
                <w:right w:val="none" w:sz="0" w:space="0" w:color="auto"/>
              </w:divBdr>
            </w:div>
          </w:divsChild>
        </w:div>
        <w:div w:id="1828131955">
          <w:marLeft w:val="0"/>
          <w:marRight w:val="0"/>
          <w:marTop w:val="0"/>
          <w:marBottom w:val="0"/>
          <w:divBdr>
            <w:top w:val="none" w:sz="0" w:space="0" w:color="auto"/>
            <w:left w:val="none" w:sz="0" w:space="0" w:color="auto"/>
            <w:bottom w:val="none" w:sz="0" w:space="0" w:color="auto"/>
            <w:right w:val="none" w:sz="0" w:space="0" w:color="auto"/>
          </w:divBdr>
          <w:divsChild>
            <w:div w:id="757100514">
              <w:marLeft w:val="0"/>
              <w:marRight w:val="0"/>
              <w:marTop w:val="0"/>
              <w:marBottom w:val="0"/>
              <w:divBdr>
                <w:top w:val="none" w:sz="0" w:space="0" w:color="auto"/>
                <w:left w:val="none" w:sz="0" w:space="0" w:color="auto"/>
                <w:bottom w:val="none" w:sz="0" w:space="0" w:color="auto"/>
                <w:right w:val="none" w:sz="0" w:space="0" w:color="auto"/>
              </w:divBdr>
            </w:div>
          </w:divsChild>
        </w:div>
        <w:div w:id="1893691951">
          <w:marLeft w:val="0"/>
          <w:marRight w:val="0"/>
          <w:marTop w:val="0"/>
          <w:marBottom w:val="0"/>
          <w:divBdr>
            <w:top w:val="none" w:sz="0" w:space="0" w:color="auto"/>
            <w:left w:val="none" w:sz="0" w:space="0" w:color="auto"/>
            <w:bottom w:val="none" w:sz="0" w:space="0" w:color="auto"/>
            <w:right w:val="none" w:sz="0" w:space="0" w:color="auto"/>
          </w:divBdr>
          <w:divsChild>
            <w:div w:id="1107700248">
              <w:marLeft w:val="0"/>
              <w:marRight w:val="0"/>
              <w:marTop w:val="0"/>
              <w:marBottom w:val="0"/>
              <w:divBdr>
                <w:top w:val="none" w:sz="0" w:space="0" w:color="auto"/>
                <w:left w:val="none" w:sz="0" w:space="0" w:color="auto"/>
                <w:bottom w:val="none" w:sz="0" w:space="0" w:color="auto"/>
                <w:right w:val="none" w:sz="0" w:space="0" w:color="auto"/>
              </w:divBdr>
            </w:div>
          </w:divsChild>
        </w:div>
        <w:div w:id="1917783862">
          <w:marLeft w:val="0"/>
          <w:marRight w:val="0"/>
          <w:marTop w:val="0"/>
          <w:marBottom w:val="0"/>
          <w:divBdr>
            <w:top w:val="none" w:sz="0" w:space="0" w:color="auto"/>
            <w:left w:val="none" w:sz="0" w:space="0" w:color="auto"/>
            <w:bottom w:val="none" w:sz="0" w:space="0" w:color="auto"/>
            <w:right w:val="none" w:sz="0" w:space="0" w:color="auto"/>
          </w:divBdr>
          <w:divsChild>
            <w:div w:id="229970898">
              <w:marLeft w:val="0"/>
              <w:marRight w:val="0"/>
              <w:marTop w:val="0"/>
              <w:marBottom w:val="0"/>
              <w:divBdr>
                <w:top w:val="none" w:sz="0" w:space="0" w:color="auto"/>
                <w:left w:val="none" w:sz="0" w:space="0" w:color="auto"/>
                <w:bottom w:val="none" w:sz="0" w:space="0" w:color="auto"/>
                <w:right w:val="none" w:sz="0" w:space="0" w:color="auto"/>
              </w:divBdr>
            </w:div>
          </w:divsChild>
        </w:div>
        <w:div w:id="1980307480">
          <w:marLeft w:val="0"/>
          <w:marRight w:val="0"/>
          <w:marTop w:val="0"/>
          <w:marBottom w:val="0"/>
          <w:divBdr>
            <w:top w:val="none" w:sz="0" w:space="0" w:color="auto"/>
            <w:left w:val="none" w:sz="0" w:space="0" w:color="auto"/>
            <w:bottom w:val="none" w:sz="0" w:space="0" w:color="auto"/>
            <w:right w:val="none" w:sz="0" w:space="0" w:color="auto"/>
          </w:divBdr>
          <w:divsChild>
            <w:div w:id="800074404">
              <w:marLeft w:val="0"/>
              <w:marRight w:val="0"/>
              <w:marTop w:val="0"/>
              <w:marBottom w:val="0"/>
              <w:divBdr>
                <w:top w:val="none" w:sz="0" w:space="0" w:color="auto"/>
                <w:left w:val="none" w:sz="0" w:space="0" w:color="auto"/>
                <w:bottom w:val="none" w:sz="0" w:space="0" w:color="auto"/>
                <w:right w:val="none" w:sz="0" w:space="0" w:color="auto"/>
              </w:divBdr>
            </w:div>
          </w:divsChild>
        </w:div>
        <w:div w:id="2040427585">
          <w:marLeft w:val="0"/>
          <w:marRight w:val="0"/>
          <w:marTop w:val="0"/>
          <w:marBottom w:val="0"/>
          <w:divBdr>
            <w:top w:val="none" w:sz="0" w:space="0" w:color="auto"/>
            <w:left w:val="none" w:sz="0" w:space="0" w:color="auto"/>
            <w:bottom w:val="none" w:sz="0" w:space="0" w:color="auto"/>
            <w:right w:val="none" w:sz="0" w:space="0" w:color="auto"/>
          </w:divBdr>
          <w:divsChild>
            <w:div w:id="1086265909">
              <w:marLeft w:val="0"/>
              <w:marRight w:val="0"/>
              <w:marTop w:val="0"/>
              <w:marBottom w:val="0"/>
              <w:divBdr>
                <w:top w:val="none" w:sz="0" w:space="0" w:color="auto"/>
                <w:left w:val="none" w:sz="0" w:space="0" w:color="auto"/>
                <w:bottom w:val="none" w:sz="0" w:space="0" w:color="auto"/>
                <w:right w:val="none" w:sz="0" w:space="0" w:color="auto"/>
              </w:divBdr>
            </w:div>
          </w:divsChild>
        </w:div>
        <w:div w:id="2068337187">
          <w:marLeft w:val="0"/>
          <w:marRight w:val="0"/>
          <w:marTop w:val="0"/>
          <w:marBottom w:val="0"/>
          <w:divBdr>
            <w:top w:val="none" w:sz="0" w:space="0" w:color="auto"/>
            <w:left w:val="none" w:sz="0" w:space="0" w:color="auto"/>
            <w:bottom w:val="none" w:sz="0" w:space="0" w:color="auto"/>
            <w:right w:val="none" w:sz="0" w:space="0" w:color="auto"/>
          </w:divBdr>
          <w:divsChild>
            <w:div w:id="48117697">
              <w:marLeft w:val="0"/>
              <w:marRight w:val="0"/>
              <w:marTop w:val="0"/>
              <w:marBottom w:val="0"/>
              <w:divBdr>
                <w:top w:val="none" w:sz="0" w:space="0" w:color="auto"/>
                <w:left w:val="none" w:sz="0" w:space="0" w:color="auto"/>
                <w:bottom w:val="none" w:sz="0" w:space="0" w:color="auto"/>
                <w:right w:val="none" w:sz="0" w:space="0" w:color="auto"/>
              </w:divBdr>
            </w:div>
          </w:divsChild>
        </w:div>
        <w:div w:id="2128698063">
          <w:marLeft w:val="0"/>
          <w:marRight w:val="0"/>
          <w:marTop w:val="0"/>
          <w:marBottom w:val="0"/>
          <w:divBdr>
            <w:top w:val="none" w:sz="0" w:space="0" w:color="auto"/>
            <w:left w:val="none" w:sz="0" w:space="0" w:color="auto"/>
            <w:bottom w:val="none" w:sz="0" w:space="0" w:color="auto"/>
            <w:right w:val="none" w:sz="0" w:space="0" w:color="auto"/>
          </w:divBdr>
          <w:divsChild>
            <w:div w:id="140922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902962">
      <w:bodyDiv w:val="1"/>
      <w:marLeft w:val="0"/>
      <w:marRight w:val="0"/>
      <w:marTop w:val="0"/>
      <w:marBottom w:val="0"/>
      <w:divBdr>
        <w:top w:val="none" w:sz="0" w:space="0" w:color="auto"/>
        <w:left w:val="none" w:sz="0" w:space="0" w:color="auto"/>
        <w:bottom w:val="none" w:sz="0" w:space="0" w:color="auto"/>
        <w:right w:val="none" w:sz="0" w:space="0" w:color="auto"/>
      </w:divBdr>
      <w:divsChild>
        <w:div w:id="193731758">
          <w:marLeft w:val="0"/>
          <w:marRight w:val="0"/>
          <w:marTop w:val="0"/>
          <w:marBottom w:val="0"/>
          <w:divBdr>
            <w:top w:val="none" w:sz="0" w:space="0" w:color="auto"/>
            <w:left w:val="none" w:sz="0" w:space="0" w:color="auto"/>
            <w:bottom w:val="none" w:sz="0" w:space="0" w:color="auto"/>
            <w:right w:val="none" w:sz="0" w:space="0" w:color="auto"/>
          </w:divBdr>
          <w:divsChild>
            <w:div w:id="236135962">
              <w:marLeft w:val="0"/>
              <w:marRight w:val="0"/>
              <w:marTop w:val="0"/>
              <w:marBottom w:val="0"/>
              <w:divBdr>
                <w:top w:val="none" w:sz="0" w:space="0" w:color="auto"/>
                <w:left w:val="none" w:sz="0" w:space="0" w:color="auto"/>
                <w:bottom w:val="none" w:sz="0" w:space="0" w:color="auto"/>
                <w:right w:val="none" w:sz="0" w:space="0" w:color="auto"/>
              </w:divBdr>
            </w:div>
            <w:div w:id="298267804">
              <w:marLeft w:val="0"/>
              <w:marRight w:val="0"/>
              <w:marTop w:val="0"/>
              <w:marBottom w:val="0"/>
              <w:divBdr>
                <w:top w:val="none" w:sz="0" w:space="0" w:color="auto"/>
                <w:left w:val="none" w:sz="0" w:space="0" w:color="auto"/>
                <w:bottom w:val="none" w:sz="0" w:space="0" w:color="auto"/>
                <w:right w:val="none" w:sz="0" w:space="0" w:color="auto"/>
              </w:divBdr>
            </w:div>
            <w:div w:id="331839940">
              <w:marLeft w:val="0"/>
              <w:marRight w:val="0"/>
              <w:marTop w:val="0"/>
              <w:marBottom w:val="0"/>
              <w:divBdr>
                <w:top w:val="none" w:sz="0" w:space="0" w:color="auto"/>
                <w:left w:val="none" w:sz="0" w:space="0" w:color="auto"/>
                <w:bottom w:val="none" w:sz="0" w:space="0" w:color="auto"/>
                <w:right w:val="none" w:sz="0" w:space="0" w:color="auto"/>
              </w:divBdr>
            </w:div>
            <w:div w:id="648360064">
              <w:marLeft w:val="0"/>
              <w:marRight w:val="0"/>
              <w:marTop w:val="0"/>
              <w:marBottom w:val="0"/>
              <w:divBdr>
                <w:top w:val="none" w:sz="0" w:space="0" w:color="auto"/>
                <w:left w:val="none" w:sz="0" w:space="0" w:color="auto"/>
                <w:bottom w:val="none" w:sz="0" w:space="0" w:color="auto"/>
                <w:right w:val="none" w:sz="0" w:space="0" w:color="auto"/>
              </w:divBdr>
            </w:div>
            <w:div w:id="702096981">
              <w:marLeft w:val="0"/>
              <w:marRight w:val="0"/>
              <w:marTop w:val="0"/>
              <w:marBottom w:val="0"/>
              <w:divBdr>
                <w:top w:val="none" w:sz="0" w:space="0" w:color="auto"/>
                <w:left w:val="none" w:sz="0" w:space="0" w:color="auto"/>
                <w:bottom w:val="none" w:sz="0" w:space="0" w:color="auto"/>
                <w:right w:val="none" w:sz="0" w:space="0" w:color="auto"/>
              </w:divBdr>
            </w:div>
            <w:div w:id="740249706">
              <w:marLeft w:val="0"/>
              <w:marRight w:val="0"/>
              <w:marTop w:val="0"/>
              <w:marBottom w:val="0"/>
              <w:divBdr>
                <w:top w:val="none" w:sz="0" w:space="0" w:color="auto"/>
                <w:left w:val="none" w:sz="0" w:space="0" w:color="auto"/>
                <w:bottom w:val="none" w:sz="0" w:space="0" w:color="auto"/>
                <w:right w:val="none" w:sz="0" w:space="0" w:color="auto"/>
              </w:divBdr>
            </w:div>
            <w:div w:id="805927247">
              <w:marLeft w:val="0"/>
              <w:marRight w:val="0"/>
              <w:marTop w:val="0"/>
              <w:marBottom w:val="0"/>
              <w:divBdr>
                <w:top w:val="none" w:sz="0" w:space="0" w:color="auto"/>
                <w:left w:val="none" w:sz="0" w:space="0" w:color="auto"/>
                <w:bottom w:val="none" w:sz="0" w:space="0" w:color="auto"/>
                <w:right w:val="none" w:sz="0" w:space="0" w:color="auto"/>
              </w:divBdr>
            </w:div>
            <w:div w:id="887767415">
              <w:marLeft w:val="0"/>
              <w:marRight w:val="0"/>
              <w:marTop w:val="0"/>
              <w:marBottom w:val="0"/>
              <w:divBdr>
                <w:top w:val="none" w:sz="0" w:space="0" w:color="auto"/>
                <w:left w:val="none" w:sz="0" w:space="0" w:color="auto"/>
                <w:bottom w:val="none" w:sz="0" w:space="0" w:color="auto"/>
                <w:right w:val="none" w:sz="0" w:space="0" w:color="auto"/>
              </w:divBdr>
            </w:div>
            <w:div w:id="1003360312">
              <w:marLeft w:val="0"/>
              <w:marRight w:val="0"/>
              <w:marTop w:val="0"/>
              <w:marBottom w:val="0"/>
              <w:divBdr>
                <w:top w:val="none" w:sz="0" w:space="0" w:color="auto"/>
                <w:left w:val="none" w:sz="0" w:space="0" w:color="auto"/>
                <w:bottom w:val="none" w:sz="0" w:space="0" w:color="auto"/>
                <w:right w:val="none" w:sz="0" w:space="0" w:color="auto"/>
              </w:divBdr>
            </w:div>
            <w:div w:id="1024597691">
              <w:marLeft w:val="0"/>
              <w:marRight w:val="0"/>
              <w:marTop w:val="0"/>
              <w:marBottom w:val="0"/>
              <w:divBdr>
                <w:top w:val="none" w:sz="0" w:space="0" w:color="auto"/>
                <w:left w:val="none" w:sz="0" w:space="0" w:color="auto"/>
                <w:bottom w:val="none" w:sz="0" w:space="0" w:color="auto"/>
                <w:right w:val="none" w:sz="0" w:space="0" w:color="auto"/>
              </w:divBdr>
            </w:div>
            <w:div w:id="1230120131">
              <w:marLeft w:val="0"/>
              <w:marRight w:val="0"/>
              <w:marTop w:val="0"/>
              <w:marBottom w:val="0"/>
              <w:divBdr>
                <w:top w:val="none" w:sz="0" w:space="0" w:color="auto"/>
                <w:left w:val="none" w:sz="0" w:space="0" w:color="auto"/>
                <w:bottom w:val="none" w:sz="0" w:space="0" w:color="auto"/>
                <w:right w:val="none" w:sz="0" w:space="0" w:color="auto"/>
              </w:divBdr>
            </w:div>
            <w:div w:id="1321425673">
              <w:marLeft w:val="0"/>
              <w:marRight w:val="0"/>
              <w:marTop w:val="0"/>
              <w:marBottom w:val="0"/>
              <w:divBdr>
                <w:top w:val="none" w:sz="0" w:space="0" w:color="auto"/>
                <w:left w:val="none" w:sz="0" w:space="0" w:color="auto"/>
                <w:bottom w:val="none" w:sz="0" w:space="0" w:color="auto"/>
                <w:right w:val="none" w:sz="0" w:space="0" w:color="auto"/>
              </w:divBdr>
            </w:div>
            <w:div w:id="1448231483">
              <w:marLeft w:val="0"/>
              <w:marRight w:val="0"/>
              <w:marTop w:val="0"/>
              <w:marBottom w:val="0"/>
              <w:divBdr>
                <w:top w:val="none" w:sz="0" w:space="0" w:color="auto"/>
                <w:left w:val="none" w:sz="0" w:space="0" w:color="auto"/>
                <w:bottom w:val="none" w:sz="0" w:space="0" w:color="auto"/>
                <w:right w:val="none" w:sz="0" w:space="0" w:color="auto"/>
              </w:divBdr>
            </w:div>
            <w:div w:id="1770738908">
              <w:marLeft w:val="0"/>
              <w:marRight w:val="0"/>
              <w:marTop w:val="0"/>
              <w:marBottom w:val="0"/>
              <w:divBdr>
                <w:top w:val="none" w:sz="0" w:space="0" w:color="auto"/>
                <w:left w:val="none" w:sz="0" w:space="0" w:color="auto"/>
                <w:bottom w:val="none" w:sz="0" w:space="0" w:color="auto"/>
                <w:right w:val="none" w:sz="0" w:space="0" w:color="auto"/>
              </w:divBdr>
            </w:div>
            <w:div w:id="1952979255">
              <w:marLeft w:val="0"/>
              <w:marRight w:val="0"/>
              <w:marTop w:val="0"/>
              <w:marBottom w:val="0"/>
              <w:divBdr>
                <w:top w:val="none" w:sz="0" w:space="0" w:color="auto"/>
                <w:left w:val="none" w:sz="0" w:space="0" w:color="auto"/>
                <w:bottom w:val="none" w:sz="0" w:space="0" w:color="auto"/>
                <w:right w:val="none" w:sz="0" w:space="0" w:color="auto"/>
              </w:divBdr>
            </w:div>
            <w:div w:id="2014843822">
              <w:marLeft w:val="0"/>
              <w:marRight w:val="0"/>
              <w:marTop w:val="0"/>
              <w:marBottom w:val="0"/>
              <w:divBdr>
                <w:top w:val="none" w:sz="0" w:space="0" w:color="auto"/>
                <w:left w:val="none" w:sz="0" w:space="0" w:color="auto"/>
                <w:bottom w:val="none" w:sz="0" w:space="0" w:color="auto"/>
                <w:right w:val="none" w:sz="0" w:space="0" w:color="auto"/>
              </w:divBdr>
            </w:div>
          </w:divsChild>
        </w:div>
        <w:div w:id="1985428056">
          <w:marLeft w:val="0"/>
          <w:marRight w:val="0"/>
          <w:marTop w:val="0"/>
          <w:marBottom w:val="0"/>
          <w:divBdr>
            <w:top w:val="none" w:sz="0" w:space="0" w:color="auto"/>
            <w:left w:val="none" w:sz="0" w:space="0" w:color="auto"/>
            <w:bottom w:val="none" w:sz="0" w:space="0" w:color="auto"/>
            <w:right w:val="none" w:sz="0" w:space="0" w:color="auto"/>
          </w:divBdr>
          <w:divsChild>
            <w:div w:id="1782341425">
              <w:marLeft w:val="0"/>
              <w:marRight w:val="0"/>
              <w:marTop w:val="30"/>
              <w:marBottom w:val="30"/>
              <w:divBdr>
                <w:top w:val="none" w:sz="0" w:space="0" w:color="auto"/>
                <w:left w:val="none" w:sz="0" w:space="0" w:color="auto"/>
                <w:bottom w:val="none" w:sz="0" w:space="0" w:color="auto"/>
                <w:right w:val="none" w:sz="0" w:space="0" w:color="auto"/>
              </w:divBdr>
              <w:divsChild>
                <w:div w:id="33165515">
                  <w:marLeft w:val="0"/>
                  <w:marRight w:val="0"/>
                  <w:marTop w:val="0"/>
                  <w:marBottom w:val="0"/>
                  <w:divBdr>
                    <w:top w:val="none" w:sz="0" w:space="0" w:color="auto"/>
                    <w:left w:val="none" w:sz="0" w:space="0" w:color="auto"/>
                    <w:bottom w:val="none" w:sz="0" w:space="0" w:color="auto"/>
                    <w:right w:val="none" w:sz="0" w:space="0" w:color="auto"/>
                  </w:divBdr>
                  <w:divsChild>
                    <w:div w:id="882205976">
                      <w:marLeft w:val="0"/>
                      <w:marRight w:val="0"/>
                      <w:marTop w:val="0"/>
                      <w:marBottom w:val="0"/>
                      <w:divBdr>
                        <w:top w:val="none" w:sz="0" w:space="0" w:color="auto"/>
                        <w:left w:val="none" w:sz="0" w:space="0" w:color="auto"/>
                        <w:bottom w:val="none" w:sz="0" w:space="0" w:color="auto"/>
                        <w:right w:val="none" w:sz="0" w:space="0" w:color="auto"/>
                      </w:divBdr>
                    </w:div>
                  </w:divsChild>
                </w:div>
                <w:div w:id="42095451">
                  <w:marLeft w:val="0"/>
                  <w:marRight w:val="0"/>
                  <w:marTop w:val="0"/>
                  <w:marBottom w:val="0"/>
                  <w:divBdr>
                    <w:top w:val="none" w:sz="0" w:space="0" w:color="auto"/>
                    <w:left w:val="none" w:sz="0" w:space="0" w:color="auto"/>
                    <w:bottom w:val="none" w:sz="0" w:space="0" w:color="auto"/>
                    <w:right w:val="none" w:sz="0" w:space="0" w:color="auto"/>
                  </w:divBdr>
                  <w:divsChild>
                    <w:div w:id="1698433165">
                      <w:marLeft w:val="0"/>
                      <w:marRight w:val="0"/>
                      <w:marTop w:val="0"/>
                      <w:marBottom w:val="0"/>
                      <w:divBdr>
                        <w:top w:val="none" w:sz="0" w:space="0" w:color="auto"/>
                        <w:left w:val="none" w:sz="0" w:space="0" w:color="auto"/>
                        <w:bottom w:val="none" w:sz="0" w:space="0" w:color="auto"/>
                        <w:right w:val="none" w:sz="0" w:space="0" w:color="auto"/>
                      </w:divBdr>
                    </w:div>
                  </w:divsChild>
                </w:div>
                <w:div w:id="59140769">
                  <w:marLeft w:val="0"/>
                  <w:marRight w:val="0"/>
                  <w:marTop w:val="0"/>
                  <w:marBottom w:val="0"/>
                  <w:divBdr>
                    <w:top w:val="none" w:sz="0" w:space="0" w:color="auto"/>
                    <w:left w:val="none" w:sz="0" w:space="0" w:color="auto"/>
                    <w:bottom w:val="none" w:sz="0" w:space="0" w:color="auto"/>
                    <w:right w:val="none" w:sz="0" w:space="0" w:color="auto"/>
                  </w:divBdr>
                  <w:divsChild>
                    <w:div w:id="1751926545">
                      <w:marLeft w:val="0"/>
                      <w:marRight w:val="0"/>
                      <w:marTop w:val="0"/>
                      <w:marBottom w:val="0"/>
                      <w:divBdr>
                        <w:top w:val="none" w:sz="0" w:space="0" w:color="auto"/>
                        <w:left w:val="none" w:sz="0" w:space="0" w:color="auto"/>
                        <w:bottom w:val="none" w:sz="0" w:space="0" w:color="auto"/>
                        <w:right w:val="none" w:sz="0" w:space="0" w:color="auto"/>
                      </w:divBdr>
                    </w:div>
                  </w:divsChild>
                </w:div>
                <w:div w:id="65423790">
                  <w:marLeft w:val="0"/>
                  <w:marRight w:val="0"/>
                  <w:marTop w:val="0"/>
                  <w:marBottom w:val="0"/>
                  <w:divBdr>
                    <w:top w:val="none" w:sz="0" w:space="0" w:color="auto"/>
                    <w:left w:val="none" w:sz="0" w:space="0" w:color="auto"/>
                    <w:bottom w:val="none" w:sz="0" w:space="0" w:color="auto"/>
                    <w:right w:val="none" w:sz="0" w:space="0" w:color="auto"/>
                  </w:divBdr>
                  <w:divsChild>
                    <w:div w:id="1460683984">
                      <w:marLeft w:val="0"/>
                      <w:marRight w:val="0"/>
                      <w:marTop w:val="0"/>
                      <w:marBottom w:val="0"/>
                      <w:divBdr>
                        <w:top w:val="none" w:sz="0" w:space="0" w:color="auto"/>
                        <w:left w:val="none" w:sz="0" w:space="0" w:color="auto"/>
                        <w:bottom w:val="none" w:sz="0" w:space="0" w:color="auto"/>
                        <w:right w:val="none" w:sz="0" w:space="0" w:color="auto"/>
                      </w:divBdr>
                    </w:div>
                  </w:divsChild>
                </w:div>
                <w:div w:id="175341498">
                  <w:marLeft w:val="0"/>
                  <w:marRight w:val="0"/>
                  <w:marTop w:val="0"/>
                  <w:marBottom w:val="0"/>
                  <w:divBdr>
                    <w:top w:val="none" w:sz="0" w:space="0" w:color="auto"/>
                    <w:left w:val="none" w:sz="0" w:space="0" w:color="auto"/>
                    <w:bottom w:val="none" w:sz="0" w:space="0" w:color="auto"/>
                    <w:right w:val="none" w:sz="0" w:space="0" w:color="auto"/>
                  </w:divBdr>
                  <w:divsChild>
                    <w:div w:id="342361882">
                      <w:marLeft w:val="0"/>
                      <w:marRight w:val="0"/>
                      <w:marTop w:val="0"/>
                      <w:marBottom w:val="0"/>
                      <w:divBdr>
                        <w:top w:val="none" w:sz="0" w:space="0" w:color="auto"/>
                        <w:left w:val="none" w:sz="0" w:space="0" w:color="auto"/>
                        <w:bottom w:val="none" w:sz="0" w:space="0" w:color="auto"/>
                        <w:right w:val="none" w:sz="0" w:space="0" w:color="auto"/>
                      </w:divBdr>
                    </w:div>
                  </w:divsChild>
                </w:div>
                <w:div w:id="282149838">
                  <w:marLeft w:val="0"/>
                  <w:marRight w:val="0"/>
                  <w:marTop w:val="0"/>
                  <w:marBottom w:val="0"/>
                  <w:divBdr>
                    <w:top w:val="none" w:sz="0" w:space="0" w:color="auto"/>
                    <w:left w:val="none" w:sz="0" w:space="0" w:color="auto"/>
                    <w:bottom w:val="none" w:sz="0" w:space="0" w:color="auto"/>
                    <w:right w:val="none" w:sz="0" w:space="0" w:color="auto"/>
                  </w:divBdr>
                  <w:divsChild>
                    <w:div w:id="1344210388">
                      <w:marLeft w:val="0"/>
                      <w:marRight w:val="0"/>
                      <w:marTop w:val="0"/>
                      <w:marBottom w:val="0"/>
                      <w:divBdr>
                        <w:top w:val="none" w:sz="0" w:space="0" w:color="auto"/>
                        <w:left w:val="none" w:sz="0" w:space="0" w:color="auto"/>
                        <w:bottom w:val="none" w:sz="0" w:space="0" w:color="auto"/>
                        <w:right w:val="none" w:sz="0" w:space="0" w:color="auto"/>
                      </w:divBdr>
                    </w:div>
                  </w:divsChild>
                </w:div>
                <w:div w:id="306011450">
                  <w:marLeft w:val="0"/>
                  <w:marRight w:val="0"/>
                  <w:marTop w:val="0"/>
                  <w:marBottom w:val="0"/>
                  <w:divBdr>
                    <w:top w:val="none" w:sz="0" w:space="0" w:color="auto"/>
                    <w:left w:val="none" w:sz="0" w:space="0" w:color="auto"/>
                    <w:bottom w:val="none" w:sz="0" w:space="0" w:color="auto"/>
                    <w:right w:val="none" w:sz="0" w:space="0" w:color="auto"/>
                  </w:divBdr>
                  <w:divsChild>
                    <w:div w:id="2117481032">
                      <w:marLeft w:val="0"/>
                      <w:marRight w:val="0"/>
                      <w:marTop w:val="0"/>
                      <w:marBottom w:val="0"/>
                      <w:divBdr>
                        <w:top w:val="none" w:sz="0" w:space="0" w:color="auto"/>
                        <w:left w:val="none" w:sz="0" w:space="0" w:color="auto"/>
                        <w:bottom w:val="none" w:sz="0" w:space="0" w:color="auto"/>
                        <w:right w:val="none" w:sz="0" w:space="0" w:color="auto"/>
                      </w:divBdr>
                    </w:div>
                  </w:divsChild>
                </w:div>
                <w:div w:id="370761549">
                  <w:marLeft w:val="0"/>
                  <w:marRight w:val="0"/>
                  <w:marTop w:val="0"/>
                  <w:marBottom w:val="0"/>
                  <w:divBdr>
                    <w:top w:val="none" w:sz="0" w:space="0" w:color="auto"/>
                    <w:left w:val="none" w:sz="0" w:space="0" w:color="auto"/>
                    <w:bottom w:val="none" w:sz="0" w:space="0" w:color="auto"/>
                    <w:right w:val="none" w:sz="0" w:space="0" w:color="auto"/>
                  </w:divBdr>
                  <w:divsChild>
                    <w:div w:id="1355695710">
                      <w:marLeft w:val="0"/>
                      <w:marRight w:val="0"/>
                      <w:marTop w:val="0"/>
                      <w:marBottom w:val="0"/>
                      <w:divBdr>
                        <w:top w:val="none" w:sz="0" w:space="0" w:color="auto"/>
                        <w:left w:val="none" w:sz="0" w:space="0" w:color="auto"/>
                        <w:bottom w:val="none" w:sz="0" w:space="0" w:color="auto"/>
                        <w:right w:val="none" w:sz="0" w:space="0" w:color="auto"/>
                      </w:divBdr>
                    </w:div>
                  </w:divsChild>
                </w:div>
                <w:div w:id="381180030">
                  <w:marLeft w:val="0"/>
                  <w:marRight w:val="0"/>
                  <w:marTop w:val="0"/>
                  <w:marBottom w:val="0"/>
                  <w:divBdr>
                    <w:top w:val="none" w:sz="0" w:space="0" w:color="auto"/>
                    <w:left w:val="none" w:sz="0" w:space="0" w:color="auto"/>
                    <w:bottom w:val="none" w:sz="0" w:space="0" w:color="auto"/>
                    <w:right w:val="none" w:sz="0" w:space="0" w:color="auto"/>
                  </w:divBdr>
                  <w:divsChild>
                    <w:div w:id="820539033">
                      <w:marLeft w:val="0"/>
                      <w:marRight w:val="0"/>
                      <w:marTop w:val="0"/>
                      <w:marBottom w:val="0"/>
                      <w:divBdr>
                        <w:top w:val="none" w:sz="0" w:space="0" w:color="auto"/>
                        <w:left w:val="none" w:sz="0" w:space="0" w:color="auto"/>
                        <w:bottom w:val="none" w:sz="0" w:space="0" w:color="auto"/>
                        <w:right w:val="none" w:sz="0" w:space="0" w:color="auto"/>
                      </w:divBdr>
                    </w:div>
                  </w:divsChild>
                </w:div>
                <w:div w:id="548302180">
                  <w:marLeft w:val="0"/>
                  <w:marRight w:val="0"/>
                  <w:marTop w:val="0"/>
                  <w:marBottom w:val="0"/>
                  <w:divBdr>
                    <w:top w:val="none" w:sz="0" w:space="0" w:color="auto"/>
                    <w:left w:val="none" w:sz="0" w:space="0" w:color="auto"/>
                    <w:bottom w:val="none" w:sz="0" w:space="0" w:color="auto"/>
                    <w:right w:val="none" w:sz="0" w:space="0" w:color="auto"/>
                  </w:divBdr>
                  <w:divsChild>
                    <w:div w:id="847790038">
                      <w:marLeft w:val="0"/>
                      <w:marRight w:val="0"/>
                      <w:marTop w:val="0"/>
                      <w:marBottom w:val="0"/>
                      <w:divBdr>
                        <w:top w:val="none" w:sz="0" w:space="0" w:color="auto"/>
                        <w:left w:val="none" w:sz="0" w:space="0" w:color="auto"/>
                        <w:bottom w:val="none" w:sz="0" w:space="0" w:color="auto"/>
                        <w:right w:val="none" w:sz="0" w:space="0" w:color="auto"/>
                      </w:divBdr>
                    </w:div>
                  </w:divsChild>
                </w:div>
                <w:div w:id="643512416">
                  <w:marLeft w:val="0"/>
                  <w:marRight w:val="0"/>
                  <w:marTop w:val="0"/>
                  <w:marBottom w:val="0"/>
                  <w:divBdr>
                    <w:top w:val="none" w:sz="0" w:space="0" w:color="auto"/>
                    <w:left w:val="none" w:sz="0" w:space="0" w:color="auto"/>
                    <w:bottom w:val="none" w:sz="0" w:space="0" w:color="auto"/>
                    <w:right w:val="none" w:sz="0" w:space="0" w:color="auto"/>
                  </w:divBdr>
                  <w:divsChild>
                    <w:div w:id="1559391054">
                      <w:marLeft w:val="0"/>
                      <w:marRight w:val="0"/>
                      <w:marTop w:val="0"/>
                      <w:marBottom w:val="0"/>
                      <w:divBdr>
                        <w:top w:val="none" w:sz="0" w:space="0" w:color="auto"/>
                        <w:left w:val="none" w:sz="0" w:space="0" w:color="auto"/>
                        <w:bottom w:val="none" w:sz="0" w:space="0" w:color="auto"/>
                        <w:right w:val="none" w:sz="0" w:space="0" w:color="auto"/>
                      </w:divBdr>
                    </w:div>
                  </w:divsChild>
                </w:div>
                <w:div w:id="753742321">
                  <w:marLeft w:val="0"/>
                  <w:marRight w:val="0"/>
                  <w:marTop w:val="0"/>
                  <w:marBottom w:val="0"/>
                  <w:divBdr>
                    <w:top w:val="none" w:sz="0" w:space="0" w:color="auto"/>
                    <w:left w:val="none" w:sz="0" w:space="0" w:color="auto"/>
                    <w:bottom w:val="none" w:sz="0" w:space="0" w:color="auto"/>
                    <w:right w:val="none" w:sz="0" w:space="0" w:color="auto"/>
                  </w:divBdr>
                  <w:divsChild>
                    <w:div w:id="1521164762">
                      <w:marLeft w:val="0"/>
                      <w:marRight w:val="0"/>
                      <w:marTop w:val="0"/>
                      <w:marBottom w:val="0"/>
                      <w:divBdr>
                        <w:top w:val="none" w:sz="0" w:space="0" w:color="auto"/>
                        <w:left w:val="none" w:sz="0" w:space="0" w:color="auto"/>
                        <w:bottom w:val="none" w:sz="0" w:space="0" w:color="auto"/>
                        <w:right w:val="none" w:sz="0" w:space="0" w:color="auto"/>
                      </w:divBdr>
                    </w:div>
                  </w:divsChild>
                </w:div>
                <w:div w:id="890849039">
                  <w:marLeft w:val="0"/>
                  <w:marRight w:val="0"/>
                  <w:marTop w:val="0"/>
                  <w:marBottom w:val="0"/>
                  <w:divBdr>
                    <w:top w:val="none" w:sz="0" w:space="0" w:color="auto"/>
                    <w:left w:val="none" w:sz="0" w:space="0" w:color="auto"/>
                    <w:bottom w:val="none" w:sz="0" w:space="0" w:color="auto"/>
                    <w:right w:val="none" w:sz="0" w:space="0" w:color="auto"/>
                  </w:divBdr>
                  <w:divsChild>
                    <w:div w:id="2141460436">
                      <w:marLeft w:val="0"/>
                      <w:marRight w:val="0"/>
                      <w:marTop w:val="0"/>
                      <w:marBottom w:val="0"/>
                      <w:divBdr>
                        <w:top w:val="none" w:sz="0" w:space="0" w:color="auto"/>
                        <w:left w:val="none" w:sz="0" w:space="0" w:color="auto"/>
                        <w:bottom w:val="none" w:sz="0" w:space="0" w:color="auto"/>
                        <w:right w:val="none" w:sz="0" w:space="0" w:color="auto"/>
                      </w:divBdr>
                    </w:div>
                  </w:divsChild>
                </w:div>
                <w:div w:id="896017972">
                  <w:marLeft w:val="0"/>
                  <w:marRight w:val="0"/>
                  <w:marTop w:val="0"/>
                  <w:marBottom w:val="0"/>
                  <w:divBdr>
                    <w:top w:val="none" w:sz="0" w:space="0" w:color="auto"/>
                    <w:left w:val="none" w:sz="0" w:space="0" w:color="auto"/>
                    <w:bottom w:val="none" w:sz="0" w:space="0" w:color="auto"/>
                    <w:right w:val="none" w:sz="0" w:space="0" w:color="auto"/>
                  </w:divBdr>
                  <w:divsChild>
                    <w:div w:id="815024191">
                      <w:marLeft w:val="0"/>
                      <w:marRight w:val="0"/>
                      <w:marTop w:val="0"/>
                      <w:marBottom w:val="0"/>
                      <w:divBdr>
                        <w:top w:val="none" w:sz="0" w:space="0" w:color="auto"/>
                        <w:left w:val="none" w:sz="0" w:space="0" w:color="auto"/>
                        <w:bottom w:val="none" w:sz="0" w:space="0" w:color="auto"/>
                        <w:right w:val="none" w:sz="0" w:space="0" w:color="auto"/>
                      </w:divBdr>
                    </w:div>
                  </w:divsChild>
                </w:div>
                <w:div w:id="911888838">
                  <w:marLeft w:val="0"/>
                  <w:marRight w:val="0"/>
                  <w:marTop w:val="0"/>
                  <w:marBottom w:val="0"/>
                  <w:divBdr>
                    <w:top w:val="none" w:sz="0" w:space="0" w:color="auto"/>
                    <w:left w:val="none" w:sz="0" w:space="0" w:color="auto"/>
                    <w:bottom w:val="none" w:sz="0" w:space="0" w:color="auto"/>
                    <w:right w:val="none" w:sz="0" w:space="0" w:color="auto"/>
                  </w:divBdr>
                  <w:divsChild>
                    <w:div w:id="1367833276">
                      <w:marLeft w:val="0"/>
                      <w:marRight w:val="0"/>
                      <w:marTop w:val="0"/>
                      <w:marBottom w:val="0"/>
                      <w:divBdr>
                        <w:top w:val="none" w:sz="0" w:space="0" w:color="auto"/>
                        <w:left w:val="none" w:sz="0" w:space="0" w:color="auto"/>
                        <w:bottom w:val="none" w:sz="0" w:space="0" w:color="auto"/>
                        <w:right w:val="none" w:sz="0" w:space="0" w:color="auto"/>
                      </w:divBdr>
                    </w:div>
                  </w:divsChild>
                </w:div>
                <w:div w:id="986855664">
                  <w:marLeft w:val="0"/>
                  <w:marRight w:val="0"/>
                  <w:marTop w:val="0"/>
                  <w:marBottom w:val="0"/>
                  <w:divBdr>
                    <w:top w:val="none" w:sz="0" w:space="0" w:color="auto"/>
                    <w:left w:val="none" w:sz="0" w:space="0" w:color="auto"/>
                    <w:bottom w:val="none" w:sz="0" w:space="0" w:color="auto"/>
                    <w:right w:val="none" w:sz="0" w:space="0" w:color="auto"/>
                  </w:divBdr>
                  <w:divsChild>
                    <w:div w:id="822351091">
                      <w:marLeft w:val="0"/>
                      <w:marRight w:val="0"/>
                      <w:marTop w:val="0"/>
                      <w:marBottom w:val="0"/>
                      <w:divBdr>
                        <w:top w:val="none" w:sz="0" w:space="0" w:color="auto"/>
                        <w:left w:val="none" w:sz="0" w:space="0" w:color="auto"/>
                        <w:bottom w:val="none" w:sz="0" w:space="0" w:color="auto"/>
                        <w:right w:val="none" w:sz="0" w:space="0" w:color="auto"/>
                      </w:divBdr>
                    </w:div>
                  </w:divsChild>
                </w:div>
                <w:div w:id="1036463170">
                  <w:marLeft w:val="0"/>
                  <w:marRight w:val="0"/>
                  <w:marTop w:val="0"/>
                  <w:marBottom w:val="0"/>
                  <w:divBdr>
                    <w:top w:val="none" w:sz="0" w:space="0" w:color="auto"/>
                    <w:left w:val="none" w:sz="0" w:space="0" w:color="auto"/>
                    <w:bottom w:val="none" w:sz="0" w:space="0" w:color="auto"/>
                    <w:right w:val="none" w:sz="0" w:space="0" w:color="auto"/>
                  </w:divBdr>
                  <w:divsChild>
                    <w:div w:id="1098866182">
                      <w:marLeft w:val="0"/>
                      <w:marRight w:val="0"/>
                      <w:marTop w:val="0"/>
                      <w:marBottom w:val="0"/>
                      <w:divBdr>
                        <w:top w:val="none" w:sz="0" w:space="0" w:color="auto"/>
                        <w:left w:val="none" w:sz="0" w:space="0" w:color="auto"/>
                        <w:bottom w:val="none" w:sz="0" w:space="0" w:color="auto"/>
                        <w:right w:val="none" w:sz="0" w:space="0" w:color="auto"/>
                      </w:divBdr>
                    </w:div>
                  </w:divsChild>
                </w:div>
                <w:div w:id="1078945829">
                  <w:marLeft w:val="0"/>
                  <w:marRight w:val="0"/>
                  <w:marTop w:val="0"/>
                  <w:marBottom w:val="0"/>
                  <w:divBdr>
                    <w:top w:val="none" w:sz="0" w:space="0" w:color="auto"/>
                    <w:left w:val="none" w:sz="0" w:space="0" w:color="auto"/>
                    <w:bottom w:val="none" w:sz="0" w:space="0" w:color="auto"/>
                    <w:right w:val="none" w:sz="0" w:space="0" w:color="auto"/>
                  </w:divBdr>
                  <w:divsChild>
                    <w:div w:id="761610309">
                      <w:marLeft w:val="0"/>
                      <w:marRight w:val="0"/>
                      <w:marTop w:val="0"/>
                      <w:marBottom w:val="0"/>
                      <w:divBdr>
                        <w:top w:val="none" w:sz="0" w:space="0" w:color="auto"/>
                        <w:left w:val="none" w:sz="0" w:space="0" w:color="auto"/>
                        <w:bottom w:val="none" w:sz="0" w:space="0" w:color="auto"/>
                        <w:right w:val="none" w:sz="0" w:space="0" w:color="auto"/>
                      </w:divBdr>
                    </w:div>
                  </w:divsChild>
                </w:div>
                <w:div w:id="1151021274">
                  <w:marLeft w:val="0"/>
                  <w:marRight w:val="0"/>
                  <w:marTop w:val="0"/>
                  <w:marBottom w:val="0"/>
                  <w:divBdr>
                    <w:top w:val="none" w:sz="0" w:space="0" w:color="auto"/>
                    <w:left w:val="none" w:sz="0" w:space="0" w:color="auto"/>
                    <w:bottom w:val="none" w:sz="0" w:space="0" w:color="auto"/>
                    <w:right w:val="none" w:sz="0" w:space="0" w:color="auto"/>
                  </w:divBdr>
                  <w:divsChild>
                    <w:div w:id="734007762">
                      <w:marLeft w:val="0"/>
                      <w:marRight w:val="0"/>
                      <w:marTop w:val="0"/>
                      <w:marBottom w:val="0"/>
                      <w:divBdr>
                        <w:top w:val="none" w:sz="0" w:space="0" w:color="auto"/>
                        <w:left w:val="none" w:sz="0" w:space="0" w:color="auto"/>
                        <w:bottom w:val="none" w:sz="0" w:space="0" w:color="auto"/>
                        <w:right w:val="none" w:sz="0" w:space="0" w:color="auto"/>
                      </w:divBdr>
                    </w:div>
                  </w:divsChild>
                </w:div>
                <w:div w:id="1177114541">
                  <w:marLeft w:val="0"/>
                  <w:marRight w:val="0"/>
                  <w:marTop w:val="0"/>
                  <w:marBottom w:val="0"/>
                  <w:divBdr>
                    <w:top w:val="none" w:sz="0" w:space="0" w:color="auto"/>
                    <w:left w:val="none" w:sz="0" w:space="0" w:color="auto"/>
                    <w:bottom w:val="none" w:sz="0" w:space="0" w:color="auto"/>
                    <w:right w:val="none" w:sz="0" w:space="0" w:color="auto"/>
                  </w:divBdr>
                  <w:divsChild>
                    <w:div w:id="60062510">
                      <w:marLeft w:val="0"/>
                      <w:marRight w:val="0"/>
                      <w:marTop w:val="0"/>
                      <w:marBottom w:val="0"/>
                      <w:divBdr>
                        <w:top w:val="none" w:sz="0" w:space="0" w:color="auto"/>
                        <w:left w:val="none" w:sz="0" w:space="0" w:color="auto"/>
                        <w:bottom w:val="none" w:sz="0" w:space="0" w:color="auto"/>
                        <w:right w:val="none" w:sz="0" w:space="0" w:color="auto"/>
                      </w:divBdr>
                    </w:div>
                  </w:divsChild>
                </w:div>
                <w:div w:id="1419212696">
                  <w:marLeft w:val="0"/>
                  <w:marRight w:val="0"/>
                  <w:marTop w:val="0"/>
                  <w:marBottom w:val="0"/>
                  <w:divBdr>
                    <w:top w:val="none" w:sz="0" w:space="0" w:color="auto"/>
                    <w:left w:val="none" w:sz="0" w:space="0" w:color="auto"/>
                    <w:bottom w:val="none" w:sz="0" w:space="0" w:color="auto"/>
                    <w:right w:val="none" w:sz="0" w:space="0" w:color="auto"/>
                  </w:divBdr>
                  <w:divsChild>
                    <w:div w:id="319427230">
                      <w:marLeft w:val="0"/>
                      <w:marRight w:val="0"/>
                      <w:marTop w:val="0"/>
                      <w:marBottom w:val="0"/>
                      <w:divBdr>
                        <w:top w:val="none" w:sz="0" w:space="0" w:color="auto"/>
                        <w:left w:val="none" w:sz="0" w:space="0" w:color="auto"/>
                        <w:bottom w:val="none" w:sz="0" w:space="0" w:color="auto"/>
                        <w:right w:val="none" w:sz="0" w:space="0" w:color="auto"/>
                      </w:divBdr>
                    </w:div>
                  </w:divsChild>
                </w:div>
                <w:div w:id="1419525298">
                  <w:marLeft w:val="0"/>
                  <w:marRight w:val="0"/>
                  <w:marTop w:val="0"/>
                  <w:marBottom w:val="0"/>
                  <w:divBdr>
                    <w:top w:val="none" w:sz="0" w:space="0" w:color="auto"/>
                    <w:left w:val="none" w:sz="0" w:space="0" w:color="auto"/>
                    <w:bottom w:val="none" w:sz="0" w:space="0" w:color="auto"/>
                    <w:right w:val="none" w:sz="0" w:space="0" w:color="auto"/>
                  </w:divBdr>
                  <w:divsChild>
                    <w:div w:id="1104109443">
                      <w:marLeft w:val="0"/>
                      <w:marRight w:val="0"/>
                      <w:marTop w:val="0"/>
                      <w:marBottom w:val="0"/>
                      <w:divBdr>
                        <w:top w:val="none" w:sz="0" w:space="0" w:color="auto"/>
                        <w:left w:val="none" w:sz="0" w:space="0" w:color="auto"/>
                        <w:bottom w:val="none" w:sz="0" w:space="0" w:color="auto"/>
                        <w:right w:val="none" w:sz="0" w:space="0" w:color="auto"/>
                      </w:divBdr>
                    </w:div>
                  </w:divsChild>
                </w:div>
                <w:div w:id="1601331833">
                  <w:marLeft w:val="0"/>
                  <w:marRight w:val="0"/>
                  <w:marTop w:val="0"/>
                  <w:marBottom w:val="0"/>
                  <w:divBdr>
                    <w:top w:val="none" w:sz="0" w:space="0" w:color="auto"/>
                    <w:left w:val="none" w:sz="0" w:space="0" w:color="auto"/>
                    <w:bottom w:val="none" w:sz="0" w:space="0" w:color="auto"/>
                    <w:right w:val="none" w:sz="0" w:space="0" w:color="auto"/>
                  </w:divBdr>
                  <w:divsChild>
                    <w:div w:id="601762214">
                      <w:marLeft w:val="0"/>
                      <w:marRight w:val="0"/>
                      <w:marTop w:val="0"/>
                      <w:marBottom w:val="0"/>
                      <w:divBdr>
                        <w:top w:val="none" w:sz="0" w:space="0" w:color="auto"/>
                        <w:left w:val="none" w:sz="0" w:space="0" w:color="auto"/>
                        <w:bottom w:val="none" w:sz="0" w:space="0" w:color="auto"/>
                        <w:right w:val="none" w:sz="0" w:space="0" w:color="auto"/>
                      </w:divBdr>
                    </w:div>
                  </w:divsChild>
                </w:div>
                <w:div w:id="1603412906">
                  <w:marLeft w:val="0"/>
                  <w:marRight w:val="0"/>
                  <w:marTop w:val="0"/>
                  <w:marBottom w:val="0"/>
                  <w:divBdr>
                    <w:top w:val="none" w:sz="0" w:space="0" w:color="auto"/>
                    <w:left w:val="none" w:sz="0" w:space="0" w:color="auto"/>
                    <w:bottom w:val="none" w:sz="0" w:space="0" w:color="auto"/>
                    <w:right w:val="none" w:sz="0" w:space="0" w:color="auto"/>
                  </w:divBdr>
                  <w:divsChild>
                    <w:div w:id="780876176">
                      <w:marLeft w:val="0"/>
                      <w:marRight w:val="0"/>
                      <w:marTop w:val="0"/>
                      <w:marBottom w:val="0"/>
                      <w:divBdr>
                        <w:top w:val="none" w:sz="0" w:space="0" w:color="auto"/>
                        <w:left w:val="none" w:sz="0" w:space="0" w:color="auto"/>
                        <w:bottom w:val="none" w:sz="0" w:space="0" w:color="auto"/>
                        <w:right w:val="none" w:sz="0" w:space="0" w:color="auto"/>
                      </w:divBdr>
                    </w:div>
                  </w:divsChild>
                </w:div>
                <w:div w:id="1637642535">
                  <w:marLeft w:val="0"/>
                  <w:marRight w:val="0"/>
                  <w:marTop w:val="0"/>
                  <w:marBottom w:val="0"/>
                  <w:divBdr>
                    <w:top w:val="none" w:sz="0" w:space="0" w:color="auto"/>
                    <w:left w:val="none" w:sz="0" w:space="0" w:color="auto"/>
                    <w:bottom w:val="none" w:sz="0" w:space="0" w:color="auto"/>
                    <w:right w:val="none" w:sz="0" w:space="0" w:color="auto"/>
                  </w:divBdr>
                  <w:divsChild>
                    <w:div w:id="1253247750">
                      <w:marLeft w:val="0"/>
                      <w:marRight w:val="0"/>
                      <w:marTop w:val="0"/>
                      <w:marBottom w:val="0"/>
                      <w:divBdr>
                        <w:top w:val="none" w:sz="0" w:space="0" w:color="auto"/>
                        <w:left w:val="none" w:sz="0" w:space="0" w:color="auto"/>
                        <w:bottom w:val="none" w:sz="0" w:space="0" w:color="auto"/>
                        <w:right w:val="none" w:sz="0" w:space="0" w:color="auto"/>
                      </w:divBdr>
                    </w:div>
                  </w:divsChild>
                </w:div>
                <w:div w:id="1698189560">
                  <w:marLeft w:val="0"/>
                  <w:marRight w:val="0"/>
                  <w:marTop w:val="0"/>
                  <w:marBottom w:val="0"/>
                  <w:divBdr>
                    <w:top w:val="none" w:sz="0" w:space="0" w:color="auto"/>
                    <w:left w:val="none" w:sz="0" w:space="0" w:color="auto"/>
                    <w:bottom w:val="none" w:sz="0" w:space="0" w:color="auto"/>
                    <w:right w:val="none" w:sz="0" w:space="0" w:color="auto"/>
                  </w:divBdr>
                  <w:divsChild>
                    <w:div w:id="490098062">
                      <w:marLeft w:val="0"/>
                      <w:marRight w:val="0"/>
                      <w:marTop w:val="0"/>
                      <w:marBottom w:val="0"/>
                      <w:divBdr>
                        <w:top w:val="none" w:sz="0" w:space="0" w:color="auto"/>
                        <w:left w:val="none" w:sz="0" w:space="0" w:color="auto"/>
                        <w:bottom w:val="none" w:sz="0" w:space="0" w:color="auto"/>
                        <w:right w:val="none" w:sz="0" w:space="0" w:color="auto"/>
                      </w:divBdr>
                    </w:div>
                  </w:divsChild>
                </w:div>
                <w:div w:id="1889997577">
                  <w:marLeft w:val="0"/>
                  <w:marRight w:val="0"/>
                  <w:marTop w:val="0"/>
                  <w:marBottom w:val="0"/>
                  <w:divBdr>
                    <w:top w:val="none" w:sz="0" w:space="0" w:color="auto"/>
                    <w:left w:val="none" w:sz="0" w:space="0" w:color="auto"/>
                    <w:bottom w:val="none" w:sz="0" w:space="0" w:color="auto"/>
                    <w:right w:val="none" w:sz="0" w:space="0" w:color="auto"/>
                  </w:divBdr>
                  <w:divsChild>
                    <w:div w:id="1072656915">
                      <w:marLeft w:val="0"/>
                      <w:marRight w:val="0"/>
                      <w:marTop w:val="0"/>
                      <w:marBottom w:val="0"/>
                      <w:divBdr>
                        <w:top w:val="none" w:sz="0" w:space="0" w:color="auto"/>
                        <w:left w:val="none" w:sz="0" w:space="0" w:color="auto"/>
                        <w:bottom w:val="none" w:sz="0" w:space="0" w:color="auto"/>
                        <w:right w:val="none" w:sz="0" w:space="0" w:color="auto"/>
                      </w:divBdr>
                    </w:div>
                  </w:divsChild>
                </w:div>
                <w:div w:id="1926380942">
                  <w:marLeft w:val="0"/>
                  <w:marRight w:val="0"/>
                  <w:marTop w:val="0"/>
                  <w:marBottom w:val="0"/>
                  <w:divBdr>
                    <w:top w:val="none" w:sz="0" w:space="0" w:color="auto"/>
                    <w:left w:val="none" w:sz="0" w:space="0" w:color="auto"/>
                    <w:bottom w:val="none" w:sz="0" w:space="0" w:color="auto"/>
                    <w:right w:val="none" w:sz="0" w:space="0" w:color="auto"/>
                  </w:divBdr>
                  <w:divsChild>
                    <w:div w:id="1087770003">
                      <w:marLeft w:val="0"/>
                      <w:marRight w:val="0"/>
                      <w:marTop w:val="0"/>
                      <w:marBottom w:val="0"/>
                      <w:divBdr>
                        <w:top w:val="none" w:sz="0" w:space="0" w:color="auto"/>
                        <w:left w:val="none" w:sz="0" w:space="0" w:color="auto"/>
                        <w:bottom w:val="none" w:sz="0" w:space="0" w:color="auto"/>
                        <w:right w:val="none" w:sz="0" w:space="0" w:color="auto"/>
                      </w:divBdr>
                    </w:div>
                    <w:div w:id="1488783737">
                      <w:marLeft w:val="0"/>
                      <w:marRight w:val="0"/>
                      <w:marTop w:val="0"/>
                      <w:marBottom w:val="0"/>
                      <w:divBdr>
                        <w:top w:val="none" w:sz="0" w:space="0" w:color="auto"/>
                        <w:left w:val="none" w:sz="0" w:space="0" w:color="auto"/>
                        <w:bottom w:val="none" w:sz="0" w:space="0" w:color="auto"/>
                        <w:right w:val="none" w:sz="0" w:space="0" w:color="auto"/>
                      </w:divBdr>
                    </w:div>
                    <w:div w:id="2146121571">
                      <w:marLeft w:val="0"/>
                      <w:marRight w:val="0"/>
                      <w:marTop w:val="0"/>
                      <w:marBottom w:val="0"/>
                      <w:divBdr>
                        <w:top w:val="none" w:sz="0" w:space="0" w:color="auto"/>
                        <w:left w:val="none" w:sz="0" w:space="0" w:color="auto"/>
                        <w:bottom w:val="none" w:sz="0" w:space="0" w:color="auto"/>
                        <w:right w:val="none" w:sz="0" w:space="0" w:color="auto"/>
                      </w:divBdr>
                    </w:div>
                  </w:divsChild>
                </w:div>
                <w:div w:id="2055959021">
                  <w:marLeft w:val="0"/>
                  <w:marRight w:val="0"/>
                  <w:marTop w:val="0"/>
                  <w:marBottom w:val="0"/>
                  <w:divBdr>
                    <w:top w:val="none" w:sz="0" w:space="0" w:color="auto"/>
                    <w:left w:val="none" w:sz="0" w:space="0" w:color="auto"/>
                    <w:bottom w:val="none" w:sz="0" w:space="0" w:color="auto"/>
                    <w:right w:val="none" w:sz="0" w:space="0" w:color="auto"/>
                  </w:divBdr>
                  <w:divsChild>
                    <w:div w:id="188616238">
                      <w:marLeft w:val="0"/>
                      <w:marRight w:val="0"/>
                      <w:marTop w:val="0"/>
                      <w:marBottom w:val="0"/>
                      <w:divBdr>
                        <w:top w:val="none" w:sz="0" w:space="0" w:color="auto"/>
                        <w:left w:val="none" w:sz="0" w:space="0" w:color="auto"/>
                        <w:bottom w:val="none" w:sz="0" w:space="0" w:color="auto"/>
                        <w:right w:val="none" w:sz="0" w:space="0" w:color="auto"/>
                      </w:divBdr>
                    </w:div>
                  </w:divsChild>
                </w:div>
                <w:div w:id="2115126124">
                  <w:marLeft w:val="0"/>
                  <w:marRight w:val="0"/>
                  <w:marTop w:val="0"/>
                  <w:marBottom w:val="0"/>
                  <w:divBdr>
                    <w:top w:val="none" w:sz="0" w:space="0" w:color="auto"/>
                    <w:left w:val="none" w:sz="0" w:space="0" w:color="auto"/>
                    <w:bottom w:val="none" w:sz="0" w:space="0" w:color="auto"/>
                    <w:right w:val="none" w:sz="0" w:space="0" w:color="auto"/>
                  </w:divBdr>
                  <w:divsChild>
                    <w:div w:id="28681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5539370">
      <w:bodyDiv w:val="1"/>
      <w:marLeft w:val="0"/>
      <w:marRight w:val="0"/>
      <w:marTop w:val="0"/>
      <w:marBottom w:val="0"/>
      <w:divBdr>
        <w:top w:val="none" w:sz="0" w:space="0" w:color="auto"/>
        <w:left w:val="none" w:sz="0" w:space="0" w:color="auto"/>
        <w:bottom w:val="none" w:sz="0" w:space="0" w:color="auto"/>
        <w:right w:val="none" w:sz="0" w:space="0" w:color="auto"/>
      </w:divBdr>
    </w:div>
    <w:div w:id="1824814206">
      <w:bodyDiv w:val="1"/>
      <w:marLeft w:val="0"/>
      <w:marRight w:val="0"/>
      <w:marTop w:val="0"/>
      <w:marBottom w:val="0"/>
      <w:divBdr>
        <w:top w:val="none" w:sz="0" w:space="0" w:color="auto"/>
        <w:left w:val="none" w:sz="0" w:space="0" w:color="auto"/>
        <w:bottom w:val="none" w:sz="0" w:space="0" w:color="auto"/>
        <w:right w:val="none" w:sz="0" w:space="0" w:color="auto"/>
      </w:divBdr>
      <w:divsChild>
        <w:div w:id="147526835">
          <w:marLeft w:val="0"/>
          <w:marRight w:val="0"/>
          <w:marTop w:val="0"/>
          <w:marBottom w:val="0"/>
          <w:divBdr>
            <w:top w:val="none" w:sz="0" w:space="0" w:color="auto"/>
            <w:left w:val="none" w:sz="0" w:space="0" w:color="auto"/>
            <w:bottom w:val="none" w:sz="0" w:space="0" w:color="auto"/>
            <w:right w:val="none" w:sz="0" w:space="0" w:color="auto"/>
          </w:divBdr>
        </w:div>
        <w:div w:id="410933555">
          <w:marLeft w:val="0"/>
          <w:marRight w:val="0"/>
          <w:marTop w:val="0"/>
          <w:marBottom w:val="0"/>
          <w:divBdr>
            <w:top w:val="none" w:sz="0" w:space="0" w:color="auto"/>
            <w:left w:val="none" w:sz="0" w:space="0" w:color="auto"/>
            <w:bottom w:val="none" w:sz="0" w:space="0" w:color="auto"/>
            <w:right w:val="none" w:sz="0" w:space="0" w:color="auto"/>
          </w:divBdr>
        </w:div>
        <w:div w:id="568273716">
          <w:marLeft w:val="0"/>
          <w:marRight w:val="0"/>
          <w:marTop w:val="0"/>
          <w:marBottom w:val="0"/>
          <w:divBdr>
            <w:top w:val="none" w:sz="0" w:space="0" w:color="auto"/>
            <w:left w:val="none" w:sz="0" w:space="0" w:color="auto"/>
            <w:bottom w:val="none" w:sz="0" w:space="0" w:color="auto"/>
            <w:right w:val="none" w:sz="0" w:space="0" w:color="auto"/>
          </w:divBdr>
        </w:div>
        <w:div w:id="808128537">
          <w:marLeft w:val="0"/>
          <w:marRight w:val="0"/>
          <w:marTop w:val="0"/>
          <w:marBottom w:val="0"/>
          <w:divBdr>
            <w:top w:val="none" w:sz="0" w:space="0" w:color="auto"/>
            <w:left w:val="none" w:sz="0" w:space="0" w:color="auto"/>
            <w:bottom w:val="none" w:sz="0" w:space="0" w:color="auto"/>
            <w:right w:val="none" w:sz="0" w:space="0" w:color="auto"/>
          </w:divBdr>
        </w:div>
        <w:div w:id="938370950">
          <w:marLeft w:val="0"/>
          <w:marRight w:val="0"/>
          <w:marTop w:val="0"/>
          <w:marBottom w:val="0"/>
          <w:divBdr>
            <w:top w:val="none" w:sz="0" w:space="0" w:color="auto"/>
            <w:left w:val="none" w:sz="0" w:space="0" w:color="auto"/>
            <w:bottom w:val="none" w:sz="0" w:space="0" w:color="auto"/>
            <w:right w:val="none" w:sz="0" w:space="0" w:color="auto"/>
          </w:divBdr>
        </w:div>
        <w:div w:id="1680892192">
          <w:marLeft w:val="0"/>
          <w:marRight w:val="0"/>
          <w:marTop w:val="0"/>
          <w:marBottom w:val="0"/>
          <w:divBdr>
            <w:top w:val="none" w:sz="0" w:space="0" w:color="auto"/>
            <w:left w:val="none" w:sz="0" w:space="0" w:color="auto"/>
            <w:bottom w:val="none" w:sz="0" w:space="0" w:color="auto"/>
            <w:right w:val="none" w:sz="0" w:space="0" w:color="auto"/>
          </w:divBdr>
        </w:div>
        <w:div w:id="1987084053">
          <w:marLeft w:val="0"/>
          <w:marRight w:val="0"/>
          <w:marTop w:val="0"/>
          <w:marBottom w:val="0"/>
          <w:divBdr>
            <w:top w:val="none" w:sz="0" w:space="0" w:color="auto"/>
            <w:left w:val="none" w:sz="0" w:space="0" w:color="auto"/>
            <w:bottom w:val="none" w:sz="0" w:space="0" w:color="auto"/>
            <w:right w:val="none" w:sz="0" w:space="0" w:color="auto"/>
          </w:divBdr>
        </w:div>
      </w:divsChild>
    </w:div>
    <w:div w:id="1846624781">
      <w:bodyDiv w:val="1"/>
      <w:marLeft w:val="0"/>
      <w:marRight w:val="0"/>
      <w:marTop w:val="0"/>
      <w:marBottom w:val="0"/>
      <w:divBdr>
        <w:top w:val="none" w:sz="0" w:space="0" w:color="auto"/>
        <w:left w:val="none" w:sz="0" w:space="0" w:color="auto"/>
        <w:bottom w:val="none" w:sz="0" w:space="0" w:color="auto"/>
        <w:right w:val="none" w:sz="0" w:space="0" w:color="auto"/>
      </w:divBdr>
    </w:div>
    <w:div w:id="1859348947">
      <w:bodyDiv w:val="1"/>
      <w:marLeft w:val="0"/>
      <w:marRight w:val="0"/>
      <w:marTop w:val="0"/>
      <w:marBottom w:val="0"/>
      <w:divBdr>
        <w:top w:val="none" w:sz="0" w:space="0" w:color="auto"/>
        <w:left w:val="none" w:sz="0" w:space="0" w:color="auto"/>
        <w:bottom w:val="none" w:sz="0" w:space="0" w:color="auto"/>
        <w:right w:val="none" w:sz="0" w:space="0" w:color="auto"/>
      </w:divBdr>
    </w:div>
    <w:div w:id="1864051510">
      <w:bodyDiv w:val="1"/>
      <w:marLeft w:val="0"/>
      <w:marRight w:val="0"/>
      <w:marTop w:val="0"/>
      <w:marBottom w:val="0"/>
      <w:divBdr>
        <w:top w:val="none" w:sz="0" w:space="0" w:color="auto"/>
        <w:left w:val="none" w:sz="0" w:space="0" w:color="auto"/>
        <w:bottom w:val="none" w:sz="0" w:space="0" w:color="auto"/>
        <w:right w:val="none" w:sz="0" w:space="0" w:color="auto"/>
      </w:divBdr>
    </w:div>
    <w:div w:id="1899514634">
      <w:bodyDiv w:val="1"/>
      <w:marLeft w:val="0"/>
      <w:marRight w:val="0"/>
      <w:marTop w:val="0"/>
      <w:marBottom w:val="0"/>
      <w:divBdr>
        <w:top w:val="none" w:sz="0" w:space="0" w:color="auto"/>
        <w:left w:val="none" w:sz="0" w:space="0" w:color="auto"/>
        <w:bottom w:val="none" w:sz="0" w:space="0" w:color="auto"/>
        <w:right w:val="none" w:sz="0" w:space="0" w:color="auto"/>
      </w:divBdr>
    </w:div>
    <w:div w:id="1940216892">
      <w:bodyDiv w:val="1"/>
      <w:marLeft w:val="0"/>
      <w:marRight w:val="0"/>
      <w:marTop w:val="0"/>
      <w:marBottom w:val="0"/>
      <w:divBdr>
        <w:top w:val="none" w:sz="0" w:space="0" w:color="auto"/>
        <w:left w:val="none" w:sz="0" w:space="0" w:color="auto"/>
        <w:bottom w:val="none" w:sz="0" w:space="0" w:color="auto"/>
        <w:right w:val="none" w:sz="0" w:space="0" w:color="auto"/>
      </w:divBdr>
    </w:div>
    <w:div w:id="1968461296">
      <w:bodyDiv w:val="1"/>
      <w:marLeft w:val="0"/>
      <w:marRight w:val="0"/>
      <w:marTop w:val="0"/>
      <w:marBottom w:val="0"/>
      <w:divBdr>
        <w:top w:val="none" w:sz="0" w:space="0" w:color="auto"/>
        <w:left w:val="none" w:sz="0" w:space="0" w:color="auto"/>
        <w:bottom w:val="none" w:sz="0" w:space="0" w:color="auto"/>
        <w:right w:val="none" w:sz="0" w:space="0" w:color="auto"/>
      </w:divBdr>
    </w:div>
    <w:div w:id="1980576385">
      <w:bodyDiv w:val="1"/>
      <w:marLeft w:val="0"/>
      <w:marRight w:val="0"/>
      <w:marTop w:val="0"/>
      <w:marBottom w:val="0"/>
      <w:divBdr>
        <w:top w:val="none" w:sz="0" w:space="0" w:color="auto"/>
        <w:left w:val="none" w:sz="0" w:space="0" w:color="auto"/>
        <w:bottom w:val="none" w:sz="0" w:space="0" w:color="auto"/>
        <w:right w:val="none" w:sz="0" w:space="0" w:color="auto"/>
      </w:divBdr>
    </w:div>
    <w:div w:id="2051495420">
      <w:bodyDiv w:val="1"/>
      <w:marLeft w:val="0"/>
      <w:marRight w:val="0"/>
      <w:marTop w:val="0"/>
      <w:marBottom w:val="0"/>
      <w:divBdr>
        <w:top w:val="none" w:sz="0" w:space="0" w:color="auto"/>
        <w:left w:val="none" w:sz="0" w:space="0" w:color="auto"/>
        <w:bottom w:val="none" w:sz="0" w:space="0" w:color="auto"/>
        <w:right w:val="none" w:sz="0" w:space="0" w:color="auto"/>
      </w:divBdr>
    </w:div>
    <w:div w:id="2054037138">
      <w:bodyDiv w:val="1"/>
      <w:marLeft w:val="0"/>
      <w:marRight w:val="0"/>
      <w:marTop w:val="0"/>
      <w:marBottom w:val="0"/>
      <w:divBdr>
        <w:top w:val="none" w:sz="0" w:space="0" w:color="auto"/>
        <w:left w:val="none" w:sz="0" w:space="0" w:color="auto"/>
        <w:bottom w:val="none" w:sz="0" w:space="0" w:color="auto"/>
        <w:right w:val="none" w:sz="0" w:space="0" w:color="auto"/>
      </w:divBdr>
      <w:divsChild>
        <w:div w:id="24409886">
          <w:marLeft w:val="0"/>
          <w:marRight w:val="0"/>
          <w:marTop w:val="0"/>
          <w:marBottom w:val="0"/>
          <w:divBdr>
            <w:top w:val="none" w:sz="0" w:space="0" w:color="auto"/>
            <w:left w:val="none" w:sz="0" w:space="0" w:color="auto"/>
            <w:bottom w:val="none" w:sz="0" w:space="0" w:color="auto"/>
            <w:right w:val="none" w:sz="0" w:space="0" w:color="auto"/>
          </w:divBdr>
          <w:divsChild>
            <w:div w:id="1232425386">
              <w:marLeft w:val="0"/>
              <w:marRight w:val="0"/>
              <w:marTop w:val="0"/>
              <w:marBottom w:val="0"/>
              <w:divBdr>
                <w:top w:val="none" w:sz="0" w:space="0" w:color="auto"/>
                <w:left w:val="none" w:sz="0" w:space="0" w:color="auto"/>
                <w:bottom w:val="none" w:sz="0" w:space="0" w:color="auto"/>
                <w:right w:val="none" w:sz="0" w:space="0" w:color="auto"/>
              </w:divBdr>
            </w:div>
          </w:divsChild>
        </w:div>
        <w:div w:id="27950920">
          <w:marLeft w:val="0"/>
          <w:marRight w:val="0"/>
          <w:marTop w:val="0"/>
          <w:marBottom w:val="0"/>
          <w:divBdr>
            <w:top w:val="none" w:sz="0" w:space="0" w:color="auto"/>
            <w:left w:val="none" w:sz="0" w:space="0" w:color="auto"/>
            <w:bottom w:val="none" w:sz="0" w:space="0" w:color="auto"/>
            <w:right w:val="none" w:sz="0" w:space="0" w:color="auto"/>
          </w:divBdr>
          <w:divsChild>
            <w:div w:id="158817823">
              <w:marLeft w:val="0"/>
              <w:marRight w:val="0"/>
              <w:marTop w:val="0"/>
              <w:marBottom w:val="0"/>
              <w:divBdr>
                <w:top w:val="none" w:sz="0" w:space="0" w:color="auto"/>
                <w:left w:val="none" w:sz="0" w:space="0" w:color="auto"/>
                <w:bottom w:val="none" w:sz="0" w:space="0" w:color="auto"/>
                <w:right w:val="none" w:sz="0" w:space="0" w:color="auto"/>
              </w:divBdr>
            </w:div>
          </w:divsChild>
        </w:div>
        <w:div w:id="48309186">
          <w:marLeft w:val="0"/>
          <w:marRight w:val="0"/>
          <w:marTop w:val="0"/>
          <w:marBottom w:val="0"/>
          <w:divBdr>
            <w:top w:val="none" w:sz="0" w:space="0" w:color="auto"/>
            <w:left w:val="none" w:sz="0" w:space="0" w:color="auto"/>
            <w:bottom w:val="none" w:sz="0" w:space="0" w:color="auto"/>
            <w:right w:val="none" w:sz="0" w:space="0" w:color="auto"/>
          </w:divBdr>
          <w:divsChild>
            <w:div w:id="1242522618">
              <w:marLeft w:val="0"/>
              <w:marRight w:val="0"/>
              <w:marTop w:val="0"/>
              <w:marBottom w:val="0"/>
              <w:divBdr>
                <w:top w:val="none" w:sz="0" w:space="0" w:color="auto"/>
                <w:left w:val="none" w:sz="0" w:space="0" w:color="auto"/>
                <w:bottom w:val="none" w:sz="0" w:space="0" w:color="auto"/>
                <w:right w:val="none" w:sz="0" w:space="0" w:color="auto"/>
              </w:divBdr>
            </w:div>
          </w:divsChild>
        </w:div>
        <w:div w:id="62608394">
          <w:marLeft w:val="0"/>
          <w:marRight w:val="0"/>
          <w:marTop w:val="0"/>
          <w:marBottom w:val="0"/>
          <w:divBdr>
            <w:top w:val="none" w:sz="0" w:space="0" w:color="auto"/>
            <w:left w:val="none" w:sz="0" w:space="0" w:color="auto"/>
            <w:bottom w:val="none" w:sz="0" w:space="0" w:color="auto"/>
            <w:right w:val="none" w:sz="0" w:space="0" w:color="auto"/>
          </w:divBdr>
          <w:divsChild>
            <w:div w:id="1748259929">
              <w:marLeft w:val="0"/>
              <w:marRight w:val="0"/>
              <w:marTop w:val="0"/>
              <w:marBottom w:val="0"/>
              <w:divBdr>
                <w:top w:val="none" w:sz="0" w:space="0" w:color="auto"/>
                <w:left w:val="none" w:sz="0" w:space="0" w:color="auto"/>
                <w:bottom w:val="none" w:sz="0" w:space="0" w:color="auto"/>
                <w:right w:val="none" w:sz="0" w:space="0" w:color="auto"/>
              </w:divBdr>
            </w:div>
          </w:divsChild>
        </w:div>
        <w:div w:id="239482226">
          <w:marLeft w:val="0"/>
          <w:marRight w:val="0"/>
          <w:marTop w:val="0"/>
          <w:marBottom w:val="0"/>
          <w:divBdr>
            <w:top w:val="none" w:sz="0" w:space="0" w:color="auto"/>
            <w:left w:val="none" w:sz="0" w:space="0" w:color="auto"/>
            <w:bottom w:val="none" w:sz="0" w:space="0" w:color="auto"/>
            <w:right w:val="none" w:sz="0" w:space="0" w:color="auto"/>
          </w:divBdr>
          <w:divsChild>
            <w:div w:id="1925651745">
              <w:marLeft w:val="0"/>
              <w:marRight w:val="0"/>
              <w:marTop w:val="0"/>
              <w:marBottom w:val="0"/>
              <w:divBdr>
                <w:top w:val="none" w:sz="0" w:space="0" w:color="auto"/>
                <w:left w:val="none" w:sz="0" w:space="0" w:color="auto"/>
                <w:bottom w:val="none" w:sz="0" w:space="0" w:color="auto"/>
                <w:right w:val="none" w:sz="0" w:space="0" w:color="auto"/>
              </w:divBdr>
            </w:div>
          </w:divsChild>
        </w:div>
        <w:div w:id="277952954">
          <w:marLeft w:val="0"/>
          <w:marRight w:val="0"/>
          <w:marTop w:val="0"/>
          <w:marBottom w:val="0"/>
          <w:divBdr>
            <w:top w:val="none" w:sz="0" w:space="0" w:color="auto"/>
            <w:left w:val="none" w:sz="0" w:space="0" w:color="auto"/>
            <w:bottom w:val="none" w:sz="0" w:space="0" w:color="auto"/>
            <w:right w:val="none" w:sz="0" w:space="0" w:color="auto"/>
          </w:divBdr>
          <w:divsChild>
            <w:div w:id="789318057">
              <w:marLeft w:val="0"/>
              <w:marRight w:val="0"/>
              <w:marTop w:val="0"/>
              <w:marBottom w:val="0"/>
              <w:divBdr>
                <w:top w:val="none" w:sz="0" w:space="0" w:color="auto"/>
                <w:left w:val="none" w:sz="0" w:space="0" w:color="auto"/>
                <w:bottom w:val="none" w:sz="0" w:space="0" w:color="auto"/>
                <w:right w:val="none" w:sz="0" w:space="0" w:color="auto"/>
              </w:divBdr>
            </w:div>
          </w:divsChild>
        </w:div>
        <w:div w:id="325062064">
          <w:marLeft w:val="0"/>
          <w:marRight w:val="0"/>
          <w:marTop w:val="0"/>
          <w:marBottom w:val="0"/>
          <w:divBdr>
            <w:top w:val="none" w:sz="0" w:space="0" w:color="auto"/>
            <w:left w:val="none" w:sz="0" w:space="0" w:color="auto"/>
            <w:bottom w:val="none" w:sz="0" w:space="0" w:color="auto"/>
            <w:right w:val="none" w:sz="0" w:space="0" w:color="auto"/>
          </w:divBdr>
          <w:divsChild>
            <w:div w:id="1049301531">
              <w:marLeft w:val="0"/>
              <w:marRight w:val="0"/>
              <w:marTop w:val="0"/>
              <w:marBottom w:val="0"/>
              <w:divBdr>
                <w:top w:val="none" w:sz="0" w:space="0" w:color="auto"/>
                <w:left w:val="none" w:sz="0" w:space="0" w:color="auto"/>
                <w:bottom w:val="none" w:sz="0" w:space="0" w:color="auto"/>
                <w:right w:val="none" w:sz="0" w:space="0" w:color="auto"/>
              </w:divBdr>
            </w:div>
          </w:divsChild>
        </w:div>
        <w:div w:id="352614405">
          <w:marLeft w:val="0"/>
          <w:marRight w:val="0"/>
          <w:marTop w:val="0"/>
          <w:marBottom w:val="0"/>
          <w:divBdr>
            <w:top w:val="none" w:sz="0" w:space="0" w:color="auto"/>
            <w:left w:val="none" w:sz="0" w:space="0" w:color="auto"/>
            <w:bottom w:val="none" w:sz="0" w:space="0" w:color="auto"/>
            <w:right w:val="none" w:sz="0" w:space="0" w:color="auto"/>
          </w:divBdr>
          <w:divsChild>
            <w:div w:id="708801348">
              <w:marLeft w:val="0"/>
              <w:marRight w:val="0"/>
              <w:marTop w:val="0"/>
              <w:marBottom w:val="0"/>
              <w:divBdr>
                <w:top w:val="none" w:sz="0" w:space="0" w:color="auto"/>
                <w:left w:val="none" w:sz="0" w:space="0" w:color="auto"/>
                <w:bottom w:val="none" w:sz="0" w:space="0" w:color="auto"/>
                <w:right w:val="none" w:sz="0" w:space="0" w:color="auto"/>
              </w:divBdr>
            </w:div>
          </w:divsChild>
        </w:div>
        <w:div w:id="388188063">
          <w:marLeft w:val="0"/>
          <w:marRight w:val="0"/>
          <w:marTop w:val="0"/>
          <w:marBottom w:val="0"/>
          <w:divBdr>
            <w:top w:val="none" w:sz="0" w:space="0" w:color="auto"/>
            <w:left w:val="none" w:sz="0" w:space="0" w:color="auto"/>
            <w:bottom w:val="none" w:sz="0" w:space="0" w:color="auto"/>
            <w:right w:val="none" w:sz="0" w:space="0" w:color="auto"/>
          </w:divBdr>
          <w:divsChild>
            <w:div w:id="834950968">
              <w:marLeft w:val="0"/>
              <w:marRight w:val="0"/>
              <w:marTop w:val="0"/>
              <w:marBottom w:val="0"/>
              <w:divBdr>
                <w:top w:val="none" w:sz="0" w:space="0" w:color="auto"/>
                <w:left w:val="none" w:sz="0" w:space="0" w:color="auto"/>
                <w:bottom w:val="none" w:sz="0" w:space="0" w:color="auto"/>
                <w:right w:val="none" w:sz="0" w:space="0" w:color="auto"/>
              </w:divBdr>
            </w:div>
          </w:divsChild>
        </w:div>
        <w:div w:id="427893389">
          <w:marLeft w:val="0"/>
          <w:marRight w:val="0"/>
          <w:marTop w:val="0"/>
          <w:marBottom w:val="0"/>
          <w:divBdr>
            <w:top w:val="none" w:sz="0" w:space="0" w:color="auto"/>
            <w:left w:val="none" w:sz="0" w:space="0" w:color="auto"/>
            <w:bottom w:val="none" w:sz="0" w:space="0" w:color="auto"/>
            <w:right w:val="none" w:sz="0" w:space="0" w:color="auto"/>
          </w:divBdr>
          <w:divsChild>
            <w:div w:id="1867256317">
              <w:marLeft w:val="0"/>
              <w:marRight w:val="0"/>
              <w:marTop w:val="0"/>
              <w:marBottom w:val="0"/>
              <w:divBdr>
                <w:top w:val="none" w:sz="0" w:space="0" w:color="auto"/>
                <w:left w:val="none" w:sz="0" w:space="0" w:color="auto"/>
                <w:bottom w:val="none" w:sz="0" w:space="0" w:color="auto"/>
                <w:right w:val="none" w:sz="0" w:space="0" w:color="auto"/>
              </w:divBdr>
            </w:div>
          </w:divsChild>
        </w:div>
        <w:div w:id="438524603">
          <w:marLeft w:val="0"/>
          <w:marRight w:val="0"/>
          <w:marTop w:val="0"/>
          <w:marBottom w:val="0"/>
          <w:divBdr>
            <w:top w:val="none" w:sz="0" w:space="0" w:color="auto"/>
            <w:left w:val="none" w:sz="0" w:space="0" w:color="auto"/>
            <w:bottom w:val="none" w:sz="0" w:space="0" w:color="auto"/>
            <w:right w:val="none" w:sz="0" w:space="0" w:color="auto"/>
          </w:divBdr>
          <w:divsChild>
            <w:div w:id="1587032375">
              <w:marLeft w:val="0"/>
              <w:marRight w:val="0"/>
              <w:marTop w:val="0"/>
              <w:marBottom w:val="0"/>
              <w:divBdr>
                <w:top w:val="none" w:sz="0" w:space="0" w:color="auto"/>
                <w:left w:val="none" w:sz="0" w:space="0" w:color="auto"/>
                <w:bottom w:val="none" w:sz="0" w:space="0" w:color="auto"/>
                <w:right w:val="none" w:sz="0" w:space="0" w:color="auto"/>
              </w:divBdr>
            </w:div>
          </w:divsChild>
        </w:div>
        <w:div w:id="439112202">
          <w:marLeft w:val="0"/>
          <w:marRight w:val="0"/>
          <w:marTop w:val="0"/>
          <w:marBottom w:val="0"/>
          <w:divBdr>
            <w:top w:val="none" w:sz="0" w:space="0" w:color="auto"/>
            <w:left w:val="none" w:sz="0" w:space="0" w:color="auto"/>
            <w:bottom w:val="none" w:sz="0" w:space="0" w:color="auto"/>
            <w:right w:val="none" w:sz="0" w:space="0" w:color="auto"/>
          </w:divBdr>
          <w:divsChild>
            <w:div w:id="1533349372">
              <w:marLeft w:val="0"/>
              <w:marRight w:val="0"/>
              <w:marTop w:val="0"/>
              <w:marBottom w:val="0"/>
              <w:divBdr>
                <w:top w:val="none" w:sz="0" w:space="0" w:color="auto"/>
                <w:left w:val="none" w:sz="0" w:space="0" w:color="auto"/>
                <w:bottom w:val="none" w:sz="0" w:space="0" w:color="auto"/>
                <w:right w:val="none" w:sz="0" w:space="0" w:color="auto"/>
              </w:divBdr>
            </w:div>
          </w:divsChild>
        </w:div>
        <w:div w:id="584414073">
          <w:marLeft w:val="0"/>
          <w:marRight w:val="0"/>
          <w:marTop w:val="0"/>
          <w:marBottom w:val="0"/>
          <w:divBdr>
            <w:top w:val="none" w:sz="0" w:space="0" w:color="auto"/>
            <w:left w:val="none" w:sz="0" w:space="0" w:color="auto"/>
            <w:bottom w:val="none" w:sz="0" w:space="0" w:color="auto"/>
            <w:right w:val="none" w:sz="0" w:space="0" w:color="auto"/>
          </w:divBdr>
          <w:divsChild>
            <w:div w:id="1127284980">
              <w:marLeft w:val="0"/>
              <w:marRight w:val="0"/>
              <w:marTop w:val="0"/>
              <w:marBottom w:val="0"/>
              <w:divBdr>
                <w:top w:val="none" w:sz="0" w:space="0" w:color="auto"/>
                <w:left w:val="none" w:sz="0" w:space="0" w:color="auto"/>
                <w:bottom w:val="none" w:sz="0" w:space="0" w:color="auto"/>
                <w:right w:val="none" w:sz="0" w:space="0" w:color="auto"/>
              </w:divBdr>
            </w:div>
          </w:divsChild>
        </w:div>
        <w:div w:id="686298788">
          <w:marLeft w:val="0"/>
          <w:marRight w:val="0"/>
          <w:marTop w:val="0"/>
          <w:marBottom w:val="0"/>
          <w:divBdr>
            <w:top w:val="none" w:sz="0" w:space="0" w:color="auto"/>
            <w:left w:val="none" w:sz="0" w:space="0" w:color="auto"/>
            <w:bottom w:val="none" w:sz="0" w:space="0" w:color="auto"/>
            <w:right w:val="none" w:sz="0" w:space="0" w:color="auto"/>
          </w:divBdr>
          <w:divsChild>
            <w:div w:id="409425196">
              <w:marLeft w:val="0"/>
              <w:marRight w:val="0"/>
              <w:marTop w:val="0"/>
              <w:marBottom w:val="0"/>
              <w:divBdr>
                <w:top w:val="none" w:sz="0" w:space="0" w:color="auto"/>
                <w:left w:val="none" w:sz="0" w:space="0" w:color="auto"/>
                <w:bottom w:val="none" w:sz="0" w:space="0" w:color="auto"/>
                <w:right w:val="none" w:sz="0" w:space="0" w:color="auto"/>
              </w:divBdr>
            </w:div>
          </w:divsChild>
        </w:div>
        <w:div w:id="704063684">
          <w:marLeft w:val="0"/>
          <w:marRight w:val="0"/>
          <w:marTop w:val="0"/>
          <w:marBottom w:val="0"/>
          <w:divBdr>
            <w:top w:val="none" w:sz="0" w:space="0" w:color="auto"/>
            <w:left w:val="none" w:sz="0" w:space="0" w:color="auto"/>
            <w:bottom w:val="none" w:sz="0" w:space="0" w:color="auto"/>
            <w:right w:val="none" w:sz="0" w:space="0" w:color="auto"/>
          </w:divBdr>
          <w:divsChild>
            <w:div w:id="1460565418">
              <w:marLeft w:val="0"/>
              <w:marRight w:val="0"/>
              <w:marTop w:val="0"/>
              <w:marBottom w:val="0"/>
              <w:divBdr>
                <w:top w:val="none" w:sz="0" w:space="0" w:color="auto"/>
                <w:left w:val="none" w:sz="0" w:space="0" w:color="auto"/>
                <w:bottom w:val="none" w:sz="0" w:space="0" w:color="auto"/>
                <w:right w:val="none" w:sz="0" w:space="0" w:color="auto"/>
              </w:divBdr>
            </w:div>
          </w:divsChild>
        </w:div>
        <w:div w:id="761873454">
          <w:marLeft w:val="0"/>
          <w:marRight w:val="0"/>
          <w:marTop w:val="0"/>
          <w:marBottom w:val="0"/>
          <w:divBdr>
            <w:top w:val="none" w:sz="0" w:space="0" w:color="auto"/>
            <w:left w:val="none" w:sz="0" w:space="0" w:color="auto"/>
            <w:bottom w:val="none" w:sz="0" w:space="0" w:color="auto"/>
            <w:right w:val="none" w:sz="0" w:space="0" w:color="auto"/>
          </w:divBdr>
          <w:divsChild>
            <w:div w:id="718631655">
              <w:marLeft w:val="0"/>
              <w:marRight w:val="0"/>
              <w:marTop w:val="0"/>
              <w:marBottom w:val="0"/>
              <w:divBdr>
                <w:top w:val="none" w:sz="0" w:space="0" w:color="auto"/>
                <w:left w:val="none" w:sz="0" w:space="0" w:color="auto"/>
                <w:bottom w:val="none" w:sz="0" w:space="0" w:color="auto"/>
                <w:right w:val="none" w:sz="0" w:space="0" w:color="auto"/>
              </w:divBdr>
            </w:div>
          </w:divsChild>
        </w:div>
        <w:div w:id="785583686">
          <w:marLeft w:val="0"/>
          <w:marRight w:val="0"/>
          <w:marTop w:val="0"/>
          <w:marBottom w:val="0"/>
          <w:divBdr>
            <w:top w:val="none" w:sz="0" w:space="0" w:color="auto"/>
            <w:left w:val="none" w:sz="0" w:space="0" w:color="auto"/>
            <w:bottom w:val="none" w:sz="0" w:space="0" w:color="auto"/>
            <w:right w:val="none" w:sz="0" w:space="0" w:color="auto"/>
          </w:divBdr>
          <w:divsChild>
            <w:div w:id="1647661433">
              <w:marLeft w:val="0"/>
              <w:marRight w:val="0"/>
              <w:marTop w:val="0"/>
              <w:marBottom w:val="0"/>
              <w:divBdr>
                <w:top w:val="none" w:sz="0" w:space="0" w:color="auto"/>
                <w:left w:val="none" w:sz="0" w:space="0" w:color="auto"/>
                <w:bottom w:val="none" w:sz="0" w:space="0" w:color="auto"/>
                <w:right w:val="none" w:sz="0" w:space="0" w:color="auto"/>
              </w:divBdr>
            </w:div>
          </w:divsChild>
        </w:div>
        <w:div w:id="819734185">
          <w:marLeft w:val="0"/>
          <w:marRight w:val="0"/>
          <w:marTop w:val="0"/>
          <w:marBottom w:val="0"/>
          <w:divBdr>
            <w:top w:val="none" w:sz="0" w:space="0" w:color="auto"/>
            <w:left w:val="none" w:sz="0" w:space="0" w:color="auto"/>
            <w:bottom w:val="none" w:sz="0" w:space="0" w:color="auto"/>
            <w:right w:val="none" w:sz="0" w:space="0" w:color="auto"/>
          </w:divBdr>
          <w:divsChild>
            <w:div w:id="260574440">
              <w:marLeft w:val="0"/>
              <w:marRight w:val="0"/>
              <w:marTop w:val="0"/>
              <w:marBottom w:val="0"/>
              <w:divBdr>
                <w:top w:val="none" w:sz="0" w:space="0" w:color="auto"/>
                <w:left w:val="none" w:sz="0" w:space="0" w:color="auto"/>
                <w:bottom w:val="none" w:sz="0" w:space="0" w:color="auto"/>
                <w:right w:val="none" w:sz="0" w:space="0" w:color="auto"/>
              </w:divBdr>
            </w:div>
          </w:divsChild>
        </w:div>
        <w:div w:id="828521728">
          <w:marLeft w:val="0"/>
          <w:marRight w:val="0"/>
          <w:marTop w:val="0"/>
          <w:marBottom w:val="0"/>
          <w:divBdr>
            <w:top w:val="none" w:sz="0" w:space="0" w:color="auto"/>
            <w:left w:val="none" w:sz="0" w:space="0" w:color="auto"/>
            <w:bottom w:val="none" w:sz="0" w:space="0" w:color="auto"/>
            <w:right w:val="none" w:sz="0" w:space="0" w:color="auto"/>
          </w:divBdr>
          <w:divsChild>
            <w:div w:id="364790747">
              <w:marLeft w:val="0"/>
              <w:marRight w:val="0"/>
              <w:marTop w:val="0"/>
              <w:marBottom w:val="0"/>
              <w:divBdr>
                <w:top w:val="none" w:sz="0" w:space="0" w:color="auto"/>
                <w:left w:val="none" w:sz="0" w:space="0" w:color="auto"/>
                <w:bottom w:val="none" w:sz="0" w:space="0" w:color="auto"/>
                <w:right w:val="none" w:sz="0" w:space="0" w:color="auto"/>
              </w:divBdr>
            </w:div>
            <w:div w:id="930428486">
              <w:marLeft w:val="0"/>
              <w:marRight w:val="0"/>
              <w:marTop w:val="0"/>
              <w:marBottom w:val="0"/>
              <w:divBdr>
                <w:top w:val="none" w:sz="0" w:space="0" w:color="auto"/>
                <w:left w:val="none" w:sz="0" w:space="0" w:color="auto"/>
                <w:bottom w:val="none" w:sz="0" w:space="0" w:color="auto"/>
                <w:right w:val="none" w:sz="0" w:space="0" w:color="auto"/>
              </w:divBdr>
            </w:div>
          </w:divsChild>
        </w:div>
        <w:div w:id="835918423">
          <w:marLeft w:val="0"/>
          <w:marRight w:val="0"/>
          <w:marTop w:val="0"/>
          <w:marBottom w:val="0"/>
          <w:divBdr>
            <w:top w:val="none" w:sz="0" w:space="0" w:color="auto"/>
            <w:left w:val="none" w:sz="0" w:space="0" w:color="auto"/>
            <w:bottom w:val="none" w:sz="0" w:space="0" w:color="auto"/>
            <w:right w:val="none" w:sz="0" w:space="0" w:color="auto"/>
          </w:divBdr>
          <w:divsChild>
            <w:div w:id="1690597733">
              <w:marLeft w:val="0"/>
              <w:marRight w:val="0"/>
              <w:marTop w:val="0"/>
              <w:marBottom w:val="0"/>
              <w:divBdr>
                <w:top w:val="none" w:sz="0" w:space="0" w:color="auto"/>
                <w:left w:val="none" w:sz="0" w:space="0" w:color="auto"/>
                <w:bottom w:val="none" w:sz="0" w:space="0" w:color="auto"/>
                <w:right w:val="none" w:sz="0" w:space="0" w:color="auto"/>
              </w:divBdr>
            </w:div>
          </w:divsChild>
        </w:div>
        <w:div w:id="840464577">
          <w:marLeft w:val="0"/>
          <w:marRight w:val="0"/>
          <w:marTop w:val="0"/>
          <w:marBottom w:val="0"/>
          <w:divBdr>
            <w:top w:val="none" w:sz="0" w:space="0" w:color="auto"/>
            <w:left w:val="none" w:sz="0" w:space="0" w:color="auto"/>
            <w:bottom w:val="none" w:sz="0" w:space="0" w:color="auto"/>
            <w:right w:val="none" w:sz="0" w:space="0" w:color="auto"/>
          </w:divBdr>
          <w:divsChild>
            <w:div w:id="1632132190">
              <w:marLeft w:val="0"/>
              <w:marRight w:val="0"/>
              <w:marTop w:val="0"/>
              <w:marBottom w:val="0"/>
              <w:divBdr>
                <w:top w:val="none" w:sz="0" w:space="0" w:color="auto"/>
                <w:left w:val="none" w:sz="0" w:space="0" w:color="auto"/>
                <w:bottom w:val="none" w:sz="0" w:space="0" w:color="auto"/>
                <w:right w:val="none" w:sz="0" w:space="0" w:color="auto"/>
              </w:divBdr>
            </w:div>
          </w:divsChild>
        </w:div>
        <w:div w:id="847257839">
          <w:marLeft w:val="0"/>
          <w:marRight w:val="0"/>
          <w:marTop w:val="0"/>
          <w:marBottom w:val="0"/>
          <w:divBdr>
            <w:top w:val="none" w:sz="0" w:space="0" w:color="auto"/>
            <w:left w:val="none" w:sz="0" w:space="0" w:color="auto"/>
            <w:bottom w:val="none" w:sz="0" w:space="0" w:color="auto"/>
            <w:right w:val="none" w:sz="0" w:space="0" w:color="auto"/>
          </w:divBdr>
          <w:divsChild>
            <w:div w:id="37122004">
              <w:marLeft w:val="0"/>
              <w:marRight w:val="0"/>
              <w:marTop w:val="0"/>
              <w:marBottom w:val="0"/>
              <w:divBdr>
                <w:top w:val="none" w:sz="0" w:space="0" w:color="auto"/>
                <w:left w:val="none" w:sz="0" w:space="0" w:color="auto"/>
                <w:bottom w:val="none" w:sz="0" w:space="0" w:color="auto"/>
                <w:right w:val="none" w:sz="0" w:space="0" w:color="auto"/>
              </w:divBdr>
            </w:div>
          </w:divsChild>
        </w:div>
        <w:div w:id="860123887">
          <w:marLeft w:val="0"/>
          <w:marRight w:val="0"/>
          <w:marTop w:val="0"/>
          <w:marBottom w:val="0"/>
          <w:divBdr>
            <w:top w:val="none" w:sz="0" w:space="0" w:color="auto"/>
            <w:left w:val="none" w:sz="0" w:space="0" w:color="auto"/>
            <w:bottom w:val="none" w:sz="0" w:space="0" w:color="auto"/>
            <w:right w:val="none" w:sz="0" w:space="0" w:color="auto"/>
          </w:divBdr>
          <w:divsChild>
            <w:div w:id="1190724049">
              <w:marLeft w:val="0"/>
              <w:marRight w:val="0"/>
              <w:marTop w:val="0"/>
              <w:marBottom w:val="0"/>
              <w:divBdr>
                <w:top w:val="none" w:sz="0" w:space="0" w:color="auto"/>
                <w:left w:val="none" w:sz="0" w:space="0" w:color="auto"/>
                <w:bottom w:val="none" w:sz="0" w:space="0" w:color="auto"/>
                <w:right w:val="none" w:sz="0" w:space="0" w:color="auto"/>
              </w:divBdr>
            </w:div>
          </w:divsChild>
        </w:div>
        <w:div w:id="861356710">
          <w:marLeft w:val="0"/>
          <w:marRight w:val="0"/>
          <w:marTop w:val="0"/>
          <w:marBottom w:val="0"/>
          <w:divBdr>
            <w:top w:val="none" w:sz="0" w:space="0" w:color="auto"/>
            <w:left w:val="none" w:sz="0" w:space="0" w:color="auto"/>
            <w:bottom w:val="none" w:sz="0" w:space="0" w:color="auto"/>
            <w:right w:val="none" w:sz="0" w:space="0" w:color="auto"/>
          </w:divBdr>
          <w:divsChild>
            <w:div w:id="195587728">
              <w:marLeft w:val="0"/>
              <w:marRight w:val="0"/>
              <w:marTop w:val="0"/>
              <w:marBottom w:val="0"/>
              <w:divBdr>
                <w:top w:val="none" w:sz="0" w:space="0" w:color="auto"/>
                <w:left w:val="none" w:sz="0" w:space="0" w:color="auto"/>
                <w:bottom w:val="none" w:sz="0" w:space="0" w:color="auto"/>
                <w:right w:val="none" w:sz="0" w:space="0" w:color="auto"/>
              </w:divBdr>
            </w:div>
          </w:divsChild>
        </w:div>
        <w:div w:id="871695174">
          <w:marLeft w:val="0"/>
          <w:marRight w:val="0"/>
          <w:marTop w:val="0"/>
          <w:marBottom w:val="0"/>
          <w:divBdr>
            <w:top w:val="none" w:sz="0" w:space="0" w:color="auto"/>
            <w:left w:val="none" w:sz="0" w:space="0" w:color="auto"/>
            <w:bottom w:val="none" w:sz="0" w:space="0" w:color="auto"/>
            <w:right w:val="none" w:sz="0" w:space="0" w:color="auto"/>
          </w:divBdr>
          <w:divsChild>
            <w:div w:id="1544950783">
              <w:marLeft w:val="0"/>
              <w:marRight w:val="0"/>
              <w:marTop w:val="0"/>
              <w:marBottom w:val="0"/>
              <w:divBdr>
                <w:top w:val="none" w:sz="0" w:space="0" w:color="auto"/>
                <w:left w:val="none" w:sz="0" w:space="0" w:color="auto"/>
                <w:bottom w:val="none" w:sz="0" w:space="0" w:color="auto"/>
                <w:right w:val="none" w:sz="0" w:space="0" w:color="auto"/>
              </w:divBdr>
            </w:div>
          </w:divsChild>
        </w:div>
        <w:div w:id="879706048">
          <w:marLeft w:val="0"/>
          <w:marRight w:val="0"/>
          <w:marTop w:val="0"/>
          <w:marBottom w:val="0"/>
          <w:divBdr>
            <w:top w:val="none" w:sz="0" w:space="0" w:color="auto"/>
            <w:left w:val="none" w:sz="0" w:space="0" w:color="auto"/>
            <w:bottom w:val="none" w:sz="0" w:space="0" w:color="auto"/>
            <w:right w:val="none" w:sz="0" w:space="0" w:color="auto"/>
          </w:divBdr>
          <w:divsChild>
            <w:div w:id="435295446">
              <w:marLeft w:val="0"/>
              <w:marRight w:val="0"/>
              <w:marTop w:val="0"/>
              <w:marBottom w:val="0"/>
              <w:divBdr>
                <w:top w:val="none" w:sz="0" w:space="0" w:color="auto"/>
                <w:left w:val="none" w:sz="0" w:space="0" w:color="auto"/>
                <w:bottom w:val="none" w:sz="0" w:space="0" w:color="auto"/>
                <w:right w:val="none" w:sz="0" w:space="0" w:color="auto"/>
              </w:divBdr>
            </w:div>
            <w:div w:id="525755717">
              <w:marLeft w:val="0"/>
              <w:marRight w:val="0"/>
              <w:marTop w:val="0"/>
              <w:marBottom w:val="0"/>
              <w:divBdr>
                <w:top w:val="none" w:sz="0" w:space="0" w:color="auto"/>
                <w:left w:val="none" w:sz="0" w:space="0" w:color="auto"/>
                <w:bottom w:val="none" w:sz="0" w:space="0" w:color="auto"/>
                <w:right w:val="none" w:sz="0" w:space="0" w:color="auto"/>
              </w:divBdr>
            </w:div>
            <w:div w:id="1930431329">
              <w:marLeft w:val="0"/>
              <w:marRight w:val="0"/>
              <w:marTop w:val="0"/>
              <w:marBottom w:val="0"/>
              <w:divBdr>
                <w:top w:val="none" w:sz="0" w:space="0" w:color="auto"/>
                <w:left w:val="none" w:sz="0" w:space="0" w:color="auto"/>
                <w:bottom w:val="none" w:sz="0" w:space="0" w:color="auto"/>
                <w:right w:val="none" w:sz="0" w:space="0" w:color="auto"/>
              </w:divBdr>
            </w:div>
          </w:divsChild>
        </w:div>
        <w:div w:id="901991033">
          <w:marLeft w:val="0"/>
          <w:marRight w:val="0"/>
          <w:marTop w:val="0"/>
          <w:marBottom w:val="0"/>
          <w:divBdr>
            <w:top w:val="none" w:sz="0" w:space="0" w:color="auto"/>
            <w:left w:val="none" w:sz="0" w:space="0" w:color="auto"/>
            <w:bottom w:val="none" w:sz="0" w:space="0" w:color="auto"/>
            <w:right w:val="none" w:sz="0" w:space="0" w:color="auto"/>
          </w:divBdr>
          <w:divsChild>
            <w:div w:id="1930701144">
              <w:marLeft w:val="0"/>
              <w:marRight w:val="0"/>
              <w:marTop w:val="0"/>
              <w:marBottom w:val="0"/>
              <w:divBdr>
                <w:top w:val="none" w:sz="0" w:space="0" w:color="auto"/>
                <w:left w:val="none" w:sz="0" w:space="0" w:color="auto"/>
                <w:bottom w:val="none" w:sz="0" w:space="0" w:color="auto"/>
                <w:right w:val="none" w:sz="0" w:space="0" w:color="auto"/>
              </w:divBdr>
            </w:div>
          </w:divsChild>
        </w:div>
        <w:div w:id="928924676">
          <w:marLeft w:val="0"/>
          <w:marRight w:val="0"/>
          <w:marTop w:val="0"/>
          <w:marBottom w:val="0"/>
          <w:divBdr>
            <w:top w:val="none" w:sz="0" w:space="0" w:color="auto"/>
            <w:left w:val="none" w:sz="0" w:space="0" w:color="auto"/>
            <w:bottom w:val="none" w:sz="0" w:space="0" w:color="auto"/>
            <w:right w:val="none" w:sz="0" w:space="0" w:color="auto"/>
          </w:divBdr>
          <w:divsChild>
            <w:div w:id="1111978767">
              <w:marLeft w:val="0"/>
              <w:marRight w:val="0"/>
              <w:marTop w:val="0"/>
              <w:marBottom w:val="0"/>
              <w:divBdr>
                <w:top w:val="none" w:sz="0" w:space="0" w:color="auto"/>
                <w:left w:val="none" w:sz="0" w:space="0" w:color="auto"/>
                <w:bottom w:val="none" w:sz="0" w:space="0" w:color="auto"/>
                <w:right w:val="none" w:sz="0" w:space="0" w:color="auto"/>
              </w:divBdr>
            </w:div>
          </w:divsChild>
        </w:div>
        <w:div w:id="1005590573">
          <w:marLeft w:val="0"/>
          <w:marRight w:val="0"/>
          <w:marTop w:val="0"/>
          <w:marBottom w:val="0"/>
          <w:divBdr>
            <w:top w:val="none" w:sz="0" w:space="0" w:color="auto"/>
            <w:left w:val="none" w:sz="0" w:space="0" w:color="auto"/>
            <w:bottom w:val="none" w:sz="0" w:space="0" w:color="auto"/>
            <w:right w:val="none" w:sz="0" w:space="0" w:color="auto"/>
          </w:divBdr>
          <w:divsChild>
            <w:div w:id="1400707078">
              <w:marLeft w:val="0"/>
              <w:marRight w:val="0"/>
              <w:marTop w:val="0"/>
              <w:marBottom w:val="0"/>
              <w:divBdr>
                <w:top w:val="none" w:sz="0" w:space="0" w:color="auto"/>
                <w:left w:val="none" w:sz="0" w:space="0" w:color="auto"/>
                <w:bottom w:val="none" w:sz="0" w:space="0" w:color="auto"/>
                <w:right w:val="none" w:sz="0" w:space="0" w:color="auto"/>
              </w:divBdr>
            </w:div>
          </w:divsChild>
        </w:div>
        <w:div w:id="1016536572">
          <w:marLeft w:val="0"/>
          <w:marRight w:val="0"/>
          <w:marTop w:val="0"/>
          <w:marBottom w:val="0"/>
          <w:divBdr>
            <w:top w:val="none" w:sz="0" w:space="0" w:color="auto"/>
            <w:left w:val="none" w:sz="0" w:space="0" w:color="auto"/>
            <w:bottom w:val="none" w:sz="0" w:space="0" w:color="auto"/>
            <w:right w:val="none" w:sz="0" w:space="0" w:color="auto"/>
          </w:divBdr>
          <w:divsChild>
            <w:div w:id="1198935854">
              <w:marLeft w:val="0"/>
              <w:marRight w:val="0"/>
              <w:marTop w:val="0"/>
              <w:marBottom w:val="0"/>
              <w:divBdr>
                <w:top w:val="none" w:sz="0" w:space="0" w:color="auto"/>
                <w:left w:val="none" w:sz="0" w:space="0" w:color="auto"/>
                <w:bottom w:val="none" w:sz="0" w:space="0" w:color="auto"/>
                <w:right w:val="none" w:sz="0" w:space="0" w:color="auto"/>
              </w:divBdr>
            </w:div>
          </w:divsChild>
        </w:div>
        <w:div w:id="1032417637">
          <w:marLeft w:val="0"/>
          <w:marRight w:val="0"/>
          <w:marTop w:val="0"/>
          <w:marBottom w:val="0"/>
          <w:divBdr>
            <w:top w:val="none" w:sz="0" w:space="0" w:color="auto"/>
            <w:left w:val="none" w:sz="0" w:space="0" w:color="auto"/>
            <w:bottom w:val="none" w:sz="0" w:space="0" w:color="auto"/>
            <w:right w:val="none" w:sz="0" w:space="0" w:color="auto"/>
          </w:divBdr>
          <w:divsChild>
            <w:div w:id="154342083">
              <w:marLeft w:val="0"/>
              <w:marRight w:val="0"/>
              <w:marTop w:val="0"/>
              <w:marBottom w:val="0"/>
              <w:divBdr>
                <w:top w:val="none" w:sz="0" w:space="0" w:color="auto"/>
                <w:left w:val="none" w:sz="0" w:space="0" w:color="auto"/>
                <w:bottom w:val="none" w:sz="0" w:space="0" w:color="auto"/>
                <w:right w:val="none" w:sz="0" w:space="0" w:color="auto"/>
              </w:divBdr>
            </w:div>
          </w:divsChild>
        </w:div>
        <w:div w:id="1064792197">
          <w:marLeft w:val="0"/>
          <w:marRight w:val="0"/>
          <w:marTop w:val="0"/>
          <w:marBottom w:val="0"/>
          <w:divBdr>
            <w:top w:val="none" w:sz="0" w:space="0" w:color="auto"/>
            <w:left w:val="none" w:sz="0" w:space="0" w:color="auto"/>
            <w:bottom w:val="none" w:sz="0" w:space="0" w:color="auto"/>
            <w:right w:val="none" w:sz="0" w:space="0" w:color="auto"/>
          </w:divBdr>
          <w:divsChild>
            <w:div w:id="609363498">
              <w:marLeft w:val="0"/>
              <w:marRight w:val="0"/>
              <w:marTop w:val="0"/>
              <w:marBottom w:val="0"/>
              <w:divBdr>
                <w:top w:val="none" w:sz="0" w:space="0" w:color="auto"/>
                <w:left w:val="none" w:sz="0" w:space="0" w:color="auto"/>
                <w:bottom w:val="none" w:sz="0" w:space="0" w:color="auto"/>
                <w:right w:val="none" w:sz="0" w:space="0" w:color="auto"/>
              </w:divBdr>
            </w:div>
          </w:divsChild>
        </w:div>
        <w:div w:id="1122457794">
          <w:marLeft w:val="0"/>
          <w:marRight w:val="0"/>
          <w:marTop w:val="0"/>
          <w:marBottom w:val="0"/>
          <w:divBdr>
            <w:top w:val="none" w:sz="0" w:space="0" w:color="auto"/>
            <w:left w:val="none" w:sz="0" w:space="0" w:color="auto"/>
            <w:bottom w:val="none" w:sz="0" w:space="0" w:color="auto"/>
            <w:right w:val="none" w:sz="0" w:space="0" w:color="auto"/>
          </w:divBdr>
          <w:divsChild>
            <w:div w:id="590704509">
              <w:marLeft w:val="0"/>
              <w:marRight w:val="0"/>
              <w:marTop w:val="0"/>
              <w:marBottom w:val="0"/>
              <w:divBdr>
                <w:top w:val="none" w:sz="0" w:space="0" w:color="auto"/>
                <w:left w:val="none" w:sz="0" w:space="0" w:color="auto"/>
                <w:bottom w:val="none" w:sz="0" w:space="0" w:color="auto"/>
                <w:right w:val="none" w:sz="0" w:space="0" w:color="auto"/>
              </w:divBdr>
            </w:div>
          </w:divsChild>
        </w:div>
        <w:div w:id="1155531012">
          <w:marLeft w:val="0"/>
          <w:marRight w:val="0"/>
          <w:marTop w:val="0"/>
          <w:marBottom w:val="0"/>
          <w:divBdr>
            <w:top w:val="none" w:sz="0" w:space="0" w:color="auto"/>
            <w:left w:val="none" w:sz="0" w:space="0" w:color="auto"/>
            <w:bottom w:val="none" w:sz="0" w:space="0" w:color="auto"/>
            <w:right w:val="none" w:sz="0" w:space="0" w:color="auto"/>
          </w:divBdr>
          <w:divsChild>
            <w:div w:id="1036199477">
              <w:marLeft w:val="0"/>
              <w:marRight w:val="0"/>
              <w:marTop w:val="0"/>
              <w:marBottom w:val="0"/>
              <w:divBdr>
                <w:top w:val="none" w:sz="0" w:space="0" w:color="auto"/>
                <w:left w:val="none" w:sz="0" w:space="0" w:color="auto"/>
                <w:bottom w:val="none" w:sz="0" w:space="0" w:color="auto"/>
                <w:right w:val="none" w:sz="0" w:space="0" w:color="auto"/>
              </w:divBdr>
            </w:div>
          </w:divsChild>
        </w:div>
        <w:div w:id="1401054090">
          <w:marLeft w:val="0"/>
          <w:marRight w:val="0"/>
          <w:marTop w:val="0"/>
          <w:marBottom w:val="0"/>
          <w:divBdr>
            <w:top w:val="none" w:sz="0" w:space="0" w:color="auto"/>
            <w:left w:val="none" w:sz="0" w:space="0" w:color="auto"/>
            <w:bottom w:val="none" w:sz="0" w:space="0" w:color="auto"/>
            <w:right w:val="none" w:sz="0" w:space="0" w:color="auto"/>
          </w:divBdr>
          <w:divsChild>
            <w:div w:id="448624751">
              <w:marLeft w:val="0"/>
              <w:marRight w:val="0"/>
              <w:marTop w:val="0"/>
              <w:marBottom w:val="0"/>
              <w:divBdr>
                <w:top w:val="none" w:sz="0" w:space="0" w:color="auto"/>
                <w:left w:val="none" w:sz="0" w:space="0" w:color="auto"/>
                <w:bottom w:val="none" w:sz="0" w:space="0" w:color="auto"/>
                <w:right w:val="none" w:sz="0" w:space="0" w:color="auto"/>
              </w:divBdr>
            </w:div>
          </w:divsChild>
        </w:div>
        <w:div w:id="1421682593">
          <w:marLeft w:val="0"/>
          <w:marRight w:val="0"/>
          <w:marTop w:val="0"/>
          <w:marBottom w:val="0"/>
          <w:divBdr>
            <w:top w:val="none" w:sz="0" w:space="0" w:color="auto"/>
            <w:left w:val="none" w:sz="0" w:space="0" w:color="auto"/>
            <w:bottom w:val="none" w:sz="0" w:space="0" w:color="auto"/>
            <w:right w:val="none" w:sz="0" w:space="0" w:color="auto"/>
          </w:divBdr>
          <w:divsChild>
            <w:div w:id="245575148">
              <w:marLeft w:val="0"/>
              <w:marRight w:val="0"/>
              <w:marTop w:val="0"/>
              <w:marBottom w:val="0"/>
              <w:divBdr>
                <w:top w:val="none" w:sz="0" w:space="0" w:color="auto"/>
                <w:left w:val="none" w:sz="0" w:space="0" w:color="auto"/>
                <w:bottom w:val="none" w:sz="0" w:space="0" w:color="auto"/>
                <w:right w:val="none" w:sz="0" w:space="0" w:color="auto"/>
              </w:divBdr>
            </w:div>
          </w:divsChild>
        </w:div>
        <w:div w:id="1426878993">
          <w:marLeft w:val="0"/>
          <w:marRight w:val="0"/>
          <w:marTop w:val="0"/>
          <w:marBottom w:val="0"/>
          <w:divBdr>
            <w:top w:val="none" w:sz="0" w:space="0" w:color="auto"/>
            <w:left w:val="none" w:sz="0" w:space="0" w:color="auto"/>
            <w:bottom w:val="none" w:sz="0" w:space="0" w:color="auto"/>
            <w:right w:val="none" w:sz="0" w:space="0" w:color="auto"/>
          </w:divBdr>
          <w:divsChild>
            <w:div w:id="874269500">
              <w:marLeft w:val="0"/>
              <w:marRight w:val="0"/>
              <w:marTop w:val="0"/>
              <w:marBottom w:val="0"/>
              <w:divBdr>
                <w:top w:val="none" w:sz="0" w:space="0" w:color="auto"/>
                <w:left w:val="none" w:sz="0" w:space="0" w:color="auto"/>
                <w:bottom w:val="none" w:sz="0" w:space="0" w:color="auto"/>
                <w:right w:val="none" w:sz="0" w:space="0" w:color="auto"/>
              </w:divBdr>
            </w:div>
          </w:divsChild>
        </w:div>
        <w:div w:id="1454441673">
          <w:marLeft w:val="0"/>
          <w:marRight w:val="0"/>
          <w:marTop w:val="0"/>
          <w:marBottom w:val="0"/>
          <w:divBdr>
            <w:top w:val="none" w:sz="0" w:space="0" w:color="auto"/>
            <w:left w:val="none" w:sz="0" w:space="0" w:color="auto"/>
            <w:bottom w:val="none" w:sz="0" w:space="0" w:color="auto"/>
            <w:right w:val="none" w:sz="0" w:space="0" w:color="auto"/>
          </w:divBdr>
          <w:divsChild>
            <w:div w:id="1292638382">
              <w:marLeft w:val="0"/>
              <w:marRight w:val="0"/>
              <w:marTop w:val="0"/>
              <w:marBottom w:val="0"/>
              <w:divBdr>
                <w:top w:val="none" w:sz="0" w:space="0" w:color="auto"/>
                <w:left w:val="none" w:sz="0" w:space="0" w:color="auto"/>
                <w:bottom w:val="none" w:sz="0" w:space="0" w:color="auto"/>
                <w:right w:val="none" w:sz="0" w:space="0" w:color="auto"/>
              </w:divBdr>
            </w:div>
          </w:divsChild>
        </w:div>
        <w:div w:id="1539779619">
          <w:marLeft w:val="0"/>
          <w:marRight w:val="0"/>
          <w:marTop w:val="0"/>
          <w:marBottom w:val="0"/>
          <w:divBdr>
            <w:top w:val="none" w:sz="0" w:space="0" w:color="auto"/>
            <w:left w:val="none" w:sz="0" w:space="0" w:color="auto"/>
            <w:bottom w:val="none" w:sz="0" w:space="0" w:color="auto"/>
            <w:right w:val="none" w:sz="0" w:space="0" w:color="auto"/>
          </w:divBdr>
          <w:divsChild>
            <w:div w:id="1867210948">
              <w:marLeft w:val="0"/>
              <w:marRight w:val="0"/>
              <w:marTop w:val="0"/>
              <w:marBottom w:val="0"/>
              <w:divBdr>
                <w:top w:val="none" w:sz="0" w:space="0" w:color="auto"/>
                <w:left w:val="none" w:sz="0" w:space="0" w:color="auto"/>
                <w:bottom w:val="none" w:sz="0" w:space="0" w:color="auto"/>
                <w:right w:val="none" w:sz="0" w:space="0" w:color="auto"/>
              </w:divBdr>
            </w:div>
          </w:divsChild>
        </w:div>
        <w:div w:id="1689402022">
          <w:marLeft w:val="0"/>
          <w:marRight w:val="0"/>
          <w:marTop w:val="0"/>
          <w:marBottom w:val="0"/>
          <w:divBdr>
            <w:top w:val="none" w:sz="0" w:space="0" w:color="auto"/>
            <w:left w:val="none" w:sz="0" w:space="0" w:color="auto"/>
            <w:bottom w:val="none" w:sz="0" w:space="0" w:color="auto"/>
            <w:right w:val="none" w:sz="0" w:space="0" w:color="auto"/>
          </w:divBdr>
          <w:divsChild>
            <w:div w:id="2095778095">
              <w:marLeft w:val="0"/>
              <w:marRight w:val="0"/>
              <w:marTop w:val="0"/>
              <w:marBottom w:val="0"/>
              <w:divBdr>
                <w:top w:val="none" w:sz="0" w:space="0" w:color="auto"/>
                <w:left w:val="none" w:sz="0" w:space="0" w:color="auto"/>
                <w:bottom w:val="none" w:sz="0" w:space="0" w:color="auto"/>
                <w:right w:val="none" w:sz="0" w:space="0" w:color="auto"/>
              </w:divBdr>
            </w:div>
          </w:divsChild>
        </w:div>
        <w:div w:id="1788425216">
          <w:marLeft w:val="0"/>
          <w:marRight w:val="0"/>
          <w:marTop w:val="0"/>
          <w:marBottom w:val="0"/>
          <w:divBdr>
            <w:top w:val="none" w:sz="0" w:space="0" w:color="auto"/>
            <w:left w:val="none" w:sz="0" w:space="0" w:color="auto"/>
            <w:bottom w:val="none" w:sz="0" w:space="0" w:color="auto"/>
            <w:right w:val="none" w:sz="0" w:space="0" w:color="auto"/>
          </w:divBdr>
          <w:divsChild>
            <w:div w:id="1184589771">
              <w:marLeft w:val="0"/>
              <w:marRight w:val="0"/>
              <w:marTop w:val="0"/>
              <w:marBottom w:val="0"/>
              <w:divBdr>
                <w:top w:val="none" w:sz="0" w:space="0" w:color="auto"/>
                <w:left w:val="none" w:sz="0" w:space="0" w:color="auto"/>
                <w:bottom w:val="none" w:sz="0" w:space="0" w:color="auto"/>
                <w:right w:val="none" w:sz="0" w:space="0" w:color="auto"/>
              </w:divBdr>
            </w:div>
          </w:divsChild>
        </w:div>
        <w:div w:id="1898390610">
          <w:marLeft w:val="0"/>
          <w:marRight w:val="0"/>
          <w:marTop w:val="0"/>
          <w:marBottom w:val="0"/>
          <w:divBdr>
            <w:top w:val="none" w:sz="0" w:space="0" w:color="auto"/>
            <w:left w:val="none" w:sz="0" w:space="0" w:color="auto"/>
            <w:bottom w:val="none" w:sz="0" w:space="0" w:color="auto"/>
            <w:right w:val="none" w:sz="0" w:space="0" w:color="auto"/>
          </w:divBdr>
          <w:divsChild>
            <w:div w:id="1747535486">
              <w:marLeft w:val="0"/>
              <w:marRight w:val="0"/>
              <w:marTop w:val="0"/>
              <w:marBottom w:val="0"/>
              <w:divBdr>
                <w:top w:val="none" w:sz="0" w:space="0" w:color="auto"/>
                <w:left w:val="none" w:sz="0" w:space="0" w:color="auto"/>
                <w:bottom w:val="none" w:sz="0" w:space="0" w:color="auto"/>
                <w:right w:val="none" w:sz="0" w:space="0" w:color="auto"/>
              </w:divBdr>
            </w:div>
          </w:divsChild>
        </w:div>
        <w:div w:id="1911957966">
          <w:marLeft w:val="0"/>
          <w:marRight w:val="0"/>
          <w:marTop w:val="0"/>
          <w:marBottom w:val="0"/>
          <w:divBdr>
            <w:top w:val="none" w:sz="0" w:space="0" w:color="auto"/>
            <w:left w:val="none" w:sz="0" w:space="0" w:color="auto"/>
            <w:bottom w:val="none" w:sz="0" w:space="0" w:color="auto"/>
            <w:right w:val="none" w:sz="0" w:space="0" w:color="auto"/>
          </w:divBdr>
          <w:divsChild>
            <w:div w:id="2058165700">
              <w:marLeft w:val="0"/>
              <w:marRight w:val="0"/>
              <w:marTop w:val="0"/>
              <w:marBottom w:val="0"/>
              <w:divBdr>
                <w:top w:val="none" w:sz="0" w:space="0" w:color="auto"/>
                <w:left w:val="none" w:sz="0" w:space="0" w:color="auto"/>
                <w:bottom w:val="none" w:sz="0" w:space="0" w:color="auto"/>
                <w:right w:val="none" w:sz="0" w:space="0" w:color="auto"/>
              </w:divBdr>
            </w:div>
          </w:divsChild>
        </w:div>
        <w:div w:id="2029064422">
          <w:marLeft w:val="0"/>
          <w:marRight w:val="0"/>
          <w:marTop w:val="0"/>
          <w:marBottom w:val="0"/>
          <w:divBdr>
            <w:top w:val="none" w:sz="0" w:space="0" w:color="auto"/>
            <w:left w:val="none" w:sz="0" w:space="0" w:color="auto"/>
            <w:bottom w:val="none" w:sz="0" w:space="0" w:color="auto"/>
            <w:right w:val="none" w:sz="0" w:space="0" w:color="auto"/>
          </w:divBdr>
          <w:divsChild>
            <w:div w:id="512885076">
              <w:marLeft w:val="0"/>
              <w:marRight w:val="0"/>
              <w:marTop w:val="0"/>
              <w:marBottom w:val="0"/>
              <w:divBdr>
                <w:top w:val="none" w:sz="0" w:space="0" w:color="auto"/>
                <w:left w:val="none" w:sz="0" w:space="0" w:color="auto"/>
                <w:bottom w:val="none" w:sz="0" w:space="0" w:color="auto"/>
                <w:right w:val="none" w:sz="0" w:space="0" w:color="auto"/>
              </w:divBdr>
            </w:div>
          </w:divsChild>
        </w:div>
        <w:div w:id="2067213910">
          <w:marLeft w:val="0"/>
          <w:marRight w:val="0"/>
          <w:marTop w:val="0"/>
          <w:marBottom w:val="0"/>
          <w:divBdr>
            <w:top w:val="none" w:sz="0" w:space="0" w:color="auto"/>
            <w:left w:val="none" w:sz="0" w:space="0" w:color="auto"/>
            <w:bottom w:val="none" w:sz="0" w:space="0" w:color="auto"/>
            <w:right w:val="none" w:sz="0" w:space="0" w:color="auto"/>
          </w:divBdr>
          <w:divsChild>
            <w:div w:id="608006282">
              <w:marLeft w:val="0"/>
              <w:marRight w:val="0"/>
              <w:marTop w:val="0"/>
              <w:marBottom w:val="0"/>
              <w:divBdr>
                <w:top w:val="none" w:sz="0" w:space="0" w:color="auto"/>
                <w:left w:val="none" w:sz="0" w:space="0" w:color="auto"/>
                <w:bottom w:val="none" w:sz="0" w:space="0" w:color="auto"/>
                <w:right w:val="none" w:sz="0" w:space="0" w:color="auto"/>
              </w:divBdr>
            </w:div>
          </w:divsChild>
        </w:div>
        <w:div w:id="2094277298">
          <w:marLeft w:val="0"/>
          <w:marRight w:val="0"/>
          <w:marTop w:val="0"/>
          <w:marBottom w:val="0"/>
          <w:divBdr>
            <w:top w:val="none" w:sz="0" w:space="0" w:color="auto"/>
            <w:left w:val="none" w:sz="0" w:space="0" w:color="auto"/>
            <w:bottom w:val="none" w:sz="0" w:space="0" w:color="auto"/>
            <w:right w:val="none" w:sz="0" w:space="0" w:color="auto"/>
          </w:divBdr>
          <w:divsChild>
            <w:div w:id="876696625">
              <w:marLeft w:val="0"/>
              <w:marRight w:val="0"/>
              <w:marTop w:val="0"/>
              <w:marBottom w:val="0"/>
              <w:divBdr>
                <w:top w:val="none" w:sz="0" w:space="0" w:color="auto"/>
                <w:left w:val="none" w:sz="0" w:space="0" w:color="auto"/>
                <w:bottom w:val="none" w:sz="0" w:space="0" w:color="auto"/>
                <w:right w:val="none" w:sz="0" w:space="0" w:color="auto"/>
              </w:divBdr>
            </w:div>
          </w:divsChild>
        </w:div>
        <w:div w:id="2097094530">
          <w:marLeft w:val="0"/>
          <w:marRight w:val="0"/>
          <w:marTop w:val="0"/>
          <w:marBottom w:val="0"/>
          <w:divBdr>
            <w:top w:val="none" w:sz="0" w:space="0" w:color="auto"/>
            <w:left w:val="none" w:sz="0" w:space="0" w:color="auto"/>
            <w:bottom w:val="none" w:sz="0" w:space="0" w:color="auto"/>
            <w:right w:val="none" w:sz="0" w:space="0" w:color="auto"/>
          </w:divBdr>
          <w:divsChild>
            <w:div w:id="214218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32739">
      <w:bodyDiv w:val="1"/>
      <w:marLeft w:val="0"/>
      <w:marRight w:val="0"/>
      <w:marTop w:val="0"/>
      <w:marBottom w:val="0"/>
      <w:divBdr>
        <w:top w:val="none" w:sz="0" w:space="0" w:color="auto"/>
        <w:left w:val="none" w:sz="0" w:space="0" w:color="auto"/>
        <w:bottom w:val="none" w:sz="0" w:space="0" w:color="auto"/>
        <w:right w:val="none" w:sz="0" w:space="0" w:color="auto"/>
      </w:divBdr>
    </w:div>
    <w:div w:id="2085688609">
      <w:bodyDiv w:val="1"/>
      <w:marLeft w:val="0"/>
      <w:marRight w:val="0"/>
      <w:marTop w:val="0"/>
      <w:marBottom w:val="0"/>
      <w:divBdr>
        <w:top w:val="none" w:sz="0" w:space="0" w:color="auto"/>
        <w:left w:val="none" w:sz="0" w:space="0" w:color="auto"/>
        <w:bottom w:val="none" w:sz="0" w:space="0" w:color="auto"/>
        <w:right w:val="none" w:sz="0" w:space="0" w:color="auto"/>
      </w:divBdr>
    </w:div>
    <w:div w:id="2105565522">
      <w:bodyDiv w:val="1"/>
      <w:marLeft w:val="0"/>
      <w:marRight w:val="0"/>
      <w:marTop w:val="0"/>
      <w:marBottom w:val="0"/>
      <w:divBdr>
        <w:top w:val="none" w:sz="0" w:space="0" w:color="auto"/>
        <w:left w:val="none" w:sz="0" w:space="0" w:color="auto"/>
        <w:bottom w:val="none" w:sz="0" w:space="0" w:color="auto"/>
        <w:right w:val="none" w:sz="0" w:space="0" w:color="auto"/>
      </w:divBdr>
    </w:div>
    <w:div w:id="2131703001">
      <w:bodyDiv w:val="1"/>
      <w:marLeft w:val="0"/>
      <w:marRight w:val="0"/>
      <w:marTop w:val="0"/>
      <w:marBottom w:val="0"/>
      <w:divBdr>
        <w:top w:val="none" w:sz="0" w:space="0" w:color="auto"/>
        <w:left w:val="none" w:sz="0" w:space="0" w:color="auto"/>
        <w:bottom w:val="none" w:sz="0" w:space="0" w:color="auto"/>
        <w:right w:val="none" w:sz="0" w:space="0" w:color="auto"/>
      </w:divBdr>
    </w:div>
    <w:div w:id="2131707943">
      <w:bodyDiv w:val="1"/>
      <w:marLeft w:val="0"/>
      <w:marRight w:val="0"/>
      <w:marTop w:val="0"/>
      <w:marBottom w:val="0"/>
      <w:divBdr>
        <w:top w:val="none" w:sz="0" w:space="0" w:color="auto"/>
        <w:left w:val="none" w:sz="0" w:space="0" w:color="auto"/>
        <w:bottom w:val="none" w:sz="0" w:space="0" w:color="auto"/>
        <w:right w:val="none" w:sz="0" w:space="0" w:color="auto"/>
      </w:divBdr>
      <w:divsChild>
        <w:div w:id="174729591">
          <w:marLeft w:val="0"/>
          <w:marRight w:val="0"/>
          <w:marTop w:val="0"/>
          <w:marBottom w:val="0"/>
          <w:divBdr>
            <w:top w:val="none" w:sz="0" w:space="0" w:color="auto"/>
            <w:left w:val="none" w:sz="0" w:space="0" w:color="auto"/>
            <w:bottom w:val="none" w:sz="0" w:space="0" w:color="auto"/>
            <w:right w:val="none" w:sz="0" w:space="0" w:color="auto"/>
          </w:divBdr>
          <w:divsChild>
            <w:div w:id="607658363">
              <w:marLeft w:val="-75"/>
              <w:marRight w:val="0"/>
              <w:marTop w:val="30"/>
              <w:marBottom w:val="30"/>
              <w:divBdr>
                <w:top w:val="none" w:sz="0" w:space="0" w:color="auto"/>
                <w:left w:val="none" w:sz="0" w:space="0" w:color="auto"/>
                <w:bottom w:val="none" w:sz="0" w:space="0" w:color="auto"/>
                <w:right w:val="none" w:sz="0" w:space="0" w:color="auto"/>
              </w:divBdr>
              <w:divsChild>
                <w:div w:id="27612438">
                  <w:marLeft w:val="0"/>
                  <w:marRight w:val="0"/>
                  <w:marTop w:val="0"/>
                  <w:marBottom w:val="0"/>
                  <w:divBdr>
                    <w:top w:val="none" w:sz="0" w:space="0" w:color="auto"/>
                    <w:left w:val="none" w:sz="0" w:space="0" w:color="auto"/>
                    <w:bottom w:val="none" w:sz="0" w:space="0" w:color="auto"/>
                    <w:right w:val="none" w:sz="0" w:space="0" w:color="auto"/>
                  </w:divBdr>
                  <w:divsChild>
                    <w:div w:id="1381897991">
                      <w:marLeft w:val="0"/>
                      <w:marRight w:val="0"/>
                      <w:marTop w:val="0"/>
                      <w:marBottom w:val="0"/>
                      <w:divBdr>
                        <w:top w:val="none" w:sz="0" w:space="0" w:color="auto"/>
                        <w:left w:val="none" w:sz="0" w:space="0" w:color="auto"/>
                        <w:bottom w:val="none" w:sz="0" w:space="0" w:color="auto"/>
                        <w:right w:val="none" w:sz="0" w:space="0" w:color="auto"/>
                      </w:divBdr>
                    </w:div>
                  </w:divsChild>
                </w:div>
                <w:div w:id="181239245">
                  <w:marLeft w:val="0"/>
                  <w:marRight w:val="0"/>
                  <w:marTop w:val="0"/>
                  <w:marBottom w:val="0"/>
                  <w:divBdr>
                    <w:top w:val="none" w:sz="0" w:space="0" w:color="auto"/>
                    <w:left w:val="none" w:sz="0" w:space="0" w:color="auto"/>
                    <w:bottom w:val="none" w:sz="0" w:space="0" w:color="auto"/>
                    <w:right w:val="none" w:sz="0" w:space="0" w:color="auto"/>
                  </w:divBdr>
                  <w:divsChild>
                    <w:div w:id="507519923">
                      <w:marLeft w:val="0"/>
                      <w:marRight w:val="0"/>
                      <w:marTop w:val="0"/>
                      <w:marBottom w:val="0"/>
                      <w:divBdr>
                        <w:top w:val="none" w:sz="0" w:space="0" w:color="auto"/>
                        <w:left w:val="none" w:sz="0" w:space="0" w:color="auto"/>
                        <w:bottom w:val="none" w:sz="0" w:space="0" w:color="auto"/>
                        <w:right w:val="none" w:sz="0" w:space="0" w:color="auto"/>
                      </w:divBdr>
                    </w:div>
                  </w:divsChild>
                </w:div>
                <w:div w:id="195653949">
                  <w:marLeft w:val="0"/>
                  <w:marRight w:val="0"/>
                  <w:marTop w:val="0"/>
                  <w:marBottom w:val="0"/>
                  <w:divBdr>
                    <w:top w:val="none" w:sz="0" w:space="0" w:color="auto"/>
                    <w:left w:val="none" w:sz="0" w:space="0" w:color="auto"/>
                    <w:bottom w:val="none" w:sz="0" w:space="0" w:color="auto"/>
                    <w:right w:val="none" w:sz="0" w:space="0" w:color="auto"/>
                  </w:divBdr>
                  <w:divsChild>
                    <w:div w:id="538130356">
                      <w:marLeft w:val="0"/>
                      <w:marRight w:val="0"/>
                      <w:marTop w:val="0"/>
                      <w:marBottom w:val="0"/>
                      <w:divBdr>
                        <w:top w:val="none" w:sz="0" w:space="0" w:color="auto"/>
                        <w:left w:val="none" w:sz="0" w:space="0" w:color="auto"/>
                        <w:bottom w:val="none" w:sz="0" w:space="0" w:color="auto"/>
                        <w:right w:val="none" w:sz="0" w:space="0" w:color="auto"/>
                      </w:divBdr>
                    </w:div>
                  </w:divsChild>
                </w:div>
                <w:div w:id="226691877">
                  <w:marLeft w:val="0"/>
                  <w:marRight w:val="0"/>
                  <w:marTop w:val="0"/>
                  <w:marBottom w:val="0"/>
                  <w:divBdr>
                    <w:top w:val="none" w:sz="0" w:space="0" w:color="auto"/>
                    <w:left w:val="none" w:sz="0" w:space="0" w:color="auto"/>
                    <w:bottom w:val="none" w:sz="0" w:space="0" w:color="auto"/>
                    <w:right w:val="none" w:sz="0" w:space="0" w:color="auto"/>
                  </w:divBdr>
                  <w:divsChild>
                    <w:div w:id="24411499">
                      <w:marLeft w:val="0"/>
                      <w:marRight w:val="0"/>
                      <w:marTop w:val="0"/>
                      <w:marBottom w:val="0"/>
                      <w:divBdr>
                        <w:top w:val="none" w:sz="0" w:space="0" w:color="auto"/>
                        <w:left w:val="none" w:sz="0" w:space="0" w:color="auto"/>
                        <w:bottom w:val="none" w:sz="0" w:space="0" w:color="auto"/>
                        <w:right w:val="none" w:sz="0" w:space="0" w:color="auto"/>
                      </w:divBdr>
                    </w:div>
                  </w:divsChild>
                </w:div>
                <w:div w:id="272371510">
                  <w:marLeft w:val="0"/>
                  <w:marRight w:val="0"/>
                  <w:marTop w:val="0"/>
                  <w:marBottom w:val="0"/>
                  <w:divBdr>
                    <w:top w:val="none" w:sz="0" w:space="0" w:color="auto"/>
                    <w:left w:val="none" w:sz="0" w:space="0" w:color="auto"/>
                    <w:bottom w:val="none" w:sz="0" w:space="0" w:color="auto"/>
                    <w:right w:val="none" w:sz="0" w:space="0" w:color="auto"/>
                  </w:divBdr>
                  <w:divsChild>
                    <w:div w:id="1418356830">
                      <w:marLeft w:val="0"/>
                      <w:marRight w:val="0"/>
                      <w:marTop w:val="0"/>
                      <w:marBottom w:val="0"/>
                      <w:divBdr>
                        <w:top w:val="none" w:sz="0" w:space="0" w:color="auto"/>
                        <w:left w:val="none" w:sz="0" w:space="0" w:color="auto"/>
                        <w:bottom w:val="none" w:sz="0" w:space="0" w:color="auto"/>
                        <w:right w:val="none" w:sz="0" w:space="0" w:color="auto"/>
                      </w:divBdr>
                    </w:div>
                  </w:divsChild>
                </w:div>
                <w:div w:id="281115098">
                  <w:marLeft w:val="0"/>
                  <w:marRight w:val="0"/>
                  <w:marTop w:val="0"/>
                  <w:marBottom w:val="0"/>
                  <w:divBdr>
                    <w:top w:val="none" w:sz="0" w:space="0" w:color="auto"/>
                    <w:left w:val="none" w:sz="0" w:space="0" w:color="auto"/>
                    <w:bottom w:val="none" w:sz="0" w:space="0" w:color="auto"/>
                    <w:right w:val="none" w:sz="0" w:space="0" w:color="auto"/>
                  </w:divBdr>
                  <w:divsChild>
                    <w:div w:id="681979687">
                      <w:marLeft w:val="0"/>
                      <w:marRight w:val="0"/>
                      <w:marTop w:val="0"/>
                      <w:marBottom w:val="0"/>
                      <w:divBdr>
                        <w:top w:val="none" w:sz="0" w:space="0" w:color="auto"/>
                        <w:left w:val="none" w:sz="0" w:space="0" w:color="auto"/>
                        <w:bottom w:val="none" w:sz="0" w:space="0" w:color="auto"/>
                        <w:right w:val="none" w:sz="0" w:space="0" w:color="auto"/>
                      </w:divBdr>
                    </w:div>
                  </w:divsChild>
                </w:div>
                <w:div w:id="422412168">
                  <w:marLeft w:val="0"/>
                  <w:marRight w:val="0"/>
                  <w:marTop w:val="0"/>
                  <w:marBottom w:val="0"/>
                  <w:divBdr>
                    <w:top w:val="none" w:sz="0" w:space="0" w:color="auto"/>
                    <w:left w:val="none" w:sz="0" w:space="0" w:color="auto"/>
                    <w:bottom w:val="none" w:sz="0" w:space="0" w:color="auto"/>
                    <w:right w:val="none" w:sz="0" w:space="0" w:color="auto"/>
                  </w:divBdr>
                  <w:divsChild>
                    <w:div w:id="1231693000">
                      <w:marLeft w:val="0"/>
                      <w:marRight w:val="0"/>
                      <w:marTop w:val="0"/>
                      <w:marBottom w:val="0"/>
                      <w:divBdr>
                        <w:top w:val="none" w:sz="0" w:space="0" w:color="auto"/>
                        <w:left w:val="none" w:sz="0" w:space="0" w:color="auto"/>
                        <w:bottom w:val="none" w:sz="0" w:space="0" w:color="auto"/>
                        <w:right w:val="none" w:sz="0" w:space="0" w:color="auto"/>
                      </w:divBdr>
                    </w:div>
                  </w:divsChild>
                </w:div>
                <w:div w:id="445465330">
                  <w:marLeft w:val="0"/>
                  <w:marRight w:val="0"/>
                  <w:marTop w:val="0"/>
                  <w:marBottom w:val="0"/>
                  <w:divBdr>
                    <w:top w:val="none" w:sz="0" w:space="0" w:color="auto"/>
                    <w:left w:val="none" w:sz="0" w:space="0" w:color="auto"/>
                    <w:bottom w:val="none" w:sz="0" w:space="0" w:color="auto"/>
                    <w:right w:val="none" w:sz="0" w:space="0" w:color="auto"/>
                  </w:divBdr>
                  <w:divsChild>
                    <w:div w:id="673727653">
                      <w:marLeft w:val="0"/>
                      <w:marRight w:val="0"/>
                      <w:marTop w:val="0"/>
                      <w:marBottom w:val="0"/>
                      <w:divBdr>
                        <w:top w:val="none" w:sz="0" w:space="0" w:color="auto"/>
                        <w:left w:val="none" w:sz="0" w:space="0" w:color="auto"/>
                        <w:bottom w:val="none" w:sz="0" w:space="0" w:color="auto"/>
                        <w:right w:val="none" w:sz="0" w:space="0" w:color="auto"/>
                      </w:divBdr>
                    </w:div>
                  </w:divsChild>
                </w:div>
                <w:div w:id="452673604">
                  <w:marLeft w:val="0"/>
                  <w:marRight w:val="0"/>
                  <w:marTop w:val="0"/>
                  <w:marBottom w:val="0"/>
                  <w:divBdr>
                    <w:top w:val="none" w:sz="0" w:space="0" w:color="auto"/>
                    <w:left w:val="none" w:sz="0" w:space="0" w:color="auto"/>
                    <w:bottom w:val="none" w:sz="0" w:space="0" w:color="auto"/>
                    <w:right w:val="none" w:sz="0" w:space="0" w:color="auto"/>
                  </w:divBdr>
                  <w:divsChild>
                    <w:div w:id="201867689">
                      <w:marLeft w:val="0"/>
                      <w:marRight w:val="0"/>
                      <w:marTop w:val="0"/>
                      <w:marBottom w:val="0"/>
                      <w:divBdr>
                        <w:top w:val="none" w:sz="0" w:space="0" w:color="auto"/>
                        <w:left w:val="none" w:sz="0" w:space="0" w:color="auto"/>
                        <w:bottom w:val="none" w:sz="0" w:space="0" w:color="auto"/>
                        <w:right w:val="none" w:sz="0" w:space="0" w:color="auto"/>
                      </w:divBdr>
                    </w:div>
                  </w:divsChild>
                </w:div>
                <w:div w:id="503513514">
                  <w:marLeft w:val="0"/>
                  <w:marRight w:val="0"/>
                  <w:marTop w:val="0"/>
                  <w:marBottom w:val="0"/>
                  <w:divBdr>
                    <w:top w:val="none" w:sz="0" w:space="0" w:color="auto"/>
                    <w:left w:val="none" w:sz="0" w:space="0" w:color="auto"/>
                    <w:bottom w:val="none" w:sz="0" w:space="0" w:color="auto"/>
                    <w:right w:val="none" w:sz="0" w:space="0" w:color="auto"/>
                  </w:divBdr>
                  <w:divsChild>
                    <w:div w:id="681205350">
                      <w:marLeft w:val="0"/>
                      <w:marRight w:val="0"/>
                      <w:marTop w:val="0"/>
                      <w:marBottom w:val="0"/>
                      <w:divBdr>
                        <w:top w:val="none" w:sz="0" w:space="0" w:color="auto"/>
                        <w:left w:val="none" w:sz="0" w:space="0" w:color="auto"/>
                        <w:bottom w:val="none" w:sz="0" w:space="0" w:color="auto"/>
                        <w:right w:val="none" w:sz="0" w:space="0" w:color="auto"/>
                      </w:divBdr>
                    </w:div>
                  </w:divsChild>
                </w:div>
                <w:div w:id="519856606">
                  <w:marLeft w:val="0"/>
                  <w:marRight w:val="0"/>
                  <w:marTop w:val="0"/>
                  <w:marBottom w:val="0"/>
                  <w:divBdr>
                    <w:top w:val="none" w:sz="0" w:space="0" w:color="auto"/>
                    <w:left w:val="none" w:sz="0" w:space="0" w:color="auto"/>
                    <w:bottom w:val="none" w:sz="0" w:space="0" w:color="auto"/>
                    <w:right w:val="none" w:sz="0" w:space="0" w:color="auto"/>
                  </w:divBdr>
                  <w:divsChild>
                    <w:div w:id="208497722">
                      <w:marLeft w:val="0"/>
                      <w:marRight w:val="0"/>
                      <w:marTop w:val="0"/>
                      <w:marBottom w:val="0"/>
                      <w:divBdr>
                        <w:top w:val="none" w:sz="0" w:space="0" w:color="auto"/>
                        <w:left w:val="none" w:sz="0" w:space="0" w:color="auto"/>
                        <w:bottom w:val="none" w:sz="0" w:space="0" w:color="auto"/>
                        <w:right w:val="none" w:sz="0" w:space="0" w:color="auto"/>
                      </w:divBdr>
                    </w:div>
                  </w:divsChild>
                </w:div>
                <w:div w:id="546335250">
                  <w:marLeft w:val="0"/>
                  <w:marRight w:val="0"/>
                  <w:marTop w:val="0"/>
                  <w:marBottom w:val="0"/>
                  <w:divBdr>
                    <w:top w:val="none" w:sz="0" w:space="0" w:color="auto"/>
                    <w:left w:val="none" w:sz="0" w:space="0" w:color="auto"/>
                    <w:bottom w:val="none" w:sz="0" w:space="0" w:color="auto"/>
                    <w:right w:val="none" w:sz="0" w:space="0" w:color="auto"/>
                  </w:divBdr>
                  <w:divsChild>
                    <w:div w:id="62684747">
                      <w:marLeft w:val="0"/>
                      <w:marRight w:val="0"/>
                      <w:marTop w:val="0"/>
                      <w:marBottom w:val="0"/>
                      <w:divBdr>
                        <w:top w:val="none" w:sz="0" w:space="0" w:color="auto"/>
                        <w:left w:val="none" w:sz="0" w:space="0" w:color="auto"/>
                        <w:bottom w:val="none" w:sz="0" w:space="0" w:color="auto"/>
                        <w:right w:val="none" w:sz="0" w:space="0" w:color="auto"/>
                      </w:divBdr>
                    </w:div>
                  </w:divsChild>
                </w:div>
                <w:div w:id="590432912">
                  <w:marLeft w:val="0"/>
                  <w:marRight w:val="0"/>
                  <w:marTop w:val="0"/>
                  <w:marBottom w:val="0"/>
                  <w:divBdr>
                    <w:top w:val="none" w:sz="0" w:space="0" w:color="auto"/>
                    <w:left w:val="none" w:sz="0" w:space="0" w:color="auto"/>
                    <w:bottom w:val="none" w:sz="0" w:space="0" w:color="auto"/>
                    <w:right w:val="none" w:sz="0" w:space="0" w:color="auto"/>
                  </w:divBdr>
                  <w:divsChild>
                    <w:div w:id="1052576783">
                      <w:marLeft w:val="0"/>
                      <w:marRight w:val="0"/>
                      <w:marTop w:val="0"/>
                      <w:marBottom w:val="0"/>
                      <w:divBdr>
                        <w:top w:val="none" w:sz="0" w:space="0" w:color="auto"/>
                        <w:left w:val="none" w:sz="0" w:space="0" w:color="auto"/>
                        <w:bottom w:val="none" w:sz="0" w:space="0" w:color="auto"/>
                        <w:right w:val="none" w:sz="0" w:space="0" w:color="auto"/>
                      </w:divBdr>
                    </w:div>
                  </w:divsChild>
                </w:div>
                <w:div w:id="605162944">
                  <w:marLeft w:val="0"/>
                  <w:marRight w:val="0"/>
                  <w:marTop w:val="0"/>
                  <w:marBottom w:val="0"/>
                  <w:divBdr>
                    <w:top w:val="none" w:sz="0" w:space="0" w:color="auto"/>
                    <w:left w:val="none" w:sz="0" w:space="0" w:color="auto"/>
                    <w:bottom w:val="none" w:sz="0" w:space="0" w:color="auto"/>
                    <w:right w:val="none" w:sz="0" w:space="0" w:color="auto"/>
                  </w:divBdr>
                  <w:divsChild>
                    <w:div w:id="4020992">
                      <w:marLeft w:val="0"/>
                      <w:marRight w:val="0"/>
                      <w:marTop w:val="0"/>
                      <w:marBottom w:val="0"/>
                      <w:divBdr>
                        <w:top w:val="none" w:sz="0" w:space="0" w:color="auto"/>
                        <w:left w:val="none" w:sz="0" w:space="0" w:color="auto"/>
                        <w:bottom w:val="none" w:sz="0" w:space="0" w:color="auto"/>
                        <w:right w:val="none" w:sz="0" w:space="0" w:color="auto"/>
                      </w:divBdr>
                    </w:div>
                  </w:divsChild>
                </w:div>
                <w:div w:id="608397396">
                  <w:marLeft w:val="0"/>
                  <w:marRight w:val="0"/>
                  <w:marTop w:val="0"/>
                  <w:marBottom w:val="0"/>
                  <w:divBdr>
                    <w:top w:val="none" w:sz="0" w:space="0" w:color="auto"/>
                    <w:left w:val="none" w:sz="0" w:space="0" w:color="auto"/>
                    <w:bottom w:val="none" w:sz="0" w:space="0" w:color="auto"/>
                    <w:right w:val="none" w:sz="0" w:space="0" w:color="auto"/>
                  </w:divBdr>
                  <w:divsChild>
                    <w:div w:id="717322663">
                      <w:marLeft w:val="0"/>
                      <w:marRight w:val="0"/>
                      <w:marTop w:val="0"/>
                      <w:marBottom w:val="0"/>
                      <w:divBdr>
                        <w:top w:val="none" w:sz="0" w:space="0" w:color="auto"/>
                        <w:left w:val="none" w:sz="0" w:space="0" w:color="auto"/>
                        <w:bottom w:val="none" w:sz="0" w:space="0" w:color="auto"/>
                        <w:right w:val="none" w:sz="0" w:space="0" w:color="auto"/>
                      </w:divBdr>
                    </w:div>
                  </w:divsChild>
                </w:div>
                <w:div w:id="624627702">
                  <w:marLeft w:val="0"/>
                  <w:marRight w:val="0"/>
                  <w:marTop w:val="0"/>
                  <w:marBottom w:val="0"/>
                  <w:divBdr>
                    <w:top w:val="none" w:sz="0" w:space="0" w:color="auto"/>
                    <w:left w:val="none" w:sz="0" w:space="0" w:color="auto"/>
                    <w:bottom w:val="none" w:sz="0" w:space="0" w:color="auto"/>
                    <w:right w:val="none" w:sz="0" w:space="0" w:color="auto"/>
                  </w:divBdr>
                  <w:divsChild>
                    <w:div w:id="855121603">
                      <w:marLeft w:val="0"/>
                      <w:marRight w:val="0"/>
                      <w:marTop w:val="0"/>
                      <w:marBottom w:val="0"/>
                      <w:divBdr>
                        <w:top w:val="none" w:sz="0" w:space="0" w:color="auto"/>
                        <w:left w:val="none" w:sz="0" w:space="0" w:color="auto"/>
                        <w:bottom w:val="none" w:sz="0" w:space="0" w:color="auto"/>
                        <w:right w:val="none" w:sz="0" w:space="0" w:color="auto"/>
                      </w:divBdr>
                    </w:div>
                  </w:divsChild>
                </w:div>
                <w:div w:id="649016470">
                  <w:marLeft w:val="0"/>
                  <w:marRight w:val="0"/>
                  <w:marTop w:val="0"/>
                  <w:marBottom w:val="0"/>
                  <w:divBdr>
                    <w:top w:val="none" w:sz="0" w:space="0" w:color="auto"/>
                    <w:left w:val="none" w:sz="0" w:space="0" w:color="auto"/>
                    <w:bottom w:val="none" w:sz="0" w:space="0" w:color="auto"/>
                    <w:right w:val="none" w:sz="0" w:space="0" w:color="auto"/>
                  </w:divBdr>
                  <w:divsChild>
                    <w:div w:id="1222330547">
                      <w:marLeft w:val="0"/>
                      <w:marRight w:val="0"/>
                      <w:marTop w:val="0"/>
                      <w:marBottom w:val="0"/>
                      <w:divBdr>
                        <w:top w:val="none" w:sz="0" w:space="0" w:color="auto"/>
                        <w:left w:val="none" w:sz="0" w:space="0" w:color="auto"/>
                        <w:bottom w:val="none" w:sz="0" w:space="0" w:color="auto"/>
                        <w:right w:val="none" w:sz="0" w:space="0" w:color="auto"/>
                      </w:divBdr>
                    </w:div>
                  </w:divsChild>
                </w:div>
                <w:div w:id="669336300">
                  <w:marLeft w:val="0"/>
                  <w:marRight w:val="0"/>
                  <w:marTop w:val="0"/>
                  <w:marBottom w:val="0"/>
                  <w:divBdr>
                    <w:top w:val="none" w:sz="0" w:space="0" w:color="auto"/>
                    <w:left w:val="none" w:sz="0" w:space="0" w:color="auto"/>
                    <w:bottom w:val="none" w:sz="0" w:space="0" w:color="auto"/>
                    <w:right w:val="none" w:sz="0" w:space="0" w:color="auto"/>
                  </w:divBdr>
                  <w:divsChild>
                    <w:div w:id="1060589928">
                      <w:marLeft w:val="0"/>
                      <w:marRight w:val="0"/>
                      <w:marTop w:val="0"/>
                      <w:marBottom w:val="0"/>
                      <w:divBdr>
                        <w:top w:val="none" w:sz="0" w:space="0" w:color="auto"/>
                        <w:left w:val="none" w:sz="0" w:space="0" w:color="auto"/>
                        <w:bottom w:val="none" w:sz="0" w:space="0" w:color="auto"/>
                        <w:right w:val="none" w:sz="0" w:space="0" w:color="auto"/>
                      </w:divBdr>
                    </w:div>
                  </w:divsChild>
                </w:div>
                <w:div w:id="672076451">
                  <w:marLeft w:val="0"/>
                  <w:marRight w:val="0"/>
                  <w:marTop w:val="0"/>
                  <w:marBottom w:val="0"/>
                  <w:divBdr>
                    <w:top w:val="none" w:sz="0" w:space="0" w:color="auto"/>
                    <w:left w:val="none" w:sz="0" w:space="0" w:color="auto"/>
                    <w:bottom w:val="none" w:sz="0" w:space="0" w:color="auto"/>
                    <w:right w:val="none" w:sz="0" w:space="0" w:color="auto"/>
                  </w:divBdr>
                  <w:divsChild>
                    <w:div w:id="1386174348">
                      <w:marLeft w:val="0"/>
                      <w:marRight w:val="0"/>
                      <w:marTop w:val="0"/>
                      <w:marBottom w:val="0"/>
                      <w:divBdr>
                        <w:top w:val="none" w:sz="0" w:space="0" w:color="auto"/>
                        <w:left w:val="none" w:sz="0" w:space="0" w:color="auto"/>
                        <w:bottom w:val="none" w:sz="0" w:space="0" w:color="auto"/>
                        <w:right w:val="none" w:sz="0" w:space="0" w:color="auto"/>
                      </w:divBdr>
                    </w:div>
                  </w:divsChild>
                </w:div>
                <w:div w:id="691611985">
                  <w:marLeft w:val="0"/>
                  <w:marRight w:val="0"/>
                  <w:marTop w:val="0"/>
                  <w:marBottom w:val="0"/>
                  <w:divBdr>
                    <w:top w:val="none" w:sz="0" w:space="0" w:color="auto"/>
                    <w:left w:val="none" w:sz="0" w:space="0" w:color="auto"/>
                    <w:bottom w:val="none" w:sz="0" w:space="0" w:color="auto"/>
                    <w:right w:val="none" w:sz="0" w:space="0" w:color="auto"/>
                  </w:divBdr>
                  <w:divsChild>
                    <w:div w:id="1044214339">
                      <w:marLeft w:val="0"/>
                      <w:marRight w:val="0"/>
                      <w:marTop w:val="0"/>
                      <w:marBottom w:val="0"/>
                      <w:divBdr>
                        <w:top w:val="none" w:sz="0" w:space="0" w:color="auto"/>
                        <w:left w:val="none" w:sz="0" w:space="0" w:color="auto"/>
                        <w:bottom w:val="none" w:sz="0" w:space="0" w:color="auto"/>
                        <w:right w:val="none" w:sz="0" w:space="0" w:color="auto"/>
                      </w:divBdr>
                    </w:div>
                  </w:divsChild>
                </w:div>
                <w:div w:id="711344316">
                  <w:marLeft w:val="0"/>
                  <w:marRight w:val="0"/>
                  <w:marTop w:val="0"/>
                  <w:marBottom w:val="0"/>
                  <w:divBdr>
                    <w:top w:val="none" w:sz="0" w:space="0" w:color="auto"/>
                    <w:left w:val="none" w:sz="0" w:space="0" w:color="auto"/>
                    <w:bottom w:val="none" w:sz="0" w:space="0" w:color="auto"/>
                    <w:right w:val="none" w:sz="0" w:space="0" w:color="auto"/>
                  </w:divBdr>
                  <w:divsChild>
                    <w:div w:id="115609766">
                      <w:marLeft w:val="0"/>
                      <w:marRight w:val="0"/>
                      <w:marTop w:val="0"/>
                      <w:marBottom w:val="0"/>
                      <w:divBdr>
                        <w:top w:val="none" w:sz="0" w:space="0" w:color="auto"/>
                        <w:left w:val="none" w:sz="0" w:space="0" w:color="auto"/>
                        <w:bottom w:val="none" w:sz="0" w:space="0" w:color="auto"/>
                        <w:right w:val="none" w:sz="0" w:space="0" w:color="auto"/>
                      </w:divBdr>
                    </w:div>
                  </w:divsChild>
                </w:div>
                <w:div w:id="739863574">
                  <w:marLeft w:val="0"/>
                  <w:marRight w:val="0"/>
                  <w:marTop w:val="0"/>
                  <w:marBottom w:val="0"/>
                  <w:divBdr>
                    <w:top w:val="none" w:sz="0" w:space="0" w:color="auto"/>
                    <w:left w:val="none" w:sz="0" w:space="0" w:color="auto"/>
                    <w:bottom w:val="none" w:sz="0" w:space="0" w:color="auto"/>
                    <w:right w:val="none" w:sz="0" w:space="0" w:color="auto"/>
                  </w:divBdr>
                  <w:divsChild>
                    <w:div w:id="1913542797">
                      <w:marLeft w:val="0"/>
                      <w:marRight w:val="0"/>
                      <w:marTop w:val="0"/>
                      <w:marBottom w:val="0"/>
                      <w:divBdr>
                        <w:top w:val="none" w:sz="0" w:space="0" w:color="auto"/>
                        <w:left w:val="none" w:sz="0" w:space="0" w:color="auto"/>
                        <w:bottom w:val="none" w:sz="0" w:space="0" w:color="auto"/>
                        <w:right w:val="none" w:sz="0" w:space="0" w:color="auto"/>
                      </w:divBdr>
                    </w:div>
                  </w:divsChild>
                </w:div>
                <w:div w:id="824971614">
                  <w:marLeft w:val="0"/>
                  <w:marRight w:val="0"/>
                  <w:marTop w:val="0"/>
                  <w:marBottom w:val="0"/>
                  <w:divBdr>
                    <w:top w:val="none" w:sz="0" w:space="0" w:color="auto"/>
                    <w:left w:val="none" w:sz="0" w:space="0" w:color="auto"/>
                    <w:bottom w:val="none" w:sz="0" w:space="0" w:color="auto"/>
                    <w:right w:val="none" w:sz="0" w:space="0" w:color="auto"/>
                  </w:divBdr>
                  <w:divsChild>
                    <w:div w:id="132258322">
                      <w:marLeft w:val="0"/>
                      <w:marRight w:val="0"/>
                      <w:marTop w:val="0"/>
                      <w:marBottom w:val="0"/>
                      <w:divBdr>
                        <w:top w:val="none" w:sz="0" w:space="0" w:color="auto"/>
                        <w:left w:val="none" w:sz="0" w:space="0" w:color="auto"/>
                        <w:bottom w:val="none" w:sz="0" w:space="0" w:color="auto"/>
                        <w:right w:val="none" w:sz="0" w:space="0" w:color="auto"/>
                      </w:divBdr>
                    </w:div>
                  </w:divsChild>
                </w:div>
                <w:div w:id="913972439">
                  <w:marLeft w:val="0"/>
                  <w:marRight w:val="0"/>
                  <w:marTop w:val="0"/>
                  <w:marBottom w:val="0"/>
                  <w:divBdr>
                    <w:top w:val="none" w:sz="0" w:space="0" w:color="auto"/>
                    <w:left w:val="none" w:sz="0" w:space="0" w:color="auto"/>
                    <w:bottom w:val="none" w:sz="0" w:space="0" w:color="auto"/>
                    <w:right w:val="none" w:sz="0" w:space="0" w:color="auto"/>
                  </w:divBdr>
                  <w:divsChild>
                    <w:div w:id="2023316561">
                      <w:marLeft w:val="0"/>
                      <w:marRight w:val="0"/>
                      <w:marTop w:val="0"/>
                      <w:marBottom w:val="0"/>
                      <w:divBdr>
                        <w:top w:val="none" w:sz="0" w:space="0" w:color="auto"/>
                        <w:left w:val="none" w:sz="0" w:space="0" w:color="auto"/>
                        <w:bottom w:val="none" w:sz="0" w:space="0" w:color="auto"/>
                        <w:right w:val="none" w:sz="0" w:space="0" w:color="auto"/>
                      </w:divBdr>
                    </w:div>
                  </w:divsChild>
                </w:div>
                <w:div w:id="927806643">
                  <w:marLeft w:val="0"/>
                  <w:marRight w:val="0"/>
                  <w:marTop w:val="0"/>
                  <w:marBottom w:val="0"/>
                  <w:divBdr>
                    <w:top w:val="none" w:sz="0" w:space="0" w:color="auto"/>
                    <w:left w:val="none" w:sz="0" w:space="0" w:color="auto"/>
                    <w:bottom w:val="none" w:sz="0" w:space="0" w:color="auto"/>
                    <w:right w:val="none" w:sz="0" w:space="0" w:color="auto"/>
                  </w:divBdr>
                  <w:divsChild>
                    <w:div w:id="423038274">
                      <w:marLeft w:val="0"/>
                      <w:marRight w:val="0"/>
                      <w:marTop w:val="0"/>
                      <w:marBottom w:val="0"/>
                      <w:divBdr>
                        <w:top w:val="none" w:sz="0" w:space="0" w:color="auto"/>
                        <w:left w:val="none" w:sz="0" w:space="0" w:color="auto"/>
                        <w:bottom w:val="none" w:sz="0" w:space="0" w:color="auto"/>
                        <w:right w:val="none" w:sz="0" w:space="0" w:color="auto"/>
                      </w:divBdr>
                    </w:div>
                  </w:divsChild>
                </w:div>
                <w:div w:id="962154813">
                  <w:marLeft w:val="0"/>
                  <w:marRight w:val="0"/>
                  <w:marTop w:val="0"/>
                  <w:marBottom w:val="0"/>
                  <w:divBdr>
                    <w:top w:val="none" w:sz="0" w:space="0" w:color="auto"/>
                    <w:left w:val="none" w:sz="0" w:space="0" w:color="auto"/>
                    <w:bottom w:val="none" w:sz="0" w:space="0" w:color="auto"/>
                    <w:right w:val="none" w:sz="0" w:space="0" w:color="auto"/>
                  </w:divBdr>
                  <w:divsChild>
                    <w:div w:id="1536188568">
                      <w:marLeft w:val="0"/>
                      <w:marRight w:val="0"/>
                      <w:marTop w:val="0"/>
                      <w:marBottom w:val="0"/>
                      <w:divBdr>
                        <w:top w:val="none" w:sz="0" w:space="0" w:color="auto"/>
                        <w:left w:val="none" w:sz="0" w:space="0" w:color="auto"/>
                        <w:bottom w:val="none" w:sz="0" w:space="0" w:color="auto"/>
                        <w:right w:val="none" w:sz="0" w:space="0" w:color="auto"/>
                      </w:divBdr>
                    </w:div>
                  </w:divsChild>
                </w:div>
                <w:div w:id="982390483">
                  <w:marLeft w:val="0"/>
                  <w:marRight w:val="0"/>
                  <w:marTop w:val="0"/>
                  <w:marBottom w:val="0"/>
                  <w:divBdr>
                    <w:top w:val="none" w:sz="0" w:space="0" w:color="auto"/>
                    <w:left w:val="none" w:sz="0" w:space="0" w:color="auto"/>
                    <w:bottom w:val="none" w:sz="0" w:space="0" w:color="auto"/>
                    <w:right w:val="none" w:sz="0" w:space="0" w:color="auto"/>
                  </w:divBdr>
                  <w:divsChild>
                    <w:div w:id="671762402">
                      <w:marLeft w:val="0"/>
                      <w:marRight w:val="0"/>
                      <w:marTop w:val="0"/>
                      <w:marBottom w:val="0"/>
                      <w:divBdr>
                        <w:top w:val="none" w:sz="0" w:space="0" w:color="auto"/>
                        <w:left w:val="none" w:sz="0" w:space="0" w:color="auto"/>
                        <w:bottom w:val="none" w:sz="0" w:space="0" w:color="auto"/>
                        <w:right w:val="none" w:sz="0" w:space="0" w:color="auto"/>
                      </w:divBdr>
                    </w:div>
                  </w:divsChild>
                </w:div>
                <w:div w:id="993877945">
                  <w:marLeft w:val="0"/>
                  <w:marRight w:val="0"/>
                  <w:marTop w:val="0"/>
                  <w:marBottom w:val="0"/>
                  <w:divBdr>
                    <w:top w:val="none" w:sz="0" w:space="0" w:color="auto"/>
                    <w:left w:val="none" w:sz="0" w:space="0" w:color="auto"/>
                    <w:bottom w:val="none" w:sz="0" w:space="0" w:color="auto"/>
                    <w:right w:val="none" w:sz="0" w:space="0" w:color="auto"/>
                  </w:divBdr>
                  <w:divsChild>
                    <w:div w:id="915361148">
                      <w:marLeft w:val="0"/>
                      <w:marRight w:val="0"/>
                      <w:marTop w:val="0"/>
                      <w:marBottom w:val="0"/>
                      <w:divBdr>
                        <w:top w:val="none" w:sz="0" w:space="0" w:color="auto"/>
                        <w:left w:val="none" w:sz="0" w:space="0" w:color="auto"/>
                        <w:bottom w:val="none" w:sz="0" w:space="0" w:color="auto"/>
                        <w:right w:val="none" w:sz="0" w:space="0" w:color="auto"/>
                      </w:divBdr>
                    </w:div>
                  </w:divsChild>
                </w:div>
                <w:div w:id="1018435773">
                  <w:marLeft w:val="0"/>
                  <w:marRight w:val="0"/>
                  <w:marTop w:val="0"/>
                  <w:marBottom w:val="0"/>
                  <w:divBdr>
                    <w:top w:val="none" w:sz="0" w:space="0" w:color="auto"/>
                    <w:left w:val="none" w:sz="0" w:space="0" w:color="auto"/>
                    <w:bottom w:val="none" w:sz="0" w:space="0" w:color="auto"/>
                    <w:right w:val="none" w:sz="0" w:space="0" w:color="auto"/>
                  </w:divBdr>
                  <w:divsChild>
                    <w:div w:id="2006088270">
                      <w:marLeft w:val="0"/>
                      <w:marRight w:val="0"/>
                      <w:marTop w:val="0"/>
                      <w:marBottom w:val="0"/>
                      <w:divBdr>
                        <w:top w:val="none" w:sz="0" w:space="0" w:color="auto"/>
                        <w:left w:val="none" w:sz="0" w:space="0" w:color="auto"/>
                        <w:bottom w:val="none" w:sz="0" w:space="0" w:color="auto"/>
                        <w:right w:val="none" w:sz="0" w:space="0" w:color="auto"/>
                      </w:divBdr>
                    </w:div>
                  </w:divsChild>
                </w:div>
                <w:div w:id="1057703215">
                  <w:marLeft w:val="0"/>
                  <w:marRight w:val="0"/>
                  <w:marTop w:val="0"/>
                  <w:marBottom w:val="0"/>
                  <w:divBdr>
                    <w:top w:val="none" w:sz="0" w:space="0" w:color="auto"/>
                    <w:left w:val="none" w:sz="0" w:space="0" w:color="auto"/>
                    <w:bottom w:val="none" w:sz="0" w:space="0" w:color="auto"/>
                    <w:right w:val="none" w:sz="0" w:space="0" w:color="auto"/>
                  </w:divBdr>
                  <w:divsChild>
                    <w:div w:id="359815709">
                      <w:marLeft w:val="0"/>
                      <w:marRight w:val="0"/>
                      <w:marTop w:val="0"/>
                      <w:marBottom w:val="0"/>
                      <w:divBdr>
                        <w:top w:val="none" w:sz="0" w:space="0" w:color="auto"/>
                        <w:left w:val="none" w:sz="0" w:space="0" w:color="auto"/>
                        <w:bottom w:val="none" w:sz="0" w:space="0" w:color="auto"/>
                        <w:right w:val="none" w:sz="0" w:space="0" w:color="auto"/>
                      </w:divBdr>
                    </w:div>
                  </w:divsChild>
                </w:div>
                <w:div w:id="1062950219">
                  <w:marLeft w:val="0"/>
                  <w:marRight w:val="0"/>
                  <w:marTop w:val="0"/>
                  <w:marBottom w:val="0"/>
                  <w:divBdr>
                    <w:top w:val="none" w:sz="0" w:space="0" w:color="auto"/>
                    <w:left w:val="none" w:sz="0" w:space="0" w:color="auto"/>
                    <w:bottom w:val="none" w:sz="0" w:space="0" w:color="auto"/>
                    <w:right w:val="none" w:sz="0" w:space="0" w:color="auto"/>
                  </w:divBdr>
                  <w:divsChild>
                    <w:div w:id="2104449862">
                      <w:marLeft w:val="0"/>
                      <w:marRight w:val="0"/>
                      <w:marTop w:val="0"/>
                      <w:marBottom w:val="0"/>
                      <w:divBdr>
                        <w:top w:val="none" w:sz="0" w:space="0" w:color="auto"/>
                        <w:left w:val="none" w:sz="0" w:space="0" w:color="auto"/>
                        <w:bottom w:val="none" w:sz="0" w:space="0" w:color="auto"/>
                        <w:right w:val="none" w:sz="0" w:space="0" w:color="auto"/>
                      </w:divBdr>
                    </w:div>
                  </w:divsChild>
                </w:div>
                <w:div w:id="1081414670">
                  <w:marLeft w:val="0"/>
                  <w:marRight w:val="0"/>
                  <w:marTop w:val="0"/>
                  <w:marBottom w:val="0"/>
                  <w:divBdr>
                    <w:top w:val="none" w:sz="0" w:space="0" w:color="auto"/>
                    <w:left w:val="none" w:sz="0" w:space="0" w:color="auto"/>
                    <w:bottom w:val="none" w:sz="0" w:space="0" w:color="auto"/>
                    <w:right w:val="none" w:sz="0" w:space="0" w:color="auto"/>
                  </w:divBdr>
                  <w:divsChild>
                    <w:div w:id="1207062148">
                      <w:marLeft w:val="0"/>
                      <w:marRight w:val="0"/>
                      <w:marTop w:val="0"/>
                      <w:marBottom w:val="0"/>
                      <w:divBdr>
                        <w:top w:val="none" w:sz="0" w:space="0" w:color="auto"/>
                        <w:left w:val="none" w:sz="0" w:space="0" w:color="auto"/>
                        <w:bottom w:val="none" w:sz="0" w:space="0" w:color="auto"/>
                        <w:right w:val="none" w:sz="0" w:space="0" w:color="auto"/>
                      </w:divBdr>
                    </w:div>
                  </w:divsChild>
                </w:div>
                <w:div w:id="1100414979">
                  <w:marLeft w:val="0"/>
                  <w:marRight w:val="0"/>
                  <w:marTop w:val="0"/>
                  <w:marBottom w:val="0"/>
                  <w:divBdr>
                    <w:top w:val="none" w:sz="0" w:space="0" w:color="auto"/>
                    <w:left w:val="none" w:sz="0" w:space="0" w:color="auto"/>
                    <w:bottom w:val="none" w:sz="0" w:space="0" w:color="auto"/>
                    <w:right w:val="none" w:sz="0" w:space="0" w:color="auto"/>
                  </w:divBdr>
                  <w:divsChild>
                    <w:div w:id="788624934">
                      <w:marLeft w:val="0"/>
                      <w:marRight w:val="0"/>
                      <w:marTop w:val="0"/>
                      <w:marBottom w:val="0"/>
                      <w:divBdr>
                        <w:top w:val="none" w:sz="0" w:space="0" w:color="auto"/>
                        <w:left w:val="none" w:sz="0" w:space="0" w:color="auto"/>
                        <w:bottom w:val="none" w:sz="0" w:space="0" w:color="auto"/>
                        <w:right w:val="none" w:sz="0" w:space="0" w:color="auto"/>
                      </w:divBdr>
                    </w:div>
                  </w:divsChild>
                </w:div>
                <w:div w:id="1186596590">
                  <w:marLeft w:val="0"/>
                  <w:marRight w:val="0"/>
                  <w:marTop w:val="0"/>
                  <w:marBottom w:val="0"/>
                  <w:divBdr>
                    <w:top w:val="none" w:sz="0" w:space="0" w:color="auto"/>
                    <w:left w:val="none" w:sz="0" w:space="0" w:color="auto"/>
                    <w:bottom w:val="none" w:sz="0" w:space="0" w:color="auto"/>
                    <w:right w:val="none" w:sz="0" w:space="0" w:color="auto"/>
                  </w:divBdr>
                  <w:divsChild>
                    <w:div w:id="1228613673">
                      <w:marLeft w:val="0"/>
                      <w:marRight w:val="0"/>
                      <w:marTop w:val="0"/>
                      <w:marBottom w:val="0"/>
                      <w:divBdr>
                        <w:top w:val="none" w:sz="0" w:space="0" w:color="auto"/>
                        <w:left w:val="none" w:sz="0" w:space="0" w:color="auto"/>
                        <w:bottom w:val="none" w:sz="0" w:space="0" w:color="auto"/>
                        <w:right w:val="none" w:sz="0" w:space="0" w:color="auto"/>
                      </w:divBdr>
                    </w:div>
                  </w:divsChild>
                </w:div>
                <w:div w:id="1188254298">
                  <w:marLeft w:val="0"/>
                  <w:marRight w:val="0"/>
                  <w:marTop w:val="0"/>
                  <w:marBottom w:val="0"/>
                  <w:divBdr>
                    <w:top w:val="none" w:sz="0" w:space="0" w:color="auto"/>
                    <w:left w:val="none" w:sz="0" w:space="0" w:color="auto"/>
                    <w:bottom w:val="none" w:sz="0" w:space="0" w:color="auto"/>
                    <w:right w:val="none" w:sz="0" w:space="0" w:color="auto"/>
                  </w:divBdr>
                  <w:divsChild>
                    <w:div w:id="2076123947">
                      <w:marLeft w:val="0"/>
                      <w:marRight w:val="0"/>
                      <w:marTop w:val="0"/>
                      <w:marBottom w:val="0"/>
                      <w:divBdr>
                        <w:top w:val="none" w:sz="0" w:space="0" w:color="auto"/>
                        <w:left w:val="none" w:sz="0" w:space="0" w:color="auto"/>
                        <w:bottom w:val="none" w:sz="0" w:space="0" w:color="auto"/>
                        <w:right w:val="none" w:sz="0" w:space="0" w:color="auto"/>
                      </w:divBdr>
                    </w:div>
                  </w:divsChild>
                </w:div>
                <w:div w:id="1211695179">
                  <w:marLeft w:val="0"/>
                  <w:marRight w:val="0"/>
                  <w:marTop w:val="0"/>
                  <w:marBottom w:val="0"/>
                  <w:divBdr>
                    <w:top w:val="none" w:sz="0" w:space="0" w:color="auto"/>
                    <w:left w:val="none" w:sz="0" w:space="0" w:color="auto"/>
                    <w:bottom w:val="none" w:sz="0" w:space="0" w:color="auto"/>
                    <w:right w:val="none" w:sz="0" w:space="0" w:color="auto"/>
                  </w:divBdr>
                  <w:divsChild>
                    <w:div w:id="1626963151">
                      <w:marLeft w:val="0"/>
                      <w:marRight w:val="0"/>
                      <w:marTop w:val="0"/>
                      <w:marBottom w:val="0"/>
                      <w:divBdr>
                        <w:top w:val="none" w:sz="0" w:space="0" w:color="auto"/>
                        <w:left w:val="none" w:sz="0" w:space="0" w:color="auto"/>
                        <w:bottom w:val="none" w:sz="0" w:space="0" w:color="auto"/>
                        <w:right w:val="none" w:sz="0" w:space="0" w:color="auto"/>
                      </w:divBdr>
                    </w:div>
                  </w:divsChild>
                </w:div>
                <w:div w:id="1309046045">
                  <w:marLeft w:val="0"/>
                  <w:marRight w:val="0"/>
                  <w:marTop w:val="0"/>
                  <w:marBottom w:val="0"/>
                  <w:divBdr>
                    <w:top w:val="none" w:sz="0" w:space="0" w:color="auto"/>
                    <w:left w:val="none" w:sz="0" w:space="0" w:color="auto"/>
                    <w:bottom w:val="none" w:sz="0" w:space="0" w:color="auto"/>
                    <w:right w:val="none" w:sz="0" w:space="0" w:color="auto"/>
                  </w:divBdr>
                  <w:divsChild>
                    <w:div w:id="663361880">
                      <w:marLeft w:val="0"/>
                      <w:marRight w:val="0"/>
                      <w:marTop w:val="0"/>
                      <w:marBottom w:val="0"/>
                      <w:divBdr>
                        <w:top w:val="none" w:sz="0" w:space="0" w:color="auto"/>
                        <w:left w:val="none" w:sz="0" w:space="0" w:color="auto"/>
                        <w:bottom w:val="none" w:sz="0" w:space="0" w:color="auto"/>
                        <w:right w:val="none" w:sz="0" w:space="0" w:color="auto"/>
                      </w:divBdr>
                    </w:div>
                  </w:divsChild>
                </w:div>
                <w:div w:id="1416631781">
                  <w:marLeft w:val="0"/>
                  <w:marRight w:val="0"/>
                  <w:marTop w:val="0"/>
                  <w:marBottom w:val="0"/>
                  <w:divBdr>
                    <w:top w:val="none" w:sz="0" w:space="0" w:color="auto"/>
                    <w:left w:val="none" w:sz="0" w:space="0" w:color="auto"/>
                    <w:bottom w:val="none" w:sz="0" w:space="0" w:color="auto"/>
                    <w:right w:val="none" w:sz="0" w:space="0" w:color="auto"/>
                  </w:divBdr>
                  <w:divsChild>
                    <w:div w:id="1682006862">
                      <w:marLeft w:val="0"/>
                      <w:marRight w:val="0"/>
                      <w:marTop w:val="0"/>
                      <w:marBottom w:val="0"/>
                      <w:divBdr>
                        <w:top w:val="none" w:sz="0" w:space="0" w:color="auto"/>
                        <w:left w:val="none" w:sz="0" w:space="0" w:color="auto"/>
                        <w:bottom w:val="none" w:sz="0" w:space="0" w:color="auto"/>
                        <w:right w:val="none" w:sz="0" w:space="0" w:color="auto"/>
                      </w:divBdr>
                    </w:div>
                  </w:divsChild>
                </w:div>
                <w:div w:id="1425343716">
                  <w:marLeft w:val="0"/>
                  <w:marRight w:val="0"/>
                  <w:marTop w:val="0"/>
                  <w:marBottom w:val="0"/>
                  <w:divBdr>
                    <w:top w:val="none" w:sz="0" w:space="0" w:color="auto"/>
                    <w:left w:val="none" w:sz="0" w:space="0" w:color="auto"/>
                    <w:bottom w:val="none" w:sz="0" w:space="0" w:color="auto"/>
                    <w:right w:val="none" w:sz="0" w:space="0" w:color="auto"/>
                  </w:divBdr>
                  <w:divsChild>
                    <w:div w:id="1277059124">
                      <w:marLeft w:val="0"/>
                      <w:marRight w:val="0"/>
                      <w:marTop w:val="0"/>
                      <w:marBottom w:val="0"/>
                      <w:divBdr>
                        <w:top w:val="none" w:sz="0" w:space="0" w:color="auto"/>
                        <w:left w:val="none" w:sz="0" w:space="0" w:color="auto"/>
                        <w:bottom w:val="none" w:sz="0" w:space="0" w:color="auto"/>
                        <w:right w:val="none" w:sz="0" w:space="0" w:color="auto"/>
                      </w:divBdr>
                    </w:div>
                  </w:divsChild>
                </w:div>
                <w:div w:id="1458790301">
                  <w:marLeft w:val="0"/>
                  <w:marRight w:val="0"/>
                  <w:marTop w:val="0"/>
                  <w:marBottom w:val="0"/>
                  <w:divBdr>
                    <w:top w:val="none" w:sz="0" w:space="0" w:color="auto"/>
                    <w:left w:val="none" w:sz="0" w:space="0" w:color="auto"/>
                    <w:bottom w:val="none" w:sz="0" w:space="0" w:color="auto"/>
                    <w:right w:val="none" w:sz="0" w:space="0" w:color="auto"/>
                  </w:divBdr>
                  <w:divsChild>
                    <w:div w:id="643317043">
                      <w:marLeft w:val="0"/>
                      <w:marRight w:val="0"/>
                      <w:marTop w:val="0"/>
                      <w:marBottom w:val="0"/>
                      <w:divBdr>
                        <w:top w:val="none" w:sz="0" w:space="0" w:color="auto"/>
                        <w:left w:val="none" w:sz="0" w:space="0" w:color="auto"/>
                        <w:bottom w:val="none" w:sz="0" w:space="0" w:color="auto"/>
                        <w:right w:val="none" w:sz="0" w:space="0" w:color="auto"/>
                      </w:divBdr>
                    </w:div>
                  </w:divsChild>
                </w:div>
                <w:div w:id="1489321839">
                  <w:marLeft w:val="0"/>
                  <w:marRight w:val="0"/>
                  <w:marTop w:val="0"/>
                  <w:marBottom w:val="0"/>
                  <w:divBdr>
                    <w:top w:val="none" w:sz="0" w:space="0" w:color="auto"/>
                    <w:left w:val="none" w:sz="0" w:space="0" w:color="auto"/>
                    <w:bottom w:val="none" w:sz="0" w:space="0" w:color="auto"/>
                    <w:right w:val="none" w:sz="0" w:space="0" w:color="auto"/>
                  </w:divBdr>
                  <w:divsChild>
                    <w:div w:id="1022436513">
                      <w:marLeft w:val="0"/>
                      <w:marRight w:val="0"/>
                      <w:marTop w:val="0"/>
                      <w:marBottom w:val="0"/>
                      <w:divBdr>
                        <w:top w:val="none" w:sz="0" w:space="0" w:color="auto"/>
                        <w:left w:val="none" w:sz="0" w:space="0" w:color="auto"/>
                        <w:bottom w:val="none" w:sz="0" w:space="0" w:color="auto"/>
                        <w:right w:val="none" w:sz="0" w:space="0" w:color="auto"/>
                      </w:divBdr>
                    </w:div>
                  </w:divsChild>
                </w:div>
                <w:div w:id="1510870848">
                  <w:marLeft w:val="0"/>
                  <w:marRight w:val="0"/>
                  <w:marTop w:val="0"/>
                  <w:marBottom w:val="0"/>
                  <w:divBdr>
                    <w:top w:val="none" w:sz="0" w:space="0" w:color="auto"/>
                    <w:left w:val="none" w:sz="0" w:space="0" w:color="auto"/>
                    <w:bottom w:val="none" w:sz="0" w:space="0" w:color="auto"/>
                    <w:right w:val="none" w:sz="0" w:space="0" w:color="auto"/>
                  </w:divBdr>
                  <w:divsChild>
                    <w:div w:id="429593186">
                      <w:marLeft w:val="0"/>
                      <w:marRight w:val="0"/>
                      <w:marTop w:val="0"/>
                      <w:marBottom w:val="0"/>
                      <w:divBdr>
                        <w:top w:val="none" w:sz="0" w:space="0" w:color="auto"/>
                        <w:left w:val="none" w:sz="0" w:space="0" w:color="auto"/>
                        <w:bottom w:val="none" w:sz="0" w:space="0" w:color="auto"/>
                        <w:right w:val="none" w:sz="0" w:space="0" w:color="auto"/>
                      </w:divBdr>
                    </w:div>
                  </w:divsChild>
                </w:div>
                <w:div w:id="1539663323">
                  <w:marLeft w:val="0"/>
                  <w:marRight w:val="0"/>
                  <w:marTop w:val="0"/>
                  <w:marBottom w:val="0"/>
                  <w:divBdr>
                    <w:top w:val="none" w:sz="0" w:space="0" w:color="auto"/>
                    <w:left w:val="none" w:sz="0" w:space="0" w:color="auto"/>
                    <w:bottom w:val="none" w:sz="0" w:space="0" w:color="auto"/>
                    <w:right w:val="none" w:sz="0" w:space="0" w:color="auto"/>
                  </w:divBdr>
                  <w:divsChild>
                    <w:div w:id="273176998">
                      <w:marLeft w:val="0"/>
                      <w:marRight w:val="0"/>
                      <w:marTop w:val="0"/>
                      <w:marBottom w:val="0"/>
                      <w:divBdr>
                        <w:top w:val="none" w:sz="0" w:space="0" w:color="auto"/>
                        <w:left w:val="none" w:sz="0" w:space="0" w:color="auto"/>
                        <w:bottom w:val="none" w:sz="0" w:space="0" w:color="auto"/>
                        <w:right w:val="none" w:sz="0" w:space="0" w:color="auto"/>
                      </w:divBdr>
                    </w:div>
                  </w:divsChild>
                </w:div>
                <w:div w:id="1544705492">
                  <w:marLeft w:val="0"/>
                  <w:marRight w:val="0"/>
                  <w:marTop w:val="0"/>
                  <w:marBottom w:val="0"/>
                  <w:divBdr>
                    <w:top w:val="none" w:sz="0" w:space="0" w:color="auto"/>
                    <w:left w:val="none" w:sz="0" w:space="0" w:color="auto"/>
                    <w:bottom w:val="none" w:sz="0" w:space="0" w:color="auto"/>
                    <w:right w:val="none" w:sz="0" w:space="0" w:color="auto"/>
                  </w:divBdr>
                  <w:divsChild>
                    <w:div w:id="1678851749">
                      <w:marLeft w:val="0"/>
                      <w:marRight w:val="0"/>
                      <w:marTop w:val="0"/>
                      <w:marBottom w:val="0"/>
                      <w:divBdr>
                        <w:top w:val="none" w:sz="0" w:space="0" w:color="auto"/>
                        <w:left w:val="none" w:sz="0" w:space="0" w:color="auto"/>
                        <w:bottom w:val="none" w:sz="0" w:space="0" w:color="auto"/>
                        <w:right w:val="none" w:sz="0" w:space="0" w:color="auto"/>
                      </w:divBdr>
                    </w:div>
                  </w:divsChild>
                </w:div>
                <w:div w:id="1600528460">
                  <w:marLeft w:val="0"/>
                  <w:marRight w:val="0"/>
                  <w:marTop w:val="0"/>
                  <w:marBottom w:val="0"/>
                  <w:divBdr>
                    <w:top w:val="none" w:sz="0" w:space="0" w:color="auto"/>
                    <w:left w:val="none" w:sz="0" w:space="0" w:color="auto"/>
                    <w:bottom w:val="none" w:sz="0" w:space="0" w:color="auto"/>
                    <w:right w:val="none" w:sz="0" w:space="0" w:color="auto"/>
                  </w:divBdr>
                  <w:divsChild>
                    <w:div w:id="1402486881">
                      <w:marLeft w:val="0"/>
                      <w:marRight w:val="0"/>
                      <w:marTop w:val="0"/>
                      <w:marBottom w:val="0"/>
                      <w:divBdr>
                        <w:top w:val="none" w:sz="0" w:space="0" w:color="auto"/>
                        <w:left w:val="none" w:sz="0" w:space="0" w:color="auto"/>
                        <w:bottom w:val="none" w:sz="0" w:space="0" w:color="auto"/>
                        <w:right w:val="none" w:sz="0" w:space="0" w:color="auto"/>
                      </w:divBdr>
                    </w:div>
                  </w:divsChild>
                </w:div>
                <w:div w:id="1614939678">
                  <w:marLeft w:val="0"/>
                  <w:marRight w:val="0"/>
                  <w:marTop w:val="0"/>
                  <w:marBottom w:val="0"/>
                  <w:divBdr>
                    <w:top w:val="none" w:sz="0" w:space="0" w:color="auto"/>
                    <w:left w:val="none" w:sz="0" w:space="0" w:color="auto"/>
                    <w:bottom w:val="none" w:sz="0" w:space="0" w:color="auto"/>
                    <w:right w:val="none" w:sz="0" w:space="0" w:color="auto"/>
                  </w:divBdr>
                  <w:divsChild>
                    <w:div w:id="1720976820">
                      <w:marLeft w:val="0"/>
                      <w:marRight w:val="0"/>
                      <w:marTop w:val="0"/>
                      <w:marBottom w:val="0"/>
                      <w:divBdr>
                        <w:top w:val="none" w:sz="0" w:space="0" w:color="auto"/>
                        <w:left w:val="none" w:sz="0" w:space="0" w:color="auto"/>
                        <w:bottom w:val="none" w:sz="0" w:space="0" w:color="auto"/>
                        <w:right w:val="none" w:sz="0" w:space="0" w:color="auto"/>
                      </w:divBdr>
                    </w:div>
                  </w:divsChild>
                </w:div>
                <w:div w:id="1627347693">
                  <w:marLeft w:val="0"/>
                  <w:marRight w:val="0"/>
                  <w:marTop w:val="0"/>
                  <w:marBottom w:val="0"/>
                  <w:divBdr>
                    <w:top w:val="none" w:sz="0" w:space="0" w:color="auto"/>
                    <w:left w:val="none" w:sz="0" w:space="0" w:color="auto"/>
                    <w:bottom w:val="none" w:sz="0" w:space="0" w:color="auto"/>
                    <w:right w:val="none" w:sz="0" w:space="0" w:color="auto"/>
                  </w:divBdr>
                  <w:divsChild>
                    <w:div w:id="546339551">
                      <w:marLeft w:val="0"/>
                      <w:marRight w:val="0"/>
                      <w:marTop w:val="0"/>
                      <w:marBottom w:val="0"/>
                      <w:divBdr>
                        <w:top w:val="none" w:sz="0" w:space="0" w:color="auto"/>
                        <w:left w:val="none" w:sz="0" w:space="0" w:color="auto"/>
                        <w:bottom w:val="none" w:sz="0" w:space="0" w:color="auto"/>
                        <w:right w:val="none" w:sz="0" w:space="0" w:color="auto"/>
                      </w:divBdr>
                    </w:div>
                  </w:divsChild>
                </w:div>
                <w:div w:id="1659075648">
                  <w:marLeft w:val="0"/>
                  <w:marRight w:val="0"/>
                  <w:marTop w:val="0"/>
                  <w:marBottom w:val="0"/>
                  <w:divBdr>
                    <w:top w:val="none" w:sz="0" w:space="0" w:color="auto"/>
                    <w:left w:val="none" w:sz="0" w:space="0" w:color="auto"/>
                    <w:bottom w:val="none" w:sz="0" w:space="0" w:color="auto"/>
                    <w:right w:val="none" w:sz="0" w:space="0" w:color="auto"/>
                  </w:divBdr>
                  <w:divsChild>
                    <w:div w:id="1861580320">
                      <w:marLeft w:val="0"/>
                      <w:marRight w:val="0"/>
                      <w:marTop w:val="0"/>
                      <w:marBottom w:val="0"/>
                      <w:divBdr>
                        <w:top w:val="none" w:sz="0" w:space="0" w:color="auto"/>
                        <w:left w:val="none" w:sz="0" w:space="0" w:color="auto"/>
                        <w:bottom w:val="none" w:sz="0" w:space="0" w:color="auto"/>
                        <w:right w:val="none" w:sz="0" w:space="0" w:color="auto"/>
                      </w:divBdr>
                    </w:div>
                  </w:divsChild>
                </w:div>
                <w:div w:id="1716155519">
                  <w:marLeft w:val="0"/>
                  <w:marRight w:val="0"/>
                  <w:marTop w:val="0"/>
                  <w:marBottom w:val="0"/>
                  <w:divBdr>
                    <w:top w:val="none" w:sz="0" w:space="0" w:color="auto"/>
                    <w:left w:val="none" w:sz="0" w:space="0" w:color="auto"/>
                    <w:bottom w:val="none" w:sz="0" w:space="0" w:color="auto"/>
                    <w:right w:val="none" w:sz="0" w:space="0" w:color="auto"/>
                  </w:divBdr>
                  <w:divsChild>
                    <w:div w:id="2022194186">
                      <w:marLeft w:val="0"/>
                      <w:marRight w:val="0"/>
                      <w:marTop w:val="0"/>
                      <w:marBottom w:val="0"/>
                      <w:divBdr>
                        <w:top w:val="none" w:sz="0" w:space="0" w:color="auto"/>
                        <w:left w:val="none" w:sz="0" w:space="0" w:color="auto"/>
                        <w:bottom w:val="none" w:sz="0" w:space="0" w:color="auto"/>
                        <w:right w:val="none" w:sz="0" w:space="0" w:color="auto"/>
                      </w:divBdr>
                    </w:div>
                  </w:divsChild>
                </w:div>
                <w:div w:id="1753818348">
                  <w:marLeft w:val="0"/>
                  <w:marRight w:val="0"/>
                  <w:marTop w:val="0"/>
                  <w:marBottom w:val="0"/>
                  <w:divBdr>
                    <w:top w:val="none" w:sz="0" w:space="0" w:color="auto"/>
                    <w:left w:val="none" w:sz="0" w:space="0" w:color="auto"/>
                    <w:bottom w:val="none" w:sz="0" w:space="0" w:color="auto"/>
                    <w:right w:val="none" w:sz="0" w:space="0" w:color="auto"/>
                  </w:divBdr>
                  <w:divsChild>
                    <w:div w:id="173542450">
                      <w:marLeft w:val="0"/>
                      <w:marRight w:val="0"/>
                      <w:marTop w:val="0"/>
                      <w:marBottom w:val="0"/>
                      <w:divBdr>
                        <w:top w:val="none" w:sz="0" w:space="0" w:color="auto"/>
                        <w:left w:val="none" w:sz="0" w:space="0" w:color="auto"/>
                        <w:bottom w:val="none" w:sz="0" w:space="0" w:color="auto"/>
                        <w:right w:val="none" w:sz="0" w:space="0" w:color="auto"/>
                      </w:divBdr>
                    </w:div>
                  </w:divsChild>
                </w:div>
                <w:div w:id="1755853545">
                  <w:marLeft w:val="0"/>
                  <w:marRight w:val="0"/>
                  <w:marTop w:val="0"/>
                  <w:marBottom w:val="0"/>
                  <w:divBdr>
                    <w:top w:val="none" w:sz="0" w:space="0" w:color="auto"/>
                    <w:left w:val="none" w:sz="0" w:space="0" w:color="auto"/>
                    <w:bottom w:val="none" w:sz="0" w:space="0" w:color="auto"/>
                    <w:right w:val="none" w:sz="0" w:space="0" w:color="auto"/>
                  </w:divBdr>
                  <w:divsChild>
                    <w:div w:id="1275794516">
                      <w:marLeft w:val="0"/>
                      <w:marRight w:val="0"/>
                      <w:marTop w:val="0"/>
                      <w:marBottom w:val="0"/>
                      <w:divBdr>
                        <w:top w:val="none" w:sz="0" w:space="0" w:color="auto"/>
                        <w:left w:val="none" w:sz="0" w:space="0" w:color="auto"/>
                        <w:bottom w:val="none" w:sz="0" w:space="0" w:color="auto"/>
                        <w:right w:val="none" w:sz="0" w:space="0" w:color="auto"/>
                      </w:divBdr>
                    </w:div>
                  </w:divsChild>
                </w:div>
                <w:div w:id="1777476644">
                  <w:marLeft w:val="0"/>
                  <w:marRight w:val="0"/>
                  <w:marTop w:val="0"/>
                  <w:marBottom w:val="0"/>
                  <w:divBdr>
                    <w:top w:val="none" w:sz="0" w:space="0" w:color="auto"/>
                    <w:left w:val="none" w:sz="0" w:space="0" w:color="auto"/>
                    <w:bottom w:val="none" w:sz="0" w:space="0" w:color="auto"/>
                    <w:right w:val="none" w:sz="0" w:space="0" w:color="auto"/>
                  </w:divBdr>
                  <w:divsChild>
                    <w:div w:id="1250042715">
                      <w:marLeft w:val="0"/>
                      <w:marRight w:val="0"/>
                      <w:marTop w:val="0"/>
                      <w:marBottom w:val="0"/>
                      <w:divBdr>
                        <w:top w:val="none" w:sz="0" w:space="0" w:color="auto"/>
                        <w:left w:val="none" w:sz="0" w:space="0" w:color="auto"/>
                        <w:bottom w:val="none" w:sz="0" w:space="0" w:color="auto"/>
                        <w:right w:val="none" w:sz="0" w:space="0" w:color="auto"/>
                      </w:divBdr>
                    </w:div>
                  </w:divsChild>
                </w:div>
                <w:div w:id="1783449653">
                  <w:marLeft w:val="0"/>
                  <w:marRight w:val="0"/>
                  <w:marTop w:val="0"/>
                  <w:marBottom w:val="0"/>
                  <w:divBdr>
                    <w:top w:val="none" w:sz="0" w:space="0" w:color="auto"/>
                    <w:left w:val="none" w:sz="0" w:space="0" w:color="auto"/>
                    <w:bottom w:val="none" w:sz="0" w:space="0" w:color="auto"/>
                    <w:right w:val="none" w:sz="0" w:space="0" w:color="auto"/>
                  </w:divBdr>
                  <w:divsChild>
                    <w:div w:id="1488205660">
                      <w:marLeft w:val="0"/>
                      <w:marRight w:val="0"/>
                      <w:marTop w:val="0"/>
                      <w:marBottom w:val="0"/>
                      <w:divBdr>
                        <w:top w:val="none" w:sz="0" w:space="0" w:color="auto"/>
                        <w:left w:val="none" w:sz="0" w:space="0" w:color="auto"/>
                        <w:bottom w:val="none" w:sz="0" w:space="0" w:color="auto"/>
                        <w:right w:val="none" w:sz="0" w:space="0" w:color="auto"/>
                      </w:divBdr>
                    </w:div>
                  </w:divsChild>
                </w:div>
                <w:div w:id="1868178030">
                  <w:marLeft w:val="0"/>
                  <w:marRight w:val="0"/>
                  <w:marTop w:val="0"/>
                  <w:marBottom w:val="0"/>
                  <w:divBdr>
                    <w:top w:val="none" w:sz="0" w:space="0" w:color="auto"/>
                    <w:left w:val="none" w:sz="0" w:space="0" w:color="auto"/>
                    <w:bottom w:val="none" w:sz="0" w:space="0" w:color="auto"/>
                    <w:right w:val="none" w:sz="0" w:space="0" w:color="auto"/>
                  </w:divBdr>
                  <w:divsChild>
                    <w:div w:id="340275493">
                      <w:marLeft w:val="0"/>
                      <w:marRight w:val="0"/>
                      <w:marTop w:val="0"/>
                      <w:marBottom w:val="0"/>
                      <w:divBdr>
                        <w:top w:val="none" w:sz="0" w:space="0" w:color="auto"/>
                        <w:left w:val="none" w:sz="0" w:space="0" w:color="auto"/>
                        <w:bottom w:val="none" w:sz="0" w:space="0" w:color="auto"/>
                        <w:right w:val="none" w:sz="0" w:space="0" w:color="auto"/>
                      </w:divBdr>
                    </w:div>
                  </w:divsChild>
                </w:div>
                <w:div w:id="1948348064">
                  <w:marLeft w:val="0"/>
                  <w:marRight w:val="0"/>
                  <w:marTop w:val="0"/>
                  <w:marBottom w:val="0"/>
                  <w:divBdr>
                    <w:top w:val="none" w:sz="0" w:space="0" w:color="auto"/>
                    <w:left w:val="none" w:sz="0" w:space="0" w:color="auto"/>
                    <w:bottom w:val="none" w:sz="0" w:space="0" w:color="auto"/>
                    <w:right w:val="none" w:sz="0" w:space="0" w:color="auto"/>
                  </w:divBdr>
                  <w:divsChild>
                    <w:div w:id="355545425">
                      <w:marLeft w:val="0"/>
                      <w:marRight w:val="0"/>
                      <w:marTop w:val="0"/>
                      <w:marBottom w:val="0"/>
                      <w:divBdr>
                        <w:top w:val="none" w:sz="0" w:space="0" w:color="auto"/>
                        <w:left w:val="none" w:sz="0" w:space="0" w:color="auto"/>
                        <w:bottom w:val="none" w:sz="0" w:space="0" w:color="auto"/>
                        <w:right w:val="none" w:sz="0" w:space="0" w:color="auto"/>
                      </w:divBdr>
                    </w:div>
                  </w:divsChild>
                </w:div>
                <w:div w:id="1957982534">
                  <w:marLeft w:val="0"/>
                  <w:marRight w:val="0"/>
                  <w:marTop w:val="0"/>
                  <w:marBottom w:val="0"/>
                  <w:divBdr>
                    <w:top w:val="none" w:sz="0" w:space="0" w:color="auto"/>
                    <w:left w:val="none" w:sz="0" w:space="0" w:color="auto"/>
                    <w:bottom w:val="none" w:sz="0" w:space="0" w:color="auto"/>
                    <w:right w:val="none" w:sz="0" w:space="0" w:color="auto"/>
                  </w:divBdr>
                  <w:divsChild>
                    <w:div w:id="496503902">
                      <w:marLeft w:val="0"/>
                      <w:marRight w:val="0"/>
                      <w:marTop w:val="0"/>
                      <w:marBottom w:val="0"/>
                      <w:divBdr>
                        <w:top w:val="none" w:sz="0" w:space="0" w:color="auto"/>
                        <w:left w:val="none" w:sz="0" w:space="0" w:color="auto"/>
                        <w:bottom w:val="none" w:sz="0" w:space="0" w:color="auto"/>
                        <w:right w:val="none" w:sz="0" w:space="0" w:color="auto"/>
                      </w:divBdr>
                    </w:div>
                  </w:divsChild>
                </w:div>
                <w:div w:id="1988704105">
                  <w:marLeft w:val="0"/>
                  <w:marRight w:val="0"/>
                  <w:marTop w:val="0"/>
                  <w:marBottom w:val="0"/>
                  <w:divBdr>
                    <w:top w:val="none" w:sz="0" w:space="0" w:color="auto"/>
                    <w:left w:val="none" w:sz="0" w:space="0" w:color="auto"/>
                    <w:bottom w:val="none" w:sz="0" w:space="0" w:color="auto"/>
                    <w:right w:val="none" w:sz="0" w:space="0" w:color="auto"/>
                  </w:divBdr>
                  <w:divsChild>
                    <w:div w:id="1987005402">
                      <w:marLeft w:val="0"/>
                      <w:marRight w:val="0"/>
                      <w:marTop w:val="0"/>
                      <w:marBottom w:val="0"/>
                      <w:divBdr>
                        <w:top w:val="none" w:sz="0" w:space="0" w:color="auto"/>
                        <w:left w:val="none" w:sz="0" w:space="0" w:color="auto"/>
                        <w:bottom w:val="none" w:sz="0" w:space="0" w:color="auto"/>
                        <w:right w:val="none" w:sz="0" w:space="0" w:color="auto"/>
                      </w:divBdr>
                    </w:div>
                  </w:divsChild>
                </w:div>
                <w:div w:id="2018968890">
                  <w:marLeft w:val="0"/>
                  <w:marRight w:val="0"/>
                  <w:marTop w:val="0"/>
                  <w:marBottom w:val="0"/>
                  <w:divBdr>
                    <w:top w:val="none" w:sz="0" w:space="0" w:color="auto"/>
                    <w:left w:val="none" w:sz="0" w:space="0" w:color="auto"/>
                    <w:bottom w:val="none" w:sz="0" w:space="0" w:color="auto"/>
                    <w:right w:val="none" w:sz="0" w:space="0" w:color="auto"/>
                  </w:divBdr>
                  <w:divsChild>
                    <w:div w:id="488443404">
                      <w:marLeft w:val="0"/>
                      <w:marRight w:val="0"/>
                      <w:marTop w:val="0"/>
                      <w:marBottom w:val="0"/>
                      <w:divBdr>
                        <w:top w:val="none" w:sz="0" w:space="0" w:color="auto"/>
                        <w:left w:val="none" w:sz="0" w:space="0" w:color="auto"/>
                        <w:bottom w:val="none" w:sz="0" w:space="0" w:color="auto"/>
                        <w:right w:val="none" w:sz="0" w:space="0" w:color="auto"/>
                      </w:divBdr>
                    </w:div>
                  </w:divsChild>
                </w:div>
                <w:div w:id="2023386110">
                  <w:marLeft w:val="0"/>
                  <w:marRight w:val="0"/>
                  <w:marTop w:val="0"/>
                  <w:marBottom w:val="0"/>
                  <w:divBdr>
                    <w:top w:val="none" w:sz="0" w:space="0" w:color="auto"/>
                    <w:left w:val="none" w:sz="0" w:space="0" w:color="auto"/>
                    <w:bottom w:val="none" w:sz="0" w:space="0" w:color="auto"/>
                    <w:right w:val="none" w:sz="0" w:space="0" w:color="auto"/>
                  </w:divBdr>
                  <w:divsChild>
                    <w:div w:id="1504197389">
                      <w:marLeft w:val="0"/>
                      <w:marRight w:val="0"/>
                      <w:marTop w:val="0"/>
                      <w:marBottom w:val="0"/>
                      <w:divBdr>
                        <w:top w:val="none" w:sz="0" w:space="0" w:color="auto"/>
                        <w:left w:val="none" w:sz="0" w:space="0" w:color="auto"/>
                        <w:bottom w:val="none" w:sz="0" w:space="0" w:color="auto"/>
                        <w:right w:val="none" w:sz="0" w:space="0" w:color="auto"/>
                      </w:divBdr>
                    </w:div>
                  </w:divsChild>
                </w:div>
                <w:div w:id="2033720605">
                  <w:marLeft w:val="0"/>
                  <w:marRight w:val="0"/>
                  <w:marTop w:val="0"/>
                  <w:marBottom w:val="0"/>
                  <w:divBdr>
                    <w:top w:val="none" w:sz="0" w:space="0" w:color="auto"/>
                    <w:left w:val="none" w:sz="0" w:space="0" w:color="auto"/>
                    <w:bottom w:val="none" w:sz="0" w:space="0" w:color="auto"/>
                    <w:right w:val="none" w:sz="0" w:space="0" w:color="auto"/>
                  </w:divBdr>
                  <w:divsChild>
                    <w:div w:id="1497114450">
                      <w:marLeft w:val="0"/>
                      <w:marRight w:val="0"/>
                      <w:marTop w:val="0"/>
                      <w:marBottom w:val="0"/>
                      <w:divBdr>
                        <w:top w:val="none" w:sz="0" w:space="0" w:color="auto"/>
                        <w:left w:val="none" w:sz="0" w:space="0" w:color="auto"/>
                        <w:bottom w:val="none" w:sz="0" w:space="0" w:color="auto"/>
                        <w:right w:val="none" w:sz="0" w:space="0" w:color="auto"/>
                      </w:divBdr>
                    </w:div>
                  </w:divsChild>
                </w:div>
                <w:div w:id="2041667728">
                  <w:marLeft w:val="0"/>
                  <w:marRight w:val="0"/>
                  <w:marTop w:val="0"/>
                  <w:marBottom w:val="0"/>
                  <w:divBdr>
                    <w:top w:val="none" w:sz="0" w:space="0" w:color="auto"/>
                    <w:left w:val="none" w:sz="0" w:space="0" w:color="auto"/>
                    <w:bottom w:val="none" w:sz="0" w:space="0" w:color="auto"/>
                    <w:right w:val="none" w:sz="0" w:space="0" w:color="auto"/>
                  </w:divBdr>
                  <w:divsChild>
                    <w:div w:id="1521355763">
                      <w:marLeft w:val="0"/>
                      <w:marRight w:val="0"/>
                      <w:marTop w:val="0"/>
                      <w:marBottom w:val="0"/>
                      <w:divBdr>
                        <w:top w:val="none" w:sz="0" w:space="0" w:color="auto"/>
                        <w:left w:val="none" w:sz="0" w:space="0" w:color="auto"/>
                        <w:bottom w:val="none" w:sz="0" w:space="0" w:color="auto"/>
                        <w:right w:val="none" w:sz="0" w:space="0" w:color="auto"/>
                      </w:divBdr>
                    </w:div>
                  </w:divsChild>
                </w:div>
                <w:div w:id="2043356735">
                  <w:marLeft w:val="0"/>
                  <w:marRight w:val="0"/>
                  <w:marTop w:val="0"/>
                  <w:marBottom w:val="0"/>
                  <w:divBdr>
                    <w:top w:val="none" w:sz="0" w:space="0" w:color="auto"/>
                    <w:left w:val="none" w:sz="0" w:space="0" w:color="auto"/>
                    <w:bottom w:val="none" w:sz="0" w:space="0" w:color="auto"/>
                    <w:right w:val="none" w:sz="0" w:space="0" w:color="auto"/>
                  </w:divBdr>
                  <w:divsChild>
                    <w:div w:id="134882450">
                      <w:marLeft w:val="0"/>
                      <w:marRight w:val="0"/>
                      <w:marTop w:val="0"/>
                      <w:marBottom w:val="0"/>
                      <w:divBdr>
                        <w:top w:val="none" w:sz="0" w:space="0" w:color="auto"/>
                        <w:left w:val="none" w:sz="0" w:space="0" w:color="auto"/>
                        <w:bottom w:val="none" w:sz="0" w:space="0" w:color="auto"/>
                        <w:right w:val="none" w:sz="0" w:space="0" w:color="auto"/>
                      </w:divBdr>
                    </w:div>
                  </w:divsChild>
                </w:div>
                <w:div w:id="2044356189">
                  <w:marLeft w:val="0"/>
                  <w:marRight w:val="0"/>
                  <w:marTop w:val="0"/>
                  <w:marBottom w:val="0"/>
                  <w:divBdr>
                    <w:top w:val="none" w:sz="0" w:space="0" w:color="auto"/>
                    <w:left w:val="none" w:sz="0" w:space="0" w:color="auto"/>
                    <w:bottom w:val="none" w:sz="0" w:space="0" w:color="auto"/>
                    <w:right w:val="none" w:sz="0" w:space="0" w:color="auto"/>
                  </w:divBdr>
                  <w:divsChild>
                    <w:div w:id="1392386417">
                      <w:marLeft w:val="0"/>
                      <w:marRight w:val="0"/>
                      <w:marTop w:val="0"/>
                      <w:marBottom w:val="0"/>
                      <w:divBdr>
                        <w:top w:val="none" w:sz="0" w:space="0" w:color="auto"/>
                        <w:left w:val="none" w:sz="0" w:space="0" w:color="auto"/>
                        <w:bottom w:val="none" w:sz="0" w:space="0" w:color="auto"/>
                        <w:right w:val="none" w:sz="0" w:space="0" w:color="auto"/>
                      </w:divBdr>
                    </w:div>
                  </w:divsChild>
                </w:div>
                <w:div w:id="2069761678">
                  <w:marLeft w:val="0"/>
                  <w:marRight w:val="0"/>
                  <w:marTop w:val="0"/>
                  <w:marBottom w:val="0"/>
                  <w:divBdr>
                    <w:top w:val="none" w:sz="0" w:space="0" w:color="auto"/>
                    <w:left w:val="none" w:sz="0" w:space="0" w:color="auto"/>
                    <w:bottom w:val="none" w:sz="0" w:space="0" w:color="auto"/>
                    <w:right w:val="none" w:sz="0" w:space="0" w:color="auto"/>
                  </w:divBdr>
                  <w:divsChild>
                    <w:div w:id="1381133449">
                      <w:marLeft w:val="0"/>
                      <w:marRight w:val="0"/>
                      <w:marTop w:val="0"/>
                      <w:marBottom w:val="0"/>
                      <w:divBdr>
                        <w:top w:val="none" w:sz="0" w:space="0" w:color="auto"/>
                        <w:left w:val="none" w:sz="0" w:space="0" w:color="auto"/>
                        <w:bottom w:val="none" w:sz="0" w:space="0" w:color="auto"/>
                        <w:right w:val="none" w:sz="0" w:space="0" w:color="auto"/>
                      </w:divBdr>
                    </w:div>
                  </w:divsChild>
                </w:div>
                <w:div w:id="2090926617">
                  <w:marLeft w:val="0"/>
                  <w:marRight w:val="0"/>
                  <w:marTop w:val="0"/>
                  <w:marBottom w:val="0"/>
                  <w:divBdr>
                    <w:top w:val="none" w:sz="0" w:space="0" w:color="auto"/>
                    <w:left w:val="none" w:sz="0" w:space="0" w:color="auto"/>
                    <w:bottom w:val="none" w:sz="0" w:space="0" w:color="auto"/>
                    <w:right w:val="none" w:sz="0" w:space="0" w:color="auto"/>
                  </w:divBdr>
                  <w:divsChild>
                    <w:div w:id="264001182">
                      <w:marLeft w:val="0"/>
                      <w:marRight w:val="0"/>
                      <w:marTop w:val="0"/>
                      <w:marBottom w:val="0"/>
                      <w:divBdr>
                        <w:top w:val="none" w:sz="0" w:space="0" w:color="auto"/>
                        <w:left w:val="none" w:sz="0" w:space="0" w:color="auto"/>
                        <w:bottom w:val="none" w:sz="0" w:space="0" w:color="auto"/>
                        <w:right w:val="none" w:sz="0" w:space="0" w:color="auto"/>
                      </w:divBdr>
                    </w:div>
                  </w:divsChild>
                </w:div>
                <w:div w:id="2141998167">
                  <w:marLeft w:val="0"/>
                  <w:marRight w:val="0"/>
                  <w:marTop w:val="0"/>
                  <w:marBottom w:val="0"/>
                  <w:divBdr>
                    <w:top w:val="none" w:sz="0" w:space="0" w:color="auto"/>
                    <w:left w:val="none" w:sz="0" w:space="0" w:color="auto"/>
                    <w:bottom w:val="none" w:sz="0" w:space="0" w:color="auto"/>
                    <w:right w:val="none" w:sz="0" w:space="0" w:color="auto"/>
                  </w:divBdr>
                  <w:divsChild>
                    <w:div w:id="308093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48701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5.png"/><Relationship Id="rId39" Type="http://schemas.openxmlformats.org/officeDocument/2006/relationships/footer" Target="footer11.xml"/><Relationship Id="rId21" Type="http://schemas.openxmlformats.org/officeDocument/2006/relationships/image" Target="media/image2.png"/><Relationship Id="rId34" Type="http://schemas.openxmlformats.org/officeDocument/2006/relationships/footer" Target="footer9.xml"/><Relationship Id="rId42" Type="http://schemas.openxmlformats.org/officeDocument/2006/relationships/footer" Target="footer1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7.xml"/><Relationship Id="rId41"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commission.europa.eu/strategy-and-policy/priorities-2019-2024/european-green-deal_en" TargetMode="External"/><Relationship Id="rId32" Type="http://schemas.openxmlformats.org/officeDocument/2006/relationships/footer" Target="footer8.xml"/><Relationship Id="rId37" Type="http://schemas.openxmlformats.org/officeDocument/2006/relationships/header" Target="header11.xml"/><Relationship Id="rId40" Type="http://schemas.openxmlformats.org/officeDocument/2006/relationships/footer" Target="footer1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png"/><Relationship Id="rId28" Type="http://schemas.openxmlformats.org/officeDocument/2006/relationships/image" Target="media/image7.png"/><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8.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image" Target="media/image6.png"/><Relationship Id="rId30" Type="http://schemas.openxmlformats.org/officeDocument/2006/relationships/footer" Target="footer7.xml"/><Relationship Id="rId35" Type="http://schemas.openxmlformats.org/officeDocument/2006/relationships/header" Target="header10.xml"/><Relationship Id="rId43" Type="http://schemas.openxmlformats.org/officeDocument/2006/relationships/fontTable" Target="fontTable.xml"/><Relationship Id="rId8" Type="http://schemas.openxmlformats.org/officeDocument/2006/relationships/image" Target="media/image1.emf"/><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yperlink" Target="https://climate.ec.europa.eu/eu-action/european-climate-law_en" TargetMode="External"/><Relationship Id="rId33" Type="http://schemas.openxmlformats.org/officeDocument/2006/relationships/header" Target="header9.xml"/><Relationship Id="rId38" Type="http://schemas.openxmlformats.org/officeDocument/2006/relationships/header" Target="header12.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dir/1999/31/oj" TargetMode="External"/><Relationship Id="rId18" Type="http://schemas.openxmlformats.org/officeDocument/2006/relationships/hyperlink" Target="https://doi.org/10.1111/reel.12401" TargetMode="External"/><Relationship Id="rId26" Type="http://schemas.openxmlformats.org/officeDocument/2006/relationships/hyperlink" Target="https://eur-lex.europa.eu/legal-content/EN/TXT/?uri=celex:52024DC0062" TargetMode="External"/><Relationship Id="rId39" Type="http://schemas.openxmlformats.org/officeDocument/2006/relationships/hyperlink" Target="https://www.oecd.org/en/publications/the-circular-economy-in-cities-and-regions-of-the-european-union_e09c21e2-en.html." TargetMode="External"/><Relationship Id="rId21" Type="http://schemas.openxmlformats.org/officeDocument/2006/relationships/hyperlink" Target="https://www.icao.int/sites/default/files/sp-files/environmental-protection/Documents/EnvironmentReport-2010/2025/Envreport2025_9.pdf" TargetMode="External"/><Relationship Id="rId34" Type="http://schemas.openxmlformats.org/officeDocument/2006/relationships/hyperlink" Target="https://etc-corporate.org/news/long-haul-travellers-grow-more-cautious-in-2026-while-safety-and-flexibility-shape-demand-for-europe/" TargetMode="External"/><Relationship Id="rId42" Type="http://schemas.openxmlformats.org/officeDocument/2006/relationships/hyperlink" Target="https://data.europa.eu/doi/10.2834/0004994" TargetMode="External"/><Relationship Id="rId47" Type="http://schemas.openxmlformats.org/officeDocument/2006/relationships/hyperlink" Target="https://www.sustainableaviation.co.uk/wp-content/uploads/2023/04/Sustainable-Aviation-SAF-Roadmap-Final.pdf" TargetMode="External"/><Relationship Id="rId7" Type="http://schemas.openxmlformats.org/officeDocument/2006/relationships/hyperlink" Target="https://commission.europa.eu/document/download/97e481fd-2dc3-412d-be4c-f152a8232961_en?filename=The%20future%20of%20European%20competitiveness%20_%20A%20competitiveness%20strategy%20for%20Europe.pdf" TargetMode="External"/><Relationship Id="rId2" Type="http://schemas.openxmlformats.org/officeDocument/2006/relationships/hyperlink" Target="https://commission.europa.eu/document/download/97e481fd-2dc3-412d-be4c-f152a8232961_en?filename=The%20future%20of%20European%20competitiveness%20_%20A%20competitiveness%20strategy%20for%20Europe.pdf" TargetMode="External"/><Relationship Id="rId16" Type="http://schemas.openxmlformats.org/officeDocument/2006/relationships/hyperlink" Target="https://www.worldbank.org/en/publication/state-and-trends-of-carbon-pricing" TargetMode="External"/><Relationship Id="rId29" Type="http://schemas.openxmlformats.org/officeDocument/2006/relationships/hyperlink" Target="https://www.iata.org/en/iata-repository/publications/economic-reports/airfare-jet-fuel-price-and-inflation/" TargetMode="External"/><Relationship Id="rId1" Type="http://schemas.openxmlformats.org/officeDocument/2006/relationships/hyperlink" Target="https://commission.europa.eu/strategy-and-policy/strategic-foresight/2025-strategic-foresight-report_en" TargetMode="External"/><Relationship Id="rId6" Type="http://schemas.openxmlformats.org/officeDocument/2006/relationships/hyperlink" Target="https://eur-lex.europa.eu/legal-content/EN/TXT/?uri=celex:52025DC0079" TargetMode="External"/><Relationship Id="rId11" Type="http://schemas.openxmlformats.org/officeDocument/2006/relationships/hyperlink" Target="http://data.europa.eu/eli/dir/2018/2001/2024-07-16" TargetMode="External"/><Relationship Id="rId24" Type="http://schemas.openxmlformats.org/officeDocument/2006/relationships/hyperlink" Target="https://www.icao.int/sites/default/files/environmental-protection/CORSIA/Documents/CORSIA%20Periodic%20Review/CAEP_Inputs-to-2025-CORSIA-periodic-review-C232.pdf" TargetMode="External"/><Relationship Id="rId32" Type="http://schemas.openxmlformats.org/officeDocument/2006/relationships/hyperlink" Target="https://ce.nl/publicaties/implications-of-eu-emission-trading-scheme-for-competition-between-eu-and-non-eu-airlines/" TargetMode="External"/><Relationship Id="rId37" Type="http://schemas.openxmlformats.org/officeDocument/2006/relationships/hyperlink" Target="https://data.europa.eu/doi/10.2834/714858" TargetMode="External"/><Relationship Id="rId40" Type="http://schemas.openxmlformats.org/officeDocument/2006/relationships/hyperlink" Target="https://eur-lex.europa.eu/legal-content/EN/TXT/?uri=celex:52023DC0306" TargetMode="External"/><Relationship Id="rId45" Type="http://schemas.openxmlformats.org/officeDocument/2006/relationships/hyperlink" Target="https://data.europa.eu/doi/10.2832/680399" TargetMode="External"/><Relationship Id="rId5" Type="http://schemas.openxmlformats.org/officeDocument/2006/relationships/hyperlink" Target="https://eur-lex.europa.eu/legal-content/EN/TXT/?uri=celex:52025DC0085" TargetMode="External"/><Relationship Id="rId15" Type="http://schemas.openxmlformats.org/officeDocument/2006/relationships/hyperlink" Target="http://data.europa.eu/eli/reg/2023/1805/oj" TargetMode="External"/><Relationship Id="rId23" Type="http://schemas.openxmlformats.org/officeDocument/2006/relationships/hyperlink" Target="https://www.reuters.com/sustainability/climate-energy/european-aviation-falling-behind-risks-missing-green-fuel-targets-ceos-say-2025-03-27/" TargetMode="External"/><Relationship Id="rId28" Type="http://schemas.openxmlformats.org/officeDocument/2006/relationships/hyperlink" Target="https://eur-lex.europa.eu/legal-content/EN/TXT/?uri=celex:52024SC0063" TargetMode="External"/><Relationship Id="rId36" Type="http://schemas.openxmlformats.org/officeDocument/2006/relationships/hyperlink" Target="https://arxiv.org/abs/1902.04944?" TargetMode="External"/><Relationship Id="rId10" Type="http://schemas.openxmlformats.org/officeDocument/2006/relationships/hyperlink" Target="https://eur-lex.europa.eu/resource.html?uri=cellar:6c154426-c5a6-11ee-95d9-01aa75ed71a1.0001.02/DOC_3&amp;format=PDF" TargetMode="External"/><Relationship Id="rId19" Type="http://schemas.openxmlformats.org/officeDocument/2006/relationships/hyperlink" Target="https://www.eea.europa.eu/en/analysis/indicators/share-of-energy-consumption-from" TargetMode="External"/><Relationship Id="rId31" Type="http://schemas.openxmlformats.org/officeDocument/2006/relationships/hyperlink" Target="https://cedelft.eu/publications/giving-wings-to-emission-trading/" TargetMode="External"/><Relationship Id="rId44" Type="http://schemas.openxmlformats.org/officeDocument/2006/relationships/hyperlink" Target="https://pyreg.com/wp-content/uploads/240620_dvne_bcg_cdr_economic_potential_en.pdf" TargetMode="External"/><Relationship Id="rId4" Type="http://schemas.openxmlformats.org/officeDocument/2006/relationships/hyperlink" Target="https://eur-lex.europa.eu/legal-content/EN/TXT/?uri=celex:52025DC0030" TargetMode="External"/><Relationship Id="rId9" Type="http://schemas.openxmlformats.org/officeDocument/2006/relationships/hyperlink" Target="https://eur-lex.europa.eu/resource.html?uri=cellar:6c154426-c5a6-11ee-95d9-01aa75ed71a1.0001.02/DOC_3&amp;format=PDF" TargetMode="External"/><Relationship Id="rId14" Type="http://schemas.openxmlformats.org/officeDocument/2006/relationships/hyperlink" Target="http://data.europa.eu/eli/reg/2023/2405/oj" TargetMode="External"/><Relationship Id="rId22" Type="http://schemas.openxmlformats.org/officeDocument/2006/relationships/hyperlink" Target="https://www.eurocontrol.int/publication/eurocontrol-think-paper-22-decarbonising-long-haul-flights-2050" TargetMode="External"/><Relationship Id="rId27" Type="http://schemas.openxmlformats.org/officeDocument/2006/relationships/hyperlink" Target="https://icapcarbonaction.com/system/files/document/ets-reloaded-paper_final.pdf" TargetMode="External"/><Relationship Id="rId30" Type="http://schemas.openxmlformats.org/officeDocument/2006/relationships/hyperlink" Target="https://eur-lex.europa.eu/legal-content/EN/TXT/?uri=CELEX%3A52021SC0603" TargetMode="External"/><Relationship Id="rId35" Type="http://schemas.openxmlformats.org/officeDocument/2006/relationships/hyperlink" Target="https://www.seo.nl/wp-content/uploads/2022/03/2022-16-Aviation-fit-for-55.pdf" TargetMode="External"/><Relationship Id="rId43" Type="http://schemas.openxmlformats.org/officeDocument/2006/relationships/hyperlink" Target="https://climate.ec.europa.eu/document/download/ddc1b1de-652b-49ed-8f15-d9fa8badd39f_en?filename=com_2025_735_en.pdf" TargetMode="External"/><Relationship Id="rId48" Type="http://schemas.openxmlformats.org/officeDocument/2006/relationships/hyperlink" Target="https://www.oecd.org/en/publications/the-circular-economy-in-cities-and-regions-of-the-european-union_e09c21e2-en.html." TargetMode="External"/><Relationship Id="rId8" Type="http://schemas.openxmlformats.org/officeDocument/2006/relationships/hyperlink" Target="https://www.easa.europa.eu/en/domains/environment/eaer/downloads" TargetMode="External"/><Relationship Id="rId3" Type="http://schemas.openxmlformats.org/officeDocument/2006/relationships/hyperlink" Target="https://www.esma.europa.eu/sites/default/files/2025-10/ESMA50-481369926-30552_Carbon_Markets_Report_2025.pdf" TargetMode="External"/><Relationship Id="rId12" Type="http://schemas.openxmlformats.org/officeDocument/2006/relationships/hyperlink" Target="http://data.europa.eu/eli/dir/2008/98/oj" TargetMode="External"/><Relationship Id="rId17" Type="http://schemas.openxmlformats.org/officeDocument/2006/relationships/hyperlink" Target="https://data.europa.eu/doi/10.2834/0004994" TargetMode="External"/><Relationship Id="rId25" Type="http://schemas.openxmlformats.org/officeDocument/2006/relationships/hyperlink" Target="https://www.icao.int/sites/default/files/Meetings/a42/Documents/WP/wp_028_en.pdf" TargetMode="External"/><Relationship Id="rId33" Type="http://schemas.openxmlformats.org/officeDocument/2006/relationships/hyperlink" Target="https://climate.ec.europa.eu/document/download/ddc1b1de-652b-49ed-8f15-d9fa8badd39f_en?filename=com_2025_735_en.pdf" TargetMode="External"/><Relationship Id="rId38" Type="http://schemas.openxmlformats.org/officeDocument/2006/relationships/hyperlink" Target="https://www.sciencedirect.com/science/article/pii/S1361920924002268" TargetMode="External"/><Relationship Id="rId46" Type="http://schemas.openxmlformats.org/officeDocument/2006/relationships/hyperlink" Target="https://www.info.gouv.fr/upload/media/content/0001/13/31506bf1bb147a6ca091685004ce8deb1303c3bf.pdf" TargetMode="External"/><Relationship Id="rId20" Type="http://schemas.openxmlformats.org/officeDocument/2006/relationships/hyperlink" Target="https://www.easa.europa.eu/en/domains/environment/eaer/downloads" TargetMode="External"/><Relationship Id="rId41" Type="http://schemas.openxmlformats.org/officeDocument/2006/relationships/hyperlink" Target="https://climate.ec.europa.eu/document/download/ddc1b1de-652b-49ed-8f15-d9fa8badd39f_en?filename=com_2025_735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Eur255</b:Tag>
    <b:SourceType>InternetSite</b:SourceType>
    <b:Guid>{6BD0F64E-6D57-4666-B9D4-F5D48A72EEDD}</b:Guid>
    <b:Title>Port activities</b:Title>
    <b:Year>2025</b:Year>
    <b:Author>
      <b:Author>
        <b:Corporate>European Commission</b:Corporate>
      </b:Author>
    </b:Author>
    <b:InternetSiteTitle>European Commission</b:InternetSiteTitle>
    <b:URL>https://op.europa.eu/webpub/mare/eu-blue-economy-report-2025/blue-economic-sectors/port-activities.html</b:URL>
    <b:RefOrder>1</b:RefOrder>
  </b:Source>
  <b:Source>
    <b:Tag>Pue</b:Tag>
    <b:SourceType>Book</b:SourceType>
    <b:Guid>{7967AA09-CBBE-468B-AE61-79E71AB620F7}</b:Guid>
    <b:Author>
      <b:Author>
        <b:Corporate>Puertos del Estado</b:Corporate>
      </b:Author>
    </b:Author>
    <b:Title>Impacto económico de los puertos de interés general. Metodología y resultados</b:Title>
    <b:Year>2024</b:Year>
    <b:URL>https://www.puertos.es/sites/default/files/2024-11/Impacto%20econo%CC%81mico%20de%20los%20puertos%20de%20intere%CC%81s%20general.%20Metodologi%CC%81a%20y%20resultados.pdf</b:URL>
    <b:RefOrder>2</b:RefOrder>
  </b:Source>
  <b:Source>
    <b:Tag>Val20</b:Tag>
    <b:SourceType>InternetSite</b:SourceType>
    <b:Guid>{8C5CFA96-44FA-442F-B4E2-75248923CCC5}</b:Guid>
    <b:Author>
      <b:Author>
        <b:Corporate>Valencia port</b:Corporate>
      </b:Author>
    </b:Author>
    <b:Title>Economic impact</b:Title>
    <b:InternetSiteTitle>Valencia port</b:InternetSiteTitle>
    <b:Year>2020</b:Year>
    <b:URL>https://www.valenciaport.com/en/statistics/economic-impact/</b:URL>
    <b:RefOrder>3</b:RefOrder>
  </b:Source>
  <b:Source>
    <b:Tag>Fra23</b:Tag>
    <b:SourceType>JournalArticle</b:SourceType>
    <b:Guid>{5A7933DB-46E4-4D3D-8EC9-D06B3DE6CA38}</b:Guid>
    <b:Title>Methodologies for Sustainable Development of TEN-T/RFC Corridors and Core Ports: Economic Impacts Generated in Port-Related Areas</b:Title>
    <b:Year>2023</b:Year>
    <b:Author>
      <b:Author>
        <b:NameList>
          <b:Person>
            <b:Last>Russo</b:Last>
            <b:First>Frencesco</b:First>
          </b:Person>
          <b:Person>
            <b:Last>Musolino</b:Last>
            <b:First>Giuseppe</b:First>
          </b:Person>
        </b:NameList>
      </b:Author>
    </b:Author>
    <b:JournalName>Computational Science and Its Applications – ICCSA 2023 Workshops</b:JournalName>
    <b:Pages>515-526</b:Pages>
    <b:URL>https://link.springer.com/chapter/10.1007/978-3-031-37123-3_35</b:URL>
    <b:RefOrder>4</b:RefOrder>
  </b:Source>
  <b:Source>
    <b:Tag>Cen24</b:Tag>
    <b:SourceType>Book</b:SourceType>
    <b:Guid>{F6035EA2-4460-4CD5-8B3D-F40E7A446E7B}</b:Guid>
    <b:Author>
      <b:Author>
        <b:Corporate>Central Bank of Malta</b:Corporate>
      </b:Author>
    </b:Author>
    <b:Title>THE EXTENSION OF THE EU EMISSIONS TRADING SYSTEM TO MARITIME TRANSPORT: IMPLICATIONS FOR MALTESE IMPORTS AND WIDER RAMIFICATIONS</b:Title>
    <b:Year>2024</b:Year>
    <b:URL>https://www.centralbankmalta.org/site/Reports-Articles/2024/RB-2024-Article-1.pdf?revcount=1751</b:URL>
    <b:RefOrder>5</b:RefOrder>
  </b:Source>
  <b:Source>
    <b:Tag>Mau25</b:Tag>
    <b:SourceType>Report</b:SourceType>
    <b:Guid>{261208A0-7B74-47D2-8636-CD875B187FD3}</b:Guid>
    <b:Title>Research for TRAN Committee – Transport and Tourism in Outermost Regions</b:Title>
    <b:Year>2025</b:Year>
    <b:URL>https://www.europarl.europa.eu/RegData/etudes/STUD/2025/759311/CASP_STU(2025)759311_EN.pdf</b:URL>
    <b:Author>
      <b:Author>
        <b:NameList>
          <b:Person>
            <b:Last>Maucorps</b:Last>
            <b:First>A.</b:First>
          </b:Person>
          <b:Person>
            <b:Last>Martín</b:Last>
            <b:First>J.C.</b:First>
          </b:Person>
          <b:Person>
            <b:Last>Dentinho</b:Last>
            <b:First>T.</b:First>
          </b:Person>
          <b:Person>
            <b:Last>Ranély Vergé-Dépré</b:Last>
            <b:First>C.</b:First>
          </b:Person>
          <b:Person>
            <b:Last>Picazo Peral</b:Last>
            <b:First>P.</b:First>
          </b:Person>
          <b:Person>
            <b:Last>Fortuna</b:Last>
            <b:First>M.</b:First>
          </b:Person>
        </b:NameList>
      </b:Author>
    </b:Author>
    <b:Publisher>European Parliament, Policy Department for Transport, Employment and Social Affairs</b:Publisher>
    <b:City>Brussels</b:City>
    <b:RefOrder>6</b:RefOrder>
  </b:Source>
  <b:Source>
    <b:Tag>Eur22</b:Tag>
    <b:SourceType>Book</b:SourceType>
    <b:Guid>{6A94FF27-CD7C-4D4A-A4E9-A9E59493011F}</b:Guid>
    <b:Author>
      <b:Author>
        <b:Corporate>European Parliament</b:Corporate>
      </b:Author>
    </b:Author>
    <b:Title>The aviation and maritime sectors and the EU ETS: challenges and impacts</b:Title>
    <b:Year>2022</b:Year>
    <b:URL>https://www.europarl.europa.eu/RegData/etudes/STUD/2021/690897/IPOL_STU(2021)690897_EN.pdf</b:URL>
    <b:RefOrder>7</b:RefOrder>
  </b:Source>
</b:Sources>
</file>

<file path=customXml/itemProps1.xml><?xml version="1.0" encoding="utf-8"?>
<ds:datastoreItem xmlns:ds="http://schemas.openxmlformats.org/officeDocument/2006/customXml" ds:itemID="{4F0BB021-45D7-4B58-81EF-3A7DC130E6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108</Pages>
  <Words>48521</Words>
  <Characters>266381</Characters>
  <Application>Microsoft Office Word</Application>
  <DocSecurity>0</DocSecurity>
  <Lines>5026</Lines>
  <Paragraphs>1730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313172</CharactersWithSpaces>
  <SharedDoc>false</SharedDoc>
  <HLinks>
    <vt:vector size="732" baseType="variant">
      <vt:variant>
        <vt:i4>1441851</vt:i4>
      </vt:variant>
      <vt:variant>
        <vt:i4>419</vt:i4>
      </vt:variant>
      <vt:variant>
        <vt:i4>0</vt:i4>
      </vt:variant>
      <vt:variant>
        <vt:i4>5</vt:i4>
      </vt:variant>
      <vt:variant>
        <vt:lpwstr/>
      </vt:variant>
      <vt:variant>
        <vt:lpwstr>_Toc234496405</vt:lpwstr>
      </vt:variant>
      <vt:variant>
        <vt:i4>1441851</vt:i4>
      </vt:variant>
      <vt:variant>
        <vt:i4>413</vt:i4>
      </vt:variant>
      <vt:variant>
        <vt:i4>0</vt:i4>
      </vt:variant>
      <vt:variant>
        <vt:i4>5</vt:i4>
      </vt:variant>
      <vt:variant>
        <vt:lpwstr/>
      </vt:variant>
      <vt:variant>
        <vt:lpwstr>_Toc234496404</vt:lpwstr>
      </vt:variant>
      <vt:variant>
        <vt:i4>1441851</vt:i4>
      </vt:variant>
      <vt:variant>
        <vt:i4>407</vt:i4>
      </vt:variant>
      <vt:variant>
        <vt:i4>0</vt:i4>
      </vt:variant>
      <vt:variant>
        <vt:i4>5</vt:i4>
      </vt:variant>
      <vt:variant>
        <vt:lpwstr/>
      </vt:variant>
      <vt:variant>
        <vt:lpwstr>_Toc234496403</vt:lpwstr>
      </vt:variant>
      <vt:variant>
        <vt:i4>1441851</vt:i4>
      </vt:variant>
      <vt:variant>
        <vt:i4>401</vt:i4>
      </vt:variant>
      <vt:variant>
        <vt:i4>0</vt:i4>
      </vt:variant>
      <vt:variant>
        <vt:i4>5</vt:i4>
      </vt:variant>
      <vt:variant>
        <vt:lpwstr/>
      </vt:variant>
      <vt:variant>
        <vt:lpwstr>_Toc234496401</vt:lpwstr>
      </vt:variant>
      <vt:variant>
        <vt:i4>1441851</vt:i4>
      </vt:variant>
      <vt:variant>
        <vt:i4>395</vt:i4>
      </vt:variant>
      <vt:variant>
        <vt:i4>0</vt:i4>
      </vt:variant>
      <vt:variant>
        <vt:i4>5</vt:i4>
      </vt:variant>
      <vt:variant>
        <vt:lpwstr/>
      </vt:variant>
      <vt:variant>
        <vt:lpwstr>_Toc234496400</vt:lpwstr>
      </vt:variant>
      <vt:variant>
        <vt:i4>2031676</vt:i4>
      </vt:variant>
      <vt:variant>
        <vt:i4>389</vt:i4>
      </vt:variant>
      <vt:variant>
        <vt:i4>0</vt:i4>
      </vt:variant>
      <vt:variant>
        <vt:i4>5</vt:i4>
      </vt:variant>
      <vt:variant>
        <vt:lpwstr/>
      </vt:variant>
      <vt:variant>
        <vt:lpwstr>_Toc234496399</vt:lpwstr>
      </vt:variant>
      <vt:variant>
        <vt:i4>2031676</vt:i4>
      </vt:variant>
      <vt:variant>
        <vt:i4>380</vt:i4>
      </vt:variant>
      <vt:variant>
        <vt:i4>0</vt:i4>
      </vt:variant>
      <vt:variant>
        <vt:i4>5</vt:i4>
      </vt:variant>
      <vt:variant>
        <vt:lpwstr/>
      </vt:variant>
      <vt:variant>
        <vt:lpwstr>_Toc234496398</vt:lpwstr>
      </vt:variant>
      <vt:variant>
        <vt:i4>2031676</vt:i4>
      </vt:variant>
      <vt:variant>
        <vt:i4>374</vt:i4>
      </vt:variant>
      <vt:variant>
        <vt:i4>0</vt:i4>
      </vt:variant>
      <vt:variant>
        <vt:i4>5</vt:i4>
      </vt:variant>
      <vt:variant>
        <vt:lpwstr/>
      </vt:variant>
      <vt:variant>
        <vt:lpwstr>_Toc234496397</vt:lpwstr>
      </vt:variant>
      <vt:variant>
        <vt:i4>2031676</vt:i4>
      </vt:variant>
      <vt:variant>
        <vt:i4>368</vt:i4>
      </vt:variant>
      <vt:variant>
        <vt:i4>0</vt:i4>
      </vt:variant>
      <vt:variant>
        <vt:i4>5</vt:i4>
      </vt:variant>
      <vt:variant>
        <vt:lpwstr/>
      </vt:variant>
      <vt:variant>
        <vt:lpwstr>_Toc234496396</vt:lpwstr>
      </vt:variant>
      <vt:variant>
        <vt:i4>2031676</vt:i4>
      </vt:variant>
      <vt:variant>
        <vt:i4>362</vt:i4>
      </vt:variant>
      <vt:variant>
        <vt:i4>0</vt:i4>
      </vt:variant>
      <vt:variant>
        <vt:i4>5</vt:i4>
      </vt:variant>
      <vt:variant>
        <vt:lpwstr/>
      </vt:variant>
      <vt:variant>
        <vt:lpwstr>_Toc234496395</vt:lpwstr>
      </vt:variant>
      <vt:variant>
        <vt:i4>2031676</vt:i4>
      </vt:variant>
      <vt:variant>
        <vt:i4>356</vt:i4>
      </vt:variant>
      <vt:variant>
        <vt:i4>0</vt:i4>
      </vt:variant>
      <vt:variant>
        <vt:i4>5</vt:i4>
      </vt:variant>
      <vt:variant>
        <vt:lpwstr/>
      </vt:variant>
      <vt:variant>
        <vt:lpwstr>_Toc234496394</vt:lpwstr>
      </vt:variant>
      <vt:variant>
        <vt:i4>2031676</vt:i4>
      </vt:variant>
      <vt:variant>
        <vt:i4>350</vt:i4>
      </vt:variant>
      <vt:variant>
        <vt:i4>0</vt:i4>
      </vt:variant>
      <vt:variant>
        <vt:i4>5</vt:i4>
      </vt:variant>
      <vt:variant>
        <vt:lpwstr/>
      </vt:variant>
      <vt:variant>
        <vt:lpwstr>_Toc234496393</vt:lpwstr>
      </vt:variant>
      <vt:variant>
        <vt:i4>2031676</vt:i4>
      </vt:variant>
      <vt:variant>
        <vt:i4>344</vt:i4>
      </vt:variant>
      <vt:variant>
        <vt:i4>0</vt:i4>
      </vt:variant>
      <vt:variant>
        <vt:i4>5</vt:i4>
      </vt:variant>
      <vt:variant>
        <vt:lpwstr/>
      </vt:variant>
      <vt:variant>
        <vt:lpwstr>_Toc234496392</vt:lpwstr>
      </vt:variant>
      <vt:variant>
        <vt:i4>2031676</vt:i4>
      </vt:variant>
      <vt:variant>
        <vt:i4>338</vt:i4>
      </vt:variant>
      <vt:variant>
        <vt:i4>0</vt:i4>
      </vt:variant>
      <vt:variant>
        <vt:i4>5</vt:i4>
      </vt:variant>
      <vt:variant>
        <vt:lpwstr/>
      </vt:variant>
      <vt:variant>
        <vt:lpwstr>_Toc234496391</vt:lpwstr>
      </vt:variant>
      <vt:variant>
        <vt:i4>2031676</vt:i4>
      </vt:variant>
      <vt:variant>
        <vt:i4>332</vt:i4>
      </vt:variant>
      <vt:variant>
        <vt:i4>0</vt:i4>
      </vt:variant>
      <vt:variant>
        <vt:i4>5</vt:i4>
      </vt:variant>
      <vt:variant>
        <vt:lpwstr/>
      </vt:variant>
      <vt:variant>
        <vt:lpwstr>_Toc234496390</vt:lpwstr>
      </vt:variant>
      <vt:variant>
        <vt:i4>1966140</vt:i4>
      </vt:variant>
      <vt:variant>
        <vt:i4>326</vt:i4>
      </vt:variant>
      <vt:variant>
        <vt:i4>0</vt:i4>
      </vt:variant>
      <vt:variant>
        <vt:i4>5</vt:i4>
      </vt:variant>
      <vt:variant>
        <vt:lpwstr/>
      </vt:variant>
      <vt:variant>
        <vt:lpwstr>_Toc234496389</vt:lpwstr>
      </vt:variant>
      <vt:variant>
        <vt:i4>1966140</vt:i4>
      </vt:variant>
      <vt:variant>
        <vt:i4>320</vt:i4>
      </vt:variant>
      <vt:variant>
        <vt:i4>0</vt:i4>
      </vt:variant>
      <vt:variant>
        <vt:i4>5</vt:i4>
      </vt:variant>
      <vt:variant>
        <vt:lpwstr/>
      </vt:variant>
      <vt:variant>
        <vt:lpwstr>_Toc234496388</vt:lpwstr>
      </vt:variant>
      <vt:variant>
        <vt:i4>1966140</vt:i4>
      </vt:variant>
      <vt:variant>
        <vt:i4>314</vt:i4>
      </vt:variant>
      <vt:variant>
        <vt:i4>0</vt:i4>
      </vt:variant>
      <vt:variant>
        <vt:i4>5</vt:i4>
      </vt:variant>
      <vt:variant>
        <vt:lpwstr/>
      </vt:variant>
      <vt:variant>
        <vt:lpwstr>_Toc234496387</vt:lpwstr>
      </vt:variant>
      <vt:variant>
        <vt:i4>1966140</vt:i4>
      </vt:variant>
      <vt:variant>
        <vt:i4>308</vt:i4>
      </vt:variant>
      <vt:variant>
        <vt:i4>0</vt:i4>
      </vt:variant>
      <vt:variant>
        <vt:i4>5</vt:i4>
      </vt:variant>
      <vt:variant>
        <vt:lpwstr/>
      </vt:variant>
      <vt:variant>
        <vt:lpwstr>_Toc234496386</vt:lpwstr>
      </vt:variant>
      <vt:variant>
        <vt:i4>1966140</vt:i4>
      </vt:variant>
      <vt:variant>
        <vt:i4>302</vt:i4>
      </vt:variant>
      <vt:variant>
        <vt:i4>0</vt:i4>
      </vt:variant>
      <vt:variant>
        <vt:i4>5</vt:i4>
      </vt:variant>
      <vt:variant>
        <vt:lpwstr/>
      </vt:variant>
      <vt:variant>
        <vt:lpwstr>_Toc234496385</vt:lpwstr>
      </vt:variant>
      <vt:variant>
        <vt:i4>1966140</vt:i4>
      </vt:variant>
      <vt:variant>
        <vt:i4>296</vt:i4>
      </vt:variant>
      <vt:variant>
        <vt:i4>0</vt:i4>
      </vt:variant>
      <vt:variant>
        <vt:i4>5</vt:i4>
      </vt:variant>
      <vt:variant>
        <vt:lpwstr/>
      </vt:variant>
      <vt:variant>
        <vt:lpwstr>_Toc234496384</vt:lpwstr>
      </vt:variant>
      <vt:variant>
        <vt:i4>1966140</vt:i4>
      </vt:variant>
      <vt:variant>
        <vt:i4>290</vt:i4>
      </vt:variant>
      <vt:variant>
        <vt:i4>0</vt:i4>
      </vt:variant>
      <vt:variant>
        <vt:i4>5</vt:i4>
      </vt:variant>
      <vt:variant>
        <vt:lpwstr/>
      </vt:variant>
      <vt:variant>
        <vt:lpwstr>_Toc234496383</vt:lpwstr>
      </vt:variant>
      <vt:variant>
        <vt:i4>1966140</vt:i4>
      </vt:variant>
      <vt:variant>
        <vt:i4>284</vt:i4>
      </vt:variant>
      <vt:variant>
        <vt:i4>0</vt:i4>
      </vt:variant>
      <vt:variant>
        <vt:i4>5</vt:i4>
      </vt:variant>
      <vt:variant>
        <vt:lpwstr/>
      </vt:variant>
      <vt:variant>
        <vt:lpwstr>_Toc234496382</vt:lpwstr>
      </vt:variant>
      <vt:variant>
        <vt:i4>1966140</vt:i4>
      </vt:variant>
      <vt:variant>
        <vt:i4>278</vt:i4>
      </vt:variant>
      <vt:variant>
        <vt:i4>0</vt:i4>
      </vt:variant>
      <vt:variant>
        <vt:i4>5</vt:i4>
      </vt:variant>
      <vt:variant>
        <vt:lpwstr/>
      </vt:variant>
      <vt:variant>
        <vt:lpwstr>_Toc234496381</vt:lpwstr>
      </vt:variant>
      <vt:variant>
        <vt:i4>1704053</vt:i4>
      </vt:variant>
      <vt:variant>
        <vt:i4>240</vt:i4>
      </vt:variant>
      <vt:variant>
        <vt:i4>0</vt:i4>
      </vt:variant>
      <vt:variant>
        <vt:i4>5</vt:i4>
      </vt:variant>
      <vt:variant>
        <vt:lpwstr>https://climate.ec.europa.eu/eu-action/european-climate-law_en</vt:lpwstr>
      </vt:variant>
      <vt:variant>
        <vt:lpwstr/>
      </vt:variant>
      <vt:variant>
        <vt:i4>6291521</vt:i4>
      </vt:variant>
      <vt:variant>
        <vt:i4>237</vt:i4>
      </vt:variant>
      <vt:variant>
        <vt:i4>0</vt:i4>
      </vt:variant>
      <vt:variant>
        <vt:i4>5</vt:i4>
      </vt:variant>
      <vt:variant>
        <vt:lpwstr>https://commission.europa.eu/strategy-and-policy/priorities-2019-2024/european-green-deal_en</vt:lpwstr>
      </vt:variant>
      <vt:variant>
        <vt:lpwstr/>
      </vt:variant>
      <vt:variant>
        <vt:i4>1245232</vt:i4>
      </vt:variant>
      <vt:variant>
        <vt:i4>230</vt:i4>
      </vt:variant>
      <vt:variant>
        <vt:i4>0</vt:i4>
      </vt:variant>
      <vt:variant>
        <vt:i4>5</vt:i4>
      </vt:variant>
      <vt:variant>
        <vt:lpwstr/>
      </vt:variant>
      <vt:variant>
        <vt:lpwstr>_Toc232752522</vt:lpwstr>
      </vt:variant>
      <vt:variant>
        <vt:i4>1245232</vt:i4>
      </vt:variant>
      <vt:variant>
        <vt:i4>224</vt:i4>
      </vt:variant>
      <vt:variant>
        <vt:i4>0</vt:i4>
      </vt:variant>
      <vt:variant>
        <vt:i4>5</vt:i4>
      </vt:variant>
      <vt:variant>
        <vt:lpwstr/>
      </vt:variant>
      <vt:variant>
        <vt:lpwstr>_Toc232752521</vt:lpwstr>
      </vt:variant>
      <vt:variant>
        <vt:i4>1245232</vt:i4>
      </vt:variant>
      <vt:variant>
        <vt:i4>218</vt:i4>
      </vt:variant>
      <vt:variant>
        <vt:i4>0</vt:i4>
      </vt:variant>
      <vt:variant>
        <vt:i4>5</vt:i4>
      </vt:variant>
      <vt:variant>
        <vt:lpwstr/>
      </vt:variant>
      <vt:variant>
        <vt:lpwstr>_Toc232752520</vt:lpwstr>
      </vt:variant>
      <vt:variant>
        <vt:i4>1048624</vt:i4>
      </vt:variant>
      <vt:variant>
        <vt:i4>212</vt:i4>
      </vt:variant>
      <vt:variant>
        <vt:i4>0</vt:i4>
      </vt:variant>
      <vt:variant>
        <vt:i4>5</vt:i4>
      </vt:variant>
      <vt:variant>
        <vt:lpwstr/>
      </vt:variant>
      <vt:variant>
        <vt:lpwstr>_Toc232752519</vt:lpwstr>
      </vt:variant>
      <vt:variant>
        <vt:i4>1048624</vt:i4>
      </vt:variant>
      <vt:variant>
        <vt:i4>206</vt:i4>
      </vt:variant>
      <vt:variant>
        <vt:i4>0</vt:i4>
      </vt:variant>
      <vt:variant>
        <vt:i4>5</vt:i4>
      </vt:variant>
      <vt:variant>
        <vt:lpwstr/>
      </vt:variant>
      <vt:variant>
        <vt:lpwstr>_Toc232752518</vt:lpwstr>
      </vt:variant>
      <vt:variant>
        <vt:i4>1048624</vt:i4>
      </vt:variant>
      <vt:variant>
        <vt:i4>200</vt:i4>
      </vt:variant>
      <vt:variant>
        <vt:i4>0</vt:i4>
      </vt:variant>
      <vt:variant>
        <vt:i4>5</vt:i4>
      </vt:variant>
      <vt:variant>
        <vt:lpwstr/>
      </vt:variant>
      <vt:variant>
        <vt:lpwstr>_Toc232752517</vt:lpwstr>
      </vt:variant>
      <vt:variant>
        <vt:i4>1048624</vt:i4>
      </vt:variant>
      <vt:variant>
        <vt:i4>194</vt:i4>
      </vt:variant>
      <vt:variant>
        <vt:i4>0</vt:i4>
      </vt:variant>
      <vt:variant>
        <vt:i4>5</vt:i4>
      </vt:variant>
      <vt:variant>
        <vt:lpwstr/>
      </vt:variant>
      <vt:variant>
        <vt:lpwstr>_Toc232752516</vt:lpwstr>
      </vt:variant>
      <vt:variant>
        <vt:i4>1048624</vt:i4>
      </vt:variant>
      <vt:variant>
        <vt:i4>188</vt:i4>
      </vt:variant>
      <vt:variant>
        <vt:i4>0</vt:i4>
      </vt:variant>
      <vt:variant>
        <vt:i4>5</vt:i4>
      </vt:variant>
      <vt:variant>
        <vt:lpwstr/>
      </vt:variant>
      <vt:variant>
        <vt:lpwstr>_Toc232752515</vt:lpwstr>
      </vt:variant>
      <vt:variant>
        <vt:i4>1048624</vt:i4>
      </vt:variant>
      <vt:variant>
        <vt:i4>182</vt:i4>
      </vt:variant>
      <vt:variant>
        <vt:i4>0</vt:i4>
      </vt:variant>
      <vt:variant>
        <vt:i4>5</vt:i4>
      </vt:variant>
      <vt:variant>
        <vt:lpwstr/>
      </vt:variant>
      <vt:variant>
        <vt:lpwstr>_Toc232752514</vt:lpwstr>
      </vt:variant>
      <vt:variant>
        <vt:i4>1048624</vt:i4>
      </vt:variant>
      <vt:variant>
        <vt:i4>176</vt:i4>
      </vt:variant>
      <vt:variant>
        <vt:i4>0</vt:i4>
      </vt:variant>
      <vt:variant>
        <vt:i4>5</vt:i4>
      </vt:variant>
      <vt:variant>
        <vt:lpwstr/>
      </vt:variant>
      <vt:variant>
        <vt:lpwstr>_Toc232752513</vt:lpwstr>
      </vt:variant>
      <vt:variant>
        <vt:i4>1048624</vt:i4>
      </vt:variant>
      <vt:variant>
        <vt:i4>170</vt:i4>
      </vt:variant>
      <vt:variant>
        <vt:i4>0</vt:i4>
      </vt:variant>
      <vt:variant>
        <vt:i4>5</vt:i4>
      </vt:variant>
      <vt:variant>
        <vt:lpwstr/>
      </vt:variant>
      <vt:variant>
        <vt:lpwstr>_Toc232752512</vt:lpwstr>
      </vt:variant>
      <vt:variant>
        <vt:i4>1048624</vt:i4>
      </vt:variant>
      <vt:variant>
        <vt:i4>164</vt:i4>
      </vt:variant>
      <vt:variant>
        <vt:i4>0</vt:i4>
      </vt:variant>
      <vt:variant>
        <vt:i4>5</vt:i4>
      </vt:variant>
      <vt:variant>
        <vt:lpwstr/>
      </vt:variant>
      <vt:variant>
        <vt:lpwstr>_Toc232752511</vt:lpwstr>
      </vt:variant>
      <vt:variant>
        <vt:i4>1048624</vt:i4>
      </vt:variant>
      <vt:variant>
        <vt:i4>158</vt:i4>
      </vt:variant>
      <vt:variant>
        <vt:i4>0</vt:i4>
      </vt:variant>
      <vt:variant>
        <vt:i4>5</vt:i4>
      </vt:variant>
      <vt:variant>
        <vt:lpwstr/>
      </vt:variant>
      <vt:variant>
        <vt:lpwstr>_Toc232752510</vt:lpwstr>
      </vt:variant>
      <vt:variant>
        <vt:i4>1114160</vt:i4>
      </vt:variant>
      <vt:variant>
        <vt:i4>152</vt:i4>
      </vt:variant>
      <vt:variant>
        <vt:i4>0</vt:i4>
      </vt:variant>
      <vt:variant>
        <vt:i4>5</vt:i4>
      </vt:variant>
      <vt:variant>
        <vt:lpwstr/>
      </vt:variant>
      <vt:variant>
        <vt:lpwstr>_Toc232752509</vt:lpwstr>
      </vt:variant>
      <vt:variant>
        <vt:i4>1114160</vt:i4>
      </vt:variant>
      <vt:variant>
        <vt:i4>146</vt:i4>
      </vt:variant>
      <vt:variant>
        <vt:i4>0</vt:i4>
      </vt:variant>
      <vt:variant>
        <vt:i4>5</vt:i4>
      </vt:variant>
      <vt:variant>
        <vt:lpwstr/>
      </vt:variant>
      <vt:variant>
        <vt:lpwstr>_Toc232752508</vt:lpwstr>
      </vt:variant>
      <vt:variant>
        <vt:i4>1114160</vt:i4>
      </vt:variant>
      <vt:variant>
        <vt:i4>140</vt:i4>
      </vt:variant>
      <vt:variant>
        <vt:i4>0</vt:i4>
      </vt:variant>
      <vt:variant>
        <vt:i4>5</vt:i4>
      </vt:variant>
      <vt:variant>
        <vt:lpwstr/>
      </vt:variant>
      <vt:variant>
        <vt:lpwstr>_Toc232752507</vt:lpwstr>
      </vt:variant>
      <vt:variant>
        <vt:i4>1114160</vt:i4>
      </vt:variant>
      <vt:variant>
        <vt:i4>134</vt:i4>
      </vt:variant>
      <vt:variant>
        <vt:i4>0</vt:i4>
      </vt:variant>
      <vt:variant>
        <vt:i4>5</vt:i4>
      </vt:variant>
      <vt:variant>
        <vt:lpwstr/>
      </vt:variant>
      <vt:variant>
        <vt:lpwstr>_Toc232752506</vt:lpwstr>
      </vt:variant>
      <vt:variant>
        <vt:i4>1114160</vt:i4>
      </vt:variant>
      <vt:variant>
        <vt:i4>128</vt:i4>
      </vt:variant>
      <vt:variant>
        <vt:i4>0</vt:i4>
      </vt:variant>
      <vt:variant>
        <vt:i4>5</vt:i4>
      </vt:variant>
      <vt:variant>
        <vt:lpwstr/>
      </vt:variant>
      <vt:variant>
        <vt:lpwstr>_Toc232752505</vt:lpwstr>
      </vt:variant>
      <vt:variant>
        <vt:i4>1114160</vt:i4>
      </vt:variant>
      <vt:variant>
        <vt:i4>122</vt:i4>
      </vt:variant>
      <vt:variant>
        <vt:i4>0</vt:i4>
      </vt:variant>
      <vt:variant>
        <vt:i4>5</vt:i4>
      </vt:variant>
      <vt:variant>
        <vt:lpwstr/>
      </vt:variant>
      <vt:variant>
        <vt:lpwstr>_Toc232752504</vt:lpwstr>
      </vt:variant>
      <vt:variant>
        <vt:i4>1114160</vt:i4>
      </vt:variant>
      <vt:variant>
        <vt:i4>116</vt:i4>
      </vt:variant>
      <vt:variant>
        <vt:i4>0</vt:i4>
      </vt:variant>
      <vt:variant>
        <vt:i4>5</vt:i4>
      </vt:variant>
      <vt:variant>
        <vt:lpwstr/>
      </vt:variant>
      <vt:variant>
        <vt:lpwstr>_Toc232752503</vt:lpwstr>
      </vt:variant>
      <vt:variant>
        <vt:i4>1114160</vt:i4>
      </vt:variant>
      <vt:variant>
        <vt:i4>110</vt:i4>
      </vt:variant>
      <vt:variant>
        <vt:i4>0</vt:i4>
      </vt:variant>
      <vt:variant>
        <vt:i4>5</vt:i4>
      </vt:variant>
      <vt:variant>
        <vt:lpwstr/>
      </vt:variant>
      <vt:variant>
        <vt:lpwstr>_Toc232752502</vt:lpwstr>
      </vt:variant>
      <vt:variant>
        <vt:i4>1114160</vt:i4>
      </vt:variant>
      <vt:variant>
        <vt:i4>104</vt:i4>
      </vt:variant>
      <vt:variant>
        <vt:i4>0</vt:i4>
      </vt:variant>
      <vt:variant>
        <vt:i4>5</vt:i4>
      </vt:variant>
      <vt:variant>
        <vt:lpwstr/>
      </vt:variant>
      <vt:variant>
        <vt:lpwstr>_Toc232752501</vt:lpwstr>
      </vt:variant>
      <vt:variant>
        <vt:i4>1114160</vt:i4>
      </vt:variant>
      <vt:variant>
        <vt:i4>98</vt:i4>
      </vt:variant>
      <vt:variant>
        <vt:i4>0</vt:i4>
      </vt:variant>
      <vt:variant>
        <vt:i4>5</vt:i4>
      </vt:variant>
      <vt:variant>
        <vt:lpwstr/>
      </vt:variant>
      <vt:variant>
        <vt:lpwstr>_Toc232752500</vt:lpwstr>
      </vt:variant>
      <vt:variant>
        <vt:i4>1572913</vt:i4>
      </vt:variant>
      <vt:variant>
        <vt:i4>92</vt:i4>
      </vt:variant>
      <vt:variant>
        <vt:i4>0</vt:i4>
      </vt:variant>
      <vt:variant>
        <vt:i4>5</vt:i4>
      </vt:variant>
      <vt:variant>
        <vt:lpwstr/>
      </vt:variant>
      <vt:variant>
        <vt:lpwstr>_Toc232752499</vt:lpwstr>
      </vt:variant>
      <vt:variant>
        <vt:i4>1572913</vt:i4>
      </vt:variant>
      <vt:variant>
        <vt:i4>86</vt:i4>
      </vt:variant>
      <vt:variant>
        <vt:i4>0</vt:i4>
      </vt:variant>
      <vt:variant>
        <vt:i4>5</vt:i4>
      </vt:variant>
      <vt:variant>
        <vt:lpwstr/>
      </vt:variant>
      <vt:variant>
        <vt:lpwstr>_Toc232752498</vt:lpwstr>
      </vt:variant>
      <vt:variant>
        <vt:i4>1572913</vt:i4>
      </vt:variant>
      <vt:variant>
        <vt:i4>80</vt:i4>
      </vt:variant>
      <vt:variant>
        <vt:i4>0</vt:i4>
      </vt:variant>
      <vt:variant>
        <vt:i4>5</vt:i4>
      </vt:variant>
      <vt:variant>
        <vt:lpwstr/>
      </vt:variant>
      <vt:variant>
        <vt:lpwstr>_Toc232752497</vt:lpwstr>
      </vt:variant>
      <vt:variant>
        <vt:i4>1572913</vt:i4>
      </vt:variant>
      <vt:variant>
        <vt:i4>74</vt:i4>
      </vt:variant>
      <vt:variant>
        <vt:i4>0</vt:i4>
      </vt:variant>
      <vt:variant>
        <vt:i4>5</vt:i4>
      </vt:variant>
      <vt:variant>
        <vt:lpwstr/>
      </vt:variant>
      <vt:variant>
        <vt:lpwstr>_Toc232752496</vt:lpwstr>
      </vt:variant>
      <vt:variant>
        <vt:i4>1572913</vt:i4>
      </vt:variant>
      <vt:variant>
        <vt:i4>68</vt:i4>
      </vt:variant>
      <vt:variant>
        <vt:i4>0</vt:i4>
      </vt:variant>
      <vt:variant>
        <vt:i4>5</vt:i4>
      </vt:variant>
      <vt:variant>
        <vt:lpwstr/>
      </vt:variant>
      <vt:variant>
        <vt:lpwstr>_Toc232752495</vt:lpwstr>
      </vt:variant>
      <vt:variant>
        <vt:i4>1572913</vt:i4>
      </vt:variant>
      <vt:variant>
        <vt:i4>62</vt:i4>
      </vt:variant>
      <vt:variant>
        <vt:i4>0</vt:i4>
      </vt:variant>
      <vt:variant>
        <vt:i4>5</vt:i4>
      </vt:variant>
      <vt:variant>
        <vt:lpwstr/>
      </vt:variant>
      <vt:variant>
        <vt:lpwstr>_Toc232752494</vt:lpwstr>
      </vt:variant>
      <vt:variant>
        <vt:i4>1572913</vt:i4>
      </vt:variant>
      <vt:variant>
        <vt:i4>56</vt:i4>
      </vt:variant>
      <vt:variant>
        <vt:i4>0</vt:i4>
      </vt:variant>
      <vt:variant>
        <vt:i4>5</vt:i4>
      </vt:variant>
      <vt:variant>
        <vt:lpwstr/>
      </vt:variant>
      <vt:variant>
        <vt:lpwstr>_Toc232752493</vt:lpwstr>
      </vt:variant>
      <vt:variant>
        <vt:i4>1572913</vt:i4>
      </vt:variant>
      <vt:variant>
        <vt:i4>50</vt:i4>
      </vt:variant>
      <vt:variant>
        <vt:i4>0</vt:i4>
      </vt:variant>
      <vt:variant>
        <vt:i4>5</vt:i4>
      </vt:variant>
      <vt:variant>
        <vt:lpwstr/>
      </vt:variant>
      <vt:variant>
        <vt:lpwstr>_Toc232752492</vt:lpwstr>
      </vt:variant>
      <vt:variant>
        <vt:i4>1572913</vt:i4>
      </vt:variant>
      <vt:variant>
        <vt:i4>44</vt:i4>
      </vt:variant>
      <vt:variant>
        <vt:i4>0</vt:i4>
      </vt:variant>
      <vt:variant>
        <vt:i4>5</vt:i4>
      </vt:variant>
      <vt:variant>
        <vt:lpwstr/>
      </vt:variant>
      <vt:variant>
        <vt:lpwstr>_Toc232752491</vt:lpwstr>
      </vt:variant>
      <vt:variant>
        <vt:i4>1572913</vt:i4>
      </vt:variant>
      <vt:variant>
        <vt:i4>38</vt:i4>
      </vt:variant>
      <vt:variant>
        <vt:i4>0</vt:i4>
      </vt:variant>
      <vt:variant>
        <vt:i4>5</vt:i4>
      </vt:variant>
      <vt:variant>
        <vt:lpwstr/>
      </vt:variant>
      <vt:variant>
        <vt:lpwstr>_Toc232752490</vt:lpwstr>
      </vt:variant>
      <vt:variant>
        <vt:i4>1638449</vt:i4>
      </vt:variant>
      <vt:variant>
        <vt:i4>32</vt:i4>
      </vt:variant>
      <vt:variant>
        <vt:i4>0</vt:i4>
      </vt:variant>
      <vt:variant>
        <vt:i4>5</vt:i4>
      </vt:variant>
      <vt:variant>
        <vt:lpwstr/>
      </vt:variant>
      <vt:variant>
        <vt:lpwstr>_Toc232752489</vt:lpwstr>
      </vt:variant>
      <vt:variant>
        <vt:i4>1638449</vt:i4>
      </vt:variant>
      <vt:variant>
        <vt:i4>26</vt:i4>
      </vt:variant>
      <vt:variant>
        <vt:i4>0</vt:i4>
      </vt:variant>
      <vt:variant>
        <vt:i4>5</vt:i4>
      </vt:variant>
      <vt:variant>
        <vt:lpwstr/>
      </vt:variant>
      <vt:variant>
        <vt:lpwstr>_Toc232752488</vt:lpwstr>
      </vt:variant>
      <vt:variant>
        <vt:i4>1638449</vt:i4>
      </vt:variant>
      <vt:variant>
        <vt:i4>20</vt:i4>
      </vt:variant>
      <vt:variant>
        <vt:i4>0</vt:i4>
      </vt:variant>
      <vt:variant>
        <vt:i4>5</vt:i4>
      </vt:variant>
      <vt:variant>
        <vt:lpwstr/>
      </vt:variant>
      <vt:variant>
        <vt:lpwstr>_Toc232752487</vt:lpwstr>
      </vt:variant>
      <vt:variant>
        <vt:i4>1638449</vt:i4>
      </vt:variant>
      <vt:variant>
        <vt:i4>14</vt:i4>
      </vt:variant>
      <vt:variant>
        <vt:i4>0</vt:i4>
      </vt:variant>
      <vt:variant>
        <vt:i4>5</vt:i4>
      </vt:variant>
      <vt:variant>
        <vt:lpwstr/>
      </vt:variant>
      <vt:variant>
        <vt:lpwstr>_Toc232752486</vt:lpwstr>
      </vt:variant>
      <vt:variant>
        <vt:i4>1638449</vt:i4>
      </vt:variant>
      <vt:variant>
        <vt:i4>8</vt:i4>
      </vt:variant>
      <vt:variant>
        <vt:i4>0</vt:i4>
      </vt:variant>
      <vt:variant>
        <vt:i4>5</vt:i4>
      </vt:variant>
      <vt:variant>
        <vt:lpwstr/>
      </vt:variant>
      <vt:variant>
        <vt:lpwstr>_Toc232752485</vt:lpwstr>
      </vt:variant>
      <vt:variant>
        <vt:i4>1638449</vt:i4>
      </vt:variant>
      <vt:variant>
        <vt:i4>2</vt:i4>
      </vt:variant>
      <vt:variant>
        <vt:i4>0</vt:i4>
      </vt:variant>
      <vt:variant>
        <vt:i4>5</vt:i4>
      </vt:variant>
      <vt:variant>
        <vt:lpwstr/>
      </vt:variant>
      <vt:variant>
        <vt:lpwstr>_Toc232752484</vt:lpwstr>
      </vt:variant>
      <vt:variant>
        <vt:i4>5308476</vt:i4>
      </vt:variant>
      <vt:variant>
        <vt:i4>141</vt:i4>
      </vt:variant>
      <vt:variant>
        <vt:i4>0</vt:i4>
      </vt:variant>
      <vt:variant>
        <vt:i4>5</vt:i4>
      </vt:variant>
      <vt:variant>
        <vt:lpwstr>https://www.oecd.org/en/publications/the-circular-economy-in-cities-and-regions-of-the-european-union_e09c21e2-en.html.</vt:lpwstr>
      </vt:variant>
      <vt:variant>
        <vt:lpwstr/>
      </vt:variant>
      <vt:variant>
        <vt:i4>2490465</vt:i4>
      </vt:variant>
      <vt:variant>
        <vt:i4>138</vt:i4>
      </vt:variant>
      <vt:variant>
        <vt:i4>0</vt:i4>
      </vt:variant>
      <vt:variant>
        <vt:i4>5</vt:i4>
      </vt:variant>
      <vt:variant>
        <vt:lpwstr>https://www.sustainableaviation.co.uk/wp-content/uploads/2023/04/Sustainable-Aviation-SAF-Roadmap-Final.pdf</vt:lpwstr>
      </vt:variant>
      <vt:variant>
        <vt:lpwstr/>
      </vt:variant>
      <vt:variant>
        <vt:i4>2949177</vt:i4>
      </vt:variant>
      <vt:variant>
        <vt:i4>135</vt:i4>
      </vt:variant>
      <vt:variant>
        <vt:i4>0</vt:i4>
      </vt:variant>
      <vt:variant>
        <vt:i4>5</vt:i4>
      </vt:variant>
      <vt:variant>
        <vt:lpwstr>https://www.info.gouv.fr/upload/media/content/0001/13/31506bf1bb147a6ca091685004ce8deb1303c3bf.pdf</vt:lpwstr>
      </vt:variant>
      <vt:variant>
        <vt:lpwstr/>
      </vt:variant>
      <vt:variant>
        <vt:i4>655386</vt:i4>
      </vt:variant>
      <vt:variant>
        <vt:i4>132</vt:i4>
      </vt:variant>
      <vt:variant>
        <vt:i4>0</vt:i4>
      </vt:variant>
      <vt:variant>
        <vt:i4>5</vt:i4>
      </vt:variant>
      <vt:variant>
        <vt:lpwstr>https://data.europa.eu/doi/10.2832/680399</vt:lpwstr>
      </vt:variant>
      <vt:variant>
        <vt:lpwstr/>
      </vt:variant>
      <vt:variant>
        <vt:i4>458844</vt:i4>
      </vt:variant>
      <vt:variant>
        <vt:i4>129</vt:i4>
      </vt:variant>
      <vt:variant>
        <vt:i4>0</vt:i4>
      </vt:variant>
      <vt:variant>
        <vt:i4>5</vt:i4>
      </vt:variant>
      <vt:variant>
        <vt:lpwstr>https://pyreg.com/wp-content/uploads/240620_dvne_bcg_cdr_economic_potential_en.pdf</vt:lpwstr>
      </vt:variant>
      <vt:variant>
        <vt:lpwstr/>
      </vt:variant>
      <vt:variant>
        <vt:i4>8060965</vt:i4>
      </vt:variant>
      <vt:variant>
        <vt:i4>126</vt:i4>
      </vt:variant>
      <vt:variant>
        <vt:i4>0</vt:i4>
      </vt:variant>
      <vt:variant>
        <vt:i4>5</vt:i4>
      </vt:variant>
      <vt:variant>
        <vt:lpwstr>https://climate.ec.europa.eu/document/download/ddc1b1de-652b-49ed-8f15-d9fa8badd39f_en?filename=com_2025_735_en.pdf</vt:lpwstr>
      </vt:variant>
      <vt:variant>
        <vt:lpwstr/>
      </vt:variant>
      <vt:variant>
        <vt:i4>4063276</vt:i4>
      </vt:variant>
      <vt:variant>
        <vt:i4>123</vt:i4>
      </vt:variant>
      <vt:variant>
        <vt:i4>0</vt:i4>
      </vt:variant>
      <vt:variant>
        <vt:i4>5</vt:i4>
      </vt:variant>
      <vt:variant>
        <vt:lpwstr>https://data.europa.eu/doi/10.2834/0004994</vt:lpwstr>
      </vt:variant>
      <vt:variant>
        <vt:lpwstr/>
      </vt:variant>
      <vt:variant>
        <vt:i4>8060965</vt:i4>
      </vt:variant>
      <vt:variant>
        <vt:i4>120</vt:i4>
      </vt:variant>
      <vt:variant>
        <vt:i4>0</vt:i4>
      </vt:variant>
      <vt:variant>
        <vt:i4>5</vt:i4>
      </vt:variant>
      <vt:variant>
        <vt:lpwstr>https://climate.ec.europa.eu/document/download/ddc1b1de-652b-49ed-8f15-d9fa8badd39f_en?filename=com_2025_735_en.pdf</vt:lpwstr>
      </vt:variant>
      <vt:variant>
        <vt:lpwstr/>
      </vt:variant>
      <vt:variant>
        <vt:i4>20</vt:i4>
      </vt:variant>
      <vt:variant>
        <vt:i4>117</vt:i4>
      </vt:variant>
      <vt:variant>
        <vt:i4>0</vt:i4>
      </vt:variant>
      <vt:variant>
        <vt:i4>5</vt:i4>
      </vt:variant>
      <vt:variant>
        <vt:lpwstr>https://eur-lex.europa.eu/legal-content/EN/TXT/?uri=celex:52023DC0306</vt:lpwstr>
      </vt:variant>
      <vt:variant>
        <vt:lpwstr/>
      </vt:variant>
      <vt:variant>
        <vt:i4>5308476</vt:i4>
      </vt:variant>
      <vt:variant>
        <vt:i4>114</vt:i4>
      </vt:variant>
      <vt:variant>
        <vt:i4>0</vt:i4>
      </vt:variant>
      <vt:variant>
        <vt:i4>5</vt:i4>
      </vt:variant>
      <vt:variant>
        <vt:lpwstr>https://www.oecd.org/en/publications/the-circular-economy-in-cities-and-regions-of-the-european-union_e09c21e2-en.html.</vt:lpwstr>
      </vt:variant>
      <vt:variant>
        <vt:lpwstr/>
      </vt:variant>
      <vt:variant>
        <vt:i4>6946928</vt:i4>
      </vt:variant>
      <vt:variant>
        <vt:i4>111</vt:i4>
      </vt:variant>
      <vt:variant>
        <vt:i4>0</vt:i4>
      </vt:variant>
      <vt:variant>
        <vt:i4>5</vt:i4>
      </vt:variant>
      <vt:variant>
        <vt:lpwstr>https://www.sciencedirect.com/science/article/pii/S1361920924002268</vt:lpwstr>
      </vt:variant>
      <vt:variant>
        <vt:lpwstr/>
      </vt:variant>
      <vt:variant>
        <vt:i4>327704</vt:i4>
      </vt:variant>
      <vt:variant>
        <vt:i4>108</vt:i4>
      </vt:variant>
      <vt:variant>
        <vt:i4>0</vt:i4>
      </vt:variant>
      <vt:variant>
        <vt:i4>5</vt:i4>
      </vt:variant>
      <vt:variant>
        <vt:lpwstr>https://data.europa.eu/doi/10.2834/714858</vt:lpwstr>
      </vt:variant>
      <vt:variant>
        <vt:lpwstr/>
      </vt:variant>
      <vt:variant>
        <vt:i4>131098</vt:i4>
      </vt:variant>
      <vt:variant>
        <vt:i4>105</vt:i4>
      </vt:variant>
      <vt:variant>
        <vt:i4>0</vt:i4>
      </vt:variant>
      <vt:variant>
        <vt:i4>5</vt:i4>
      </vt:variant>
      <vt:variant>
        <vt:lpwstr>https://arxiv.org/abs/1902.04944?</vt:lpwstr>
      </vt:variant>
      <vt:variant>
        <vt:lpwstr/>
      </vt:variant>
      <vt:variant>
        <vt:i4>5308416</vt:i4>
      </vt:variant>
      <vt:variant>
        <vt:i4>102</vt:i4>
      </vt:variant>
      <vt:variant>
        <vt:i4>0</vt:i4>
      </vt:variant>
      <vt:variant>
        <vt:i4>5</vt:i4>
      </vt:variant>
      <vt:variant>
        <vt:lpwstr>https://www.seo.nl/wp-content/uploads/2022/03/2022-16-Aviation-fit-for-55.pdf</vt:lpwstr>
      </vt:variant>
      <vt:variant>
        <vt:lpwstr/>
      </vt:variant>
      <vt:variant>
        <vt:i4>1507405</vt:i4>
      </vt:variant>
      <vt:variant>
        <vt:i4>99</vt:i4>
      </vt:variant>
      <vt:variant>
        <vt:i4>0</vt:i4>
      </vt:variant>
      <vt:variant>
        <vt:i4>5</vt:i4>
      </vt:variant>
      <vt:variant>
        <vt:lpwstr>https://etc-corporate.org/news/long-haul-travellers-grow-more-cautious-in-2026-while-safety-and-flexibility-shape-demand-for-europe/</vt:lpwstr>
      </vt:variant>
      <vt:variant>
        <vt:lpwstr/>
      </vt:variant>
      <vt:variant>
        <vt:i4>8060965</vt:i4>
      </vt:variant>
      <vt:variant>
        <vt:i4>96</vt:i4>
      </vt:variant>
      <vt:variant>
        <vt:i4>0</vt:i4>
      </vt:variant>
      <vt:variant>
        <vt:i4>5</vt:i4>
      </vt:variant>
      <vt:variant>
        <vt:lpwstr>https://climate.ec.europa.eu/document/download/ddc1b1de-652b-49ed-8f15-d9fa8badd39f_en?filename=com_2025_735_en.pdf</vt:lpwstr>
      </vt:variant>
      <vt:variant>
        <vt:lpwstr/>
      </vt:variant>
      <vt:variant>
        <vt:i4>4653128</vt:i4>
      </vt:variant>
      <vt:variant>
        <vt:i4>93</vt:i4>
      </vt:variant>
      <vt:variant>
        <vt:i4>0</vt:i4>
      </vt:variant>
      <vt:variant>
        <vt:i4>5</vt:i4>
      </vt:variant>
      <vt:variant>
        <vt:lpwstr>https://ce.nl/publicaties/implications-of-eu-emission-trading-scheme-for-competition-between-eu-and-non-eu-airlines/</vt:lpwstr>
      </vt:variant>
      <vt:variant>
        <vt:lpwstr/>
      </vt:variant>
      <vt:variant>
        <vt:i4>4718684</vt:i4>
      </vt:variant>
      <vt:variant>
        <vt:i4>90</vt:i4>
      </vt:variant>
      <vt:variant>
        <vt:i4>0</vt:i4>
      </vt:variant>
      <vt:variant>
        <vt:i4>5</vt:i4>
      </vt:variant>
      <vt:variant>
        <vt:lpwstr>https://cedelft.eu/publications/giving-wings-to-emission-trading/</vt:lpwstr>
      </vt:variant>
      <vt:variant>
        <vt:lpwstr/>
      </vt:variant>
      <vt:variant>
        <vt:i4>6881312</vt:i4>
      </vt:variant>
      <vt:variant>
        <vt:i4>87</vt:i4>
      </vt:variant>
      <vt:variant>
        <vt:i4>0</vt:i4>
      </vt:variant>
      <vt:variant>
        <vt:i4>5</vt:i4>
      </vt:variant>
      <vt:variant>
        <vt:lpwstr>https://eur-lex.europa.eu/legal-content/EN/TXT/?uri=CELEX%3A52021SC0603</vt:lpwstr>
      </vt:variant>
      <vt:variant>
        <vt:lpwstr/>
      </vt:variant>
      <vt:variant>
        <vt:i4>2162806</vt:i4>
      </vt:variant>
      <vt:variant>
        <vt:i4>84</vt:i4>
      </vt:variant>
      <vt:variant>
        <vt:i4>0</vt:i4>
      </vt:variant>
      <vt:variant>
        <vt:i4>5</vt:i4>
      </vt:variant>
      <vt:variant>
        <vt:lpwstr>https://www.iata.org/en/iata-repository/publications/economic-reports/airfare-jet-fuel-price-and-inflation/</vt:lpwstr>
      </vt:variant>
      <vt:variant>
        <vt:lpwstr/>
      </vt:variant>
      <vt:variant>
        <vt:i4>1114128</vt:i4>
      </vt:variant>
      <vt:variant>
        <vt:i4>81</vt:i4>
      </vt:variant>
      <vt:variant>
        <vt:i4>0</vt:i4>
      </vt:variant>
      <vt:variant>
        <vt:i4>5</vt:i4>
      </vt:variant>
      <vt:variant>
        <vt:lpwstr>https://eur-lex.europa.eu/legal-content/EN/TXT/?uri=celex:52024SC0063</vt:lpwstr>
      </vt:variant>
      <vt:variant>
        <vt:lpwstr/>
      </vt:variant>
      <vt:variant>
        <vt:i4>6225957</vt:i4>
      </vt:variant>
      <vt:variant>
        <vt:i4>78</vt:i4>
      </vt:variant>
      <vt:variant>
        <vt:i4>0</vt:i4>
      </vt:variant>
      <vt:variant>
        <vt:i4>5</vt:i4>
      </vt:variant>
      <vt:variant>
        <vt:lpwstr>https://icapcarbonaction.com/system/files/document/ets-reloaded-paper_final.pdf</vt:lpwstr>
      </vt:variant>
      <vt:variant>
        <vt:lpwstr/>
      </vt:variant>
      <vt:variant>
        <vt:i4>393232</vt:i4>
      </vt:variant>
      <vt:variant>
        <vt:i4>75</vt:i4>
      </vt:variant>
      <vt:variant>
        <vt:i4>0</vt:i4>
      </vt:variant>
      <vt:variant>
        <vt:i4>5</vt:i4>
      </vt:variant>
      <vt:variant>
        <vt:lpwstr>https://eur-lex.europa.eu/legal-content/EN/TXT/?uri=celex:52024DC0062</vt:lpwstr>
      </vt:variant>
      <vt:variant>
        <vt:lpwstr/>
      </vt:variant>
      <vt:variant>
        <vt:i4>786503</vt:i4>
      </vt:variant>
      <vt:variant>
        <vt:i4>72</vt:i4>
      </vt:variant>
      <vt:variant>
        <vt:i4>0</vt:i4>
      </vt:variant>
      <vt:variant>
        <vt:i4>5</vt:i4>
      </vt:variant>
      <vt:variant>
        <vt:lpwstr>https://www.icao.int/sites/default/files/Meetings/a42/Documents/WP/wp_028_en.pdf</vt:lpwstr>
      </vt:variant>
      <vt:variant>
        <vt:lpwstr/>
      </vt:variant>
      <vt:variant>
        <vt:i4>5898363</vt:i4>
      </vt:variant>
      <vt:variant>
        <vt:i4>69</vt:i4>
      </vt:variant>
      <vt:variant>
        <vt:i4>0</vt:i4>
      </vt:variant>
      <vt:variant>
        <vt:i4>5</vt:i4>
      </vt:variant>
      <vt:variant>
        <vt:lpwstr>https://www.icao.int/sites/default/files/environmental-protection/CORSIA/Documents/CORSIA Periodic Review/CAEP_Inputs-to-2025-CORSIA-periodic-review-C232.pdf</vt:lpwstr>
      </vt:variant>
      <vt:variant>
        <vt:lpwstr/>
      </vt:variant>
      <vt:variant>
        <vt:i4>1704009</vt:i4>
      </vt:variant>
      <vt:variant>
        <vt:i4>66</vt:i4>
      </vt:variant>
      <vt:variant>
        <vt:i4>0</vt:i4>
      </vt:variant>
      <vt:variant>
        <vt:i4>5</vt:i4>
      </vt:variant>
      <vt:variant>
        <vt:lpwstr>https://www.reuters.com/sustainability/climate-energy/european-aviation-falling-behind-risks-missing-green-fuel-targets-ceos-say-2025-03-27/</vt:lpwstr>
      </vt:variant>
      <vt:variant>
        <vt:lpwstr/>
      </vt:variant>
      <vt:variant>
        <vt:i4>3670073</vt:i4>
      </vt:variant>
      <vt:variant>
        <vt:i4>63</vt:i4>
      </vt:variant>
      <vt:variant>
        <vt:i4>0</vt:i4>
      </vt:variant>
      <vt:variant>
        <vt:i4>5</vt:i4>
      </vt:variant>
      <vt:variant>
        <vt:lpwstr>https://www.eurocontrol.int/publication/eurocontrol-think-paper-22-decarbonising-long-haul-flights-2050</vt:lpwstr>
      </vt:variant>
      <vt:variant>
        <vt:lpwstr/>
      </vt:variant>
      <vt:variant>
        <vt:i4>1441891</vt:i4>
      </vt:variant>
      <vt:variant>
        <vt:i4>60</vt:i4>
      </vt:variant>
      <vt:variant>
        <vt:i4>0</vt:i4>
      </vt:variant>
      <vt:variant>
        <vt:i4>5</vt:i4>
      </vt:variant>
      <vt:variant>
        <vt:lpwstr>https://www.icao.int/sites/default/files/sp-files/environmental-protection/Documents/EnvironmentReport-2010/2025/Envreport2025_9.pdf</vt:lpwstr>
      </vt:variant>
      <vt:variant>
        <vt:lpwstr/>
      </vt:variant>
      <vt:variant>
        <vt:i4>4259852</vt:i4>
      </vt:variant>
      <vt:variant>
        <vt:i4>57</vt:i4>
      </vt:variant>
      <vt:variant>
        <vt:i4>0</vt:i4>
      </vt:variant>
      <vt:variant>
        <vt:i4>5</vt:i4>
      </vt:variant>
      <vt:variant>
        <vt:lpwstr>https://www.easa.europa.eu/en/domains/environment/eaer/downloads</vt:lpwstr>
      </vt:variant>
      <vt:variant>
        <vt:lpwstr>download-2025</vt:lpwstr>
      </vt:variant>
      <vt:variant>
        <vt:i4>5177433</vt:i4>
      </vt:variant>
      <vt:variant>
        <vt:i4>54</vt:i4>
      </vt:variant>
      <vt:variant>
        <vt:i4>0</vt:i4>
      </vt:variant>
      <vt:variant>
        <vt:i4>5</vt:i4>
      </vt:variant>
      <vt:variant>
        <vt:lpwstr>https://www.eea.europa.eu/en/analysis/indicators/share-of-energy-consumption-from</vt:lpwstr>
      </vt:variant>
      <vt:variant>
        <vt:lpwstr/>
      </vt:variant>
      <vt:variant>
        <vt:i4>3080289</vt:i4>
      </vt:variant>
      <vt:variant>
        <vt:i4>51</vt:i4>
      </vt:variant>
      <vt:variant>
        <vt:i4>0</vt:i4>
      </vt:variant>
      <vt:variant>
        <vt:i4>5</vt:i4>
      </vt:variant>
      <vt:variant>
        <vt:lpwstr>https://doi.org/10.1111/reel.12401</vt:lpwstr>
      </vt:variant>
      <vt:variant>
        <vt:lpwstr/>
      </vt:variant>
      <vt:variant>
        <vt:i4>4063276</vt:i4>
      </vt:variant>
      <vt:variant>
        <vt:i4>48</vt:i4>
      </vt:variant>
      <vt:variant>
        <vt:i4>0</vt:i4>
      </vt:variant>
      <vt:variant>
        <vt:i4>5</vt:i4>
      </vt:variant>
      <vt:variant>
        <vt:lpwstr>https://data.europa.eu/doi/10.2834/0004994</vt:lpwstr>
      </vt:variant>
      <vt:variant>
        <vt:lpwstr/>
      </vt:variant>
      <vt:variant>
        <vt:i4>2556025</vt:i4>
      </vt:variant>
      <vt:variant>
        <vt:i4>45</vt:i4>
      </vt:variant>
      <vt:variant>
        <vt:i4>0</vt:i4>
      </vt:variant>
      <vt:variant>
        <vt:i4>5</vt:i4>
      </vt:variant>
      <vt:variant>
        <vt:lpwstr>https://www.worldbank.org/en/publication/state-and-trends-of-carbon-pricing</vt:lpwstr>
      </vt:variant>
      <vt:variant>
        <vt:lpwstr/>
      </vt:variant>
      <vt:variant>
        <vt:i4>6946913</vt:i4>
      </vt:variant>
      <vt:variant>
        <vt:i4>42</vt:i4>
      </vt:variant>
      <vt:variant>
        <vt:i4>0</vt:i4>
      </vt:variant>
      <vt:variant>
        <vt:i4>5</vt:i4>
      </vt:variant>
      <vt:variant>
        <vt:lpwstr>http://data.europa.eu/eli/reg/2023/1805/oj</vt:lpwstr>
      </vt:variant>
      <vt:variant>
        <vt:lpwstr/>
      </vt:variant>
      <vt:variant>
        <vt:i4>6881389</vt:i4>
      </vt:variant>
      <vt:variant>
        <vt:i4>39</vt:i4>
      </vt:variant>
      <vt:variant>
        <vt:i4>0</vt:i4>
      </vt:variant>
      <vt:variant>
        <vt:i4>5</vt:i4>
      </vt:variant>
      <vt:variant>
        <vt:lpwstr>http://data.europa.eu/eli/reg/2023/2405/oj</vt:lpwstr>
      </vt:variant>
      <vt:variant>
        <vt:lpwstr/>
      </vt:variant>
      <vt:variant>
        <vt:i4>5701718</vt:i4>
      </vt:variant>
      <vt:variant>
        <vt:i4>36</vt:i4>
      </vt:variant>
      <vt:variant>
        <vt:i4>0</vt:i4>
      </vt:variant>
      <vt:variant>
        <vt:i4>5</vt:i4>
      </vt:variant>
      <vt:variant>
        <vt:lpwstr>http://data.europa.eu/eli/dir/1999/31/oj</vt:lpwstr>
      </vt:variant>
      <vt:variant>
        <vt:lpwstr/>
      </vt:variant>
      <vt:variant>
        <vt:i4>5570645</vt:i4>
      </vt:variant>
      <vt:variant>
        <vt:i4>33</vt:i4>
      </vt:variant>
      <vt:variant>
        <vt:i4>0</vt:i4>
      </vt:variant>
      <vt:variant>
        <vt:i4>5</vt:i4>
      </vt:variant>
      <vt:variant>
        <vt:lpwstr>http://data.europa.eu/eli/dir/2008/98/oj</vt:lpwstr>
      </vt:variant>
      <vt:variant>
        <vt:lpwstr/>
      </vt:variant>
      <vt:variant>
        <vt:i4>2818089</vt:i4>
      </vt:variant>
      <vt:variant>
        <vt:i4>30</vt:i4>
      </vt:variant>
      <vt:variant>
        <vt:i4>0</vt:i4>
      </vt:variant>
      <vt:variant>
        <vt:i4>5</vt:i4>
      </vt:variant>
      <vt:variant>
        <vt:lpwstr>http://data.europa.eu/eli/dir/2018/2001/2024-07-16</vt:lpwstr>
      </vt:variant>
      <vt:variant>
        <vt:lpwstr/>
      </vt:variant>
      <vt:variant>
        <vt:i4>6881356</vt:i4>
      </vt:variant>
      <vt:variant>
        <vt:i4>27</vt:i4>
      </vt:variant>
      <vt:variant>
        <vt:i4>0</vt:i4>
      </vt:variant>
      <vt:variant>
        <vt:i4>5</vt:i4>
      </vt:variant>
      <vt:variant>
        <vt:lpwstr>https://eur-lex.europa.eu/resource.html?uri=cellar:6c154426-c5a6-11ee-95d9-01aa75ed71a1.0001.02/DOC_3&amp;format=PDF</vt:lpwstr>
      </vt:variant>
      <vt:variant>
        <vt:lpwstr/>
      </vt:variant>
      <vt:variant>
        <vt:i4>6881356</vt:i4>
      </vt:variant>
      <vt:variant>
        <vt:i4>24</vt:i4>
      </vt:variant>
      <vt:variant>
        <vt:i4>0</vt:i4>
      </vt:variant>
      <vt:variant>
        <vt:i4>5</vt:i4>
      </vt:variant>
      <vt:variant>
        <vt:lpwstr>https://eur-lex.europa.eu/resource.html?uri=cellar:6c154426-c5a6-11ee-95d9-01aa75ed71a1.0001.02/DOC_3&amp;format=PDF</vt:lpwstr>
      </vt:variant>
      <vt:variant>
        <vt:lpwstr/>
      </vt:variant>
      <vt:variant>
        <vt:i4>4259852</vt:i4>
      </vt:variant>
      <vt:variant>
        <vt:i4>21</vt:i4>
      </vt:variant>
      <vt:variant>
        <vt:i4>0</vt:i4>
      </vt:variant>
      <vt:variant>
        <vt:i4>5</vt:i4>
      </vt:variant>
      <vt:variant>
        <vt:lpwstr>https://www.easa.europa.eu/en/domains/environment/eaer/downloads</vt:lpwstr>
      </vt:variant>
      <vt:variant>
        <vt:lpwstr>download-2025</vt:lpwstr>
      </vt:variant>
      <vt:variant>
        <vt:i4>7798889</vt:i4>
      </vt:variant>
      <vt:variant>
        <vt:i4>18</vt:i4>
      </vt:variant>
      <vt:variant>
        <vt:i4>0</vt:i4>
      </vt:variant>
      <vt:variant>
        <vt:i4>5</vt:i4>
      </vt:variant>
      <vt:variant>
        <vt:lpwstr>https://commission.europa.eu/document/download/97e481fd-2dc3-412d-be4c-f152a8232961_en?filename=The%20future%20of%20European%20competitiveness%20_%20A%20competitiveness%20strategy%20for%20Europe.pdf</vt:lpwstr>
      </vt:variant>
      <vt:variant>
        <vt:lpwstr/>
      </vt:variant>
      <vt:variant>
        <vt:i4>458769</vt:i4>
      </vt:variant>
      <vt:variant>
        <vt:i4>15</vt:i4>
      </vt:variant>
      <vt:variant>
        <vt:i4>0</vt:i4>
      </vt:variant>
      <vt:variant>
        <vt:i4>5</vt:i4>
      </vt:variant>
      <vt:variant>
        <vt:lpwstr>https://eur-lex.europa.eu/legal-content/EN/TXT/?uri=celex:52025DC0079</vt:lpwstr>
      </vt:variant>
      <vt:variant>
        <vt:lpwstr/>
      </vt:variant>
      <vt:variant>
        <vt:i4>524305</vt:i4>
      </vt:variant>
      <vt:variant>
        <vt:i4>12</vt:i4>
      </vt:variant>
      <vt:variant>
        <vt:i4>0</vt:i4>
      </vt:variant>
      <vt:variant>
        <vt:i4>5</vt:i4>
      </vt:variant>
      <vt:variant>
        <vt:lpwstr>https://eur-lex.europa.eu/legal-content/EN/TXT/?uri=celex:52025DC0085</vt:lpwstr>
      </vt:variant>
      <vt:variant>
        <vt:lpwstr/>
      </vt:variant>
      <vt:variant>
        <vt:i4>196625</vt:i4>
      </vt:variant>
      <vt:variant>
        <vt:i4>9</vt:i4>
      </vt:variant>
      <vt:variant>
        <vt:i4>0</vt:i4>
      </vt:variant>
      <vt:variant>
        <vt:i4>5</vt:i4>
      </vt:variant>
      <vt:variant>
        <vt:lpwstr>https://eur-lex.europa.eu/legal-content/EN/TXT/?uri=celex:52025DC0030</vt:lpwstr>
      </vt:variant>
      <vt:variant>
        <vt:lpwstr/>
      </vt:variant>
      <vt:variant>
        <vt:i4>4849685</vt:i4>
      </vt:variant>
      <vt:variant>
        <vt:i4>6</vt:i4>
      </vt:variant>
      <vt:variant>
        <vt:i4>0</vt:i4>
      </vt:variant>
      <vt:variant>
        <vt:i4>5</vt:i4>
      </vt:variant>
      <vt:variant>
        <vt:lpwstr>https://www.esma.europa.eu/sites/default/files/2025-10/ESMA50-481369926-30552_Carbon_Markets_Report_2025.pdf</vt:lpwstr>
      </vt:variant>
      <vt:variant>
        <vt:lpwstr/>
      </vt:variant>
      <vt:variant>
        <vt:i4>7798889</vt:i4>
      </vt:variant>
      <vt:variant>
        <vt:i4>3</vt:i4>
      </vt:variant>
      <vt:variant>
        <vt:i4>0</vt:i4>
      </vt:variant>
      <vt:variant>
        <vt:i4>5</vt:i4>
      </vt:variant>
      <vt:variant>
        <vt:lpwstr>https://commission.europa.eu/document/download/97e481fd-2dc3-412d-be4c-f152a8232961_en?filename=The%20future%20of%20European%20competitiveness%20_%20A%20competitiveness%20strategy%20for%20Europe.pdf</vt:lpwstr>
      </vt:variant>
      <vt:variant>
        <vt:lpwstr/>
      </vt:variant>
      <vt:variant>
        <vt:i4>7929927</vt:i4>
      </vt:variant>
      <vt:variant>
        <vt:i4>0</vt:i4>
      </vt:variant>
      <vt:variant>
        <vt:i4>0</vt:i4>
      </vt:variant>
      <vt:variant>
        <vt:i4>5</vt:i4>
      </vt:variant>
      <vt:variant>
        <vt:lpwstr>https://commission.europa.eu/strategy-and-policy/strategic-foresight/2025-strategic-foresight-report_en</vt:lpwstr>
      </vt:variant>
      <vt:variant>
        <vt:lpwstr/>
      </vt:variant>
      <vt:variant>
        <vt:i4>4063253</vt:i4>
      </vt:variant>
      <vt:variant>
        <vt:i4>24</vt:i4>
      </vt:variant>
      <vt:variant>
        <vt:i4>0</vt:i4>
      </vt:variant>
      <vt:variant>
        <vt:i4>5</vt:i4>
      </vt:variant>
      <vt:variant>
        <vt:lpwstr>mailto:Miles.PERRY@ec.europa.eu</vt:lpwstr>
      </vt:variant>
      <vt:variant>
        <vt:lpwstr/>
      </vt:variant>
      <vt:variant>
        <vt:i4>2752520</vt:i4>
      </vt:variant>
      <vt:variant>
        <vt:i4>21</vt:i4>
      </vt:variant>
      <vt:variant>
        <vt:i4>0</vt:i4>
      </vt:variant>
      <vt:variant>
        <vt:i4>5</vt:i4>
      </vt:variant>
      <vt:variant>
        <vt:lpwstr>mailto:Akshay.PATKI@ec.europa.eu</vt:lpwstr>
      </vt:variant>
      <vt:variant>
        <vt:lpwstr/>
      </vt:variant>
      <vt:variant>
        <vt:i4>1835042</vt:i4>
      </vt:variant>
      <vt:variant>
        <vt:i4>18</vt:i4>
      </vt:variant>
      <vt:variant>
        <vt:i4>0</vt:i4>
      </vt:variant>
      <vt:variant>
        <vt:i4>5</vt:i4>
      </vt:variant>
      <vt:variant>
        <vt:lpwstr>mailto:Lawrence.CAPPELLE@ec.europa.eu</vt:lpwstr>
      </vt:variant>
      <vt:variant>
        <vt:lpwstr/>
      </vt:variant>
      <vt:variant>
        <vt:i4>3932234</vt:i4>
      </vt:variant>
      <vt:variant>
        <vt:i4>15</vt:i4>
      </vt:variant>
      <vt:variant>
        <vt:i4>0</vt:i4>
      </vt:variant>
      <vt:variant>
        <vt:i4>5</vt:i4>
      </vt:variant>
      <vt:variant>
        <vt:lpwstr>mailto:Marina.GARCIA-ALONSO@ec.europa.eu</vt:lpwstr>
      </vt:variant>
      <vt:variant>
        <vt:lpwstr/>
      </vt:variant>
      <vt:variant>
        <vt:i4>1179680</vt:i4>
      </vt:variant>
      <vt:variant>
        <vt:i4>12</vt:i4>
      </vt:variant>
      <vt:variant>
        <vt:i4>0</vt:i4>
      </vt:variant>
      <vt:variant>
        <vt:i4>5</vt:i4>
      </vt:variant>
      <vt:variant>
        <vt:lpwstr>mailto:Timothee.NOEL@ec.europa.eu</vt:lpwstr>
      </vt:variant>
      <vt:variant>
        <vt:lpwstr/>
      </vt:variant>
      <vt:variant>
        <vt:i4>3145746</vt:i4>
      </vt:variant>
      <vt:variant>
        <vt:i4>9</vt:i4>
      </vt:variant>
      <vt:variant>
        <vt:i4>0</vt:i4>
      </vt:variant>
      <vt:variant>
        <vt:i4>5</vt:i4>
      </vt:variant>
      <vt:variant>
        <vt:lpwstr>mailto:Bartlomiej.GURBA@ec.europa.eu</vt:lpwstr>
      </vt:variant>
      <vt:variant>
        <vt:lpwstr/>
      </vt:variant>
      <vt:variant>
        <vt:i4>1179680</vt:i4>
      </vt:variant>
      <vt:variant>
        <vt:i4>6</vt:i4>
      </vt:variant>
      <vt:variant>
        <vt:i4>0</vt:i4>
      </vt:variant>
      <vt:variant>
        <vt:i4>5</vt:i4>
      </vt:variant>
      <vt:variant>
        <vt:lpwstr>mailto:Timothee.NOEL@ec.europa.eu</vt:lpwstr>
      </vt:variant>
      <vt:variant>
        <vt:lpwstr/>
      </vt:variant>
      <vt:variant>
        <vt:i4>3145746</vt:i4>
      </vt:variant>
      <vt:variant>
        <vt:i4>3</vt:i4>
      </vt:variant>
      <vt:variant>
        <vt:i4>0</vt:i4>
      </vt:variant>
      <vt:variant>
        <vt:i4>5</vt:i4>
      </vt:variant>
      <vt:variant>
        <vt:lpwstr>mailto:Bartlomiej.GURBA@ec.europa.eu</vt:lpwstr>
      </vt:variant>
      <vt:variant>
        <vt:lpwstr/>
      </vt:variant>
      <vt:variant>
        <vt:i4>983080</vt:i4>
      </vt:variant>
      <vt:variant>
        <vt:i4>0</vt:i4>
      </vt:variant>
      <vt:variant>
        <vt:i4>0</vt:i4>
      </vt:variant>
      <vt:variant>
        <vt:i4>5</vt:i4>
      </vt:variant>
      <vt:variant>
        <vt:lpwstr>mailto:Victoria.VOLOSSOV@ec.europa.eu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2026-07-15T07:57:00Z</dcterms:created>
  <dcterms:modified xsi:type="dcterms:W3CDTF">2026-07-17T09:12:00Z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2026-07-15T07:57:47Z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fe7ef5ab-b0e2-4b64-8024-7850b8824de1</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ies>
</file>